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446" w14:textId="77777777" w:rsidR="00647DAC" w:rsidRPr="00215F8A" w:rsidRDefault="00647DAC" w:rsidP="00D64F7A">
      <w:pPr>
        <w:pStyle w:val="BodyText"/>
        <w:rPr>
          <w:rFonts w:ascii="Times New Roman" w:hAnsi="Times New Roman" w:cs="Times New Roman"/>
          <w:b/>
          <w:bCs/>
          <w:sz w:val="25"/>
          <w:szCs w:val="25"/>
        </w:rPr>
      </w:pPr>
      <w:r w:rsidRPr="00215F8A">
        <w:rPr>
          <w:rFonts w:ascii="Times New Roman" w:hAnsi="Times New Roman" w:cs="Times New Roman"/>
          <w:b/>
          <w:bCs/>
          <w:sz w:val="25"/>
          <w:szCs w:val="25"/>
        </w:rPr>
        <w:t>BEFORE THE WASHINGTON</w:t>
      </w:r>
      <w:bookmarkStart w:id="0" w:name="_GoBack"/>
      <w:bookmarkEnd w:id="0"/>
    </w:p>
    <w:p w14:paraId="2A4D9A5F" w14:textId="77777777" w:rsidR="00647DAC" w:rsidRPr="00215F8A" w:rsidRDefault="00647DAC" w:rsidP="00647DAC">
      <w:pPr>
        <w:pStyle w:val="BodyText"/>
        <w:rPr>
          <w:rFonts w:ascii="Times New Roman" w:hAnsi="Times New Roman" w:cs="Times New Roman"/>
          <w:sz w:val="25"/>
          <w:szCs w:val="25"/>
        </w:rPr>
      </w:pPr>
      <w:r w:rsidRPr="00215F8A">
        <w:rPr>
          <w:rFonts w:ascii="Times New Roman" w:hAnsi="Times New Roman" w:cs="Times New Roman"/>
          <w:b/>
          <w:bCs/>
          <w:sz w:val="25"/>
          <w:szCs w:val="25"/>
        </w:rPr>
        <w:t>UTILITIES AND TRANSPORTATION COMMISSION</w:t>
      </w:r>
    </w:p>
    <w:p w14:paraId="7E27F949" w14:textId="77777777" w:rsidR="00647DAC" w:rsidRDefault="00647DAC" w:rsidP="00647DAC">
      <w:pPr>
        <w:rPr>
          <w:sz w:val="25"/>
          <w:szCs w:val="25"/>
        </w:rPr>
      </w:pPr>
    </w:p>
    <w:p w14:paraId="5E93705C" w14:textId="77777777" w:rsidR="00552BF8" w:rsidRDefault="00552BF8" w:rsidP="00647DAC">
      <w:pPr>
        <w:rPr>
          <w:sz w:val="25"/>
          <w:szCs w:val="25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33413B" w:rsidRPr="0089650D" w14:paraId="0301F65B" w14:textId="77777777" w:rsidTr="00396151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594A6997" w14:textId="77777777" w:rsidR="005B2C01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 the Matter of</w:t>
            </w:r>
          </w:p>
          <w:p w14:paraId="16C19C7A" w14:textId="77777777" w:rsidR="005B2C01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1C9CA6E6" w14:textId="77777777" w:rsidR="005B2C01" w:rsidRDefault="005D0B08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</w:t>
            </w:r>
            <w:r w:rsidR="00773D16">
              <w:rPr>
                <w:sz w:val="25"/>
                <w:szCs w:val="25"/>
              </w:rPr>
              <w:t>UGET SOUND ENERGY</w:t>
            </w:r>
            <w:r w:rsidR="005B2C01">
              <w:rPr>
                <w:sz w:val="25"/>
                <w:szCs w:val="25"/>
              </w:rPr>
              <w:t>’S</w:t>
            </w:r>
          </w:p>
          <w:p w14:paraId="40BB9055" w14:textId="77777777" w:rsidR="005B2C01" w:rsidRDefault="005B2C01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769CF15B" w14:textId="77777777" w:rsidR="0033413B" w:rsidRPr="0089650D" w:rsidRDefault="0011627D" w:rsidP="00AD3F3D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</w:t>
            </w:r>
            <w:r w:rsidR="00AD3F3D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-201</w:t>
            </w:r>
            <w:r w:rsidR="00AD3F3D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 </w:t>
            </w:r>
            <w:r w:rsidR="00EB61DA">
              <w:rPr>
                <w:sz w:val="25"/>
                <w:szCs w:val="25"/>
              </w:rPr>
              <w:t>Biennial Conservation Target Under RCW 19.285.040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DE42026" w14:textId="77777777" w:rsidR="0033413B" w:rsidRPr="0089650D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6"/>
              <w:rPr>
                <w:sz w:val="25"/>
                <w:szCs w:val="25"/>
              </w:rPr>
            </w:pPr>
            <w:r w:rsidRPr="0089650D">
              <w:rPr>
                <w:sz w:val="25"/>
                <w:szCs w:val="25"/>
              </w:rPr>
              <w:t xml:space="preserve">DOCKET </w:t>
            </w:r>
            <w:r w:rsidR="005B2C01">
              <w:rPr>
                <w:sz w:val="25"/>
                <w:szCs w:val="25"/>
              </w:rPr>
              <w:t>UE</w:t>
            </w:r>
            <w:r w:rsidR="005B2C01">
              <w:rPr>
                <w:sz w:val="25"/>
                <w:szCs w:val="25"/>
              </w:rPr>
              <w:noBreakHyphen/>
              <w:t>1</w:t>
            </w:r>
            <w:r w:rsidR="00545B04">
              <w:rPr>
                <w:sz w:val="25"/>
                <w:szCs w:val="25"/>
              </w:rPr>
              <w:t>1188</w:t>
            </w:r>
            <w:r w:rsidR="00773D16">
              <w:rPr>
                <w:sz w:val="25"/>
                <w:szCs w:val="25"/>
              </w:rPr>
              <w:t>1</w:t>
            </w:r>
          </w:p>
          <w:p w14:paraId="33B247D1" w14:textId="77777777" w:rsidR="0033413B" w:rsidRPr="0089650D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5"/>
                <w:szCs w:val="25"/>
              </w:rPr>
            </w:pPr>
          </w:p>
          <w:p w14:paraId="5979FA0F" w14:textId="77777777" w:rsidR="0033413B" w:rsidRDefault="00773D16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ORDER 02</w:t>
            </w:r>
          </w:p>
          <w:p w14:paraId="377B092F" w14:textId="77777777" w:rsidR="0033413B" w:rsidRDefault="0033413B" w:rsidP="00396151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418"/>
              <w:rPr>
                <w:sz w:val="25"/>
                <w:szCs w:val="25"/>
              </w:rPr>
            </w:pPr>
          </w:p>
          <w:p w14:paraId="061C33F5" w14:textId="77777777" w:rsidR="0033413B" w:rsidRPr="0089650D" w:rsidRDefault="00740A9E" w:rsidP="00364368">
            <w:pPr>
              <w:widowControl w:val="0"/>
              <w:autoSpaceDE w:val="0"/>
              <w:autoSpaceDN w:val="0"/>
              <w:adjustRightInd w:val="0"/>
              <w:spacing w:line="288" w:lineRule="auto"/>
              <w:ind w:left="41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121ED3">
              <w:rPr>
                <w:sz w:val="25"/>
                <w:szCs w:val="25"/>
              </w:rPr>
              <w:t xml:space="preserve">REGARDING </w:t>
            </w:r>
            <w:r w:rsidR="00EB61DA">
              <w:rPr>
                <w:sz w:val="25"/>
                <w:szCs w:val="25"/>
              </w:rPr>
              <w:t>CONSERVATION ACHIEVEMENT FOR THE 201</w:t>
            </w:r>
            <w:r w:rsidR="00545B04">
              <w:rPr>
                <w:sz w:val="25"/>
                <w:szCs w:val="25"/>
              </w:rPr>
              <w:t>2</w:t>
            </w:r>
            <w:r w:rsidR="00EB61DA">
              <w:rPr>
                <w:sz w:val="25"/>
                <w:szCs w:val="25"/>
              </w:rPr>
              <w:t>-201</w:t>
            </w:r>
            <w:r w:rsidR="00545B04">
              <w:rPr>
                <w:sz w:val="25"/>
                <w:szCs w:val="25"/>
              </w:rPr>
              <w:t>3</w:t>
            </w:r>
            <w:r w:rsidR="00EB61DA">
              <w:rPr>
                <w:sz w:val="25"/>
                <w:szCs w:val="25"/>
              </w:rPr>
              <w:t xml:space="preserve"> BIENNIUM</w:t>
            </w:r>
            <w:r w:rsidR="00EE635C">
              <w:rPr>
                <w:sz w:val="25"/>
                <w:szCs w:val="25"/>
              </w:rPr>
              <w:t xml:space="preserve"> </w:t>
            </w:r>
          </w:p>
        </w:tc>
      </w:tr>
    </w:tbl>
    <w:p w14:paraId="7D54A4F2" w14:textId="77777777" w:rsidR="00700CDE" w:rsidRDefault="00700CDE" w:rsidP="00396151">
      <w:pPr>
        <w:spacing w:line="288" w:lineRule="auto"/>
        <w:rPr>
          <w:sz w:val="25"/>
          <w:szCs w:val="25"/>
        </w:rPr>
      </w:pPr>
    </w:p>
    <w:p w14:paraId="3348D858" w14:textId="77777777" w:rsidR="00B53B62" w:rsidRDefault="00B53B62" w:rsidP="00396151">
      <w:pPr>
        <w:spacing w:line="288" w:lineRule="auto"/>
        <w:rPr>
          <w:sz w:val="25"/>
          <w:szCs w:val="25"/>
        </w:rPr>
      </w:pPr>
    </w:p>
    <w:p w14:paraId="0CA07F43" w14:textId="77777777" w:rsidR="0064510C" w:rsidRDefault="0064510C" w:rsidP="00396151">
      <w:pPr>
        <w:spacing w:after="240" w:line="288" w:lineRule="auto"/>
        <w:jc w:val="center"/>
        <w:rPr>
          <w:b/>
          <w:sz w:val="25"/>
          <w:szCs w:val="25"/>
        </w:rPr>
      </w:pPr>
      <w:r w:rsidRPr="003C36C4">
        <w:rPr>
          <w:b/>
          <w:sz w:val="25"/>
          <w:szCs w:val="25"/>
        </w:rPr>
        <w:t>BACKGROUND</w:t>
      </w:r>
    </w:p>
    <w:p w14:paraId="043EF846" w14:textId="77777777" w:rsidR="00AD3F3D" w:rsidRPr="00AD3F3D" w:rsidRDefault="002403C6" w:rsidP="00D64F7A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Initiative 937, the Energy Independence Act</w:t>
      </w:r>
      <w:r w:rsidR="009A4E6D">
        <w:rPr>
          <w:sz w:val="25"/>
          <w:szCs w:val="25"/>
        </w:rPr>
        <w:t xml:space="preserve"> (EIA)</w:t>
      </w:r>
      <w:r>
        <w:rPr>
          <w:sz w:val="25"/>
          <w:szCs w:val="25"/>
        </w:rPr>
        <w:t xml:space="preserve">, </w:t>
      </w:r>
      <w:r w:rsidR="009A4E6D">
        <w:rPr>
          <w:sz w:val="25"/>
          <w:szCs w:val="25"/>
        </w:rPr>
        <w:t>requires electric utilities with 25,000 or more customers to set and meet energy conservation targets</w:t>
      </w:r>
      <w:r w:rsidR="00CD5C60">
        <w:rPr>
          <w:sz w:val="25"/>
          <w:szCs w:val="25"/>
        </w:rPr>
        <w:t xml:space="preserve">.  </w:t>
      </w:r>
      <w:r w:rsidR="009A4E6D" w:rsidRPr="00CD5C60">
        <w:rPr>
          <w:sz w:val="25"/>
          <w:szCs w:val="25"/>
        </w:rPr>
        <w:t>Under RCW 19.285.040(1</w:t>
      </w:r>
      <w:proofErr w:type="gramStart"/>
      <w:r w:rsidR="009A4E6D" w:rsidRPr="00CD5C60">
        <w:rPr>
          <w:sz w:val="25"/>
          <w:szCs w:val="25"/>
        </w:rPr>
        <w:t>)(</w:t>
      </w:r>
      <w:proofErr w:type="gramEnd"/>
      <w:r w:rsidR="009A4E6D" w:rsidRPr="00CD5C60">
        <w:rPr>
          <w:sz w:val="25"/>
          <w:szCs w:val="25"/>
        </w:rPr>
        <w:t xml:space="preserve">b), each utility must establish a biennial acquisition target for cost-effective conservation, and </w:t>
      </w:r>
      <w:r w:rsidR="00AD3F3D">
        <w:rPr>
          <w:sz w:val="25"/>
          <w:szCs w:val="25"/>
        </w:rPr>
        <w:t xml:space="preserve">must </w:t>
      </w:r>
      <w:r w:rsidR="009A4E6D" w:rsidRPr="00CD5C60">
        <w:rPr>
          <w:sz w:val="25"/>
          <w:szCs w:val="25"/>
        </w:rPr>
        <w:t xml:space="preserve">meet that target during the subsequent two-year period.  </w:t>
      </w:r>
      <w:r w:rsidR="005D0B08">
        <w:rPr>
          <w:sz w:val="25"/>
          <w:szCs w:val="25"/>
        </w:rPr>
        <w:t>P</w:t>
      </w:r>
      <w:r w:rsidR="00773D16">
        <w:rPr>
          <w:sz w:val="25"/>
          <w:szCs w:val="25"/>
        </w:rPr>
        <w:t>uget Sound Energy</w:t>
      </w:r>
      <w:r w:rsidR="00B12731" w:rsidRPr="00CD5C60">
        <w:rPr>
          <w:sz w:val="25"/>
          <w:szCs w:val="25"/>
        </w:rPr>
        <w:t xml:space="preserve"> (</w:t>
      </w:r>
      <w:r w:rsidR="005D0B08">
        <w:rPr>
          <w:sz w:val="25"/>
          <w:szCs w:val="25"/>
        </w:rPr>
        <w:t>P</w:t>
      </w:r>
      <w:r w:rsidR="00773D16">
        <w:rPr>
          <w:sz w:val="25"/>
          <w:szCs w:val="25"/>
        </w:rPr>
        <w:t>SE</w:t>
      </w:r>
      <w:r w:rsidR="009F1574" w:rsidRPr="00CD5C60">
        <w:rPr>
          <w:sz w:val="25"/>
          <w:szCs w:val="25"/>
        </w:rPr>
        <w:t xml:space="preserve"> or Company</w:t>
      </w:r>
      <w:r w:rsidR="00B12731" w:rsidRPr="00CD5C60">
        <w:rPr>
          <w:sz w:val="25"/>
          <w:szCs w:val="25"/>
        </w:rPr>
        <w:t>) set a 201</w:t>
      </w:r>
      <w:r w:rsidR="00CD5C60">
        <w:rPr>
          <w:sz w:val="25"/>
          <w:szCs w:val="25"/>
        </w:rPr>
        <w:t>2</w:t>
      </w:r>
      <w:r w:rsidR="00B12731" w:rsidRPr="00CD5C60">
        <w:rPr>
          <w:sz w:val="25"/>
          <w:szCs w:val="25"/>
        </w:rPr>
        <w:t>-201</w:t>
      </w:r>
      <w:r w:rsidR="00CD5C60">
        <w:rPr>
          <w:sz w:val="25"/>
          <w:szCs w:val="25"/>
        </w:rPr>
        <w:t>3</w:t>
      </w:r>
      <w:r w:rsidR="00B12731" w:rsidRPr="00CD5C60">
        <w:rPr>
          <w:sz w:val="25"/>
          <w:szCs w:val="25"/>
        </w:rPr>
        <w:t xml:space="preserve"> biennial conservation target of </w:t>
      </w:r>
      <w:r w:rsidR="00773D16">
        <w:rPr>
          <w:sz w:val="25"/>
          <w:szCs w:val="25"/>
        </w:rPr>
        <w:t>666,000</w:t>
      </w:r>
      <w:r w:rsidR="00CD5C60">
        <w:rPr>
          <w:sz w:val="25"/>
          <w:szCs w:val="25"/>
        </w:rPr>
        <w:t xml:space="preserve"> megawatt-hours</w:t>
      </w:r>
      <w:r w:rsidR="00B12731" w:rsidRPr="00CD5C60">
        <w:rPr>
          <w:sz w:val="25"/>
          <w:szCs w:val="25"/>
        </w:rPr>
        <w:t xml:space="preserve">.  </w:t>
      </w:r>
      <w:r w:rsidR="00CD5C60">
        <w:rPr>
          <w:sz w:val="25"/>
          <w:szCs w:val="25"/>
        </w:rPr>
        <w:t>T</w:t>
      </w:r>
      <w:r w:rsidR="00B12731" w:rsidRPr="00CD5C60">
        <w:rPr>
          <w:sz w:val="25"/>
          <w:szCs w:val="25"/>
        </w:rPr>
        <w:t xml:space="preserve">he </w:t>
      </w:r>
      <w:r w:rsidR="00CD5C60">
        <w:rPr>
          <w:sz w:val="25"/>
          <w:szCs w:val="25"/>
        </w:rPr>
        <w:t>Washington Utilities and Transportation Commission (</w:t>
      </w:r>
      <w:r w:rsidR="00B12731" w:rsidRPr="00CD5C60">
        <w:rPr>
          <w:sz w:val="25"/>
          <w:szCs w:val="25"/>
        </w:rPr>
        <w:t>Commission</w:t>
      </w:r>
      <w:r w:rsidR="00CD5C60">
        <w:rPr>
          <w:sz w:val="25"/>
          <w:szCs w:val="25"/>
        </w:rPr>
        <w:t>)</w:t>
      </w:r>
      <w:r w:rsidR="00B12731" w:rsidRPr="00CD5C60">
        <w:rPr>
          <w:sz w:val="25"/>
          <w:szCs w:val="25"/>
        </w:rPr>
        <w:t xml:space="preserve"> approved that target in Order 01.</w:t>
      </w:r>
      <w:r w:rsidR="008B5819" w:rsidRPr="00AD3F3D">
        <w:rPr>
          <w:sz w:val="25"/>
          <w:szCs w:val="25"/>
        </w:rPr>
        <w:t xml:space="preserve"> </w:t>
      </w:r>
      <w:r w:rsidR="004046DA" w:rsidRPr="00AD3F3D">
        <w:rPr>
          <w:sz w:val="25"/>
          <w:szCs w:val="25"/>
        </w:rPr>
        <w:t xml:space="preserve"> </w:t>
      </w:r>
    </w:p>
    <w:p w14:paraId="7EC73B1D" w14:textId="77777777" w:rsidR="00945359" w:rsidRPr="00173C53" w:rsidRDefault="00773D16" w:rsidP="0067520F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On May 29</w:t>
      </w:r>
      <w:r w:rsidR="00AD3F3D" w:rsidRPr="00173C53">
        <w:rPr>
          <w:sz w:val="25"/>
          <w:szCs w:val="25"/>
        </w:rPr>
        <w:t>, 2014, as required by Order 01, RCW 19.285.070(1), and WAC 480</w:t>
      </w:r>
      <w:r w:rsidR="00AD3F3D" w:rsidRPr="00173C53">
        <w:rPr>
          <w:sz w:val="25"/>
          <w:szCs w:val="25"/>
        </w:rPr>
        <w:noBreakHyphen/>
        <w:t>109</w:t>
      </w:r>
      <w:r w:rsidR="00AD3F3D" w:rsidRPr="00173C53">
        <w:rPr>
          <w:sz w:val="25"/>
          <w:szCs w:val="25"/>
        </w:rPr>
        <w:noBreakHyphen/>
      </w:r>
      <w:proofErr w:type="gramStart"/>
      <w:r w:rsidR="00AD3F3D" w:rsidRPr="00173C53">
        <w:rPr>
          <w:sz w:val="25"/>
          <w:szCs w:val="25"/>
        </w:rPr>
        <w:t>040(</w:t>
      </w:r>
      <w:proofErr w:type="gramEnd"/>
      <w:r w:rsidR="00AD3F3D" w:rsidRPr="00173C53">
        <w:rPr>
          <w:sz w:val="25"/>
          <w:szCs w:val="25"/>
        </w:rPr>
        <w:t xml:space="preserve">1)(a), </w:t>
      </w:r>
      <w:r w:rsidR="005D0B08">
        <w:rPr>
          <w:sz w:val="25"/>
          <w:szCs w:val="25"/>
        </w:rPr>
        <w:t>P</w:t>
      </w:r>
      <w:r>
        <w:rPr>
          <w:sz w:val="25"/>
          <w:szCs w:val="25"/>
        </w:rPr>
        <w:t>SE</w:t>
      </w:r>
      <w:r w:rsidR="00AD3F3D" w:rsidRPr="00173C53">
        <w:rPr>
          <w:sz w:val="25"/>
          <w:szCs w:val="25"/>
        </w:rPr>
        <w:t xml:space="preserve"> filed its “2012-2013 Biennial </w:t>
      </w:r>
      <w:r>
        <w:rPr>
          <w:sz w:val="25"/>
          <w:szCs w:val="25"/>
        </w:rPr>
        <w:t xml:space="preserve">Electric </w:t>
      </w:r>
      <w:r w:rsidR="00AD3F3D" w:rsidRPr="00173C53">
        <w:rPr>
          <w:sz w:val="25"/>
          <w:szCs w:val="25"/>
        </w:rPr>
        <w:t xml:space="preserve">Conservation </w:t>
      </w:r>
      <w:r>
        <w:rPr>
          <w:sz w:val="25"/>
          <w:szCs w:val="25"/>
        </w:rPr>
        <w:t xml:space="preserve">Achievement </w:t>
      </w:r>
      <w:r w:rsidR="00F7376F">
        <w:rPr>
          <w:sz w:val="25"/>
          <w:szCs w:val="25"/>
        </w:rPr>
        <w:t>R</w:t>
      </w:r>
      <w:r w:rsidR="00AD3F3D" w:rsidRPr="00173C53">
        <w:rPr>
          <w:sz w:val="25"/>
          <w:szCs w:val="25"/>
        </w:rPr>
        <w:t>eport</w:t>
      </w:r>
      <w:r w:rsidR="005D0B08">
        <w:rPr>
          <w:sz w:val="25"/>
          <w:szCs w:val="25"/>
        </w:rPr>
        <w:t>”</w:t>
      </w:r>
      <w:r w:rsidR="00F7376F">
        <w:rPr>
          <w:sz w:val="25"/>
          <w:szCs w:val="25"/>
        </w:rPr>
        <w:t xml:space="preserve"> (</w:t>
      </w:r>
      <w:r w:rsidR="00145107">
        <w:rPr>
          <w:sz w:val="25"/>
          <w:szCs w:val="25"/>
        </w:rPr>
        <w:t xml:space="preserve">Biennial </w:t>
      </w:r>
      <w:r w:rsidR="00F7376F">
        <w:rPr>
          <w:sz w:val="25"/>
          <w:szCs w:val="25"/>
        </w:rPr>
        <w:t>Conservation Report</w:t>
      </w:r>
      <w:r w:rsidR="00145107">
        <w:rPr>
          <w:sz w:val="25"/>
          <w:szCs w:val="25"/>
        </w:rPr>
        <w:t xml:space="preserve"> or BCR</w:t>
      </w:r>
      <w:r w:rsidR="00F7376F">
        <w:rPr>
          <w:sz w:val="25"/>
          <w:szCs w:val="25"/>
        </w:rPr>
        <w:t>)</w:t>
      </w:r>
      <w:r w:rsidR="00AD3F3D" w:rsidRPr="00173C53">
        <w:rPr>
          <w:sz w:val="25"/>
          <w:szCs w:val="25"/>
        </w:rPr>
        <w:t xml:space="preserve">.  </w:t>
      </w:r>
      <w:r w:rsidR="00FE774D">
        <w:rPr>
          <w:sz w:val="25"/>
          <w:szCs w:val="25"/>
        </w:rPr>
        <w:t>P</w:t>
      </w:r>
      <w:r>
        <w:rPr>
          <w:sz w:val="25"/>
          <w:szCs w:val="25"/>
        </w:rPr>
        <w:t>SE</w:t>
      </w:r>
      <w:r w:rsidR="00AD3F3D" w:rsidRPr="00173C53">
        <w:rPr>
          <w:sz w:val="25"/>
          <w:szCs w:val="25"/>
        </w:rPr>
        <w:t xml:space="preserve"> reported that it had achieved </w:t>
      </w:r>
      <w:r>
        <w:rPr>
          <w:sz w:val="25"/>
          <w:szCs w:val="25"/>
        </w:rPr>
        <w:t>698,137</w:t>
      </w:r>
      <w:r w:rsidR="00AD3F3D" w:rsidRPr="00173C53">
        <w:rPr>
          <w:sz w:val="25"/>
          <w:szCs w:val="25"/>
        </w:rPr>
        <w:t xml:space="preserve"> megawatt-hours of electric conservation during the 2012-2013 biennium, exceeding its biennial target of </w:t>
      </w:r>
      <w:r>
        <w:rPr>
          <w:sz w:val="25"/>
          <w:szCs w:val="25"/>
        </w:rPr>
        <w:t>666,000</w:t>
      </w:r>
      <w:r w:rsidR="00FE774D">
        <w:rPr>
          <w:sz w:val="25"/>
          <w:szCs w:val="25"/>
        </w:rPr>
        <w:t xml:space="preserve"> megawatt-hours</w:t>
      </w:r>
      <w:r w:rsidR="00AD3F3D" w:rsidRPr="00173C53">
        <w:rPr>
          <w:sz w:val="25"/>
          <w:szCs w:val="25"/>
        </w:rPr>
        <w:t xml:space="preserve">. </w:t>
      </w:r>
    </w:p>
    <w:p w14:paraId="3C33D5C0" w14:textId="77777777" w:rsidR="00773D16" w:rsidRDefault="00C651C3" w:rsidP="00773D16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 w:rsidRPr="00AA2338">
        <w:rPr>
          <w:sz w:val="25"/>
          <w:szCs w:val="25"/>
        </w:rPr>
        <w:t xml:space="preserve">On June </w:t>
      </w:r>
      <w:r w:rsidR="009106EF" w:rsidRPr="00AA2338">
        <w:rPr>
          <w:sz w:val="25"/>
          <w:szCs w:val="25"/>
        </w:rPr>
        <w:t>6</w:t>
      </w:r>
      <w:r w:rsidRPr="00AA2338">
        <w:rPr>
          <w:sz w:val="25"/>
          <w:szCs w:val="25"/>
        </w:rPr>
        <w:t>, 201</w:t>
      </w:r>
      <w:r w:rsidR="009106EF" w:rsidRPr="00AA2338">
        <w:rPr>
          <w:sz w:val="25"/>
          <w:szCs w:val="25"/>
        </w:rPr>
        <w:t>4</w:t>
      </w:r>
      <w:r w:rsidRPr="00AA2338">
        <w:rPr>
          <w:sz w:val="25"/>
          <w:szCs w:val="25"/>
        </w:rPr>
        <w:t xml:space="preserve">, the Commission issued a Notice </w:t>
      </w:r>
      <w:r w:rsidR="00AA2338" w:rsidRPr="00AA2338">
        <w:rPr>
          <w:sz w:val="25"/>
          <w:szCs w:val="25"/>
        </w:rPr>
        <w:t>in accordance with WAC 480-109-040(2</w:t>
      </w:r>
      <w:r w:rsidR="00AA2338">
        <w:rPr>
          <w:sz w:val="25"/>
          <w:szCs w:val="25"/>
        </w:rPr>
        <w:t xml:space="preserve">) </w:t>
      </w:r>
      <w:r w:rsidRPr="00AA2338">
        <w:rPr>
          <w:sz w:val="25"/>
          <w:szCs w:val="25"/>
        </w:rPr>
        <w:t xml:space="preserve">inviting interested persons to file written comments on </w:t>
      </w:r>
      <w:r w:rsidR="00FE774D">
        <w:rPr>
          <w:sz w:val="25"/>
          <w:szCs w:val="25"/>
        </w:rPr>
        <w:t>P</w:t>
      </w:r>
      <w:r w:rsidR="00773D16">
        <w:rPr>
          <w:sz w:val="25"/>
          <w:szCs w:val="25"/>
        </w:rPr>
        <w:t>SE</w:t>
      </w:r>
      <w:r w:rsidRPr="00AA2338">
        <w:rPr>
          <w:sz w:val="25"/>
          <w:szCs w:val="25"/>
        </w:rPr>
        <w:t xml:space="preserve">’s </w:t>
      </w:r>
      <w:r w:rsidR="00145107">
        <w:rPr>
          <w:sz w:val="25"/>
          <w:szCs w:val="25"/>
        </w:rPr>
        <w:t xml:space="preserve">Biennial </w:t>
      </w:r>
      <w:r w:rsidR="00F7376F" w:rsidRPr="00AA2338">
        <w:rPr>
          <w:sz w:val="25"/>
          <w:szCs w:val="25"/>
        </w:rPr>
        <w:t>Conservation R</w:t>
      </w:r>
      <w:r w:rsidRPr="00AA2338">
        <w:rPr>
          <w:sz w:val="25"/>
          <w:szCs w:val="25"/>
        </w:rPr>
        <w:t>eport</w:t>
      </w:r>
      <w:r w:rsidR="00AA2338">
        <w:rPr>
          <w:sz w:val="25"/>
          <w:szCs w:val="25"/>
        </w:rPr>
        <w:t xml:space="preserve">.  </w:t>
      </w:r>
      <w:r w:rsidR="007F17EF" w:rsidRPr="00AA2338">
        <w:rPr>
          <w:sz w:val="25"/>
          <w:szCs w:val="25"/>
        </w:rPr>
        <w:t>During the comment period, t</w:t>
      </w:r>
      <w:r w:rsidR="009E1E79" w:rsidRPr="00AA2338">
        <w:rPr>
          <w:sz w:val="25"/>
          <w:szCs w:val="25"/>
        </w:rPr>
        <w:t xml:space="preserve">he Commission received written comments from </w:t>
      </w:r>
      <w:r w:rsidR="009106EF" w:rsidRPr="00AA2338">
        <w:rPr>
          <w:sz w:val="25"/>
          <w:szCs w:val="25"/>
        </w:rPr>
        <w:t>Commission Staff (Staff) and the Public Counsel Section of the Attorney General’s Office (</w:t>
      </w:r>
      <w:r w:rsidR="009E1E79" w:rsidRPr="00AA2338">
        <w:rPr>
          <w:sz w:val="25"/>
          <w:szCs w:val="25"/>
        </w:rPr>
        <w:t>Public Counsel</w:t>
      </w:r>
      <w:r w:rsidR="009106EF" w:rsidRPr="00AA2338">
        <w:rPr>
          <w:sz w:val="25"/>
          <w:szCs w:val="25"/>
        </w:rPr>
        <w:t>)</w:t>
      </w:r>
      <w:r w:rsidR="007F17EF" w:rsidRPr="00AA2338">
        <w:rPr>
          <w:sz w:val="25"/>
          <w:szCs w:val="25"/>
        </w:rPr>
        <w:t xml:space="preserve">.  </w:t>
      </w:r>
      <w:r w:rsidR="00575465" w:rsidRPr="00773D16">
        <w:rPr>
          <w:sz w:val="25"/>
          <w:szCs w:val="25"/>
        </w:rPr>
        <w:t xml:space="preserve">At the </w:t>
      </w:r>
      <w:r w:rsidR="009106EF" w:rsidRPr="00773D16">
        <w:rPr>
          <w:sz w:val="25"/>
          <w:szCs w:val="25"/>
        </w:rPr>
        <w:t xml:space="preserve">recessed Open Meeting on </w:t>
      </w:r>
      <w:r w:rsidR="00575465" w:rsidRPr="00773D16">
        <w:rPr>
          <w:sz w:val="25"/>
          <w:szCs w:val="25"/>
        </w:rPr>
        <w:t>July 2</w:t>
      </w:r>
      <w:r w:rsidR="009106EF" w:rsidRPr="00773D16">
        <w:rPr>
          <w:sz w:val="25"/>
          <w:szCs w:val="25"/>
        </w:rPr>
        <w:t>5, 2014</w:t>
      </w:r>
      <w:r w:rsidR="00575465" w:rsidRPr="00773D16">
        <w:rPr>
          <w:sz w:val="25"/>
          <w:szCs w:val="25"/>
        </w:rPr>
        <w:t>, t</w:t>
      </w:r>
      <w:r w:rsidR="007F17EF" w:rsidRPr="00773D16">
        <w:rPr>
          <w:sz w:val="25"/>
          <w:szCs w:val="25"/>
        </w:rPr>
        <w:t xml:space="preserve">he Commission heard oral comments from </w:t>
      </w:r>
      <w:r w:rsidR="00D62A96" w:rsidRPr="00773D16">
        <w:rPr>
          <w:sz w:val="25"/>
          <w:szCs w:val="25"/>
        </w:rPr>
        <w:t xml:space="preserve">Staff, </w:t>
      </w:r>
      <w:r w:rsidR="00FE774D" w:rsidRPr="00773D16">
        <w:rPr>
          <w:sz w:val="25"/>
          <w:szCs w:val="25"/>
        </w:rPr>
        <w:t>P</w:t>
      </w:r>
      <w:r w:rsidR="00773D16">
        <w:rPr>
          <w:sz w:val="25"/>
          <w:szCs w:val="25"/>
        </w:rPr>
        <w:t>ublic Counsel, and PSE</w:t>
      </w:r>
      <w:r w:rsidR="007F17EF" w:rsidRPr="00773D16">
        <w:rPr>
          <w:sz w:val="25"/>
          <w:szCs w:val="25"/>
        </w:rPr>
        <w:t>.</w:t>
      </w:r>
      <w:r w:rsidR="009E1E79" w:rsidRPr="00773D16">
        <w:rPr>
          <w:sz w:val="25"/>
          <w:szCs w:val="25"/>
        </w:rPr>
        <w:t xml:space="preserve"> </w:t>
      </w:r>
      <w:r w:rsidR="007F17EF" w:rsidRPr="00773D16">
        <w:rPr>
          <w:sz w:val="25"/>
          <w:szCs w:val="25"/>
        </w:rPr>
        <w:t xml:space="preserve"> </w:t>
      </w:r>
    </w:p>
    <w:p w14:paraId="2B9BF74D" w14:textId="77777777" w:rsidR="0070544B" w:rsidRDefault="0070544B" w:rsidP="0070544B">
      <w:pPr>
        <w:spacing w:after="240" w:line="288" w:lineRule="auto"/>
        <w:rPr>
          <w:sz w:val="25"/>
          <w:szCs w:val="25"/>
        </w:rPr>
      </w:pPr>
    </w:p>
    <w:p w14:paraId="196B0291" w14:textId="77777777" w:rsidR="00BD7F85" w:rsidRPr="00773D16" w:rsidRDefault="00FE774D" w:rsidP="00773D16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 w:rsidRPr="00773D16">
        <w:rPr>
          <w:sz w:val="25"/>
          <w:szCs w:val="25"/>
        </w:rPr>
        <w:t xml:space="preserve">Staff </w:t>
      </w:r>
      <w:r w:rsidR="00BD7F85" w:rsidRPr="00773D16">
        <w:rPr>
          <w:sz w:val="25"/>
          <w:szCs w:val="25"/>
        </w:rPr>
        <w:t xml:space="preserve">and Public Counsel agree </w:t>
      </w:r>
      <w:r w:rsidRPr="00773D16">
        <w:rPr>
          <w:sz w:val="25"/>
          <w:szCs w:val="25"/>
        </w:rPr>
        <w:t xml:space="preserve">that </w:t>
      </w:r>
      <w:r w:rsidR="00773D16">
        <w:rPr>
          <w:sz w:val="25"/>
          <w:szCs w:val="25"/>
        </w:rPr>
        <w:t>PSE</w:t>
      </w:r>
      <w:r w:rsidRPr="00773D16">
        <w:rPr>
          <w:sz w:val="25"/>
          <w:szCs w:val="25"/>
        </w:rPr>
        <w:t xml:space="preserve">’s BCR </w:t>
      </w:r>
      <w:r w:rsidR="00773D16">
        <w:rPr>
          <w:sz w:val="25"/>
          <w:szCs w:val="25"/>
        </w:rPr>
        <w:t xml:space="preserve">incorporates the savings adjustments recommended by third party reviews of the Company’s conservation programs </w:t>
      </w:r>
      <w:r w:rsidRPr="00773D16">
        <w:rPr>
          <w:sz w:val="25"/>
          <w:szCs w:val="25"/>
        </w:rPr>
        <w:t xml:space="preserve">and </w:t>
      </w:r>
      <w:r w:rsidR="00BD7F85" w:rsidRPr="00773D16">
        <w:rPr>
          <w:sz w:val="25"/>
          <w:szCs w:val="25"/>
        </w:rPr>
        <w:t>that</w:t>
      </w:r>
      <w:r w:rsidRPr="00773D16">
        <w:rPr>
          <w:sz w:val="25"/>
          <w:szCs w:val="25"/>
        </w:rPr>
        <w:t xml:space="preserve"> P</w:t>
      </w:r>
      <w:r w:rsidR="00773D16">
        <w:rPr>
          <w:sz w:val="25"/>
          <w:szCs w:val="25"/>
        </w:rPr>
        <w:t>SE</w:t>
      </w:r>
      <w:r w:rsidRPr="00773D16">
        <w:rPr>
          <w:sz w:val="25"/>
          <w:szCs w:val="25"/>
        </w:rPr>
        <w:t xml:space="preserve"> has complied with all applicable requirements</w:t>
      </w:r>
      <w:r w:rsidR="00773D16">
        <w:rPr>
          <w:sz w:val="25"/>
          <w:szCs w:val="25"/>
        </w:rPr>
        <w:t xml:space="preserve"> and identified improvements going forward</w:t>
      </w:r>
      <w:r w:rsidRPr="00773D16">
        <w:rPr>
          <w:sz w:val="25"/>
          <w:szCs w:val="25"/>
        </w:rPr>
        <w:t>.</w:t>
      </w:r>
      <w:r w:rsidR="00BD7F85" w:rsidRPr="00773D16">
        <w:rPr>
          <w:sz w:val="25"/>
          <w:szCs w:val="25"/>
        </w:rPr>
        <w:t xml:space="preserve">  </w:t>
      </w:r>
    </w:p>
    <w:p w14:paraId="394E33FE" w14:textId="77777777" w:rsidR="009E1E79" w:rsidRDefault="00BD7F85" w:rsidP="000E04D8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Staff, however</w:t>
      </w:r>
      <w:r w:rsidRPr="0048269B">
        <w:rPr>
          <w:sz w:val="25"/>
          <w:szCs w:val="25"/>
        </w:rPr>
        <w:t>,</w:t>
      </w:r>
      <w:r w:rsidR="00773D16" w:rsidRPr="0048269B">
        <w:rPr>
          <w:sz w:val="25"/>
          <w:szCs w:val="25"/>
        </w:rPr>
        <w:t xml:space="preserve"> </w:t>
      </w:r>
      <w:r w:rsidR="0048269B" w:rsidRPr="0048269B">
        <w:rPr>
          <w:sz w:val="25"/>
          <w:szCs w:val="25"/>
        </w:rPr>
        <w:t xml:space="preserve">noted </w:t>
      </w:r>
      <w:r w:rsidR="0048269B">
        <w:rPr>
          <w:sz w:val="25"/>
          <w:szCs w:val="25"/>
        </w:rPr>
        <w:t>a</w:t>
      </w:r>
      <w:r w:rsidR="0048269B" w:rsidRPr="0048269B">
        <w:rPr>
          <w:sz w:val="25"/>
          <w:szCs w:val="25"/>
        </w:rPr>
        <w:t xml:space="preserve"> connection between PSE’s biennial conservation achievement and the additional conservation </w:t>
      </w:r>
      <w:r w:rsidR="001A0F6F">
        <w:rPr>
          <w:sz w:val="25"/>
          <w:szCs w:val="25"/>
        </w:rPr>
        <w:t xml:space="preserve">to which PSE </w:t>
      </w:r>
      <w:r w:rsidR="0048269B" w:rsidRPr="0048269B">
        <w:rPr>
          <w:sz w:val="25"/>
          <w:szCs w:val="25"/>
        </w:rPr>
        <w:t xml:space="preserve">committed as part of the decoupling mechanism approved in Docket UE-121697. </w:t>
      </w:r>
      <w:r w:rsidR="0048269B">
        <w:rPr>
          <w:sz w:val="25"/>
          <w:szCs w:val="25"/>
        </w:rPr>
        <w:t xml:space="preserve"> </w:t>
      </w:r>
      <w:r w:rsidR="0048269B" w:rsidRPr="0048269B">
        <w:rPr>
          <w:sz w:val="25"/>
          <w:szCs w:val="25"/>
        </w:rPr>
        <w:t>On June 27, 2014, PSE filed a Petition for Declaratory Order in Docket UE-141357 requesting guidance on the issue</w:t>
      </w:r>
      <w:r w:rsidRPr="0048269B">
        <w:rPr>
          <w:sz w:val="25"/>
          <w:szCs w:val="25"/>
        </w:rPr>
        <w:t>.</w:t>
      </w:r>
      <w:r w:rsidR="004738A9">
        <w:rPr>
          <w:sz w:val="25"/>
          <w:szCs w:val="25"/>
        </w:rPr>
        <w:t xml:space="preserve">  On July 28, 2014, the Commission issued a Notice </w:t>
      </w:r>
      <w:r w:rsidR="00E4573C">
        <w:rPr>
          <w:sz w:val="25"/>
          <w:szCs w:val="25"/>
        </w:rPr>
        <w:t>declining to</w:t>
      </w:r>
      <w:r w:rsidR="004738A9">
        <w:rPr>
          <w:sz w:val="25"/>
          <w:szCs w:val="25"/>
        </w:rPr>
        <w:t xml:space="preserve"> enter a declaratory order</w:t>
      </w:r>
      <w:r w:rsidR="00E4573C">
        <w:rPr>
          <w:sz w:val="25"/>
          <w:szCs w:val="25"/>
        </w:rPr>
        <w:t xml:space="preserve"> and</w:t>
      </w:r>
      <w:r w:rsidR="004738A9">
        <w:rPr>
          <w:sz w:val="25"/>
          <w:szCs w:val="25"/>
        </w:rPr>
        <w:t xml:space="preserve"> establish</w:t>
      </w:r>
      <w:r w:rsidR="00E4573C">
        <w:rPr>
          <w:sz w:val="25"/>
          <w:szCs w:val="25"/>
        </w:rPr>
        <w:t>ing</w:t>
      </w:r>
      <w:r w:rsidR="004738A9">
        <w:rPr>
          <w:sz w:val="25"/>
          <w:szCs w:val="25"/>
        </w:rPr>
        <w:t xml:space="preserve"> a process for resolving the issue.</w:t>
      </w:r>
    </w:p>
    <w:p w14:paraId="082D5D69" w14:textId="77777777" w:rsidR="00F13A95" w:rsidRPr="0048269B" w:rsidRDefault="00F13A95" w:rsidP="000E04D8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Staff and Public Counsel also noted that the</w:t>
      </w:r>
      <w:r w:rsidR="00DD2792">
        <w:rPr>
          <w:sz w:val="25"/>
          <w:szCs w:val="25"/>
        </w:rPr>
        <w:t xml:space="preserve"> Northwest Energy Efficiency Alliance</w:t>
      </w:r>
      <w:r>
        <w:rPr>
          <w:sz w:val="25"/>
          <w:szCs w:val="25"/>
        </w:rPr>
        <w:t xml:space="preserve"> </w:t>
      </w:r>
      <w:r w:rsidR="00DD2792">
        <w:rPr>
          <w:sz w:val="25"/>
          <w:szCs w:val="25"/>
        </w:rPr>
        <w:t>(NEEA)</w:t>
      </w:r>
      <w:r>
        <w:rPr>
          <w:sz w:val="25"/>
          <w:szCs w:val="25"/>
        </w:rPr>
        <w:t xml:space="preserve"> numbers reported by PSE to the Department of Commerce reflected only the Company’s target savings, but not </w:t>
      </w:r>
      <w:r w:rsidR="00A859A8">
        <w:rPr>
          <w:sz w:val="25"/>
          <w:szCs w:val="25"/>
        </w:rPr>
        <w:t xml:space="preserve">its </w:t>
      </w:r>
      <w:r>
        <w:rPr>
          <w:sz w:val="25"/>
          <w:szCs w:val="25"/>
        </w:rPr>
        <w:t xml:space="preserve">actual savings. </w:t>
      </w:r>
    </w:p>
    <w:p w14:paraId="4F653938" w14:textId="77777777" w:rsidR="001E6DA1" w:rsidRPr="00742D4A" w:rsidRDefault="00792D07" w:rsidP="0067520F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PSE</w:t>
      </w:r>
      <w:r w:rsidR="00FD2AFB">
        <w:rPr>
          <w:sz w:val="25"/>
          <w:szCs w:val="25"/>
        </w:rPr>
        <w:t xml:space="preserve"> </w:t>
      </w:r>
      <w:r w:rsidR="000B7677">
        <w:rPr>
          <w:sz w:val="25"/>
          <w:szCs w:val="25"/>
        </w:rPr>
        <w:t>plans to implement each of the recommendations made by its third-party conservation reviewer, SBW Consulting, including continuing to update its UES values on an annual basis, continuing its current effort to update its energy efficiency tracking system</w:t>
      </w:r>
      <w:r w:rsidR="004738A9">
        <w:rPr>
          <w:sz w:val="25"/>
          <w:szCs w:val="25"/>
        </w:rPr>
        <w:t>s</w:t>
      </w:r>
      <w:r w:rsidR="000B7677">
        <w:rPr>
          <w:sz w:val="25"/>
          <w:szCs w:val="25"/>
        </w:rPr>
        <w:t xml:space="preserve">, and </w:t>
      </w:r>
      <w:r w:rsidR="004738A9">
        <w:rPr>
          <w:sz w:val="25"/>
          <w:szCs w:val="25"/>
        </w:rPr>
        <w:t xml:space="preserve">improving </w:t>
      </w:r>
      <w:r w:rsidR="000B7677">
        <w:rPr>
          <w:sz w:val="25"/>
          <w:szCs w:val="25"/>
        </w:rPr>
        <w:t xml:space="preserve">its </w:t>
      </w:r>
      <w:r w:rsidR="004738A9">
        <w:rPr>
          <w:sz w:val="25"/>
          <w:szCs w:val="25"/>
        </w:rPr>
        <w:t xml:space="preserve">evaluation </w:t>
      </w:r>
      <w:r w:rsidR="000B7677">
        <w:rPr>
          <w:sz w:val="25"/>
          <w:szCs w:val="25"/>
        </w:rPr>
        <w:t>scoping practices.</w:t>
      </w:r>
    </w:p>
    <w:p w14:paraId="7950FC65" w14:textId="77777777" w:rsidR="00371A4F" w:rsidRPr="00371A4F" w:rsidRDefault="00371A4F" w:rsidP="00371A4F">
      <w:pPr>
        <w:spacing w:after="240" w:line="288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DISCUSSION</w:t>
      </w:r>
    </w:p>
    <w:p w14:paraId="32EFB3D7" w14:textId="77777777" w:rsidR="00BF746D" w:rsidRDefault="006A1A59" w:rsidP="00480E23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The Commission agrees with </w:t>
      </w:r>
      <w:r w:rsidR="001E6DA1">
        <w:rPr>
          <w:sz w:val="25"/>
          <w:szCs w:val="25"/>
        </w:rPr>
        <w:t xml:space="preserve">Staff and </w:t>
      </w:r>
      <w:r>
        <w:rPr>
          <w:sz w:val="25"/>
          <w:szCs w:val="25"/>
        </w:rPr>
        <w:t xml:space="preserve">Public Counsel that </w:t>
      </w:r>
      <w:r w:rsidR="00BD7F85">
        <w:rPr>
          <w:sz w:val="25"/>
          <w:szCs w:val="25"/>
        </w:rPr>
        <w:t>P</w:t>
      </w:r>
      <w:r w:rsidR="0048269B">
        <w:rPr>
          <w:sz w:val="25"/>
          <w:szCs w:val="25"/>
        </w:rPr>
        <w:t>SE</w:t>
      </w:r>
      <w:r w:rsidR="00BD7F85">
        <w:rPr>
          <w:sz w:val="25"/>
          <w:szCs w:val="25"/>
        </w:rPr>
        <w:t xml:space="preserve"> </w:t>
      </w:r>
      <w:r w:rsidR="004D455E">
        <w:rPr>
          <w:sz w:val="25"/>
          <w:szCs w:val="25"/>
        </w:rPr>
        <w:t xml:space="preserve">has complied with its reporting and other obligations under RCW 19.285.040(1)(b), </w:t>
      </w:r>
      <w:r w:rsidR="00C1088B">
        <w:rPr>
          <w:sz w:val="25"/>
          <w:szCs w:val="25"/>
        </w:rPr>
        <w:t>RCW 19.285.070, WAC 480-109-</w:t>
      </w:r>
      <w:r w:rsidR="00C1088B" w:rsidRPr="005568DE">
        <w:rPr>
          <w:sz w:val="25"/>
          <w:szCs w:val="25"/>
        </w:rPr>
        <w:t>040(1)</w:t>
      </w:r>
      <w:r w:rsidR="00C1088B">
        <w:rPr>
          <w:sz w:val="25"/>
          <w:szCs w:val="25"/>
        </w:rPr>
        <w:t xml:space="preserve">, and </w:t>
      </w:r>
      <w:r w:rsidR="00BD7F85">
        <w:rPr>
          <w:sz w:val="25"/>
          <w:szCs w:val="25"/>
        </w:rPr>
        <w:t>Order 01 in this docket.</w:t>
      </w:r>
      <w:r w:rsidR="004D455E">
        <w:rPr>
          <w:sz w:val="25"/>
          <w:szCs w:val="25"/>
        </w:rPr>
        <w:t xml:space="preserve"> </w:t>
      </w:r>
      <w:r w:rsidR="00B7088F">
        <w:rPr>
          <w:sz w:val="25"/>
          <w:szCs w:val="25"/>
        </w:rPr>
        <w:t xml:space="preserve"> </w:t>
      </w:r>
      <w:r w:rsidR="00DD34CB">
        <w:rPr>
          <w:sz w:val="25"/>
          <w:szCs w:val="25"/>
        </w:rPr>
        <w:t xml:space="preserve">We leave for another docket and another day the resolution of any issues arising from </w:t>
      </w:r>
      <w:r w:rsidR="00DD34CB" w:rsidRPr="0048269B">
        <w:rPr>
          <w:sz w:val="25"/>
          <w:szCs w:val="25"/>
        </w:rPr>
        <w:t xml:space="preserve">the additional conservation </w:t>
      </w:r>
      <w:r w:rsidR="001A0F6F">
        <w:rPr>
          <w:sz w:val="25"/>
          <w:szCs w:val="25"/>
        </w:rPr>
        <w:t xml:space="preserve">to which </w:t>
      </w:r>
      <w:r w:rsidR="00DD34CB" w:rsidRPr="0048269B">
        <w:rPr>
          <w:sz w:val="25"/>
          <w:szCs w:val="25"/>
        </w:rPr>
        <w:t>PSE committed as part of the decoupling mechanism approved in Docket UE-121697</w:t>
      </w:r>
      <w:r w:rsidR="00B7088F">
        <w:rPr>
          <w:sz w:val="25"/>
          <w:szCs w:val="25"/>
        </w:rPr>
        <w:t>.</w:t>
      </w:r>
    </w:p>
    <w:p w14:paraId="30D31067" w14:textId="77777777" w:rsidR="0070544B" w:rsidRDefault="00F13A95" w:rsidP="00480E23">
      <w:pPr>
        <w:numPr>
          <w:ilvl w:val="0"/>
          <w:numId w:val="8"/>
        </w:numPr>
        <w:spacing w:after="240" w:line="288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We recommend, however, that PSE file with the Department of Commerce an updated report reflecting its actual NEEA savings achieved in addition to the compliance target </w:t>
      </w:r>
      <w:r w:rsidR="00A859A8">
        <w:rPr>
          <w:sz w:val="25"/>
          <w:szCs w:val="25"/>
        </w:rPr>
        <w:t xml:space="preserve">savings </w:t>
      </w:r>
      <w:r>
        <w:rPr>
          <w:sz w:val="25"/>
          <w:szCs w:val="25"/>
        </w:rPr>
        <w:t>currently on file.</w:t>
      </w:r>
    </w:p>
    <w:p w14:paraId="2C291C55" w14:textId="77777777" w:rsidR="00D64F7A" w:rsidRDefault="0070544B" w:rsidP="0070544B">
      <w:pPr>
        <w:spacing w:after="240" w:line="288" w:lineRule="auto"/>
        <w:jc w:val="center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4030A559" w14:textId="77777777" w:rsidR="00B53F59" w:rsidRPr="009D1834" w:rsidRDefault="009D1834" w:rsidP="0070544B">
      <w:pPr>
        <w:spacing w:after="240" w:line="288" w:lineRule="auto"/>
        <w:jc w:val="center"/>
        <w:rPr>
          <w:b/>
          <w:sz w:val="25"/>
          <w:szCs w:val="25"/>
        </w:rPr>
      </w:pPr>
      <w:r w:rsidRPr="009D1834">
        <w:rPr>
          <w:b/>
          <w:sz w:val="25"/>
          <w:szCs w:val="25"/>
        </w:rPr>
        <w:t>FINDINGS AND CONCLUSIONS</w:t>
      </w:r>
    </w:p>
    <w:p w14:paraId="25441137" w14:textId="77777777" w:rsidR="004601D2" w:rsidRDefault="004601D2" w:rsidP="00C71C46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  <w:t xml:space="preserve">The Washington Utilities and Transportation Commission is an agency of the state of Washington vested by statute with the authority to regulate the rates, rules, regulations, practices, </w:t>
      </w:r>
      <w:r w:rsidR="00545B04">
        <w:rPr>
          <w:sz w:val="25"/>
          <w:szCs w:val="25"/>
        </w:rPr>
        <w:t xml:space="preserve">and </w:t>
      </w:r>
      <w:r>
        <w:rPr>
          <w:sz w:val="25"/>
          <w:szCs w:val="25"/>
        </w:rPr>
        <w:t xml:space="preserve">accounts of public service companies, including </w:t>
      </w:r>
      <w:r w:rsidR="00545B04">
        <w:rPr>
          <w:sz w:val="25"/>
          <w:szCs w:val="25"/>
        </w:rPr>
        <w:t>electric</w:t>
      </w:r>
      <w:r>
        <w:rPr>
          <w:sz w:val="25"/>
          <w:szCs w:val="25"/>
        </w:rPr>
        <w:t xml:space="preserve"> companies.  </w:t>
      </w:r>
    </w:p>
    <w:p w14:paraId="3F552234" w14:textId="77777777" w:rsidR="00D577EA" w:rsidRDefault="00D577EA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(2)</w:t>
      </w:r>
      <w:r>
        <w:rPr>
          <w:sz w:val="25"/>
          <w:szCs w:val="25"/>
        </w:rPr>
        <w:tab/>
      </w:r>
      <w:r w:rsidR="00BD7F85">
        <w:rPr>
          <w:sz w:val="25"/>
          <w:szCs w:val="25"/>
        </w:rPr>
        <w:t>P</w:t>
      </w:r>
      <w:r w:rsidR="0048269B">
        <w:rPr>
          <w:sz w:val="25"/>
          <w:szCs w:val="25"/>
        </w:rPr>
        <w:t>SE</w:t>
      </w:r>
      <w:r w:rsidR="00FE632C">
        <w:rPr>
          <w:sz w:val="25"/>
          <w:szCs w:val="25"/>
        </w:rPr>
        <w:t xml:space="preserve"> </w:t>
      </w:r>
      <w:r>
        <w:rPr>
          <w:sz w:val="25"/>
          <w:szCs w:val="25"/>
        </w:rPr>
        <w:t>is a</w:t>
      </w:r>
      <w:r w:rsidR="00545B04">
        <w:rPr>
          <w:sz w:val="25"/>
          <w:szCs w:val="25"/>
        </w:rPr>
        <w:t>n electric</w:t>
      </w:r>
      <w:r>
        <w:rPr>
          <w:sz w:val="25"/>
          <w:szCs w:val="25"/>
        </w:rPr>
        <w:t xml:space="preserve"> company and a public service company subject to Commission jurisdiction.</w:t>
      </w:r>
    </w:p>
    <w:p w14:paraId="400DF9B6" w14:textId="77777777" w:rsidR="00982368" w:rsidRDefault="00982368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 w:rsidRPr="00982368">
        <w:rPr>
          <w:sz w:val="25"/>
          <w:szCs w:val="25"/>
        </w:rPr>
        <w:t>(3)</w:t>
      </w:r>
      <w:r w:rsidRPr="00982368">
        <w:rPr>
          <w:sz w:val="25"/>
          <w:szCs w:val="25"/>
        </w:rPr>
        <w:tab/>
      </w:r>
      <w:r w:rsidR="00BD7F85">
        <w:rPr>
          <w:sz w:val="25"/>
          <w:szCs w:val="25"/>
        </w:rPr>
        <w:t>P</w:t>
      </w:r>
      <w:r w:rsidR="0048269B">
        <w:rPr>
          <w:sz w:val="25"/>
          <w:szCs w:val="25"/>
        </w:rPr>
        <w:t>SE</w:t>
      </w:r>
      <w:r w:rsidRPr="00982368">
        <w:rPr>
          <w:sz w:val="25"/>
          <w:szCs w:val="25"/>
        </w:rPr>
        <w:t xml:space="preserve"> serves more than 25,000 customers within the state of Washington, and is a “qualifying utility” within the meaning of RCW 19.285.030(16).</w:t>
      </w:r>
    </w:p>
    <w:p w14:paraId="73318644" w14:textId="77777777" w:rsidR="00480E23" w:rsidRDefault="00637F7D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</w:t>
      </w:r>
      <w:r w:rsidR="00982368">
        <w:rPr>
          <w:sz w:val="25"/>
          <w:szCs w:val="25"/>
        </w:rPr>
        <w:t>4</w:t>
      </w:r>
      <w:r>
        <w:rPr>
          <w:sz w:val="25"/>
          <w:szCs w:val="25"/>
        </w:rPr>
        <w:t>)</w:t>
      </w:r>
      <w:r>
        <w:rPr>
          <w:sz w:val="25"/>
          <w:szCs w:val="25"/>
        </w:rPr>
        <w:tab/>
      </w:r>
      <w:r w:rsidR="00BD7F85">
        <w:rPr>
          <w:sz w:val="25"/>
          <w:szCs w:val="25"/>
        </w:rPr>
        <w:t>P</w:t>
      </w:r>
      <w:r w:rsidR="0048269B">
        <w:rPr>
          <w:sz w:val="25"/>
          <w:szCs w:val="25"/>
        </w:rPr>
        <w:t>SE</w:t>
      </w:r>
      <w:r w:rsidR="00480E23">
        <w:rPr>
          <w:sz w:val="25"/>
          <w:szCs w:val="25"/>
        </w:rPr>
        <w:t xml:space="preserve"> has achieved </w:t>
      </w:r>
      <w:r w:rsidR="0088000A">
        <w:rPr>
          <w:sz w:val="25"/>
          <w:szCs w:val="25"/>
        </w:rPr>
        <w:t>698,137</w:t>
      </w:r>
      <w:r w:rsidR="00480E23">
        <w:rPr>
          <w:sz w:val="25"/>
          <w:szCs w:val="25"/>
        </w:rPr>
        <w:t xml:space="preserve"> megawatt-hours of conservation during the 201</w:t>
      </w:r>
      <w:r w:rsidR="00371A4F">
        <w:rPr>
          <w:sz w:val="25"/>
          <w:szCs w:val="25"/>
        </w:rPr>
        <w:t>2</w:t>
      </w:r>
      <w:r w:rsidR="00480E23">
        <w:rPr>
          <w:sz w:val="25"/>
          <w:szCs w:val="25"/>
        </w:rPr>
        <w:t>-201</w:t>
      </w:r>
      <w:r w:rsidR="00371A4F">
        <w:rPr>
          <w:sz w:val="25"/>
          <w:szCs w:val="25"/>
        </w:rPr>
        <w:t>3</w:t>
      </w:r>
      <w:r w:rsidR="00480E23">
        <w:rPr>
          <w:sz w:val="25"/>
          <w:szCs w:val="25"/>
        </w:rPr>
        <w:t xml:space="preserve"> biennium, exceed</w:t>
      </w:r>
      <w:r w:rsidR="00371A4F">
        <w:rPr>
          <w:sz w:val="25"/>
          <w:szCs w:val="25"/>
        </w:rPr>
        <w:t>ing</w:t>
      </w:r>
      <w:r w:rsidR="00AE5748">
        <w:rPr>
          <w:sz w:val="25"/>
          <w:szCs w:val="25"/>
        </w:rPr>
        <w:t xml:space="preserve"> its target of </w:t>
      </w:r>
      <w:r w:rsidR="0088000A">
        <w:rPr>
          <w:sz w:val="25"/>
          <w:szCs w:val="25"/>
        </w:rPr>
        <w:t>666,000</w:t>
      </w:r>
      <w:r w:rsidR="00AE5748">
        <w:rPr>
          <w:sz w:val="25"/>
          <w:szCs w:val="25"/>
        </w:rPr>
        <w:t xml:space="preserve"> megawatt-hours</w:t>
      </w:r>
      <w:r w:rsidR="00480E23">
        <w:rPr>
          <w:sz w:val="25"/>
          <w:szCs w:val="25"/>
        </w:rPr>
        <w:t xml:space="preserve">.  </w:t>
      </w:r>
      <w:r w:rsidR="00BD7F85">
        <w:rPr>
          <w:sz w:val="25"/>
          <w:szCs w:val="25"/>
        </w:rPr>
        <w:t>P</w:t>
      </w:r>
      <w:r w:rsidR="0088000A">
        <w:rPr>
          <w:sz w:val="25"/>
          <w:szCs w:val="25"/>
        </w:rPr>
        <w:t>SE</w:t>
      </w:r>
      <w:r w:rsidR="00480E23">
        <w:rPr>
          <w:sz w:val="25"/>
          <w:szCs w:val="25"/>
        </w:rPr>
        <w:t xml:space="preserve"> has complied with RCW 19.285.040(1</w:t>
      </w:r>
      <w:proofErr w:type="gramStart"/>
      <w:r w:rsidR="00480E23">
        <w:rPr>
          <w:sz w:val="25"/>
          <w:szCs w:val="25"/>
        </w:rPr>
        <w:t>)(</w:t>
      </w:r>
      <w:proofErr w:type="gramEnd"/>
      <w:r w:rsidR="00480E23">
        <w:rPr>
          <w:sz w:val="25"/>
          <w:szCs w:val="25"/>
        </w:rPr>
        <w:t>b).</w:t>
      </w:r>
    </w:p>
    <w:p w14:paraId="4DF8E606" w14:textId="77777777" w:rsidR="005568DE" w:rsidRDefault="00AE5748" w:rsidP="00480E23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(5</w:t>
      </w:r>
      <w:r w:rsidR="005568DE" w:rsidRPr="005568DE">
        <w:rPr>
          <w:sz w:val="25"/>
          <w:szCs w:val="25"/>
        </w:rPr>
        <w:t>)</w:t>
      </w:r>
      <w:r w:rsidR="005568DE" w:rsidRPr="005568DE">
        <w:rPr>
          <w:sz w:val="25"/>
          <w:szCs w:val="25"/>
        </w:rPr>
        <w:tab/>
      </w:r>
      <w:r w:rsidR="00BD7F85">
        <w:rPr>
          <w:sz w:val="25"/>
          <w:szCs w:val="25"/>
        </w:rPr>
        <w:t>P</w:t>
      </w:r>
      <w:r w:rsidR="0088000A">
        <w:rPr>
          <w:sz w:val="25"/>
          <w:szCs w:val="25"/>
        </w:rPr>
        <w:t>SE</w:t>
      </w:r>
      <w:r w:rsidR="005568DE" w:rsidRPr="005568DE">
        <w:rPr>
          <w:sz w:val="25"/>
          <w:szCs w:val="25"/>
        </w:rPr>
        <w:t xml:space="preserve"> </w:t>
      </w:r>
      <w:r w:rsidR="00DD2792">
        <w:rPr>
          <w:sz w:val="25"/>
          <w:szCs w:val="25"/>
        </w:rPr>
        <w:t>must update its NEEA savings in its report to the Department of Commerce to meet</w:t>
      </w:r>
      <w:r w:rsidR="005568DE" w:rsidRPr="005568DE">
        <w:rPr>
          <w:sz w:val="25"/>
          <w:szCs w:val="25"/>
        </w:rPr>
        <w:t xml:space="preserve"> the reporting requirements of</w:t>
      </w:r>
      <w:r w:rsidR="009B1F6E">
        <w:rPr>
          <w:sz w:val="25"/>
          <w:szCs w:val="25"/>
        </w:rPr>
        <w:t xml:space="preserve"> RCW 19.285.070 and WAC 480-109-</w:t>
      </w:r>
      <w:r w:rsidR="005568DE" w:rsidRPr="005568DE">
        <w:rPr>
          <w:sz w:val="25"/>
          <w:szCs w:val="25"/>
        </w:rPr>
        <w:t>040(1).</w:t>
      </w:r>
      <w:r w:rsidR="00EA531D">
        <w:rPr>
          <w:sz w:val="25"/>
          <w:szCs w:val="25"/>
        </w:rPr>
        <w:t xml:space="preserve"> </w:t>
      </w:r>
    </w:p>
    <w:p w14:paraId="609D4FD1" w14:textId="77777777" w:rsidR="008026CC" w:rsidRPr="00BD7F85" w:rsidRDefault="00AE5748" w:rsidP="00BD7F85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(6</w:t>
      </w:r>
      <w:r w:rsidR="009B1F6E" w:rsidRPr="00371A4F">
        <w:rPr>
          <w:sz w:val="25"/>
          <w:szCs w:val="25"/>
        </w:rPr>
        <w:t>)</w:t>
      </w:r>
      <w:r w:rsidR="009B1F6E" w:rsidRPr="00371A4F">
        <w:rPr>
          <w:sz w:val="25"/>
          <w:szCs w:val="25"/>
        </w:rPr>
        <w:tab/>
      </w:r>
      <w:r w:rsidR="00BD7F85">
        <w:rPr>
          <w:sz w:val="25"/>
          <w:szCs w:val="25"/>
        </w:rPr>
        <w:t>P</w:t>
      </w:r>
      <w:r w:rsidR="0088000A">
        <w:rPr>
          <w:sz w:val="25"/>
          <w:szCs w:val="25"/>
        </w:rPr>
        <w:t>SE</w:t>
      </w:r>
      <w:r w:rsidR="005568DE" w:rsidRPr="00371A4F">
        <w:rPr>
          <w:sz w:val="25"/>
          <w:szCs w:val="25"/>
        </w:rPr>
        <w:t xml:space="preserve"> has complied with Order 01 in this docket.</w:t>
      </w:r>
      <w:r w:rsidR="005715A8" w:rsidRPr="00BD7F85">
        <w:rPr>
          <w:sz w:val="25"/>
          <w:szCs w:val="25"/>
        </w:rPr>
        <w:t xml:space="preserve"> </w:t>
      </w:r>
    </w:p>
    <w:p w14:paraId="0E0BE463" w14:textId="77777777" w:rsidR="00CD3DDA" w:rsidRDefault="00CD3DDA" w:rsidP="00396151">
      <w:pPr>
        <w:spacing w:after="240" w:line="288" w:lineRule="auto"/>
        <w:jc w:val="center"/>
        <w:rPr>
          <w:b/>
          <w:sz w:val="25"/>
          <w:szCs w:val="25"/>
        </w:rPr>
      </w:pPr>
      <w:r w:rsidRPr="00CD3DDA">
        <w:rPr>
          <w:b/>
          <w:sz w:val="25"/>
          <w:szCs w:val="25"/>
        </w:rPr>
        <w:t>ORDER</w:t>
      </w:r>
    </w:p>
    <w:p w14:paraId="79456D2C" w14:textId="77777777" w:rsidR="00CD3DDA" w:rsidRDefault="00CD3DDA" w:rsidP="002A02B4">
      <w:pPr>
        <w:spacing w:after="240" w:line="288" w:lineRule="auto"/>
        <w:rPr>
          <w:b/>
          <w:sz w:val="25"/>
          <w:szCs w:val="25"/>
        </w:rPr>
      </w:pPr>
      <w:r w:rsidRPr="00745823">
        <w:rPr>
          <w:b/>
          <w:sz w:val="25"/>
          <w:szCs w:val="25"/>
        </w:rPr>
        <w:t>THE COMMISSION ORDERS:</w:t>
      </w:r>
    </w:p>
    <w:p w14:paraId="777A2E90" w14:textId="77777777" w:rsidR="005B20E4" w:rsidRDefault="00237680" w:rsidP="00C71C46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</w:r>
      <w:r w:rsidR="00B7088F">
        <w:rPr>
          <w:sz w:val="25"/>
          <w:szCs w:val="25"/>
        </w:rPr>
        <w:t>P</w:t>
      </w:r>
      <w:r w:rsidR="00DD34CB">
        <w:rPr>
          <w:sz w:val="25"/>
          <w:szCs w:val="25"/>
        </w:rPr>
        <w:t>uget Sound Energy</w:t>
      </w:r>
      <w:r w:rsidR="00A80388">
        <w:rPr>
          <w:sz w:val="25"/>
          <w:szCs w:val="25"/>
        </w:rPr>
        <w:t xml:space="preserve"> </w:t>
      </w:r>
      <w:r w:rsidR="001E6DA1">
        <w:rPr>
          <w:sz w:val="25"/>
          <w:szCs w:val="25"/>
        </w:rPr>
        <w:t xml:space="preserve">has </w:t>
      </w:r>
      <w:r w:rsidR="00371A4F">
        <w:rPr>
          <w:sz w:val="25"/>
          <w:szCs w:val="25"/>
        </w:rPr>
        <w:t>complied with the June 1, 2014</w:t>
      </w:r>
      <w:r w:rsidR="00451810">
        <w:rPr>
          <w:sz w:val="25"/>
          <w:szCs w:val="25"/>
        </w:rPr>
        <w:t>,</w:t>
      </w:r>
      <w:r w:rsidR="005B20E4">
        <w:rPr>
          <w:sz w:val="25"/>
          <w:szCs w:val="25"/>
        </w:rPr>
        <w:t xml:space="preserve"> reporting r</w:t>
      </w:r>
      <w:r w:rsidR="009B1F6E">
        <w:rPr>
          <w:sz w:val="25"/>
          <w:szCs w:val="25"/>
        </w:rPr>
        <w:t>equirements pursuant to WAC 480-109-</w:t>
      </w:r>
      <w:r w:rsidR="005B20E4">
        <w:rPr>
          <w:sz w:val="25"/>
          <w:szCs w:val="25"/>
        </w:rPr>
        <w:t>040.</w:t>
      </w:r>
    </w:p>
    <w:p w14:paraId="255934A3" w14:textId="77777777" w:rsidR="005B20E4" w:rsidRDefault="005B20E4" w:rsidP="00C71C46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(2)</w:t>
      </w:r>
      <w:r>
        <w:rPr>
          <w:sz w:val="25"/>
          <w:szCs w:val="25"/>
        </w:rPr>
        <w:tab/>
      </w:r>
      <w:r w:rsidR="00B7088F">
        <w:rPr>
          <w:sz w:val="25"/>
          <w:szCs w:val="25"/>
        </w:rPr>
        <w:t>P</w:t>
      </w:r>
      <w:r w:rsidR="00DD34CB">
        <w:rPr>
          <w:sz w:val="25"/>
          <w:szCs w:val="25"/>
        </w:rPr>
        <w:t>uget Sound Energy</w:t>
      </w:r>
      <w:r w:rsidR="00B7088F">
        <w:rPr>
          <w:sz w:val="25"/>
          <w:szCs w:val="25"/>
        </w:rPr>
        <w:t xml:space="preserve"> </w:t>
      </w:r>
      <w:r w:rsidR="001E6DA1">
        <w:rPr>
          <w:sz w:val="25"/>
          <w:szCs w:val="25"/>
        </w:rPr>
        <w:t xml:space="preserve">has </w:t>
      </w:r>
      <w:r>
        <w:rPr>
          <w:sz w:val="25"/>
          <w:szCs w:val="25"/>
        </w:rPr>
        <w:t>comp</w:t>
      </w:r>
      <w:r w:rsidR="00371A4F">
        <w:rPr>
          <w:sz w:val="25"/>
          <w:szCs w:val="25"/>
        </w:rPr>
        <w:t xml:space="preserve">lied with </w:t>
      </w:r>
      <w:r w:rsidR="006B5048">
        <w:rPr>
          <w:sz w:val="25"/>
          <w:szCs w:val="25"/>
        </w:rPr>
        <w:t xml:space="preserve">the requirements in </w:t>
      </w:r>
      <w:r w:rsidR="00371A4F">
        <w:rPr>
          <w:sz w:val="25"/>
          <w:szCs w:val="25"/>
        </w:rPr>
        <w:t>Order 01</w:t>
      </w:r>
      <w:r>
        <w:rPr>
          <w:sz w:val="25"/>
          <w:szCs w:val="25"/>
        </w:rPr>
        <w:t>.</w:t>
      </w:r>
    </w:p>
    <w:p w14:paraId="6A452176" w14:textId="77777777" w:rsidR="00D64F7A" w:rsidRDefault="00D64F7A" w:rsidP="00D64F7A">
      <w:pPr>
        <w:spacing w:after="240" w:line="288" w:lineRule="auto"/>
        <w:ind w:left="360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79219A4F" w14:textId="77777777" w:rsidR="0070544B" w:rsidRDefault="005B20E4" w:rsidP="00B7088F">
      <w:pPr>
        <w:numPr>
          <w:ilvl w:val="0"/>
          <w:numId w:val="8"/>
        </w:numPr>
        <w:spacing w:after="240"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(3)</w:t>
      </w:r>
      <w:r>
        <w:rPr>
          <w:sz w:val="25"/>
          <w:szCs w:val="25"/>
        </w:rPr>
        <w:tab/>
      </w:r>
      <w:r w:rsidR="00B7088F">
        <w:rPr>
          <w:sz w:val="25"/>
          <w:szCs w:val="25"/>
        </w:rPr>
        <w:t>P</w:t>
      </w:r>
      <w:r w:rsidR="00DD34CB">
        <w:rPr>
          <w:sz w:val="25"/>
          <w:szCs w:val="25"/>
        </w:rPr>
        <w:t>uget Sound Energy</w:t>
      </w:r>
      <w:r w:rsidR="00B7088F">
        <w:rPr>
          <w:sz w:val="25"/>
          <w:szCs w:val="25"/>
        </w:rPr>
        <w:t xml:space="preserve"> </w:t>
      </w:r>
      <w:r w:rsidRPr="005B20E4">
        <w:rPr>
          <w:sz w:val="25"/>
          <w:szCs w:val="25"/>
        </w:rPr>
        <w:t xml:space="preserve">achieved </w:t>
      </w:r>
      <w:r w:rsidR="00DD34CB">
        <w:rPr>
          <w:sz w:val="25"/>
          <w:szCs w:val="25"/>
        </w:rPr>
        <w:t>698,137</w:t>
      </w:r>
      <w:r w:rsidRPr="005B20E4">
        <w:rPr>
          <w:sz w:val="25"/>
          <w:szCs w:val="25"/>
        </w:rPr>
        <w:t xml:space="preserve"> megawatt-hours of conservation during the 201</w:t>
      </w:r>
      <w:r w:rsidR="00AE5748">
        <w:rPr>
          <w:sz w:val="25"/>
          <w:szCs w:val="25"/>
        </w:rPr>
        <w:t>2</w:t>
      </w:r>
      <w:r w:rsidRPr="005B20E4">
        <w:rPr>
          <w:sz w:val="25"/>
          <w:szCs w:val="25"/>
        </w:rPr>
        <w:t>-201</w:t>
      </w:r>
      <w:r w:rsidR="00AE5748">
        <w:rPr>
          <w:sz w:val="25"/>
          <w:szCs w:val="25"/>
        </w:rPr>
        <w:t>3</w:t>
      </w:r>
      <w:r w:rsidRPr="005B20E4">
        <w:rPr>
          <w:sz w:val="25"/>
          <w:szCs w:val="25"/>
        </w:rPr>
        <w:t xml:space="preserve"> biennium</w:t>
      </w:r>
      <w:r w:rsidR="00844E01" w:rsidRPr="00B7088F">
        <w:rPr>
          <w:sz w:val="25"/>
          <w:szCs w:val="25"/>
        </w:rPr>
        <w:t>.</w:t>
      </w:r>
    </w:p>
    <w:p w14:paraId="1929BEDD" w14:textId="77777777" w:rsidR="00700CDE" w:rsidRPr="00215F8A" w:rsidRDefault="00700CDE" w:rsidP="0070544B">
      <w:pPr>
        <w:spacing w:after="240" w:line="288" w:lineRule="auto"/>
        <w:ind w:left="720"/>
        <w:rPr>
          <w:sz w:val="25"/>
          <w:szCs w:val="25"/>
        </w:rPr>
      </w:pPr>
      <w:r w:rsidRPr="00215F8A">
        <w:rPr>
          <w:sz w:val="25"/>
          <w:szCs w:val="25"/>
        </w:rPr>
        <w:t>DATED at Olympia, Washington</w:t>
      </w:r>
      <w:r w:rsidR="001A1AB5" w:rsidRPr="00215F8A">
        <w:rPr>
          <w:sz w:val="25"/>
          <w:szCs w:val="25"/>
        </w:rPr>
        <w:t>, and effective</w:t>
      </w:r>
      <w:r w:rsidR="00CD3DDA">
        <w:rPr>
          <w:sz w:val="25"/>
          <w:szCs w:val="25"/>
        </w:rPr>
        <w:t xml:space="preserve"> </w:t>
      </w:r>
      <w:r w:rsidR="00371A4F">
        <w:rPr>
          <w:sz w:val="25"/>
          <w:szCs w:val="25"/>
        </w:rPr>
        <w:t xml:space="preserve">July </w:t>
      </w:r>
      <w:r w:rsidR="00D85B21">
        <w:rPr>
          <w:sz w:val="25"/>
          <w:szCs w:val="25"/>
        </w:rPr>
        <w:t>31</w:t>
      </w:r>
      <w:r w:rsidR="005B4FD5">
        <w:rPr>
          <w:sz w:val="25"/>
          <w:szCs w:val="25"/>
        </w:rPr>
        <w:t>,</w:t>
      </w:r>
      <w:r w:rsidR="003C36C4">
        <w:rPr>
          <w:sz w:val="25"/>
          <w:szCs w:val="25"/>
        </w:rPr>
        <w:t xml:space="preserve"> 201</w:t>
      </w:r>
      <w:r w:rsidR="00371A4F">
        <w:rPr>
          <w:sz w:val="25"/>
          <w:szCs w:val="25"/>
        </w:rPr>
        <w:t>4</w:t>
      </w:r>
      <w:r w:rsidR="00AC0E30">
        <w:rPr>
          <w:sz w:val="25"/>
          <w:szCs w:val="25"/>
        </w:rPr>
        <w:t>.</w:t>
      </w:r>
    </w:p>
    <w:p w14:paraId="718BE8FE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1F7647C5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17AC0ED6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3EC1D90C" w14:textId="77777777" w:rsidR="00AC0E30" w:rsidRDefault="00AC0E30" w:rsidP="00AC0E30">
      <w:pPr>
        <w:pStyle w:val="BodyText3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545B04">
        <w:rPr>
          <w:sz w:val="25"/>
          <w:szCs w:val="25"/>
        </w:rPr>
        <w:t>DAVID W. DANNER, Chairman</w:t>
      </w:r>
    </w:p>
    <w:p w14:paraId="2DB068C4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63B00503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72BD2DD0" w14:textId="77777777" w:rsidR="00AC0E30" w:rsidRDefault="00AC0E30" w:rsidP="00AC0E30">
      <w:pPr>
        <w:pStyle w:val="BodyText3"/>
        <w:rPr>
          <w:sz w:val="25"/>
          <w:szCs w:val="25"/>
        </w:rPr>
      </w:pPr>
    </w:p>
    <w:p w14:paraId="5E9369B7" w14:textId="77777777" w:rsidR="008F661D" w:rsidRDefault="00AC0E30" w:rsidP="009B4165">
      <w:pPr>
        <w:pStyle w:val="BodyText3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PHILIP B. JONES, Commissioner</w:t>
      </w:r>
    </w:p>
    <w:p w14:paraId="584B73B6" w14:textId="77777777" w:rsidR="000903EF" w:rsidRDefault="000903EF" w:rsidP="009B4165">
      <w:pPr>
        <w:pStyle w:val="BodyText3"/>
        <w:rPr>
          <w:sz w:val="25"/>
          <w:szCs w:val="25"/>
        </w:rPr>
      </w:pPr>
    </w:p>
    <w:p w14:paraId="61A2EBFA" w14:textId="77777777" w:rsidR="0087539F" w:rsidRDefault="0087539F" w:rsidP="000903EF">
      <w:pPr>
        <w:pStyle w:val="BodyText3"/>
        <w:rPr>
          <w:sz w:val="25"/>
          <w:szCs w:val="25"/>
        </w:rPr>
      </w:pPr>
    </w:p>
    <w:p w14:paraId="4243AE03" w14:textId="77777777" w:rsidR="000903EF" w:rsidRPr="000903EF" w:rsidRDefault="000903EF" w:rsidP="000903EF">
      <w:pPr>
        <w:pStyle w:val="BodyText3"/>
        <w:rPr>
          <w:sz w:val="25"/>
          <w:szCs w:val="25"/>
        </w:rPr>
      </w:pPr>
    </w:p>
    <w:p w14:paraId="39777AEA" w14:textId="77777777" w:rsidR="000903EF" w:rsidRPr="000903EF" w:rsidRDefault="000903EF" w:rsidP="000903EF">
      <w:pPr>
        <w:pStyle w:val="BodyText3"/>
        <w:rPr>
          <w:sz w:val="25"/>
          <w:szCs w:val="25"/>
        </w:rPr>
      </w:pP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</w:r>
      <w:r w:rsidRPr="000903EF">
        <w:rPr>
          <w:sz w:val="25"/>
          <w:szCs w:val="25"/>
        </w:rPr>
        <w:tab/>
        <w:t>JEFFREY D. GOLTZ, C</w:t>
      </w:r>
      <w:r w:rsidR="00545B04">
        <w:rPr>
          <w:sz w:val="25"/>
          <w:szCs w:val="25"/>
        </w:rPr>
        <w:t>ommis</w:t>
      </w:r>
      <w:r w:rsidR="00371A4F">
        <w:rPr>
          <w:sz w:val="25"/>
          <w:szCs w:val="25"/>
        </w:rPr>
        <w:t>s</w:t>
      </w:r>
      <w:r w:rsidR="00545B04">
        <w:rPr>
          <w:sz w:val="25"/>
          <w:szCs w:val="25"/>
        </w:rPr>
        <w:t>ioner</w:t>
      </w:r>
    </w:p>
    <w:sectPr w:rsidR="000903EF" w:rsidRPr="000903EF" w:rsidSect="00D64F7A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6E0E" w14:textId="77777777" w:rsidR="005B4770" w:rsidRDefault="005B4770" w:rsidP="00700CDE">
      <w:r>
        <w:separator/>
      </w:r>
    </w:p>
  </w:endnote>
  <w:endnote w:type="continuationSeparator" w:id="0">
    <w:p w14:paraId="549FF0C3" w14:textId="77777777" w:rsidR="005B4770" w:rsidRDefault="005B4770" w:rsidP="0070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7C92F" w14:textId="77777777" w:rsidR="009B1F6E" w:rsidRPr="00DB0710" w:rsidRDefault="009B1F6E" w:rsidP="00C179F6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5BF71" w14:textId="77777777" w:rsidR="005B4770" w:rsidRDefault="005B4770" w:rsidP="00700CDE">
      <w:r>
        <w:separator/>
      </w:r>
    </w:p>
  </w:footnote>
  <w:footnote w:type="continuationSeparator" w:id="0">
    <w:p w14:paraId="336BCA0F" w14:textId="77777777" w:rsidR="005B4770" w:rsidRDefault="005B4770" w:rsidP="00700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F6CB" w14:textId="77777777" w:rsidR="009B1F6E" w:rsidRPr="00AC0E30" w:rsidRDefault="009B1F6E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proofErr w:type="spellStart"/>
    <w:r>
      <w:rPr>
        <w:b/>
        <w:bCs/>
        <w:sz w:val="20"/>
      </w:rPr>
      <w:t>UE</w:t>
    </w:r>
    <w:proofErr w:type="spellEnd"/>
    <w:r>
      <w:rPr>
        <w:b/>
        <w:bCs/>
        <w:sz w:val="20"/>
      </w:rPr>
      <w:noBreakHyphen/>
      <w:t>1</w:t>
    </w:r>
    <w:r w:rsidR="00545B04">
      <w:rPr>
        <w:b/>
        <w:bCs/>
        <w:sz w:val="20"/>
      </w:rPr>
      <w:t>1188</w:t>
    </w:r>
    <w:r w:rsidR="00792D07">
      <w:rPr>
        <w:b/>
        <w:bCs/>
        <w:sz w:val="20"/>
      </w:rPr>
      <w:t>1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035D979A" w14:textId="77777777" w:rsidR="009B1F6E" w:rsidRPr="00AC0E30" w:rsidRDefault="007807EB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04</w:t>
    </w:r>
  </w:p>
  <w:p w14:paraId="388D97DB" w14:textId="77777777" w:rsidR="009B1F6E" w:rsidRDefault="009B1F6E">
    <w:pPr>
      <w:tabs>
        <w:tab w:val="left" w:pos="7740"/>
      </w:tabs>
      <w:rPr>
        <w:b/>
        <w:bCs/>
        <w:sz w:val="20"/>
      </w:rPr>
    </w:pPr>
  </w:p>
  <w:p w14:paraId="2B078D25" w14:textId="77777777" w:rsidR="0070544B" w:rsidRPr="00AC0E30" w:rsidRDefault="0070544B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9B1F" w14:textId="3EDCDC75" w:rsidR="009B1F6E" w:rsidRPr="00624AFB" w:rsidRDefault="009B1F6E" w:rsidP="00170ABD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624AFB" w:rsidRPr="00624AFB">
      <w:rPr>
        <w:b/>
        <w:sz w:val="20"/>
        <w:szCs w:val="20"/>
      </w:rPr>
      <w:t>[Service Date July 31,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770B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D949FD"/>
    <w:multiLevelType w:val="hybridMultilevel"/>
    <w:tmpl w:val="4DC4F208"/>
    <w:lvl w:ilvl="0" w:tplc="D3DE6D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52BAC"/>
    <w:multiLevelType w:val="hybridMultilevel"/>
    <w:tmpl w:val="79261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3C3C26"/>
    <w:multiLevelType w:val="hybridMultilevel"/>
    <w:tmpl w:val="23F258E8"/>
    <w:lvl w:ilvl="0" w:tplc="4DCE64F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42EFD"/>
    <w:multiLevelType w:val="hybridMultilevel"/>
    <w:tmpl w:val="B9C41EBE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19E648B5"/>
    <w:multiLevelType w:val="hybridMultilevel"/>
    <w:tmpl w:val="B62AF53E"/>
    <w:lvl w:ilvl="0" w:tplc="DBD4D44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97644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4204C"/>
    <w:multiLevelType w:val="hybridMultilevel"/>
    <w:tmpl w:val="85385DE6"/>
    <w:lvl w:ilvl="0" w:tplc="1160F90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90C7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8163D6"/>
    <w:multiLevelType w:val="hybridMultilevel"/>
    <w:tmpl w:val="D28CC2DA"/>
    <w:lvl w:ilvl="0" w:tplc="9D402E36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C6CEC4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71940"/>
    <w:multiLevelType w:val="hybridMultilevel"/>
    <w:tmpl w:val="88386A00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CF26F34">
      <w:start w:val="1"/>
      <w:numFmt w:val="upperLetter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40D1E"/>
    <w:multiLevelType w:val="hybridMultilevel"/>
    <w:tmpl w:val="3F785F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326A6"/>
    <w:multiLevelType w:val="hybridMultilevel"/>
    <w:tmpl w:val="217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C4148"/>
    <w:multiLevelType w:val="hybridMultilevel"/>
    <w:tmpl w:val="0DA24DBC"/>
    <w:lvl w:ilvl="0" w:tplc="04F807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B74294"/>
    <w:multiLevelType w:val="hybridMultilevel"/>
    <w:tmpl w:val="B816B31E"/>
    <w:lvl w:ilvl="0" w:tplc="07B64F9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E700E3"/>
    <w:multiLevelType w:val="hybridMultilevel"/>
    <w:tmpl w:val="010EB9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2F70F3"/>
    <w:multiLevelType w:val="hybridMultilevel"/>
    <w:tmpl w:val="5BBE0BD2"/>
    <w:lvl w:ilvl="0" w:tplc="C0F29BC8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957351"/>
    <w:multiLevelType w:val="hybridMultilevel"/>
    <w:tmpl w:val="2EB6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71302"/>
    <w:multiLevelType w:val="hybridMultilevel"/>
    <w:tmpl w:val="29DC201A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7D6D2C"/>
    <w:multiLevelType w:val="multilevel"/>
    <w:tmpl w:val="0556037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3D819CE"/>
    <w:multiLevelType w:val="hybridMultilevel"/>
    <w:tmpl w:val="46A6E61E"/>
    <w:lvl w:ilvl="0" w:tplc="B9408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FA601F"/>
    <w:multiLevelType w:val="hybridMultilevel"/>
    <w:tmpl w:val="3A74F38C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3178D"/>
    <w:multiLevelType w:val="hybridMultilevel"/>
    <w:tmpl w:val="D598A7A0"/>
    <w:lvl w:ilvl="0" w:tplc="140A3C68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7A335B52"/>
    <w:multiLevelType w:val="hybridMultilevel"/>
    <w:tmpl w:val="3DCE6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9"/>
  </w:num>
  <w:num w:numId="11">
    <w:abstractNumId w:val="0"/>
  </w:num>
  <w:num w:numId="12">
    <w:abstractNumId w:val="23"/>
  </w:num>
  <w:num w:numId="13">
    <w:abstractNumId w:val="13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5"/>
  </w:num>
  <w:num w:numId="19">
    <w:abstractNumId w:val="3"/>
  </w:num>
  <w:num w:numId="20">
    <w:abstractNumId w:val="5"/>
  </w:num>
  <w:num w:numId="21">
    <w:abstractNumId w:val="10"/>
  </w:num>
  <w:num w:numId="22">
    <w:abstractNumId w:val="20"/>
  </w:num>
  <w:num w:numId="23">
    <w:abstractNumId w:val="12"/>
  </w:num>
  <w:num w:numId="24">
    <w:abstractNumId w:val="18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5"/>
    <w:rsid w:val="0000044C"/>
    <w:rsid w:val="0000045C"/>
    <w:rsid w:val="00003B8C"/>
    <w:rsid w:val="00005E73"/>
    <w:rsid w:val="00010871"/>
    <w:rsid w:val="00010D47"/>
    <w:rsid w:val="000114B0"/>
    <w:rsid w:val="00015495"/>
    <w:rsid w:val="00017C04"/>
    <w:rsid w:val="0002221F"/>
    <w:rsid w:val="00036FEB"/>
    <w:rsid w:val="000414DD"/>
    <w:rsid w:val="00041B68"/>
    <w:rsid w:val="00043F78"/>
    <w:rsid w:val="00046E83"/>
    <w:rsid w:val="0005289C"/>
    <w:rsid w:val="00052D24"/>
    <w:rsid w:val="00056471"/>
    <w:rsid w:val="00056D0F"/>
    <w:rsid w:val="0006180D"/>
    <w:rsid w:val="00062235"/>
    <w:rsid w:val="0007343E"/>
    <w:rsid w:val="000738B3"/>
    <w:rsid w:val="00073B45"/>
    <w:rsid w:val="00080A24"/>
    <w:rsid w:val="00082B19"/>
    <w:rsid w:val="00082D59"/>
    <w:rsid w:val="00082E54"/>
    <w:rsid w:val="0008363A"/>
    <w:rsid w:val="00083A33"/>
    <w:rsid w:val="00084610"/>
    <w:rsid w:val="00084A64"/>
    <w:rsid w:val="000903EF"/>
    <w:rsid w:val="0009356B"/>
    <w:rsid w:val="0009634A"/>
    <w:rsid w:val="000B219A"/>
    <w:rsid w:val="000B4903"/>
    <w:rsid w:val="000B615C"/>
    <w:rsid w:val="000B7677"/>
    <w:rsid w:val="000C269E"/>
    <w:rsid w:val="000C2A36"/>
    <w:rsid w:val="000C459D"/>
    <w:rsid w:val="000D1036"/>
    <w:rsid w:val="000D3B01"/>
    <w:rsid w:val="000D3E2F"/>
    <w:rsid w:val="000D4711"/>
    <w:rsid w:val="000E04D8"/>
    <w:rsid w:val="000E104B"/>
    <w:rsid w:val="000E30CA"/>
    <w:rsid w:val="000E5939"/>
    <w:rsid w:val="000E6021"/>
    <w:rsid w:val="000E6627"/>
    <w:rsid w:val="000F23D3"/>
    <w:rsid w:val="000F280F"/>
    <w:rsid w:val="000F373E"/>
    <w:rsid w:val="000F6FCC"/>
    <w:rsid w:val="000F7310"/>
    <w:rsid w:val="000F7483"/>
    <w:rsid w:val="001025C9"/>
    <w:rsid w:val="001036EA"/>
    <w:rsid w:val="001058D1"/>
    <w:rsid w:val="001064EA"/>
    <w:rsid w:val="0011141B"/>
    <w:rsid w:val="00113C7F"/>
    <w:rsid w:val="00114507"/>
    <w:rsid w:val="00114E60"/>
    <w:rsid w:val="001159C4"/>
    <w:rsid w:val="0011627D"/>
    <w:rsid w:val="00121ED3"/>
    <w:rsid w:val="00124AAE"/>
    <w:rsid w:val="00125039"/>
    <w:rsid w:val="00125E08"/>
    <w:rsid w:val="0013122A"/>
    <w:rsid w:val="00140F6A"/>
    <w:rsid w:val="001423C1"/>
    <w:rsid w:val="001428C9"/>
    <w:rsid w:val="00145107"/>
    <w:rsid w:val="001454A6"/>
    <w:rsid w:val="00146449"/>
    <w:rsid w:val="0015261C"/>
    <w:rsid w:val="001530D6"/>
    <w:rsid w:val="00161742"/>
    <w:rsid w:val="00170ABD"/>
    <w:rsid w:val="001723EE"/>
    <w:rsid w:val="00173C53"/>
    <w:rsid w:val="0017585E"/>
    <w:rsid w:val="00181B43"/>
    <w:rsid w:val="0019029C"/>
    <w:rsid w:val="00190FCA"/>
    <w:rsid w:val="00191F4F"/>
    <w:rsid w:val="001920F5"/>
    <w:rsid w:val="00192418"/>
    <w:rsid w:val="001A0F6F"/>
    <w:rsid w:val="001A135A"/>
    <w:rsid w:val="001A1AB5"/>
    <w:rsid w:val="001A5C49"/>
    <w:rsid w:val="001A639C"/>
    <w:rsid w:val="001A6EA4"/>
    <w:rsid w:val="001A7200"/>
    <w:rsid w:val="001B0C9F"/>
    <w:rsid w:val="001B0DA4"/>
    <w:rsid w:val="001B15C7"/>
    <w:rsid w:val="001B31D0"/>
    <w:rsid w:val="001B3249"/>
    <w:rsid w:val="001B4195"/>
    <w:rsid w:val="001B5179"/>
    <w:rsid w:val="001B56AF"/>
    <w:rsid w:val="001B6434"/>
    <w:rsid w:val="001C102F"/>
    <w:rsid w:val="001C162C"/>
    <w:rsid w:val="001C268F"/>
    <w:rsid w:val="001C45FD"/>
    <w:rsid w:val="001C49D5"/>
    <w:rsid w:val="001C7620"/>
    <w:rsid w:val="001D0854"/>
    <w:rsid w:val="001D6240"/>
    <w:rsid w:val="001D69BA"/>
    <w:rsid w:val="001D7AF0"/>
    <w:rsid w:val="001E6DA1"/>
    <w:rsid w:val="001E736E"/>
    <w:rsid w:val="001F0349"/>
    <w:rsid w:val="001F1D33"/>
    <w:rsid w:val="001F34E6"/>
    <w:rsid w:val="001F5632"/>
    <w:rsid w:val="001F59B2"/>
    <w:rsid w:val="001F666A"/>
    <w:rsid w:val="00203182"/>
    <w:rsid w:val="002034BB"/>
    <w:rsid w:val="00205695"/>
    <w:rsid w:val="002072A2"/>
    <w:rsid w:val="00210C75"/>
    <w:rsid w:val="002113FA"/>
    <w:rsid w:val="0021243C"/>
    <w:rsid w:val="00215F8A"/>
    <w:rsid w:val="002213A8"/>
    <w:rsid w:val="0022170E"/>
    <w:rsid w:val="00226C9F"/>
    <w:rsid w:val="00227F6B"/>
    <w:rsid w:val="002346BF"/>
    <w:rsid w:val="00234AF9"/>
    <w:rsid w:val="00235860"/>
    <w:rsid w:val="00237680"/>
    <w:rsid w:val="00237EC5"/>
    <w:rsid w:val="002403C6"/>
    <w:rsid w:val="00241B31"/>
    <w:rsid w:val="00245558"/>
    <w:rsid w:val="0024620B"/>
    <w:rsid w:val="00246315"/>
    <w:rsid w:val="00250BE9"/>
    <w:rsid w:val="00251A95"/>
    <w:rsid w:val="00254DBC"/>
    <w:rsid w:val="00255FD5"/>
    <w:rsid w:val="00257194"/>
    <w:rsid w:val="00260512"/>
    <w:rsid w:val="00264E29"/>
    <w:rsid w:val="00267A34"/>
    <w:rsid w:val="00270256"/>
    <w:rsid w:val="00273A23"/>
    <w:rsid w:val="00273DBA"/>
    <w:rsid w:val="002768D7"/>
    <w:rsid w:val="00285448"/>
    <w:rsid w:val="00287224"/>
    <w:rsid w:val="002872A5"/>
    <w:rsid w:val="00291711"/>
    <w:rsid w:val="002A02B4"/>
    <w:rsid w:val="002A226E"/>
    <w:rsid w:val="002A2B97"/>
    <w:rsid w:val="002A7C7C"/>
    <w:rsid w:val="002B01FD"/>
    <w:rsid w:val="002B1570"/>
    <w:rsid w:val="002B21B9"/>
    <w:rsid w:val="002B28CE"/>
    <w:rsid w:val="002C2FB3"/>
    <w:rsid w:val="002C4CB4"/>
    <w:rsid w:val="002E22E9"/>
    <w:rsid w:val="002E3BA9"/>
    <w:rsid w:val="002E41AE"/>
    <w:rsid w:val="002E556C"/>
    <w:rsid w:val="002F24B4"/>
    <w:rsid w:val="002F37D7"/>
    <w:rsid w:val="003024D6"/>
    <w:rsid w:val="00302D80"/>
    <w:rsid w:val="003076F2"/>
    <w:rsid w:val="003077CA"/>
    <w:rsid w:val="003122E5"/>
    <w:rsid w:val="00312AAD"/>
    <w:rsid w:val="00312FE8"/>
    <w:rsid w:val="0031663C"/>
    <w:rsid w:val="00317AEC"/>
    <w:rsid w:val="00317CD1"/>
    <w:rsid w:val="003215F3"/>
    <w:rsid w:val="00322109"/>
    <w:rsid w:val="00332203"/>
    <w:rsid w:val="0033223B"/>
    <w:rsid w:val="0033353A"/>
    <w:rsid w:val="0033403C"/>
    <w:rsid w:val="0033413B"/>
    <w:rsid w:val="00334A3F"/>
    <w:rsid w:val="00336BF2"/>
    <w:rsid w:val="00344073"/>
    <w:rsid w:val="003453C0"/>
    <w:rsid w:val="0036151A"/>
    <w:rsid w:val="003630B0"/>
    <w:rsid w:val="003631BB"/>
    <w:rsid w:val="00364368"/>
    <w:rsid w:val="00367F3E"/>
    <w:rsid w:val="00371A4F"/>
    <w:rsid w:val="003730EB"/>
    <w:rsid w:val="00374E45"/>
    <w:rsid w:val="00376C7B"/>
    <w:rsid w:val="00380C1E"/>
    <w:rsid w:val="003813F6"/>
    <w:rsid w:val="0038202F"/>
    <w:rsid w:val="00382408"/>
    <w:rsid w:val="003825F7"/>
    <w:rsid w:val="003832C4"/>
    <w:rsid w:val="00383443"/>
    <w:rsid w:val="003837B7"/>
    <w:rsid w:val="00383A77"/>
    <w:rsid w:val="00383FC1"/>
    <w:rsid w:val="0039241C"/>
    <w:rsid w:val="003931C8"/>
    <w:rsid w:val="00396151"/>
    <w:rsid w:val="003B03A0"/>
    <w:rsid w:val="003B153E"/>
    <w:rsid w:val="003B2199"/>
    <w:rsid w:val="003B220F"/>
    <w:rsid w:val="003B3FBD"/>
    <w:rsid w:val="003B4FB1"/>
    <w:rsid w:val="003B6225"/>
    <w:rsid w:val="003B7132"/>
    <w:rsid w:val="003B7E96"/>
    <w:rsid w:val="003C2EAD"/>
    <w:rsid w:val="003C3483"/>
    <w:rsid w:val="003C36C4"/>
    <w:rsid w:val="003C4E65"/>
    <w:rsid w:val="003C602A"/>
    <w:rsid w:val="003D15B1"/>
    <w:rsid w:val="003D38AC"/>
    <w:rsid w:val="003D4E5B"/>
    <w:rsid w:val="003F1D95"/>
    <w:rsid w:val="003F3ABA"/>
    <w:rsid w:val="00401097"/>
    <w:rsid w:val="00404663"/>
    <w:rsid w:val="004046DA"/>
    <w:rsid w:val="00405BEF"/>
    <w:rsid w:val="00405F10"/>
    <w:rsid w:val="00412956"/>
    <w:rsid w:val="00416959"/>
    <w:rsid w:val="00417806"/>
    <w:rsid w:val="0042490B"/>
    <w:rsid w:val="00425492"/>
    <w:rsid w:val="004262CE"/>
    <w:rsid w:val="004263CD"/>
    <w:rsid w:val="004316A1"/>
    <w:rsid w:val="004326A5"/>
    <w:rsid w:val="00433899"/>
    <w:rsid w:val="004346E5"/>
    <w:rsid w:val="00442569"/>
    <w:rsid w:val="0044386F"/>
    <w:rsid w:val="004509FB"/>
    <w:rsid w:val="00451810"/>
    <w:rsid w:val="00453DFC"/>
    <w:rsid w:val="00453E44"/>
    <w:rsid w:val="00453ED7"/>
    <w:rsid w:val="004601D2"/>
    <w:rsid w:val="004647EE"/>
    <w:rsid w:val="004702F0"/>
    <w:rsid w:val="00471770"/>
    <w:rsid w:val="00471BDC"/>
    <w:rsid w:val="004720BB"/>
    <w:rsid w:val="00472DEE"/>
    <w:rsid w:val="004738A9"/>
    <w:rsid w:val="004751F3"/>
    <w:rsid w:val="0047527F"/>
    <w:rsid w:val="004772CD"/>
    <w:rsid w:val="00480E23"/>
    <w:rsid w:val="0048269B"/>
    <w:rsid w:val="00484A32"/>
    <w:rsid w:val="00485890"/>
    <w:rsid w:val="00485B4C"/>
    <w:rsid w:val="0048767A"/>
    <w:rsid w:val="00490CC0"/>
    <w:rsid w:val="00491341"/>
    <w:rsid w:val="0049385A"/>
    <w:rsid w:val="004970E2"/>
    <w:rsid w:val="004A21CF"/>
    <w:rsid w:val="004A7151"/>
    <w:rsid w:val="004A7D96"/>
    <w:rsid w:val="004B065B"/>
    <w:rsid w:val="004B081A"/>
    <w:rsid w:val="004B48B9"/>
    <w:rsid w:val="004B53D7"/>
    <w:rsid w:val="004B5BCA"/>
    <w:rsid w:val="004C21A5"/>
    <w:rsid w:val="004C3A3C"/>
    <w:rsid w:val="004C3B7E"/>
    <w:rsid w:val="004C49C8"/>
    <w:rsid w:val="004D3E79"/>
    <w:rsid w:val="004D44ED"/>
    <w:rsid w:val="004D455E"/>
    <w:rsid w:val="004D4807"/>
    <w:rsid w:val="004D77DC"/>
    <w:rsid w:val="004E2A1F"/>
    <w:rsid w:val="004E422D"/>
    <w:rsid w:val="004E5A72"/>
    <w:rsid w:val="004E6DFC"/>
    <w:rsid w:val="004E7206"/>
    <w:rsid w:val="004F0E4A"/>
    <w:rsid w:val="004F1BF8"/>
    <w:rsid w:val="004F2198"/>
    <w:rsid w:val="004F2A77"/>
    <w:rsid w:val="004F2E7B"/>
    <w:rsid w:val="004F37C3"/>
    <w:rsid w:val="004F3DC8"/>
    <w:rsid w:val="004F5D3A"/>
    <w:rsid w:val="004F63C1"/>
    <w:rsid w:val="0050124F"/>
    <w:rsid w:val="005025D6"/>
    <w:rsid w:val="00506524"/>
    <w:rsid w:val="00507A40"/>
    <w:rsid w:val="00512A30"/>
    <w:rsid w:val="005169BC"/>
    <w:rsid w:val="005178E9"/>
    <w:rsid w:val="00517DC2"/>
    <w:rsid w:val="00517FAC"/>
    <w:rsid w:val="00517FDC"/>
    <w:rsid w:val="00520CB9"/>
    <w:rsid w:val="00521EA1"/>
    <w:rsid w:val="00522447"/>
    <w:rsid w:val="00522A41"/>
    <w:rsid w:val="00522B7D"/>
    <w:rsid w:val="0052375E"/>
    <w:rsid w:val="005267AB"/>
    <w:rsid w:val="00531B29"/>
    <w:rsid w:val="00536E31"/>
    <w:rsid w:val="00537DB4"/>
    <w:rsid w:val="00542B10"/>
    <w:rsid w:val="005453D6"/>
    <w:rsid w:val="00545B04"/>
    <w:rsid w:val="00545DBB"/>
    <w:rsid w:val="005463E9"/>
    <w:rsid w:val="00547F5C"/>
    <w:rsid w:val="00552BF8"/>
    <w:rsid w:val="005537D1"/>
    <w:rsid w:val="005568DE"/>
    <w:rsid w:val="005570D2"/>
    <w:rsid w:val="0055748D"/>
    <w:rsid w:val="0056133F"/>
    <w:rsid w:val="00565092"/>
    <w:rsid w:val="00565515"/>
    <w:rsid w:val="005706C3"/>
    <w:rsid w:val="005715A8"/>
    <w:rsid w:val="00573CEA"/>
    <w:rsid w:val="00575465"/>
    <w:rsid w:val="00577E44"/>
    <w:rsid w:val="0058164F"/>
    <w:rsid w:val="00581BA3"/>
    <w:rsid w:val="00584CDA"/>
    <w:rsid w:val="005903FF"/>
    <w:rsid w:val="0059187A"/>
    <w:rsid w:val="0059375E"/>
    <w:rsid w:val="00597FF5"/>
    <w:rsid w:val="005A196B"/>
    <w:rsid w:val="005A4082"/>
    <w:rsid w:val="005A6689"/>
    <w:rsid w:val="005A7A27"/>
    <w:rsid w:val="005A7F07"/>
    <w:rsid w:val="005B07B0"/>
    <w:rsid w:val="005B0BEC"/>
    <w:rsid w:val="005B20E4"/>
    <w:rsid w:val="005B27E7"/>
    <w:rsid w:val="005B2C01"/>
    <w:rsid w:val="005B4770"/>
    <w:rsid w:val="005B4FD5"/>
    <w:rsid w:val="005B6FEC"/>
    <w:rsid w:val="005C0664"/>
    <w:rsid w:val="005C36F4"/>
    <w:rsid w:val="005C4DC1"/>
    <w:rsid w:val="005C5782"/>
    <w:rsid w:val="005D03DA"/>
    <w:rsid w:val="005D0B08"/>
    <w:rsid w:val="005D10B6"/>
    <w:rsid w:val="005D6026"/>
    <w:rsid w:val="005D66A6"/>
    <w:rsid w:val="005E364B"/>
    <w:rsid w:val="005E5EE4"/>
    <w:rsid w:val="005E7505"/>
    <w:rsid w:val="005E7657"/>
    <w:rsid w:val="005F3073"/>
    <w:rsid w:val="005F443B"/>
    <w:rsid w:val="005F5463"/>
    <w:rsid w:val="005F7F0E"/>
    <w:rsid w:val="00601D72"/>
    <w:rsid w:val="0060239B"/>
    <w:rsid w:val="00602D8D"/>
    <w:rsid w:val="00606B1B"/>
    <w:rsid w:val="00617FF8"/>
    <w:rsid w:val="00624AFB"/>
    <w:rsid w:val="006264FF"/>
    <w:rsid w:val="006272D0"/>
    <w:rsid w:val="00627BCC"/>
    <w:rsid w:val="006316CD"/>
    <w:rsid w:val="006318EC"/>
    <w:rsid w:val="00632F11"/>
    <w:rsid w:val="006337E0"/>
    <w:rsid w:val="00633CC5"/>
    <w:rsid w:val="00633FBC"/>
    <w:rsid w:val="006343F2"/>
    <w:rsid w:val="00637F7D"/>
    <w:rsid w:val="006405BC"/>
    <w:rsid w:val="00641F75"/>
    <w:rsid w:val="00642FA1"/>
    <w:rsid w:val="0064510C"/>
    <w:rsid w:val="00647DAC"/>
    <w:rsid w:val="00654C0C"/>
    <w:rsid w:val="00655895"/>
    <w:rsid w:val="00661CFF"/>
    <w:rsid w:val="00662148"/>
    <w:rsid w:val="00663032"/>
    <w:rsid w:val="00664A51"/>
    <w:rsid w:val="00665D6D"/>
    <w:rsid w:val="00670E9E"/>
    <w:rsid w:val="00670F9E"/>
    <w:rsid w:val="00671794"/>
    <w:rsid w:val="00671F62"/>
    <w:rsid w:val="00674361"/>
    <w:rsid w:val="00674890"/>
    <w:rsid w:val="0067520F"/>
    <w:rsid w:val="0068085D"/>
    <w:rsid w:val="006812A8"/>
    <w:rsid w:val="0068190D"/>
    <w:rsid w:val="00681DF7"/>
    <w:rsid w:val="006827AA"/>
    <w:rsid w:val="006830DE"/>
    <w:rsid w:val="00687C55"/>
    <w:rsid w:val="00692E2D"/>
    <w:rsid w:val="00693652"/>
    <w:rsid w:val="006975A9"/>
    <w:rsid w:val="00697778"/>
    <w:rsid w:val="00697BD5"/>
    <w:rsid w:val="006A163F"/>
    <w:rsid w:val="006A183C"/>
    <w:rsid w:val="006A1A59"/>
    <w:rsid w:val="006A3ED2"/>
    <w:rsid w:val="006A5017"/>
    <w:rsid w:val="006A7611"/>
    <w:rsid w:val="006B0C2A"/>
    <w:rsid w:val="006B2CB6"/>
    <w:rsid w:val="006B350B"/>
    <w:rsid w:val="006B3DB4"/>
    <w:rsid w:val="006B3DFF"/>
    <w:rsid w:val="006B5048"/>
    <w:rsid w:val="006B52B2"/>
    <w:rsid w:val="006B6C13"/>
    <w:rsid w:val="006B6DE5"/>
    <w:rsid w:val="006C016B"/>
    <w:rsid w:val="006C5FD2"/>
    <w:rsid w:val="006C66E7"/>
    <w:rsid w:val="006D04E4"/>
    <w:rsid w:val="006D1D5C"/>
    <w:rsid w:val="006D214B"/>
    <w:rsid w:val="006D31D4"/>
    <w:rsid w:val="006D3CD8"/>
    <w:rsid w:val="006D7DFF"/>
    <w:rsid w:val="006E40EB"/>
    <w:rsid w:val="006E7252"/>
    <w:rsid w:val="006E78EF"/>
    <w:rsid w:val="006F3D43"/>
    <w:rsid w:val="006F7820"/>
    <w:rsid w:val="00700CDE"/>
    <w:rsid w:val="00704E27"/>
    <w:rsid w:val="0070544B"/>
    <w:rsid w:val="00705E88"/>
    <w:rsid w:val="007114CB"/>
    <w:rsid w:val="0071163F"/>
    <w:rsid w:val="007122A1"/>
    <w:rsid w:val="00722CEA"/>
    <w:rsid w:val="00722D2D"/>
    <w:rsid w:val="00724AB6"/>
    <w:rsid w:val="007264E4"/>
    <w:rsid w:val="0072705D"/>
    <w:rsid w:val="00731660"/>
    <w:rsid w:val="00731675"/>
    <w:rsid w:val="00740A9E"/>
    <w:rsid w:val="00741BD6"/>
    <w:rsid w:val="00741E75"/>
    <w:rsid w:val="00742AEC"/>
    <w:rsid w:val="00742CC9"/>
    <w:rsid w:val="00742D4A"/>
    <w:rsid w:val="0074554A"/>
    <w:rsid w:val="00755480"/>
    <w:rsid w:val="00755B75"/>
    <w:rsid w:val="00756120"/>
    <w:rsid w:val="00756738"/>
    <w:rsid w:val="00760B83"/>
    <w:rsid w:val="007612DC"/>
    <w:rsid w:val="00763133"/>
    <w:rsid w:val="00772092"/>
    <w:rsid w:val="00773D16"/>
    <w:rsid w:val="007807EB"/>
    <w:rsid w:val="00781894"/>
    <w:rsid w:val="00782A11"/>
    <w:rsid w:val="00783101"/>
    <w:rsid w:val="00786011"/>
    <w:rsid w:val="00790BD9"/>
    <w:rsid w:val="00792D07"/>
    <w:rsid w:val="0079404C"/>
    <w:rsid w:val="00796EEF"/>
    <w:rsid w:val="00796F0B"/>
    <w:rsid w:val="0079715B"/>
    <w:rsid w:val="00797D23"/>
    <w:rsid w:val="007A1E3D"/>
    <w:rsid w:val="007A2B1F"/>
    <w:rsid w:val="007A2F6D"/>
    <w:rsid w:val="007A3200"/>
    <w:rsid w:val="007A6FC9"/>
    <w:rsid w:val="007B10EC"/>
    <w:rsid w:val="007B13BC"/>
    <w:rsid w:val="007B4927"/>
    <w:rsid w:val="007C1474"/>
    <w:rsid w:val="007C2062"/>
    <w:rsid w:val="007D01E1"/>
    <w:rsid w:val="007D1899"/>
    <w:rsid w:val="007D30CE"/>
    <w:rsid w:val="007D6A78"/>
    <w:rsid w:val="007D6F34"/>
    <w:rsid w:val="007E158A"/>
    <w:rsid w:val="007E3654"/>
    <w:rsid w:val="007E5767"/>
    <w:rsid w:val="007E6106"/>
    <w:rsid w:val="007F00E9"/>
    <w:rsid w:val="007F17EF"/>
    <w:rsid w:val="007F4649"/>
    <w:rsid w:val="007F4FC6"/>
    <w:rsid w:val="007F5637"/>
    <w:rsid w:val="007F5E82"/>
    <w:rsid w:val="008021C5"/>
    <w:rsid w:val="008026CC"/>
    <w:rsid w:val="00813104"/>
    <w:rsid w:val="0081453F"/>
    <w:rsid w:val="00815492"/>
    <w:rsid w:val="00816223"/>
    <w:rsid w:val="0081738A"/>
    <w:rsid w:val="00817840"/>
    <w:rsid w:val="00820249"/>
    <w:rsid w:val="0082056C"/>
    <w:rsid w:val="00820A4D"/>
    <w:rsid w:val="00825863"/>
    <w:rsid w:val="008267A3"/>
    <w:rsid w:val="008332C7"/>
    <w:rsid w:val="008333DB"/>
    <w:rsid w:val="00834C0E"/>
    <w:rsid w:val="00837157"/>
    <w:rsid w:val="008374D6"/>
    <w:rsid w:val="00841CF5"/>
    <w:rsid w:val="00843CD6"/>
    <w:rsid w:val="00844E01"/>
    <w:rsid w:val="0085267B"/>
    <w:rsid w:val="00853F3D"/>
    <w:rsid w:val="00856798"/>
    <w:rsid w:val="00857196"/>
    <w:rsid w:val="00860CD6"/>
    <w:rsid w:val="00861F94"/>
    <w:rsid w:val="00862039"/>
    <w:rsid w:val="0086229C"/>
    <w:rsid w:val="00865B3D"/>
    <w:rsid w:val="00867138"/>
    <w:rsid w:val="00867FB9"/>
    <w:rsid w:val="008739F6"/>
    <w:rsid w:val="00873F97"/>
    <w:rsid w:val="008742B9"/>
    <w:rsid w:val="0087443B"/>
    <w:rsid w:val="00874AD1"/>
    <w:rsid w:val="0087539F"/>
    <w:rsid w:val="00875C0C"/>
    <w:rsid w:val="0088000A"/>
    <w:rsid w:val="00881B9C"/>
    <w:rsid w:val="00882C60"/>
    <w:rsid w:val="00886C75"/>
    <w:rsid w:val="008871B4"/>
    <w:rsid w:val="00887C54"/>
    <w:rsid w:val="00890422"/>
    <w:rsid w:val="00890F6F"/>
    <w:rsid w:val="008931F2"/>
    <w:rsid w:val="00893DAE"/>
    <w:rsid w:val="00893E88"/>
    <w:rsid w:val="008978C3"/>
    <w:rsid w:val="008B10AC"/>
    <w:rsid w:val="008B17DB"/>
    <w:rsid w:val="008B3C1C"/>
    <w:rsid w:val="008B5819"/>
    <w:rsid w:val="008C1464"/>
    <w:rsid w:val="008C48A7"/>
    <w:rsid w:val="008C7B7B"/>
    <w:rsid w:val="008D05A8"/>
    <w:rsid w:val="008D1356"/>
    <w:rsid w:val="008D15C2"/>
    <w:rsid w:val="008D2976"/>
    <w:rsid w:val="008D2B7F"/>
    <w:rsid w:val="008D3D02"/>
    <w:rsid w:val="008E1774"/>
    <w:rsid w:val="008E19EB"/>
    <w:rsid w:val="008F2054"/>
    <w:rsid w:val="008F6004"/>
    <w:rsid w:val="008F661D"/>
    <w:rsid w:val="008F76C1"/>
    <w:rsid w:val="008F7EC0"/>
    <w:rsid w:val="00901610"/>
    <w:rsid w:val="00901C88"/>
    <w:rsid w:val="00904526"/>
    <w:rsid w:val="009071F5"/>
    <w:rsid w:val="00907681"/>
    <w:rsid w:val="00910171"/>
    <w:rsid w:val="009106EF"/>
    <w:rsid w:val="00910F62"/>
    <w:rsid w:val="0091222A"/>
    <w:rsid w:val="009136B9"/>
    <w:rsid w:val="00915332"/>
    <w:rsid w:val="00915DC1"/>
    <w:rsid w:val="0092060E"/>
    <w:rsid w:val="00921748"/>
    <w:rsid w:val="00922CEE"/>
    <w:rsid w:val="0092383B"/>
    <w:rsid w:val="00923F02"/>
    <w:rsid w:val="00924A4B"/>
    <w:rsid w:val="00925117"/>
    <w:rsid w:val="00925DAF"/>
    <w:rsid w:val="00930A98"/>
    <w:rsid w:val="00933AD0"/>
    <w:rsid w:val="00935789"/>
    <w:rsid w:val="00936D3A"/>
    <w:rsid w:val="009407D7"/>
    <w:rsid w:val="009428A0"/>
    <w:rsid w:val="00945359"/>
    <w:rsid w:val="00950F1A"/>
    <w:rsid w:val="00952F7C"/>
    <w:rsid w:val="00953144"/>
    <w:rsid w:val="0095326F"/>
    <w:rsid w:val="00953FD9"/>
    <w:rsid w:val="00956BAB"/>
    <w:rsid w:val="009577CF"/>
    <w:rsid w:val="00957978"/>
    <w:rsid w:val="00962851"/>
    <w:rsid w:val="00963CD8"/>
    <w:rsid w:val="009711C4"/>
    <w:rsid w:val="009712B0"/>
    <w:rsid w:val="00972AE9"/>
    <w:rsid w:val="00972AEE"/>
    <w:rsid w:val="0097579E"/>
    <w:rsid w:val="00982368"/>
    <w:rsid w:val="00987A24"/>
    <w:rsid w:val="00990825"/>
    <w:rsid w:val="00991A11"/>
    <w:rsid w:val="00992998"/>
    <w:rsid w:val="00993133"/>
    <w:rsid w:val="00994A9D"/>
    <w:rsid w:val="0099765C"/>
    <w:rsid w:val="009A1DF0"/>
    <w:rsid w:val="009A4E17"/>
    <w:rsid w:val="009A4E6D"/>
    <w:rsid w:val="009A7171"/>
    <w:rsid w:val="009A7E9B"/>
    <w:rsid w:val="009B1F6E"/>
    <w:rsid w:val="009B2FDC"/>
    <w:rsid w:val="009B3309"/>
    <w:rsid w:val="009B3339"/>
    <w:rsid w:val="009B4165"/>
    <w:rsid w:val="009B5633"/>
    <w:rsid w:val="009B6542"/>
    <w:rsid w:val="009B6688"/>
    <w:rsid w:val="009C0C6B"/>
    <w:rsid w:val="009C27FA"/>
    <w:rsid w:val="009C3282"/>
    <w:rsid w:val="009C5FF6"/>
    <w:rsid w:val="009D06EB"/>
    <w:rsid w:val="009D1834"/>
    <w:rsid w:val="009D3BD8"/>
    <w:rsid w:val="009E1E79"/>
    <w:rsid w:val="009E7AB6"/>
    <w:rsid w:val="009E7DE9"/>
    <w:rsid w:val="009F086B"/>
    <w:rsid w:val="009F1574"/>
    <w:rsid w:val="009F1C6C"/>
    <w:rsid w:val="009F2FE4"/>
    <w:rsid w:val="009F43E8"/>
    <w:rsid w:val="009F5D6B"/>
    <w:rsid w:val="00A018EC"/>
    <w:rsid w:val="00A0320A"/>
    <w:rsid w:val="00A064CD"/>
    <w:rsid w:val="00A11B3A"/>
    <w:rsid w:val="00A127B0"/>
    <w:rsid w:val="00A12D3C"/>
    <w:rsid w:val="00A150DB"/>
    <w:rsid w:val="00A15668"/>
    <w:rsid w:val="00A20864"/>
    <w:rsid w:val="00A23BCF"/>
    <w:rsid w:val="00A23E3B"/>
    <w:rsid w:val="00A258EC"/>
    <w:rsid w:val="00A268A1"/>
    <w:rsid w:val="00A316A5"/>
    <w:rsid w:val="00A31B3B"/>
    <w:rsid w:val="00A40C8F"/>
    <w:rsid w:val="00A422B5"/>
    <w:rsid w:val="00A43648"/>
    <w:rsid w:val="00A44FCC"/>
    <w:rsid w:val="00A50FB9"/>
    <w:rsid w:val="00A51C82"/>
    <w:rsid w:val="00A54C5E"/>
    <w:rsid w:val="00A646D0"/>
    <w:rsid w:val="00A6717B"/>
    <w:rsid w:val="00A72516"/>
    <w:rsid w:val="00A7418F"/>
    <w:rsid w:val="00A76F43"/>
    <w:rsid w:val="00A777E7"/>
    <w:rsid w:val="00A77CB6"/>
    <w:rsid w:val="00A80388"/>
    <w:rsid w:val="00A80E73"/>
    <w:rsid w:val="00A823FF"/>
    <w:rsid w:val="00A836FB"/>
    <w:rsid w:val="00A859A8"/>
    <w:rsid w:val="00A862E9"/>
    <w:rsid w:val="00A87251"/>
    <w:rsid w:val="00A90DC4"/>
    <w:rsid w:val="00A91070"/>
    <w:rsid w:val="00A91252"/>
    <w:rsid w:val="00A93FD1"/>
    <w:rsid w:val="00A94112"/>
    <w:rsid w:val="00A95AC7"/>
    <w:rsid w:val="00AA0363"/>
    <w:rsid w:val="00AA1641"/>
    <w:rsid w:val="00AA2338"/>
    <w:rsid w:val="00AB170D"/>
    <w:rsid w:val="00AB52D0"/>
    <w:rsid w:val="00AB6C61"/>
    <w:rsid w:val="00AC0E30"/>
    <w:rsid w:val="00AC59F6"/>
    <w:rsid w:val="00AC6432"/>
    <w:rsid w:val="00AC6696"/>
    <w:rsid w:val="00AC6A87"/>
    <w:rsid w:val="00AC7050"/>
    <w:rsid w:val="00AC770F"/>
    <w:rsid w:val="00AC7D31"/>
    <w:rsid w:val="00AD3F3D"/>
    <w:rsid w:val="00AE39AA"/>
    <w:rsid w:val="00AE4750"/>
    <w:rsid w:val="00AE4CB1"/>
    <w:rsid w:val="00AE5748"/>
    <w:rsid w:val="00AF15A7"/>
    <w:rsid w:val="00AF71FD"/>
    <w:rsid w:val="00B04AC6"/>
    <w:rsid w:val="00B04E2D"/>
    <w:rsid w:val="00B12731"/>
    <w:rsid w:val="00B13563"/>
    <w:rsid w:val="00B13A68"/>
    <w:rsid w:val="00B24A54"/>
    <w:rsid w:val="00B24C04"/>
    <w:rsid w:val="00B25C7D"/>
    <w:rsid w:val="00B27531"/>
    <w:rsid w:val="00B31FDB"/>
    <w:rsid w:val="00B33817"/>
    <w:rsid w:val="00B341C9"/>
    <w:rsid w:val="00B34AF9"/>
    <w:rsid w:val="00B36C2D"/>
    <w:rsid w:val="00B36F99"/>
    <w:rsid w:val="00B374A3"/>
    <w:rsid w:val="00B376EB"/>
    <w:rsid w:val="00B37F98"/>
    <w:rsid w:val="00B407FA"/>
    <w:rsid w:val="00B40BFB"/>
    <w:rsid w:val="00B4385E"/>
    <w:rsid w:val="00B45FAF"/>
    <w:rsid w:val="00B46F3B"/>
    <w:rsid w:val="00B501A1"/>
    <w:rsid w:val="00B53B62"/>
    <w:rsid w:val="00B53F59"/>
    <w:rsid w:val="00B540F2"/>
    <w:rsid w:val="00B561E8"/>
    <w:rsid w:val="00B61A39"/>
    <w:rsid w:val="00B7088F"/>
    <w:rsid w:val="00B72DAB"/>
    <w:rsid w:val="00B730CA"/>
    <w:rsid w:val="00B74E00"/>
    <w:rsid w:val="00B77AE8"/>
    <w:rsid w:val="00B77D97"/>
    <w:rsid w:val="00B82201"/>
    <w:rsid w:val="00B87CE8"/>
    <w:rsid w:val="00B9191E"/>
    <w:rsid w:val="00B92CFA"/>
    <w:rsid w:val="00B93BE1"/>
    <w:rsid w:val="00B97683"/>
    <w:rsid w:val="00BA00DD"/>
    <w:rsid w:val="00BA3C6D"/>
    <w:rsid w:val="00BA4B94"/>
    <w:rsid w:val="00BA5203"/>
    <w:rsid w:val="00BA667D"/>
    <w:rsid w:val="00BA6A88"/>
    <w:rsid w:val="00BB42E1"/>
    <w:rsid w:val="00BB5B2C"/>
    <w:rsid w:val="00BB667B"/>
    <w:rsid w:val="00BB7E6B"/>
    <w:rsid w:val="00BC3B80"/>
    <w:rsid w:val="00BD0AFB"/>
    <w:rsid w:val="00BD26C5"/>
    <w:rsid w:val="00BD476F"/>
    <w:rsid w:val="00BD4C15"/>
    <w:rsid w:val="00BD4DA6"/>
    <w:rsid w:val="00BD7A4B"/>
    <w:rsid w:val="00BD7F85"/>
    <w:rsid w:val="00BE13A8"/>
    <w:rsid w:val="00BE1EC7"/>
    <w:rsid w:val="00BE2134"/>
    <w:rsid w:val="00BE3684"/>
    <w:rsid w:val="00BE6638"/>
    <w:rsid w:val="00BE7534"/>
    <w:rsid w:val="00BF10FF"/>
    <w:rsid w:val="00BF5AD0"/>
    <w:rsid w:val="00BF604F"/>
    <w:rsid w:val="00BF746D"/>
    <w:rsid w:val="00BF7572"/>
    <w:rsid w:val="00C00488"/>
    <w:rsid w:val="00C03BD8"/>
    <w:rsid w:val="00C069F8"/>
    <w:rsid w:val="00C1088B"/>
    <w:rsid w:val="00C11573"/>
    <w:rsid w:val="00C12939"/>
    <w:rsid w:val="00C1492B"/>
    <w:rsid w:val="00C168B0"/>
    <w:rsid w:val="00C179F6"/>
    <w:rsid w:val="00C22CE3"/>
    <w:rsid w:val="00C23902"/>
    <w:rsid w:val="00C256C9"/>
    <w:rsid w:val="00C263AF"/>
    <w:rsid w:val="00C26E03"/>
    <w:rsid w:val="00C31982"/>
    <w:rsid w:val="00C31992"/>
    <w:rsid w:val="00C33081"/>
    <w:rsid w:val="00C334CE"/>
    <w:rsid w:val="00C356B9"/>
    <w:rsid w:val="00C35A7E"/>
    <w:rsid w:val="00C35A86"/>
    <w:rsid w:val="00C40E50"/>
    <w:rsid w:val="00C40EA5"/>
    <w:rsid w:val="00C4163F"/>
    <w:rsid w:val="00C4319C"/>
    <w:rsid w:val="00C47DDC"/>
    <w:rsid w:val="00C50DAC"/>
    <w:rsid w:val="00C523D0"/>
    <w:rsid w:val="00C52633"/>
    <w:rsid w:val="00C5357E"/>
    <w:rsid w:val="00C56269"/>
    <w:rsid w:val="00C651C3"/>
    <w:rsid w:val="00C67029"/>
    <w:rsid w:val="00C67885"/>
    <w:rsid w:val="00C710F5"/>
    <w:rsid w:val="00C71C46"/>
    <w:rsid w:val="00C72FCB"/>
    <w:rsid w:val="00C73C2D"/>
    <w:rsid w:val="00C748C0"/>
    <w:rsid w:val="00C804AC"/>
    <w:rsid w:val="00C8194F"/>
    <w:rsid w:val="00C844D5"/>
    <w:rsid w:val="00C85D94"/>
    <w:rsid w:val="00C932DF"/>
    <w:rsid w:val="00C93E59"/>
    <w:rsid w:val="00CA6ECF"/>
    <w:rsid w:val="00CA74FC"/>
    <w:rsid w:val="00CB4965"/>
    <w:rsid w:val="00CB60A3"/>
    <w:rsid w:val="00CC0738"/>
    <w:rsid w:val="00CC1D53"/>
    <w:rsid w:val="00CC2473"/>
    <w:rsid w:val="00CC3099"/>
    <w:rsid w:val="00CC48FD"/>
    <w:rsid w:val="00CC6DA8"/>
    <w:rsid w:val="00CC6E1F"/>
    <w:rsid w:val="00CD0D0A"/>
    <w:rsid w:val="00CD1331"/>
    <w:rsid w:val="00CD2C01"/>
    <w:rsid w:val="00CD36F1"/>
    <w:rsid w:val="00CD3D4F"/>
    <w:rsid w:val="00CD3DDA"/>
    <w:rsid w:val="00CD5AFF"/>
    <w:rsid w:val="00CD5C60"/>
    <w:rsid w:val="00CD706F"/>
    <w:rsid w:val="00CD7709"/>
    <w:rsid w:val="00CD7BE1"/>
    <w:rsid w:val="00CE0193"/>
    <w:rsid w:val="00CE18E7"/>
    <w:rsid w:val="00CE34FD"/>
    <w:rsid w:val="00CE492F"/>
    <w:rsid w:val="00CE671D"/>
    <w:rsid w:val="00CF0BA3"/>
    <w:rsid w:val="00CF5527"/>
    <w:rsid w:val="00CF7C9E"/>
    <w:rsid w:val="00D001A4"/>
    <w:rsid w:val="00D00A05"/>
    <w:rsid w:val="00D02B9B"/>
    <w:rsid w:val="00D03724"/>
    <w:rsid w:val="00D03AB7"/>
    <w:rsid w:val="00D16919"/>
    <w:rsid w:val="00D17B75"/>
    <w:rsid w:val="00D219CF"/>
    <w:rsid w:val="00D26257"/>
    <w:rsid w:val="00D2792C"/>
    <w:rsid w:val="00D32333"/>
    <w:rsid w:val="00D35125"/>
    <w:rsid w:val="00D37487"/>
    <w:rsid w:val="00D4351B"/>
    <w:rsid w:val="00D43652"/>
    <w:rsid w:val="00D47C65"/>
    <w:rsid w:val="00D553B5"/>
    <w:rsid w:val="00D57329"/>
    <w:rsid w:val="00D5775C"/>
    <w:rsid w:val="00D577EA"/>
    <w:rsid w:val="00D57F90"/>
    <w:rsid w:val="00D602F1"/>
    <w:rsid w:val="00D608F5"/>
    <w:rsid w:val="00D62A96"/>
    <w:rsid w:val="00D6323F"/>
    <w:rsid w:val="00D64541"/>
    <w:rsid w:val="00D64F7A"/>
    <w:rsid w:val="00D65302"/>
    <w:rsid w:val="00D6622C"/>
    <w:rsid w:val="00D70638"/>
    <w:rsid w:val="00D74E96"/>
    <w:rsid w:val="00D75FF4"/>
    <w:rsid w:val="00D80EAD"/>
    <w:rsid w:val="00D847FA"/>
    <w:rsid w:val="00D84A90"/>
    <w:rsid w:val="00D85B21"/>
    <w:rsid w:val="00D86EC1"/>
    <w:rsid w:val="00D87048"/>
    <w:rsid w:val="00D9159A"/>
    <w:rsid w:val="00D91C87"/>
    <w:rsid w:val="00D920E0"/>
    <w:rsid w:val="00D92188"/>
    <w:rsid w:val="00D934A5"/>
    <w:rsid w:val="00D95B78"/>
    <w:rsid w:val="00D96D83"/>
    <w:rsid w:val="00D974EF"/>
    <w:rsid w:val="00DA0B2B"/>
    <w:rsid w:val="00DB0710"/>
    <w:rsid w:val="00DB3208"/>
    <w:rsid w:val="00DB360F"/>
    <w:rsid w:val="00DB4775"/>
    <w:rsid w:val="00DB58A1"/>
    <w:rsid w:val="00DC0029"/>
    <w:rsid w:val="00DC1A2C"/>
    <w:rsid w:val="00DC316B"/>
    <w:rsid w:val="00DC584A"/>
    <w:rsid w:val="00DC6794"/>
    <w:rsid w:val="00DD2792"/>
    <w:rsid w:val="00DD2A76"/>
    <w:rsid w:val="00DD2F33"/>
    <w:rsid w:val="00DD34CB"/>
    <w:rsid w:val="00DD436D"/>
    <w:rsid w:val="00DD6458"/>
    <w:rsid w:val="00DE0AA9"/>
    <w:rsid w:val="00DE30B5"/>
    <w:rsid w:val="00DE77B3"/>
    <w:rsid w:val="00DE7FCA"/>
    <w:rsid w:val="00DF022C"/>
    <w:rsid w:val="00DF246A"/>
    <w:rsid w:val="00DF327D"/>
    <w:rsid w:val="00DF47F1"/>
    <w:rsid w:val="00DF57C0"/>
    <w:rsid w:val="00DF587C"/>
    <w:rsid w:val="00E00F80"/>
    <w:rsid w:val="00E04F74"/>
    <w:rsid w:val="00E1775E"/>
    <w:rsid w:val="00E20391"/>
    <w:rsid w:val="00E20509"/>
    <w:rsid w:val="00E21FE1"/>
    <w:rsid w:val="00E247CF"/>
    <w:rsid w:val="00E24D3B"/>
    <w:rsid w:val="00E30D0F"/>
    <w:rsid w:val="00E342C7"/>
    <w:rsid w:val="00E351FD"/>
    <w:rsid w:val="00E35B90"/>
    <w:rsid w:val="00E40CE0"/>
    <w:rsid w:val="00E43DFD"/>
    <w:rsid w:val="00E4573C"/>
    <w:rsid w:val="00E45D85"/>
    <w:rsid w:val="00E45F35"/>
    <w:rsid w:val="00E47060"/>
    <w:rsid w:val="00E52F04"/>
    <w:rsid w:val="00E543FF"/>
    <w:rsid w:val="00E560C1"/>
    <w:rsid w:val="00E565C5"/>
    <w:rsid w:val="00E60C79"/>
    <w:rsid w:val="00E610AC"/>
    <w:rsid w:val="00E6127B"/>
    <w:rsid w:val="00E6172D"/>
    <w:rsid w:val="00E64BB5"/>
    <w:rsid w:val="00E6611A"/>
    <w:rsid w:val="00E6611D"/>
    <w:rsid w:val="00E70939"/>
    <w:rsid w:val="00E70D34"/>
    <w:rsid w:val="00E71707"/>
    <w:rsid w:val="00E732B1"/>
    <w:rsid w:val="00E7379D"/>
    <w:rsid w:val="00E746C6"/>
    <w:rsid w:val="00E7589D"/>
    <w:rsid w:val="00E8181F"/>
    <w:rsid w:val="00E824D5"/>
    <w:rsid w:val="00E94FE2"/>
    <w:rsid w:val="00E96BC1"/>
    <w:rsid w:val="00E96CF4"/>
    <w:rsid w:val="00E9761B"/>
    <w:rsid w:val="00EA4862"/>
    <w:rsid w:val="00EA5013"/>
    <w:rsid w:val="00EA531D"/>
    <w:rsid w:val="00EA7D29"/>
    <w:rsid w:val="00EB0455"/>
    <w:rsid w:val="00EB0E0D"/>
    <w:rsid w:val="00EB19E9"/>
    <w:rsid w:val="00EB5B70"/>
    <w:rsid w:val="00EB61BE"/>
    <w:rsid w:val="00EB61DA"/>
    <w:rsid w:val="00EB6A9D"/>
    <w:rsid w:val="00EC07EF"/>
    <w:rsid w:val="00EC15BA"/>
    <w:rsid w:val="00EC26C8"/>
    <w:rsid w:val="00EC389A"/>
    <w:rsid w:val="00EC4973"/>
    <w:rsid w:val="00EC5C04"/>
    <w:rsid w:val="00ED0AA3"/>
    <w:rsid w:val="00ED2078"/>
    <w:rsid w:val="00ED3CBB"/>
    <w:rsid w:val="00ED4656"/>
    <w:rsid w:val="00ED567F"/>
    <w:rsid w:val="00ED68B2"/>
    <w:rsid w:val="00EE1C34"/>
    <w:rsid w:val="00EE5565"/>
    <w:rsid w:val="00EE635C"/>
    <w:rsid w:val="00EF0139"/>
    <w:rsid w:val="00EF1078"/>
    <w:rsid w:val="00EF3EC3"/>
    <w:rsid w:val="00EF67D4"/>
    <w:rsid w:val="00EF6C1E"/>
    <w:rsid w:val="00F01849"/>
    <w:rsid w:val="00F05AFE"/>
    <w:rsid w:val="00F07E6F"/>
    <w:rsid w:val="00F11B2C"/>
    <w:rsid w:val="00F12FE9"/>
    <w:rsid w:val="00F13A95"/>
    <w:rsid w:val="00F164B6"/>
    <w:rsid w:val="00F1704A"/>
    <w:rsid w:val="00F20BBE"/>
    <w:rsid w:val="00F24C32"/>
    <w:rsid w:val="00F2728B"/>
    <w:rsid w:val="00F34952"/>
    <w:rsid w:val="00F34DC5"/>
    <w:rsid w:val="00F37772"/>
    <w:rsid w:val="00F40C10"/>
    <w:rsid w:val="00F4179C"/>
    <w:rsid w:val="00F422FE"/>
    <w:rsid w:val="00F44A79"/>
    <w:rsid w:val="00F44F12"/>
    <w:rsid w:val="00F450CD"/>
    <w:rsid w:val="00F46206"/>
    <w:rsid w:val="00F512E3"/>
    <w:rsid w:val="00F51934"/>
    <w:rsid w:val="00F51EBB"/>
    <w:rsid w:val="00F54AAC"/>
    <w:rsid w:val="00F564F8"/>
    <w:rsid w:val="00F56CD1"/>
    <w:rsid w:val="00F60B1D"/>
    <w:rsid w:val="00F64E71"/>
    <w:rsid w:val="00F66E8A"/>
    <w:rsid w:val="00F6786A"/>
    <w:rsid w:val="00F715DA"/>
    <w:rsid w:val="00F716CC"/>
    <w:rsid w:val="00F736E6"/>
    <w:rsid w:val="00F7376F"/>
    <w:rsid w:val="00F76805"/>
    <w:rsid w:val="00F85211"/>
    <w:rsid w:val="00F86AA1"/>
    <w:rsid w:val="00F86F90"/>
    <w:rsid w:val="00F9164F"/>
    <w:rsid w:val="00F93255"/>
    <w:rsid w:val="00F936F1"/>
    <w:rsid w:val="00F94EDD"/>
    <w:rsid w:val="00F9504B"/>
    <w:rsid w:val="00F963B6"/>
    <w:rsid w:val="00F965FA"/>
    <w:rsid w:val="00F96E23"/>
    <w:rsid w:val="00FA017D"/>
    <w:rsid w:val="00FA1BA3"/>
    <w:rsid w:val="00FA3CAA"/>
    <w:rsid w:val="00FA77AE"/>
    <w:rsid w:val="00FB1A91"/>
    <w:rsid w:val="00FB368F"/>
    <w:rsid w:val="00FB3EC2"/>
    <w:rsid w:val="00FB7672"/>
    <w:rsid w:val="00FC3A4A"/>
    <w:rsid w:val="00FC5FA9"/>
    <w:rsid w:val="00FC7924"/>
    <w:rsid w:val="00FD1FB0"/>
    <w:rsid w:val="00FD2815"/>
    <w:rsid w:val="00FD2AFB"/>
    <w:rsid w:val="00FD4B86"/>
    <w:rsid w:val="00FE3E0A"/>
    <w:rsid w:val="00FE5E77"/>
    <w:rsid w:val="00FE632C"/>
    <w:rsid w:val="00FE774D"/>
    <w:rsid w:val="00FF0CC8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7925F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E0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Pr>
      <w:b/>
      <w:bCs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paragraph" w:customStyle="1" w:styleId="FindingsConclusions">
    <w:name w:val="Findings &amp; Conclusions"/>
    <w:basedOn w:val="Normal"/>
    <w:pPr>
      <w:numPr>
        <w:numId w:val="7"/>
      </w:numPr>
    </w:pPr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8D15C2"/>
    <w:pPr>
      <w:numPr>
        <w:numId w:val="11"/>
      </w:numPr>
      <w:spacing w:after="120"/>
    </w:pPr>
    <w:rPr>
      <w:rFonts w:ascii="Arial" w:hAnsi="Arial"/>
      <w:sz w:val="22"/>
      <w:szCs w:val="20"/>
    </w:rPr>
  </w:style>
  <w:style w:type="paragraph" w:styleId="FootnoteText">
    <w:name w:val="footnote text"/>
    <w:basedOn w:val="Normal"/>
    <w:link w:val="FootnoteTextChar"/>
    <w:rsid w:val="00D26257"/>
    <w:rPr>
      <w:sz w:val="20"/>
      <w:szCs w:val="20"/>
    </w:rPr>
  </w:style>
  <w:style w:type="character" w:styleId="FootnoteReference">
    <w:name w:val="footnote reference"/>
    <w:uiPriority w:val="99"/>
    <w:rsid w:val="00D26257"/>
    <w:rPr>
      <w:vertAlign w:val="superscript"/>
    </w:rPr>
  </w:style>
  <w:style w:type="paragraph" w:styleId="BodyText3">
    <w:name w:val="Body Text 3"/>
    <w:basedOn w:val="Normal"/>
    <w:rsid w:val="00D26257"/>
    <w:pPr>
      <w:spacing w:after="120"/>
    </w:pPr>
    <w:rPr>
      <w:sz w:val="16"/>
      <w:szCs w:val="16"/>
    </w:rPr>
  </w:style>
  <w:style w:type="character" w:styleId="Hyperlink">
    <w:name w:val="Hyperlink"/>
    <w:rsid w:val="00E351FD"/>
    <w:rPr>
      <w:color w:val="0000FF"/>
      <w:u w:val="single"/>
    </w:rPr>
  </w:style>
  <w:style w:type="paragraph" w:styleId="BodyTextIndent2">
    <w:name w:val="Body Text Indent 2"/>
    <w:basedOn w:val="Normal"/>
    <w:rsid w:val="00CE0193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06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30D0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31992"/>
    <w:rPr>
      <w:sz w:val="16"/>
      <w:szCs w:val="16"/>
    </w:rPr>
  </w:style>
  <w:style w:type="paragraph" w:styleId="CommentText">
    <w:name w:val="annotation text"/>
    <w:basedOn w:val="Normal"/>
    <w:semiHidden/>
    <w:rsid w:val="00C319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1992"/>
    <w:rPr>
      <w:b/>
      <w:bCs/>
    </w:rPr>
  </w:style>
  <w:style w:type="paragraph" w:styleId="NormalWeb">
    <w:name w:val="Normal (Web)"/>
    <w:basedOn w:val="Normal"/>
    <w:rsid w:val="008D2976"/>
    <w:pPr>
      <w:spacing w:before="100" w:beforeAutospacing="1" w:after="100" w:afterAutospacing="1"/>
    </w:pPr>
  </w:style>
  <w:style w:type="table" w:styleId="TableGrid">
    <w:name w:val="Table Grid"/>
    <w:basedOn w:val="TableNormal"/>
    <w:rsid w:val="00552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E24D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24D3B"/>
  </w:style>
  <w:style w:type="character" w:styleId="EndnoteReference">
    <w:name w:val="endnote reference"/>
    <w:rsid w:val="00E24D3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60239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239B"/>
    <w:rPr>
      <w:rFonts w:ascii="Consolas" w:eastAsia="Calibri" w:hAnsi="Consolas"/>
      <w:sz w:val="21"/>
      <w:szCs w:val="21"/>
    </w:rPr>
  </w:style>
  <w:style w:type="character" w:styleId="FollowedHyperlink">
    <w:name w:val="FollowedHyperlink"/>
    <w:rsid w:val="000D471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46E8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rsid w:val="00AD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D9F21E3CFC5B438D9AB2D89105AC9A" ma:contentTypeVersion="143" ma:contentTypeDescription="" ma:contentTypeScope="" ma:versionID="a25e33c894f75fa3ed5312c1eb087c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2011-10-28T07:00:00+00:00</OpenedDate>
    <Date1 xmlns="dc463f71-b30c-4ab2-9473-d307f9d35888">2014-07-31T07:00:00+00:00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111881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785D60-01F3-4B3A-B4CA-154D35960240}"/>
</file>

<file path=customXml/itemProps2.xml><?xml version="1.0" encoding="utf-8"?>
<ds:datastoreItem xmlns:ds="http://schemas.openxmlformats.org/officeDocument/2006/customXml" ds:itemID="{254687C0-D2FD-4678-9BF1-7B014F0563A2}"/>
</file>

<file path=customXml/itemProps3.xml><?xml version="1.0" encoding="utf-8"?>
<ds:datastoreItem xmlns:ds="http://schemas.openxmlformats.org/officeDocument/2006/customXml" ds:itemID="{FF3A43F0-0AAF-462C-9015-907E50BC1B03}"/>
</file>

<file path=customXml/itemProps4.xml><?xml version="1.0" encoding="utf-8"?>
<ds:datastoreItem xmlns:ds="http://schemas.openxmlformats.org/officeDocument/2006/customXml" ds:itemID="{F04C89C2-82A4-4E44-80AF-36F174136556}"/>
</file>

<file path=customXml/itemProps5.xml><?xml version="1.0" encoding="utf-8"?>
<ds:datastoreItem xmlns:ds="http://schemas.openxmlformats.org/officeDocument/2006/customXml" ds:itemID="{83A1C030-3276-4FDF-B317-A06B440AF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4234</Characters>
  <Application>Microsoft Office Word</Application>
  <DocSecurity>0</DocSecurity>
  <Lines>35</Lines>
  <Paragraphs>9</Paragraphs>
  <ScaleCrop>false</ScaleCrop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2014-07-31T20:33:00Z</dcterms:created>
  <dcterms:modified xsi:type="dcterms:W3CDTF">2014-07-31T20:33:00Z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ve To">
    <vt:lpwstr/>
  </property>
  <property fmtid="{D5CDD505-2E9C-101B-9397-08002B2CF9AE}" pid="3" name="Move Item">
    <vt:lpwstr>0</vt:lpwstr>
  </property>
  <property fmtid="{D5CDD505-2E9C-101B-9397-08002B2CF9AE}" pid="4" name="ContentTypeId">
    <vt:lpwstr>0x0101006E56B4D1795A2E4DB2F0B01679ED314A0081D9F21E3CFC5B438D9AB2D89105AC9A</vt:lpwstr>
  </property>
  <property fmtid="{D5CDD505-2E9C-101B-9397-08002B2CF9AE}" pid="5" name="Document Type">
    <vt:lpwstr>Order</vt:lpwstr>
  </property>
  <property fmtid="{D5CDD505-2E9C-101B-9397-08002B2CF9AE}" pid="6" name="Status">
    <vt:lpwstr>Final</vt:lpwstr>
  </property>
  <property fmtid="{D5CDD505-2E9C-101B-9397-08002B2CF9AE}" pid="7" name="Item ID">
    <vt:lpwstr>2</vt:lpwstr>
  </property>
  <property fmtid="{D5CDD505-2E9C-101B-9397-08002B2CF9AE}" pid="8" name="_docset_NoMedatataSyncRequired">
    <vt:lpwstr>False</vt:lpwstr>
  </property>
</Properties>
</file>