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53C" w:rsidRPr="00245FEE" w:rsidRDefault="0049253C" w:rsidP="0049253C">
      <w:pPr>
        <w:spacing w:after="0"/>
        <w:ind w:left="5580" w:hanging="900"/>
        <w:rPr>
          <w:rFonts w:ascii="Times New Roman" w:hAnsi="Times New Roman"/>
          <w:b/>
          <w:bCs/>
          <w:sz w:val="24"/>
          <w:szCs w:val="24"/>
          <w:lang w:val="fr-FR"/>
        </w:rPr>
      </w:pPr>
      <w:r>
        <w:rPr>
          <w:rFonts w:ascii="Times New Roman" w:hAnsi="Times New Roman"/>
          <w:b/>
          <w:bCs/>
          <w:sz w:val="24"/>
          <w:szCs w:val="24"/>
          <w:lang w:val="fr-FR"/>
        </w:rPr>
        <w:t>Exhibit</w:t>
      </w:r>
      <w:r w:rsidRPr="00245FEE">
        <w:rPr>
          <w:rFonts w:ascii="Times New Roman" w:hAnsi="Times New Roman"/>
          <w:b/>
          <w:bCs/>
          <w:sz w:val="24"/>
          <w:szCs w:val="24"/>
          <w:lang w:val="fr-FR"/>
        </w:rPr>
        <w:t xml:space="preserve"> </w:t>
      </w:r>
      <w:r>
        <w:rPr>
          <w:rFonts w:ascii="Times New Roman" w:hAnsi="Times New Roman"/>
          <w:b/>
          <w:bCs/>
          <w:sz w:val="24"/>
          <w:szCs w:val="24"/>
          <w:lang w:val="fr-FR"/>
        </w:rPr>
        <w:t>No. DN-3THC</w:t>
      </w:r>
    </w:p>
    <w:p w:rsidR="0049253C" w:rsidRPr="00245FEE" w:rsidRDefault="0049253C" w:rsidP="0049253C">
      <w:pPr>
        <w:spacing w:after="0" w:line="240" w:lineRule="auto"/>
        <w:ind w:left="5580" w:hanging="900"/>
        <w:rPr>
          <w:rFonts w:ascii="Times New Roman" w:hAnsi="Times New Roman"/>
          <w:b/>
          <w:bCs/>
          <w:sz w:val="24"/>
          <w:szCs w:val="24"/>
        </w:rPr>
      </w:pPr>
      <w:r w:rsidRPr="00245FEE">
        <w:rPr>
          <w:rFonts w:ascii="Times New Roman" w:hAnsi="Times New Roman"/>
          <w:b/>
          <w:bCs/>
          <w:sz w:val="24"/>
          <w:szCs w:val="24"/>
        </w:rPr>
        <w:t>Docket</w:t>
      </w:r>
      <w:r>
        <w:rPr>
          <w:rFonts w:ascii="Times New Roman" w:hAnsi="Times New Roman"/>
          <w:b/>
          <w:bCs/>
          <w:sz w:val="24"/>
          <w:szCs w:val="24"/>
        </w:rPr>
        <w:t xml:space="preserve">s </w:t>
      </w:r>
      <w:r w:rsidRPr="00245FEE">
        <w:rPr>
          <w:rFonts w:ascii="Times New Roman" w:hAnsi="Times New Roman"/>
          <w:b/>
          <w:bCs/>
          <w:sz w:val="24"/>
          <w:szCs w:val="24"/>
        </w:rPr>
        <w:t>UE-090</w:t>
      </w:r>
      <w:r>
        <w:rPr>
          <w:rFonts w:ascii="Times New Roman" w:hAnsi="Times New Roman"/>
          <w:b/>
          <w:bCs/>
          <w:sz w:val="24"/>
          <w:szCs w:val="24"/>
        </w:rPr>
        <w:t>704/UG-090705</w:t>
      </w:r>
    </w:p>
    <w:p w:rsidR="0049253C" w:rsidRDefault="0049253C" w:rsidP="0049253C">
      <w:pPr>
        <w:spacing w:after="0" w:line="240" w:lineRule="auto"/>
        <w:ind w:left="5580" w:hanging="900"/>
        <w:rPr>
          <w:rFonts w:ascii="Times New Roman" w:hAnsi="Times New Roman"/>
          <w:b/>
          <w:bCs/>
          <w:sz w:val="24"/>
          <w:szCs w:val="24"/>
        </w:rPr>
      </w:pPr>
      <w:r w:rsidRPr="00245FEE">
        <w:rPr>
          <w:rFonts w:ascii="Times New Roman" w:hAnsi="Times New Roman"/>
          <w:b/>
          <w:bCs/>
          <w:sz w:val="24"/>
          <w:szCs w:val="24"/>
        </w:rPr>
        <w:t>Witness:  David Nightingale</w:t>
      </w:r>
    </w:p>
    <w:p w:rsidR="0049253C" w:rsidRPr="00245FEE" w:rsidRDefault="000C4C7B" w:rsidP="0049253C">
      <w:pPr>
        <w:spacing w:after="0" w:line="240" w:lineRule="auto"/>
        <w:ind w:left="5580" w:hanging="900"/>
        <w:rPr>
          <w:rFonts w:ascii="Times New Roman" w:hAnsi="Times New Roman"/>
          <w:b/>
          <w:bCs/>
          <w:sz w:val="24"/>
          <w:szCs w:val="24"/>
        </w:rPr>
      </w:pPr>
      <w:r>
        <w:rPr>
          <w:rFonts w:ascii="Times New Roman" w:hAnsi="Times New Roman"/>
          <w:b/>
          <w:bCs/>
          <w:sz w:val="24"/>
          <w:szCs w:val="24"/>
        </w:rPr>
        <w:t xml:space="preserve">REDACTED </w:t>
      </w:r>
      <w:r w:rsidR="0049253C">
        <w:rPr>
          <w:rFonts w:ascii="Times New Roman" w:hAnsi="Times New Roman"/>
          <w:b/>
          <w:bCs/>
          <w:sz w:val="24"/>
          <w:szCs w:val="24"/>
        </w:rPr>
        <w:t>VERSION</w:t>
      </w:r>
    </w:p>
    <w:p w:rsidR="0049253C" w:rsidRPr="00245FEE" w:rsidRDefault="0049253C" w:rsidP="0049253C">
      <w:pPr>
        <w:tabs>
          <w:tab w:val="center" w:pos="4680"/>
        </w:tabs>
        <w:spacing w:after="0" w:line="240" w:lineRule="auto"/>
        <w:ind w:right="-108" w:hanging="180"/>
        <w:rPr>
          <w:rFonts w:ascii="Times New Roman" w:hAnsi="Times New Roman"/>
          <w:b/>
          <w:sz w:val="24"/>
          <w:szCs w:val="24"/>
        </w:rPr>
      </w:pPr>
    </w:p>
    <w:p w:rsidR="0049253C" w:rsidRPr="00245FEE" w:rsidRDefault="0049253C" w:rsidP="0049253C">
      <w:pPr>
        <w:tabs>
          <w:tab w:val="center" w:pos="4680"/>
        </w:tabs>
        <w:spacing w:after="0" w:line="240" w:lineRule="auto"/>
        <w:ind w:right="-108" w:hanging="180"/>
        <w:rPr>
          <w:rFonts w:ascii="Times New Roman" w:hAnsi="Times New Roman"/>
          <w:b/>
          <w:sz w:val="24"/>
          <w:szCs w:val="24"/>
        </w:rPr>
      </w:pPr>
    </w:p>
    <w:p w:rsidR="0049253C" w:rsidRPr="00245FEE" w:rsidRDefault="0049253C" w:rsidP="0049253C">
      <w:pPr>
        <w:tabs>
          <w:tab w:val="center" w:pos="4680"/>
        </w:tabs>
        <w:spacing w:after="0" w:line="240" w:lineRule="auto"/>
        <w:ind w:right="-108" w:hanging="180"/>
        <w:rPr>
          <w:rFonts w:ascii="Times New Roman" w:hAnsi="Times New Roman"/>
          <w:b/>
          <w:sz w:val="24"/>
          <w:szCs w:val="24"/>
        </w:rPr>
      </w:pPr>
    </w:p>
    <w:p w:rsidR="0049253C" w:rsidRPr="00245FEE" w:rsidRDefault="0049253C" w:rsidP="0049253C">
      <w:pPr>
        <w:tabs>
          <w:tab w:val="center" w:pos="4680"/>
        </w:tabs>
        <w:spacing w:after="0" w:line="240" w:lineRule="auto"/>
        <w:ind w:right="-108" w:hanging="180"/>
        <w:jc w:val="center"/>
        <w:rPr>
          <w:rFonts w:ascii="Times New Roman" w:hAnsi="Times New Roman"/>
          <w:b/>
          <w:sz w:val="24"/>
          <w:szCs w:val="24"/>
        </w:rPr>
      </w:pPr>
      <w:r w:rsidRPr="00245FEE">
        <w:rPr>
          <w:rFonts w:ascii="Times New Roman" w:hAnsi="Times New Roman"/>
          <w:b/>
          <w:sz w:val="24"/>
          <w:szCs w:val="24"/>
        </w:rPr>
        <w:t>BEFORE THE WASHINGTON STATE</w:t>
      </w:r>
    </w:p>
    <w:p w:rsidR="0049253C" w:rsidRPr="00245FEE" w:rsidRDefault="0049253C" w:rsidP="0049253C">
      <w:pPr>
        <w:tabs>
          <w:tab w:val="center" w:pos="4680"/>
        </w:tabs>
        <w:spacing w:after="0" w:line="240" w:lineRule="auto"/>
        <w:ind w:right="-108" w:hanging="180"/>
        <w:jc w:val="center"/>
        <w:rPr>
          <w:rFonts w:ascii="Times New Roman" w:hAnsi="Times New Roman"/>
          <w:b/>
          <w:sz w:val="24"/>
          <w:szCs w:val="24"/>
        </w:rPr>
      </w:pPr>
      <w:r w:rsidRPr="00245FEE">
        <w:rPr>
          <w:rFonts w:ascii="Times New Roman" w:hAnsi="Times New Roman"/>
          <w:b/>
          <w:sz w:val="24"/>
          <w:szCs w:val="24"/>
        </w:rPr>
        <w:t>UTILITIES AND TRANSPORTATION COMMISSION</w:t>
      </w:r>
    </w:p>
    <w:p w:rsidR="0049253C" w:rsidRPr="00245FEE" w:rsidRDefault="0049253C" w:rsidP="0049253C">
      <w:pPr>
        <w:spacing w:after="0" w:line="240" w:lineRule="auto"/>
        <w:jc w:val="both"/>
        <w:rPr>
          <w:rFonts w:ascii="Times New Roman" w:hAnsi="Times New Roman"/>
          <w:b/>
          <w:sz w:val="24"/>
          <w:szCs w:val="24"/>
        </w:rPr>
      </w:pPr>
    </w:p>
    <w:p w:rsidR="0049253C" w:rsidRPr="00245FEE" w:rsidRDefault="0049253C" w:rsidP="0049253C">
      <w:pPr>
        <w:spacing w:after="0" w:line="240" w:lineRule="auto"/>
        <w:jc w:val="both"/>
        <w:rPr>
          <w:rFonts w:ascii="Times New Roman" w:hAnsi="Times New Roman"/>
          <w:b/>
          <w:sz w:val="24"/>
          <w:szCs w:val="24"/>
        </w:rPr>
      </w:pPr>
    </w:p>
    <w:tbl>
      <w:tblPr>
        <w:tblW w:w="0" w:type="auto"/>
        <w:tblInd w:w="124" w:type="dxa"/>
        <w:tblLayout w:type="fixed"/>
        <w:tblCellMar>
          <w:left w:w="124" w:type="dxa"/>
          <w:right w:w="124" w:type="dxa"/>
        </w:tblCellMar>
        <w:tblLook w:val="0000"/>
      </w:tblPr>
      <w:tblGrid>
        <w:gridCol w:w="4590"/>
        <w:gridCol w:w="4590"/>
      </w:tblGrid>
      <w:tr w:rsidR="0049253C" w:rsidRPr="00245FEE" w:rsidTr="004272F4">
        <w:tc>
          <w:tcPr>
            <w:tcW w:w="4590" w:type="dxa"/>
            <w:tcBorders>
              <w:top w:val="single" w:sz="6" w:space="0" w:color="FFFFFF"/>
              <w:left w:val="single" w:sz="6" w:space="0" w:color="FFFFFF"/>
              <w:bottom w:val="single" w:sz="6" w:space="0" w:color="000000"/>
              <w:right w:val="single" w:sz="6" w:space="0" w:color="FFFFFF"/>
            </w:tcBorders>
          </w:tcPr>
          <w:p w:rsidR="0049253C" w:rsidRPr="00245FEE" w:rsidRDefault="0049253C" w:rsidP="004272F4">
            <w:pPr>
              <w:spacing w:after="0" w:line="240" w:lineRule="auto"/>
              <w:rPr>
                <w:rFonts w:ascii="Times New Roman" w:hAnsi="Times New Roman"/>
                <w:b/>
                <w:sz w:val="24"/>
                <w:szCs w:val="24"/>
              </w:rPr>
            </w:pPr>
            <w:r w:rsidRPr="00245FEE">
              <w:rPr>
                <w:rFonts w:ascii="Times New Roman" w:hAnsi="Times New Roman"/>
                <w:b/>
                <w:sz w:val="24"/>
                <w:szCs w:val="24"/>
              </w:rPr>
              <w:t xml:space="preserve">WASHINGTON UTILITIES AND TRANSPORTATION COMMISSION, </w:t>
            </w:r>
          </w:p>
          <w:p w:rsidR="0049253C" w:rsidRPr="00245FEE" w:rsidRDefault="0049253C" w:rsidP="004272F4">
            <w:pPr>
              <w:spacing w:after="0" w:line="240" w:lineRule="auto"/>
              <w:rPr>
                <w:rFonts w:ascii="Times New Roman" w:hAnsi="Times New Roman"/>
                <w:b/>
                <w:sz w:val="24"/>
                <w:szCs w:val="24"/>
              </w:rPr>
            </w:pPr>
          </w:p>
          <w:p w:rsidR="0049253C" w:rsidRPr="00245FEE" w:rsidRDefault="0049253C" w:rsidP="004272F4">
            <w:pPr>
              <w:spacing w:after="0" w:line="240" w:lineRule="auto"/>
              <w:rPr>
                <w:rFonts w:ascii="Times New Roman" w:hAnsi="Times New Roman"/>
                <w:b/>
                <w:sz w:val="24"/>
                <w:szCs w:val="24"/>
              </w:rPr>
            </w:pPr>
            <w:r w:rsidRPr="00245FEE">
              <w:rPr>
                <w:rFonts w:ascii="Times New Roman" w:hAnsi="Times New Roman"/>
                <w:b/>
                <w:sz w:val="24"/>
                <w:szCs w:val="24"/>
              </w:rPr>
              <w:tab/>
            </w:r>
            <w:r w:rsidRPr="00245FEE">
              <w:rPr>
                <w:rFonts w:ascii="Times New Roman" w:hAnsi="Times New Roman"/>
                <w:b/>
                <w:sz w:val="24"/>
                <w:szCs w:val="24"/>
              </w:rPr>
              <w:tab/>
              <w:t>Complainant,</w:t>
            </w:r>
          </w:p>
          <w:p w:rsidR="0049253C" w:rsidRPr="00245FEE" w:rsidRDefault="0049253C" w:rsidP="004272F4">
            <w:pPr>
              <w:spacing w:after="0" w:line="240" w:lineRule="auto"/>
              <w:rPr>
                <w:rFonts w:ascii="Times New Roman" w:hAnsi="Times New Roman"/>
                <w:b/>
                <w:sz w:val="24"/>
                <w:szCs w:val="24"/>
              </w:rPr>
            </w:pPr>
          </w:p>
          <w:p w:rsidR="0049253C" w:rsidRPr="00245FEE" w:rsidRDefault="0049253C" w:rsidP="004272F4">
            <w:pPr>
              <w:spacing w:after="0" w:line="240" w:lineRule="auto"/>
              <w:rPr>
                <w:rFonts w:ascii="Times New Roman" w:hAnsi="Times New Roman"/>
                <w:b/>
                <w:sz w:val="24"/>
                <w:szCs w:val="24"/>
              </w:rPr>
            </w:pPr>
            <w:r w:rsidRPr="00245FEE">
              <w:rPr>
                <w:rFonts w:ascii="Times New Roman" w:hAnsi="Times New Roman"/>
                <w:b/>
                <w:sz w:val="24"/>
                <w:szCs w:val="24"/>
              </w:rPr>
              <w:t>v.</w:t>
            </w:r>
          </w:p>
          <w:p w:rsidR="0049253C" w:rsidRPr="00245FEE" w:rsidRDefault="0049253C" w:rsidP="004272F4">
            <w:pPr>
              <w:spacing w:after="0" w:line="240" w:lineRule="auto"/>
              <w:rPr>
                <w:rFonts w:ascii="Times New Roman" w:hAnsi="Times New Roman"/>
                <w:b/>
                <w:sz w:val="24"/>
                <w:szCs w:val="24"/>
              </w:rPr>
            </w:pPr>
          </w:p>
          <w:p w:rsidR="0049253C" w:rsidRPr="00245FEE" w:rsidRDefault="0049253C" w:rsidP="004272F4">
            <w:pPr>
              <w:spacing w:after="0" w:line="240" w:lineRule="auto"/>
              <w:rPr>
                <w:rFonts w:ascii="Times New Roman" w:hAnsi="Times New Roman"/>
                <w:b/>
                <w:sz w:val="24"/>
                <w:szCs w:val="24"/>
              </w:rPr>
            </w:pPr>
            <w:r>
              <w:rPr>
                <w:rFonts w:ascii="Times New Roman" w:hAnsi="Times New Roman"/>
                <w:b/>
                <w:sz w:val="24"/>
                <w:szCs w:val="24"/>
              </w:rPr>
              <w:t>PUGET SOUND ENERGY</w:t>
            </w:r>
            <w:r w:rsidRPr="00245FEE">
              <w:rPr>
                <w:rFonts w:ascii="Times New Roman" w:hAnsi="Times New Roman"/>
                <w:b/>
                <w:sz w:val="24"/>
                <w:szCs w:val="24"/>
              </w:rPr>
              <w:t>,</w:t>
            </w:r>
            <w:r>
              <w:rPr>
                <w:rFonts w:ascii="Times New Roman" w:hAnsi="Times New Roman"/>
                <w:b/>
                <w:sz w:val="24"/>
                <w:szCs w:val="24"/>
              </w:rPr>
              <w:t xml:space="preserve"> INC.,</w:t>
            </w:r>
            <w:r w:rsidRPr="00245FEE">
              <w:rPr>
                <w:rFonts w:ascii="Times New Roman" w:hAnsi="Times New Roman"/>
                <w:b/>
                <w:sz w:val="24"/>
                <w:szCs w:val="24"/>
              </w:rPr>
              <w:t xml:space="preserve"> </w:t>
            </w:r>
          </w:p>
          <w:p w:rsidR="0049253C" w:rsidRPr="00245FEE" w:rsidRDefault="0049253C" w:rsidP="004272F4">
            <w:pPr>
              <w:spacing w:after="0" w:line="240" w:lineRule="auto"/>
              <w:rPr>
                <w:rFonts w:ascii="Times New Roman" w:hAnsi="Times New Roman"/>
                <w:b/>
                <w:sz w:val="24"/>
                <w:szCs w:val="24"/>
              </w:rPr>
            </w:pPr>
          </w:p>
          <w:p w:rsidR="0049253C" w:rsidRPr="00245FEE" w:rsidRDefault="0049253C" w:rsidP="004272F4">
            <w:pPr>
              <w:spacing w:after="0" w:line="240" w:lineRule="auto"/>
              <w:rPr>
                <w:rFonts w:ascii="Times New Roman" w:hAnsi="Times New Roman"/>
                <w:b/>
                <w:sz w:val="24"/>
                <w:szCs w:val="24"/>
              </w:rPr>
            </w:pPr>
            <w:r w:rsidRPr="00245FEE">
              <w:rPr>
                <w:rFonts w:ascii="Times New Roman" w:hAnsi="Times New Roman"/>
                <w:b/>
                <w:sz w:val="24"/>
                <w:szCs w:val="24"/>
              </w:rPr>
              <w:tab/>
            </w:r>
            <w:r w:rsidRPr="00245FEE">
              <w:rPr>
                <w:rFonts w:ascii="Times New Roman" w:hAnsi="Times New Roman"/>
                <w:b/>
                <w:sz w:val="24"/>
                <w:szCs w:val="24"/>
              </w:rPr>
              <w:tab/>
              <w:t>Respondent.</w:t>
            </w:r>
          </w:p>
          <w:p w:rsidR="0049253C" w:rsidRPr="00245FEE" w:rsidRDefault="0049253C" w:rsidP="004272F4">
            <w:pPr>
              <w:spacing w:after="0" w:line="240" w:lineRule="auto"/>
              <w:rPr>
                <w:rFonts w:ascii="Times New Roman" w:hAnsi="Times New Roman"/>
                <w:b/>
                <w:sz w:val="24"/>
                <w:szCs w:val="24"/>
              </w:rPr>
            </w:pPr>
          </w:p>
        </w:tc>
        <w:tc>
          <w:tcPr>
            <w:tcW w:w="4590" w:type="dxa"/>
            <w:tcBorders>
              <w:top w:val="single" w:sz="6" w:space="0" w:color="FFFFFF"/>
              <w:left w:val="single" w:sz="6" w:space="0" w:color="000000"/>
              <w:bottom w:val="single" w:sz="6" w:space="0" w:color="FFFFFF"/>
              <w:right w:val="single" w:sz="6" w:space="0" w:color="FFFFFF"/>
            </w:tcBorders>
          </w:tcPr>
          <w:p w:rsidR="0049253C" w:rsidRPr="00245FEE" w:rsidRDefault="0049253C" w:rsidP="004272F4">
            <w:pPr>
              <w:spacing w:after="0" w:line="240" w:lineRule="auto"/>
              <w:ind w:firstLine="720"/>
              <w:rPr>
                <w:rFonts w:ascii="Times New Roman" w:hAnsi="Times New Roman"/>
                <w:b/>
                <w:sz w:val="24"/>
                <w:szCs w:val="24"/>
              </w:rPr>
            </w:pPr>
            <w:r w:rsidRPr="00245FEE">
              <w:rPr>
                <w:rFonts w:ascii="Times New Roman" w:hAnsi="Times New Roman"/>
                <w:b/>
                <w:sz w:val="24"/>
                <w:szCs w:val="24"/>
              </w:rPr>
              <w:t>DOCKET UE-090</w:t>
            </w:r>
            <w:r>
              <w:rPr>
                <w:rFonts w:ascii="Times New Roman" w:hAnsi="Times New Roman"/>
                <w:b/>
                <w:sz w:val="24"/>
                <w:szCs w:val="24"/>
              </w:rPr>
              <w:t>704</w:t>
            </w:r>
          </w:p>
          <w:p w:rsidR="0049253C" w:rsidRPr="00245FEE" w:rsidRDefault="0049253C" w:rsidP="004272F4">
            <w:pPr>
              <w:spacing w:after="0" w:line="240" w:lineRule="auto"/>
              <w:rPr>
                <w:rFonts w:ascii="Times New Roman" w:hAnsi="Times New Roman"/>
                <w:b/>
                <w:sz w:val="24"/>
                <w:szCs w:val="24"/>
              </w:rPr>
            </w:pPr>
          </w:p>
          <w:p w:rsidR="0049253C" w:rsidRPr="00245FEE" w:rsidRDefault="0049253C" w:rsidP="004272F4">
            <w:pPr>
              <w:spacing w:after="0" w:line="240" w:lineRule="auto"/>
              <w:ind w:left="720"/>
              <w:rPr>
                <w:rFonts w:ascii="Times New Roman" w:hAnsi="Times New Roman"/>
                <w:b/>
                <w:sz w:val="24"/>
                <w:szCs w:val="24"/>
              </w:rPr>
            </w:pPr>
            <w:r>
              <w:rPr>
                <w:rFonts w:ascii="Times New Roman" w:hAnsi="Times New Roman"/>
                <w:b/>
                <w:sz w:val="24"/>
                <w:szCs w:val="24"/>
              </w:rPr>
              <w:t>DOCKET UG-090705</w:t>
            </w:r>
          </w:p>
          <w:p w:rsidR="0049253C" w:rsidRPr="00245FEE" w:rsidRDefault="0049253C" w:rsidP="004272F4">
            <w:pPr>
              <w:spacing w:after="0" w:line="240" w:lineRule="auto"/>
              <w:ind w:left="720"/>
              <w:rPr>
                <w:rFonts w:ascii="Times New Roman" w:hAnsi="Times New Roman"/>
                <w:b/>
                <w:sz w:val="24"/>
                <w:szCs w:val="24"/>
              </w:rPr>
            </w:pPr>
          </w:p>
          <w:p w:rsidR="0049253C" w:rsidRPr="00245FEE" w:rsidRDefault="0049253C" w:rsidP="004272F4">
            <w:pPr>
              <w:spacing w:after="0" w:line="240" w:lineRule="auto"/>
              <w:ind w:left="720"/>
              <w:rPr>
                <w:rFonts w:ascii="Times New Roman" w:hAnsi="Times New Roman"/>
                <w:b/>
                <w:sz w:val="24"/>
                <w:szCs w:val="24"/>
              </w:rPr>
            </w:pPr>
          </w:p>
        </w:tc>
      </w:tr>
    </w:tbl>
    <w:p w:rsidR="0049253C" w:rsidRPr="00245FEE" w:rsidRDefault="0049253C" w:rsidP="0049253C">
      <w:pPr>
        <w:spacing w:after="0" w:line="240" w:lineRule="auto"/>
        <w:jc w:val="both"/>
        <w:rPr>
          <w:rFonts w:ascii="Times New Roman" w:hAnsi="Times New Roman"/>
          <w:b/>
          <w:sz w:val="24"/>
          <w:szCs w:val="24"/>
        </w:rPr>
      </w:pPr>
    </w:p>
    <w:p w:rsidR="0049253C" w:rsidRPr="00245FEE" w:rsidRDefault="0049253C" w:rsidP="0049253C">
      <w:pPr>
        <w:tabs>
          <w:tab w:val="left" w:pos="-1440"/>
        </w:tabs>
        <w:spacing w:after="0" w:line="240" w:lineRule="auto"/>
        <w:ind w:left="720" w:hanging="720"/>
        <w:rPr>
          <w:rFonts w:ascii="Times New Roman" w:hAnsi="Times New Roman"/>
          <w:b/>
          <w:sz w:val="24"/>
          <w:szCs w:val="24"/>
        </w:rPr>
      </w:pPr>
    </w:p>
    <w:p w:rsidR="0049253C" w:rsidRDefault="0049253C" w:rsidP="0049253C">
      <w:pPr>
        <w:tabs>
          <w:tab w:val="center" w:pos="4680"/>
        </w:tabs>
        <w:spacing w:after="0" w:line="240" w:lineRule="auto"/>
        <w:jc w:val="center"/>
        <w:rPr>
          <w:rFonts w:ascii="Times New Roman" w:hAnsi="Times New Roman"/>
          <w:b/>
          <w:bCs/>
          <w:sz w:val="24"/>
          <w:szCs w:val="24"/>
        </w:rPr>
      </w:pPr>
      <w:r>
        <w:rPr>
          <w:rFonts w:ascii="Times New Roman" w:hAnsi="Times New Roman"/>
          <w:b/>
          <w:bCs/>
          <w:sz w:val="24"/>
          <w:szCs w:val="24"/>
        </w:rPr>
        <w:t xml:space="preserve">CROSS-ANSWERING </w:t>
      </w:r>
      <w:r w:rsidRPr="00245FEE">
        <w:rPr>
          <w:rFonts w:ascii="Times New Roman" w:hAnsi="Times New Roman"/>
          <w:b/>
          <w:bCs/>
          <w:sz w:val="24"/>
          <w:szCs w:val="24"/>
        </w:rPr>
        <w:t>TESTIMONY</w:t>
      </w:r>
    </w:p>
    <w:p w:rsidR="0049253C" w:rsidRDefault="0049253C" w:rsidP="0049253C">
      <w:pPr>
        <w:tabs>
          <w:tab w:val="center" w:pos="4680"/>
        </w:tabs>
        <w:spacing w:after="0" w:line="240" w:lineRule="auto"/>
        <w:jc w:val="center"/>
        <w:rPr>
          <w:rFonts w:ascii="Times New Roman" w:hAnsi="Times New Roman"/>
          <w:b/>
          <w:bCs/>
          <w:sz w:val="24"/>
          <w:szCs w:val="24"/>
        </w:rPr>
      </w:pPr>
    </w:p>
    <w:p w:rsidR="0049253C" w:rsidRPr="00245FEE" w:rsidRDefault="0049253C" w:rsidP="0049253C">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OF</w:t>
      </w:r>
    </w:p>
    <w:p w:rsidR="0049253C" w:rsidRPr="00245FEE" w:rsidRDefault="0049253C" w:rsidP="0049253C">
      <w:pPr>
        <w:spacing w:after="0" w:line="240" w:lineRule="auto"/>
        <w:jc w:val="center"/>
        <w:rPr>
          <w:rFonts w:ascii="Times New Roman" w:hAnsi="Times New Roman"/>
          <w:b/>
          <w:bCs/>
          <w:sz w:val="24"/>
          <w:szCs w:val="24"/>
        </w:rPr>
      </w:pPr>
    </w:p>
    <w:p w:rsidR="0049253C" w:rsidRPr="00245FEE" w:rsidRDefault="0049253C" w:rsidP="0049253C">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DAVID NIGHTINGALE</w:t>
      </w:r>
    </w:p>
    <w:p w:rsidR="0049253C" w:rsidRPr="00245FEE" w:rsidRDefault="0049253C" w:rsidP="0049253C">
      <w:pPr>
        <w:tabs>
          <w:tab w:val="center" w:pos="4680"/>
        </w:tabs>
        <w:spacing w:after="0" w:line="240" w:lineRule="auto"/>
        <w:jc w:val="center"/>
        <w:rPr>
          <w:rFonts w:ascii="Times New Roman" w:hAnsi="Times New Roman"/>
          <w:b/>
          <w:bCs/>
          <w:sz w:val="24"/>
          <w:szCs w:val="24"/>
        </w:rPr>
      </w:pPr>
    </w:p>
    <w:p w:rsidR="0049253C" w:rsidRDefault="0049253C" w:rsidP="0049253C">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STAFF</w:t>
      </w:r>
    </w:p>
    <w:p w:rsidR="0049253C" w:rsidRDefault="0049253C" w:rsidP="0049253C">
      <w:pPr>
        <w:tabs>
          <w:tab w:val="center" w:pos="4680"/>
        </w:tabs>
        <w:spacing w:after="0" w:line="240" w:lineRule="auto"/>
        <w:jc w:val="center"/>
        <w:rPr>
          <w:rFonts w:ascii="Times New Roman" w:hAnsi="Times New Roman"/>
          <w:b/>
          <w:bCs/>
          <w:sz w:val="24"/>
          <w:szCs w:val="24"/>
        </w:rPr>
      </w:pPr>
    </w:p>
    <w:p w:rsidR="0049253C" w:rsidRDefault="0049253C" w:rsidP="0049253C">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OF</w:t>
      </w:r>
    </w:p>
    <w:p w:rsidR="0049253C" w:rsidRPr="00245FEE" w:rsidRDefault="0049253C" w:rsidP="0049253C">
      <w:pPr>
        <w:tabs>
          <w:tab w:val="center" w:pos="4680"/>
        </w:tabs>
        <w:spacing w:after="0" w:line="240" w:lineRule="auto"/>
        <w:jc w:val="center"/>
        <w:rPr>
          <w:rFonts w:ascii="Times New Roman" w:hAnsi="Times New Roman"/>
          <w:b/>
          <w:bCs/>
          <w:sz w:val="24"/>
          <w:szCs w:val="24"/>
        </w:rPr>
      </w:pPr>
    </w:p>
    <w:p w:rsidR="0049253C" w:rsidRPr="00245FEE" w:rsidRDefault="0049253C" w:rsidP="0049253C">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WASHINGTON UTILITIES AND</w:t>
      </w:r>
    </w:p>
    <w:p w:rsidR="0049253C" w:rsidRPr="00245FEE" w:rsidRDefault="0049253C" w:rsidP="0049253C">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TRANSPORTATION COMMISSION</w:t>
      </w:r>
    </w:p>
    <w:p w:rsidR="0049253C" w:rsidRPr="00245FEE" w:rsidRDefault="0049253C" w:rsidP="0049253C">
      <w:pPr>
        <w:tabs>
          <w:tab w:val="center" w:pos="4680"/>
        </w:tabs>
        <w:spacing w:after="0" w:line="240" w:lineRule="auto"/>
        <w:jc w:val="center"/>
        <w:rPr>
          <w:rFonts w:ascii="Times New Roman" w:hAnsi="Times New Roman"/>
          <w:b/>
          <w:bCs/>
          <w:sz w:val="24"/>
          <w:szCs w:val="24"/>
        </w:rPr>
      </w:pPr>
    </w:p>
    <w:p w:rsidR="0049253C" w:rsidRPr="00245FEE" w:rsidRDefault="005F3C64" w:rsidP="0049253C">
      <w:pPr>
        <w:spacing w:after="0" w:line="240" w:lineRule="auto"/>
        <w:jc w:val="center"/>
        <w:rPr>
          <w:rFonts w:ascii="Times New Roman" w:hAnsi="Times New Roman"/>
          <w:b/>
          <w:bCs/>
          <w:i/>
          <w:sz w:val="24"/>
          <w:szCs w:val="24"/>
        </w:rPr>
      </w:pPr>
      <w:r>
        <w:rPr>
          <w:rFonts w:ascii="Times New Roman" w:hAnsi="Times New Roman"/>
          <w:b/>
          <w:bCs/>
          <w:i/>
          <w:sz w:val="24"/>
          <w:szCs w:val="24"/>
        </w:rPr>
        <w:t>Answering the Testimony of Public Counsel on Mint Farm Prudence</w:t>
      </w:r>
    </w:p>
    <w:p w:rsidR="0049253C" w:rsidRPr="00245FEE" w:rsidRDefault="0049253C" w:rsidP="0049253C">
      <w:pPr>
        <w:spacing w:after="0" w:line="240" w:lineRule="auto"/>
        <w:jc w:val="center"/>
        <w:rPr>
          <w:rFonts w:ascii="Times New Roman" w:hAnsi="Times New Roman"/>
          <w:b/>
          <w:bCs/>
          <w:sz w:val="24"/>
          <w:szCs w:val="24"/>
        </w:rPr>
      </w:pPr>
    </w:p>
    <w:p w:rsidR="0049253C" w:rsidRPr="00245FEE" w:rsidRDefault="0049253C" w:rsidP="0049253C">
      <w:pPr>
        <w:spacing w:after="0" w:line="240" w:lineRule="auto"/>
        <w:jc w:val="center"/>
        <w:rPr>
          <w:rFonts w:ascii="Times New Roman" w:hAnsi="Times New Roman"/>
          <w:b/>
          <w:bCs/>
          <w:sz w:val="24"/>
          <w:szCs w:val="24"/>
        </w:rPr>
      </w:pPr>
    </w:p>
    <w:p w:rsidR="0049253C" w:rsidRDefault="0049253C" w:rsidP="0049253C">
      <w:pPr>
        <w:tabs>
          <w:tab w:val="center" w:pos="4680"/>
        </w:tabs>
        <w:spacing w:after="0" w:line="240" w:lineRule="auto"/>
        <w:jc w:val="center"/>
        <w:rPr>
          <w:rFonts w:ascii="Times New Roman" w:hAnsi="Times New Roman"/>
          <w:b/>
          <w:bCs/>
          <w:sz w:val="24"/>
          <w:szCs w:val="24"/>
        </w:rPr>
      </w:pPr>
      <w:r>
        <w:rPr>
          <w:rFonts w:ascii="Times New Roman" w:hAnsi="Times New Roman"/>
          <w:b/>
          <w:bCs/>
          <w:sz w:val="24"/>
          <w:szCs w:val="24"/>
        </w:rPr>
        <w:t>December</w:t>
      </w:r>
      <w:r w:rsidRPr="00245FEE">
        <w:rPr>
          <w:rFonts w:ascii="Times New Roman" w:hAnsi="Times New Roman"/>
          <w:b/>
          <w:bCs/>
          <w:sz w:val="24"/>
          <w:szCs w:val="24"/>
        </w:rPr>
        <w:t xml:space="preserve"> </w:t>
      </w:r>
      <w:r>
        <w:rPr>
          <w:rFonts w:ascii="Times New Roman" w:hAnsi="Times New Roman"/>
          <w:b/>
          <w:bCs/>
          <w:sz w:val="24"/>
          <w:szCs w:val="24"/>
        </w:rPr>
        <w:t>17</w:t>
      </w:r>
      <w:r w:rsidRPr="00245FEE">
        <w:rPr>
          <w:rFonts w:ascii="Times New Roman" w:hAnsi="Times New Roman"/>
          <w:b/>
          <w:bCs/>
          <w:sz w:val="24"/>
          <w:szCs w:val="24"/>
        </w:rPr>
        <w:t>, 2009</w:t>
      </w:r>
    </w:p>
    <w:p w:rsidR="00405788" w:rsidRDefault="00405788" w:rsidP="0049253C">
      <w:pPr>
        <w:tabs>
          <w:tab w:val="center" w:pos="4680"/>
        </w:tabs>
        <w:spacing w:after="0" w:line="240" w:lineRule="auto"/>
        <w:jc w:val="center"/>
        <w:rPr>
          <w:rFonts w:ascii="Times New Roman" w:hAnsi="Times New Roman"/>
          <w:b/>
          <w:bCs/>
          <w:sz w:val="24"/>
          <w:szCs w:val="24"/>
        </w:rPr>
      </w:pPr>
    </w:p>
    <w:p w:rsidR="00405788" w:rsidRDefault="00405788" w:rsidP="0049253C">
      <w:pPr>
        <w:tabs>
          <w:tab w:val="center" w:pos="4680"/>
        </w:tabs>
        <w:spacing w:after="0" w:line="240" w:lineRule="auto"/>
        <w:jc w:val="center"/>
        <w:rPr>
          <w:rFonts w:ascii="Times New Roman" w:hAnsi="Times New Roman"/>
          <w:b/>
          <w:bCs/>
          <w:sz w:val="24"/>
          <w:szCs w:val="24"/>
        </w:rPr>
      </w:pPr>
    </w:p>
    <w:p w:rsidR="00405788" w:rsidRDefault="00405788" w:rsidP="00405788">
      <w:pPr>
        <w:pStyle w:val="Footer"/>
        <w:jc w:val="center"/>
        <w:rPr>
          <w:rFonts w:ascii="Times New Roman" w:hAnsi="Times New Roman"/>
          <w:b/>
          <w:sz w:val="24"/>
          <w:szCs w:val="24"/>
        </w:rPr>
      </w:pPr>
      <w:r>
        <w:rPr>
          <w:rFonts w:ascii="Times New Roman" w:hAnsi="Times New Roman"/>
          <w:b/>
          <w:sz w:val="24"/>
          <w:szCs w:val="24"/>
        </w:rPr>
        <w:t xml:space="preserve">HIGHLY </w:t>
      </w:r>
      <w:r w:rsidRPr="00EC4F99">
        <w:rPr>
          <w:rFonts w:ascii="Times New Roman" w:hAnsi="Times New Roman"/>
          <w:b/>
          <w:sz w:val="24"/>
          <w:szCs w:val="24"/>
        </w:rPr>
        <w:t>CONFIDENTIAL PER PROTECTIVE ORDER</w:t>
      </w:r>
    </w:p>
    <w:p w:rsidR="000C4C7B" w:rsidRPr="00EC4F99" w:rsidRDefault="000C4C7B" w:rsidP="00405788">
      <w:pPr>
        <w:pStyle w:val="Footer"/>
        <w:jc w:val="center"/>
        <w:rPr>
          <w:rFonts w:ascii="Times New Roman" w:hAnsi="Times New Roman"/>
          <w:b/>
          <w:sz w:val="24"/>
          <w:szCs w:val="24"/>
        </w:rPr>
      </w:pPr>
      <w:r>
        <w:rPr>
          <w:rFonts w:ascii="Times New Roman" w:hAnsi="Times New Roman"/>
          <w:b/>
          <w:sz w:val="24"/>
          <w:szCs w:val="24"/>
        </w:rPr>
        <w:t xml:space="preserve">REDACTED VERSION </w:t>
      </w:r>
    </w:p>
    <w:p w:rsidR="00405788" w:rsidRDefault="00405788" w:rsidP="0049253C">
      <w:pPr>
        <w:tabs>
          <w:tab w:val="center" w:pos="4680"/>
        </w:tabs>
        <w:spacing w:after="0" w:line="240" w:lineRule="auto"/>
        <w:jc w:val="center"/>
        <w:rPr>
          <w:rFonts w:ascii="Times New Roman" w:hAnsi="Times New Roman"/>
          <w:b/>
          <w:bCs/>
          <w:sz w:val="24"/>
          <w:szCs w:val="24"/>
        </w:rPr>
      </w:pPr>
    </w:p>
    <w:p w:rsidR="00405788" w:rsidRDefault="00405788" w:rsidP="0049253C">
      <w:pPr>
        <w:tabs>
          <w:tab w:val="center" w:pos="4680"/>
        </w:tabs>
        <w:spacing w:after="0" w:line="240" w:lineRule="auto"/>
        <w:jc w:val="center"/>
        <w:rPr>
          <w:rFonts w:ascii="Times New Roman" w:hAnsi="Times New Roman"/>
          <w:b/>
          <w:bCs/>
          <w:sz w:val="24"/>
          <w:szCs w:val="24"/>
        </w:rPr>
        <w:sectPr w:rsidR="00405788" w:rsidSect="004272F4">
          <w:pgSz w:w="12240" w:h="15840"/>
          <w:pgMar w:top="1440" w:right="1440" w:bottom="720" w:left="1872" w:header="720" w:footer="720" w:gutter="0"/>
          <w:pgNumType w:fmt="lowerRoman" w:start="1"/>
          <w:cols w:space="720"/>
          <w:docGrid w:linePitch="360"/>
        </w:sectPr>
      </w:pPr>
    </w:p>
    <w:p w:rsidR="005F0917" w:rsidRPr="00245FEE" w:rsidRDefault="005F0917" w:rsidP="005F0917">
      <w:pPr>
        <w:tabs>
          <w:tab w:val="left" w:pos="-1440"/>
        </w:tabs>
        <w:spacing w:after="0" w:line="480" w:lineRule="auto"/>
        <w:ind w:left="720" w:hanging="720"/>
        <w:jc w:val="center"/>
        <w:rPr>
          <w:rFonts w:ascii="Times New Roman" w:hAnsi="Times New Roman"/>
          <w:b/>
          <w:sz w:val="24"/>
          <w:szCs w:val="24"/>
        </w:rPr>
      </w:pPr>
      <w:r w:rsidRPr="00245FEE">
        <w:rPr>
          <w:rFonts w:ascii="Times New Roman" w:hAnsi="Times New Roman"/>
          <w:b/>
          <w:sz w:val="24"/>
          <w:szCs w:val="24"/>
        </w:rPr>
        <w:lastRenderedPageBreak/>
        <w:t>I.</w:t>
      </w:r>
      <w:r w:rsidRPr="00245FEE">
        <w:rPr>
          <w:rFonts w:ascii="Times New Roman" w:hAnsi="Times New Roman"/>
          <w:b/>
          <w:sz w:val="24"/>
          <w:szCs w:val="24"/>
        </w:rPr>
        <w:tab/>
        <w:t>INTRODUCTION</w:t>
      </w:r>
    </w:p>
    <w:p w:rsidR="005F0917" w:rsidRPr="00245FEE" w:rsidRDefault="005F0917" w:rsidP="005F0917">
      <w:pPr>
        <w:spacing w:after="0" w:line="480" w:lineRule="auto"/>
        <w:rPr>
          <w:rFonts w:ascii="Times New Roman" w:hAnsi="Times New Roman"/>
          <w:sz w:val="24"/>
          <w:szCs w:val="24"/>
        </w:rPr>
      </w:pPr>
    </w:p>
    <w:p w:rsidR="005F0917" w:rsidRPr="00245FEE" w:rsidRDefault="005F0917" w:rsidP="005F0917">
      <w:pPr>
        <w:tabs>
          <w:tab w:val="left" w:pos="-1440"/>
        </w:tabs>
        <w:spacing w:after="0" w:line="480" w:lineRule="auto"/>
        <w:ind w:left="720" w:hanging="720"/>
        <w:rPr>
          <w:rFonts w:ascii="Times New Roman" w:hAnsi="Times New Roman"/>
          <w:sz w:val="24"/>
          <w:szCs w:val="24"/>
        </w:rPr>
      </w:pPr>
      <w:r w:rsidRPr="00245FEE">
        <w:rPr>
          <w:rFonts w:ascii="Times New Roman" w:hAnsi="Times New Roman"/>
          <w:b/>
          <w:sz w:val="24"/>
          <w:szCs w:val="24"/>
        </w:rPr>
        <w:t>Q.</w:t>
      </w:r>
      <w:r w:rsidRPr="00245FEE">
        <w:rPr>
          <w:rFonts w:ascii="Times New Roman" w:hAnsi="Times New Roman"/>
          <w:b/>
          <w:sz w:val="24"/>
          <w:szCs w:val="24"/>
        </w:rPr>
        <w:tab/>
        <w:t>Please state your name and business address.</w:t>
      </w:r>
    </w:p>
    <w:p w:rsidR="005F0917" w:rsidRPr="00245FEE" w:rsidRDefault="005F0917" w:rsidP="005F0917">
      <w:pPr>
        <w:tabs>
          <w:tab w:val="left" w:pos="-1440"/>
        </w:tabs>
        <w:spacing w:after="0" w:line="480" w:lineRule="auto"/>
        <w:ind w:left="720" w:hanging="720"/>
        <w:rPr>
          <w:rFonts w:ascii="Times New Roman" w:hAnsi="Times New Roman"/>
          <w:sz w:val="24"/>
          <w:szCs w:val="24"/>
        </w:rPr>
      </w:pPr>
      <w:r w:rsidRPr="00245FEE">
        <w:rPr>
          <w:rFonts w:ascii="Times New Roman" w:hAnsi="Times New Roman"/>
          <w:sz w:val="24"/>
          <w:szCs w:val="24"/>
        </w:rPr>
        <w:t>A.</w:t>
      </w:r>
      <w:r w:rsidRPr="00245FEE">
        <w:rPr>
          <w:rFonts w:ascii="Times New Roman" w:hAnsi="Times New Roman"/>
          <w:sz w:val="24"/>
          <w:szCs w:val="24"/>
        </w:rPr>
        <w:tab/>
        <w:t>My name is David Nightingale.  My business address is the Richard Hemstad Building, 1300 South Evergreen Park Drive SW, Olympia, Washington, 98504-7250.</w:t>
      </w:r>
    </w:p>
    <w:p w:rsidR="005F0917" w:rsidRPr="00245FEE" w:rsidRDefault="005F0917" w:rsidP="005F0917">
      <w:pPr>
        <w:tabs>
          <w:tab w:val="left" w:pos="-1440"/>
        </w:tabs>
        <w:spacing w:after="0" w:line="480" w:lineRule="auto"/>
        <w:ind w:left="720" w:hanging="720"/>
        <w:rPr>
          <w:rFonts w:ascii="Times New Roman" w:hAnsi="Times New Roman"/>
          <w:sz w:val="24"/>
          <w:szCs w:val="24"/>
        </w:rPr>
      </w:pPr>
    </w:p>
    <w:p w:rsidR="005F0917" w:rsidRPr="00245FEE" w:rsidRDefault="005F0917" w:rsidP="005F0917">
      <w:pPr>
        <w:tabs>
          <w:tab w:val="left" w:pos="-1440"/>
        </w:tabs>
        <w:spacing w:after="0" w:line="480" w:lineRule="auto"/>
        <w:ind w:left="720" w:hanging="720"/>
        <w:rPr>
          <w:rFonts w:ascii="Times New Roman" w:hAnsi="Times New Roman"/>
          <w:sz w:val="24"/>
          <w:szCs w:val="24"/>
        </w:rPr>
      </w:pPr>
      <w:r w:rsidRPr="00245FEE">
        <w:rPr>
          <w:rFonts w:ascii="Times New Roman" w:hAnsi="Times New Roman"/>
          <w:b/>
          <w:sz w:val="24"/>
          <w:szCs w:val="24"/>
        </w:rPr>
        <w:t>Q.</w:t>
      </w:r>
      <w:r w:rsidRPr="00245FEE">
        <w:rPr>
          <w:rFonts w:ascii="Times New Roman" w:hAnsi="Times New Roman"/>
          <w:b/>
          <w:sz w:val="24"/>
          <w:szCs w:val="24"/>
        </w:rPr>
        <w:tab/>
      </w:r>
      <w:r>
        <w:rPr>
          <w:rFonts w:ascii="Times New Roman" w:hAnsi="Times New Roman"/>
          <w:b/>
          <w:sz w:val="24"/>
          <w:szCs w:val="24"/>
        </w:rPr>
        <w:t>Have you previously offered testimony in th</w:t>
      </w:r>
      <w:r w:rsidR="006366EC">
        <w:rPr>
          <w:rFonts w:ascii="Times New Roman" w:hAnsi="Times New Roman"/>
          <w:b/>
          <w:sz w:val="24"/>
          <w:szCs w:val="24"/>
        </w:rPr>
        <w:t>is</w:t>
      </w:r>
      <w:r>
        <w:rPr>
          <w:rFonts w:ascii="Times New Roman" w:hAnsi="Times New Roman"/>
          <w:b/>
          <w:sz w:val="24"/>
          <w:szCs w:val="24"/>
        </w:rPr>
        <w:t xml:space="preserve"> proceeding</w:t>
      </w:r>
      <w:r w:rsidRPr="00245FEE">
        <w:rPr>
          <w:rFonts w:ascii="Times New Roman" w:hAnsi="Times New Roman"/>
          <w:b/>
          <w:sz w:val="24"/>
          <w:szCs w:val="24"/>
        </w:rPr>
        <w:t>?</w:t>
      </w:r>
    </w:p>
    <w:p w:rsidR="008949EA" w:rsidRDefault="005F0917" w:rsidP="005F0917">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I filed </w:t>
      </w:r>
      <w:r w:rsidR="0099632F">
        <w:rPr>
          <w:rFonts w:ascii="Times New Roman" w:hAnsi="Times New Roman"/>
          <w:sz w:val="24"/>
          <w:szCs w:val="24"/>
        </w:rPr>
        <w:t xml:space="preserve">response </w:t>
      </w:r>
      <w:r>
        <w:rPr>
          <w:rFonts w:ascii="Times New Roman" w:hAnsi="Times New Roman"/>
          <w:sz w:val="24"/>
          <w:szCs w:val="24"/>
        </w:rPr>
        <w:t xml:space="preserve">testimony on behalf of Commission Staff on the prudence of various </w:t>
      </w:r>
      <w:r w:rsidR="006366EC">
        <w:rPr>
          <w:rFonts w:ascii="Times New Roman" w:hAnsi="Times New Roman"/>
          <w:sz w:val="24"/>
          <w:szCs w:val="24"/>
        </w:rPr>
        <w:t>resource</w:t>
      </w:r>
      <w:r>
        <w:rPr>
          <w:rFonts w:ascii="Times New Roman" w:hAnsi="Times New Roman"/>
          <w:sz w:val="24"/>
          <w:szCs w:val="24"/>
        </w:rPr>
        <w:t xml:space="preserve"> acquisitions</w:t>
      </w:r>
      <w:r w:rsidR="00316156" w:rsidRPr="00316156">
        <w:rPr>
          <w:rFonts w:ascii="Times New Roman" w:hAnsi="Times New Roman"/>
          <w:sz w:val="24"/>
          <w:szCs w:val="24"/>
        </w:rPr>
        <w:t xml:space="preserve"> </w:t>
      </w:r>
      <w:r w:rsidR="00316156">
        <w:rPr>
          <w:rFonts w:ascii="Times New Roman" w:hAnsi="Times New Roman"/>
          <w:sz w:val="24"/>
          <w:szCs w:val="24"/>
        </w:rPr>
        <w:t>by Puget Sound Energy, Inc. (“PSE” or “the Company”)</w:t>
      </w:r>
      <w:r w:rsidR="00354B6D">
        <w:rPr>
          <w:rFonts w:ascii="Times New Roman" w:hAnsi="Times New Roman"/>
          <w:sz w:val="24"/>
          <w:szCs w:val="24"/>
        </w:rPr>
        <w:t xml:space="preserve">, including the Mint Farm Energy Center (“Mint Farm”).  </w:t>
      </w:r>
      <w:r w:rsidR="008949EA">
        <w:rPr>
          <w:rFonts w:ascii="Times New Roman" w:hAnsi="Times New Roman"/>
          <w:sz w:val="24"/>
          <w:szCs w:val="24"/>
        </w:rPr>
        <w:t>I concluded that Mint Farm was a prudent acquisition by PSE</w:t>
      </w:r>
      <w:r w:rsidR="00B02CB7">
        <w:rPr>
          <w:rFonts w:ascii="Times New Roman" w:hAnsi="Times New Roman"/>
          <w:sz w:val="24"/>
          <w:szCs w:val="24"/>
        </w:rPr>
        <w:t xml:space="preserve"> </w:t>
      </w:r>
      <w:r w:rsidR="00F0368C">
        <w:rPr>
          <w:rFonts w:ascii="Times New Roman" w:hAnsi="Times New Roman"/>
          <w:sz w:val="24"/>
          <w:szCs w:val="24"/>
        </w:rPr>
        <w:t xml:space="preserve">under applicable </w:t>
      </w:r>
      <w:r w:rsidR="00B02CB7">
        <w:rPr>
          <w:rFonts w:ascii="Times New Roman" w:hAnsi="Times New Roman"/>
          <w:sz w:val="24"/>
          <w:szCs w:val="24"/>
        </w:rPr>
        <w:t>Comm</w:t>
      </w:r>
      <w:r w:rsidR="00F0368C">
        <w:rPr>
          <w:rFonts w:ascii="Times New Roman" w:hAnsi="Times New Roman"/>
          <w:sz w:val="24"/>
          <w:szCs w:val="24"/>
        </w:rPr>
        <w:t xml:space="preserve">ission </w:t>
      </w:r>
      <w:r w:rsidR="00B02CB7">
        <w:rPr>
          <w:rFonts w:ascii="Times New Roman" w:hAnsi="Times New Roman"/>
          <w:sz w:val="24"/>
          <w:szCs w:val="24"/>
        </w:rPr>
        <w:t>standards.</w:t>
      </w:r>
    </w:p>
    <w:p w:rsidR="005F0917" w:rsidRDefault="008949EA" w:rsidP="005F0917">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54B6D">
        <w:rPr>
          <w:rFonts w:ascii="Times New Roman" w:hAnsi="Times New Roman"/>
          <w:sz w:val="24"/>
          <w:szCs w:val="24"/>
        </w:rPr>
        <w:t xml:space="preserve">My prior testimony also </w:t>
      </w:r>
      <w:r>
        <w:rPr>
          <w:rFonts w:ascii="Times New Roman" w:hAnsi="Times New Roman"/>
          <w:sz w:val="24"/>
          <w:szCs w:val="24"/>
        </w:rPr>
        <w:t>concluded that M</w:t>
      </w:r>
      <w:r w:rsidR="00354B6D">
        <w:rPr>
          <w:rFonts w:ascii="Times New Roman" w:hAnsi="Times New Roman"/>
          <w:sz w:val="24"/>
          <w:szCs w:val="24"/>
        </w:rPr>
        <w:t>int Farm is “baseload electric generation”</w:t>
      </w:r>
      <w:r w:rsidR="00B02CB7">
        <w:rPr>
          <w:rFonts w:ascii="Times New Roman" w:hAnsi="Times New Roman"/>
          <w:sz w:val="24"/>
          <w:szCs w:val="24"/>
        </w:rPr>
        <w:t xml:space="preserve"> that</w:t>
      </w:r>
      <w:r w:rsidR="004B44B1">
        <w:rPr>
          <w:rFonts w:ascii="Times New Roman" w:hAnsi="Times New Roman"/>
          <w:sz w:val="24"/>
          <w:szCs w:val="24"/>
        </w:rPr>
        <w:t xml:space="preserve"> </w:t>
      </w:r>
      <w:r w:rsidR="00354B6D">
        <w:rPr>
          <w:rFonts w:ascii="Times New Roman" w:hAnsi="Times New Roman"/>
          <w:sz w:val="24"/>
          <w:szCs w:val="24"/>
        </w:rPr>
        <w:t>qualifies for automatic deferred ac</w:t>
      </w:r>
      <w:r w:rsidR="00D01ED5">
        <w:rPr>
          <w:rFonts w:ascii="Times New Roman" w:hAnsi="Times New Roman"/>
          <w:sz w:val="24"/>
          <w:szCs w:val="24"/>
        </w:rPr>
        <w:t xml:space="preserve">counting under RCW 80.80.060.  </w:t>
      </w:r>
    </w:p>
    <w:p w:rsidR="00354B6D" w:rsidRPr="00245FEE" w:rsidRDefault="00354B6D" w:rsidP="005F0917">
      <w:pPr>
        <w:tabs>
          <w:tab w:val="left" w:pos="-1440"/>
        </w:tabs>
        <w:spacing w:after="0" w:line="480" w:lineRule="auto"/>
        <w:ind w:left="720" w:hanging="720"/>
        <w:rPr>
          <w:rFonts w:ascii="Times New Roman" w:hAnsi="Times New Roman"/>
          <w:sz w:val="24"/>
          <w:szCs w:val="24"/>
        </w:rPr>
      </w:pPr>
    </w:p>
    <w:p w:rsidR="005F0917" w:rsidRPr="00245FEE" w:rsidRDefault="005F0917" w:rsidP="005F0917">
      <w:pPr>
        <w:tabs>
          <w:tab w:val="left" w:pos="-1440"/>
        </w:tabs>
        <w:spacing w:after="0" w:line="480" w:lineRule="auto"/>
        <w:ind w:left="720" w:hanging="720"/>
        <w:rPr>
          <w:rFonts w:ascii="Times New Roman" w:hAnsi="Times New Roman"/>
          <w:b/>
          <w:sz w:val="24"/>
          <w:szCs w:val="24"/>
        </w:rPr>
      </w:pPr>
      <w:r w:rsidRPr="00245FEE">
        <w:rPr>
          <w:rFonts w:ascii="Times New Roman" w:hAnsi="Times New Roman"/>
          <w:b/>
          <w:sz w:val="24"/>
          <w:szCs w:val="24"/>
        </w:rPr>
        <w:t>Q.</w:t>
      </w:r>
      <w:r w:rsidRPr="00245FEE">
        <w:rPr>
          <w:rFonts w:ascii="Times New Roman" w:hAnsi="Times New Roman"/>
          <w:b/>
          <w:sz w:val="24"/>
          <w:szCs w:val="24"/>
        </w:rPr>
        <w:tab/>
        <w:t xml:space="preserve">What </w:t>
      </w:r>
      <w:r>
        <w:rPr>
          <w:rFonts w:ascii="Times New Roman" w:hAnsi="Times New Roman"/>
          <w:b/>
          <w:sz w:val="24"/>
          <w:szCs w:val="24"/>
        </w:rPr>
        <w:t>is the purpose of your cross-answering testimony</w:t>
      </w:r>
      <w:r w:rsidRPr="00245FEE">
        <w:rPr>
          <w:rFonts w:ascii="Times New Roman" w:hAnsi="Times New Roman"/>
          <w:b/>
          <w:sz w:val="24"/>
          <w:szCs w:val="24"/>
        </w:rPr>
        <w:t>?</w:t>
      </w:r>
    </w:p>
    <w:p w:rsidR="00316156" w:rsidRDefault="005F0917" w:rsidP="005F0917">
      <w:pPr>
        <w:tabs>
          <w:tab w:val="left" w:pos="-1440"/>
        </w:tabs>
        <w:spacing w:after="0" w:line="480" w:lineRule="auto"/>
        <w:ind w:left="720" w:hanging="720"/>
        <w:rPr>
          <w:rFonts w:ascii="Times New Roman" w:hAnsi="Times New Roman"/>
          <w:sz w:val="24"/>
          <w:szCs w:val="24"/>
        </w:rPr>
      </w:pPr>
      <w:r w:rsidRPr="00245FEE">
        <w:rPr>
          <w:rFonts w:ascii="Times New Roman" w:hAnsi="Times New Roman"/>
          <w:sz w:val="24"/>
          <w:szCs w:val="24"/>
        </w:rPr>
        <w:t>A.</w:t>
      </w:r>
      <w:r w:rsidRPr="00245FEE">
        <w:rPr>
          <w:rFonts w:ascii="Times New Roman" w:hAnsi="Times New Roman"/>
          <w:sz w:val="24"/>
          <w:szCs w:val="24"/>
        </w:rPr>
        <w:tab/>
      </w:r>
      <w:r w:rsidR="008949EA">
        <w:rPr>
          <w:rFonts w:ascii="Times New Roman" w:hAnsi="Times New Roman"/>
          <w:sz w:val="24"/>
          <w:szCs w:val="24"/>
        </w:rPr>
        <w:t xml:space="preserve">I demonstrate that </w:t>
      </w:r>
      <w:r w:rsidR="005F3C64">
        <w:rPr>
          <w:rFonts w:ascii="Times New Roman" w:hAnsi="Times New Roman"/>
          <w:sz w:val="24"/>
          <w:szCs w:val="24"/>
        </w:rPr>
        <w:t xml:space="preserve">Public Counsel witness </w:t>
      </w:r>
      <w:r w:rsidR="008949EA">
        <w:rPr>
          <w:rFonts w:ascii="Times New Roman" w:hAnsi="Times New Roman"/>
          <w:sz w:val="24"/>
          <w:szCs w:val="24"/>
        </w:rPr>
        <w:t xml:space="preserve">Mr. </w:t>
      </w:r>
      <w:r w:rsidR="005F3C64">
        <w:rPr>
          <w:rFonts w:ascii="Times New Roman" w:hAnsi="Times New Roman"/>
          <w:sz w:val="24"/>
          <w:szCs w:val="24"/>
        </w:rPr>
        <w:t xml:space="preserve">Scott </w:t>
      </w:r>
      <w:r w:rsidR="008949EA">
        <w:rPr>
          <w:rFonts w:ascii="Times New Roman" w:hAnsi="Times New Roman"/>
          <w:sz w:val="24"/>
          <w:szCs w:val="24"/>
        </w:rPr>
        <w:t xml:space="preserve">Norwood does not sufficiently take into account all quantitative measures used by PSE to assess </w:t>
      </w:r>
      <w:r w:rsidR="005F3C64">
        <w:rPr>
          <w:rFonts w:ascii="Times New Roman" w:hAnsi="Times New Roman"/>
          <w:sz w:val="24"/>
          <w:szCs w:val="24"/>
        </w:rPr>
        <w:t xml:space="preserve">the acquisition </w:t>
      </w:r>
      <w:r w:rsidR="008949EA">
        <w:rPr>
          <w:rFonts w:ascii="Times New Roman" w:hAnsi="Times New Roman"/>
          <w:sz w:val="24"/>
          <w:szCs w:val="24"/>
        </w:rPr>
        <w:t>Mint Farm</w:t>
      </w:r>
      <w:r w:rsidR="00B02CB7">
        <w:rPr>
          <w:rFonts w:ascii="Times New Roman" w:hAnsi="Times New Roman"/>
          <w:sz w:val="24"/>
          <w:szCs w:val="24"/>
        </w:rPr>
        <w:t>.  That error</w:t>
      </w:r>
      <w:r w:rsidR="008949EA">
        <w:rPr>
          <w:rFonts w:ascii="Times New Roman" w:hAnsi="Times New Roman"/>
          <w:sz w:val="24"/>
          <w:szCs w:val="24"/>
        </w:rPr>
        <w:t xml:space="preserve"> leads </w:t>
      </w:r>
      <w:r w:rsidR="00B02CB7">
        <w:rPr>
          <w:rFonts w:ascii="Times New Roman" w:hAnsi="Times New Roman"/>
          <w:sz w:val="24"/>
          <w:szCs w:val="24"/>
        </w:rPr>
        <w:t>Mr. Norwood</w:t>
      </w:r>
      <w:r w:rsidR="008949EA">
        <w:rPr>
          <w:rFonts w:ascii="Times New Roman" w:hAnsi="Times New Roman"/>
          <w:sz w:val="24"/>
          <w:szCs w:val="24"/>
        </w:rPr>
        <w:t xml:space="preserve"> </w:t>
      </w:r>
      <w:r w:rsidR="00B02CB7">
        <w:rPr>
          <w:rFonts w:ascii="Times New Roman" w:hAnsi="Times New Roman"/>
          <w:sz w:val="24"/>
          <w:szCs w:val="24"/>
        </w:rPr>
        <w:t>to conclude incorrectly that PSE’s</w:t>
      </w:r>
      <w:r w:rsidR="008949EA">
        <w:rPr>
          <w:rFonts w:ascii="Times New Roman" w:hAnsi="Times New Roman"/>
          <w:sz w:val="24"/>
          <w:szCs w:val="24"/>
        </w:rPr>
        <w:t xml:space="preserve"> acquisition of Mint Farm was not prudent. </w:t>
      </w:r>
    </w:p>
    <w:p w:rsidR="00316156" w:rsidRDefault="00316156" w:rsidP="005F0917">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54B6D">
        <w:rPr>
          <w:rFonts w:ascii="Times New Roman" w:hAnsi="Times New Roman"/>
          <w:sz w:val="24"/>
          <w:szCs w:val="24"/>
        </w:rPr>
        <w:t xml:space="preserve">Mr. Norwood </w:t>
      </w:r>
      <w:r>
        <w:rPr>
          <w:rFonts w:ascii="Times New Roman" w:hAnsi="Times New Roman"/>
          <w:sz w:val="24"/>
          <w:szCs w:val="24"/>
        </w:rPr>
        <w:t xml:space="preserve">also argues that Mint Farm is not baseload electric generation.  My prior </w:t>
      </w:r>
      <w:r w:rsidR="00F0368C">
        <w:rPr>
          <w:rFonts w:ascii="Times New Roman" w:hAnsi="Times New Roman"/>
          <w:sz w:val="24"/>
          <w:szCs w:val="24"/>
        </w:rPr>
        <w:t xml:space="preserve">response </w:t>
      </w:r>
      <w:r>
        <w:rPr>
          <w:rFonts w:ascii="Times New Roman" w:hAnsi="Times New Roman"/>
          <w:sz w:val="24"/>
          <w:szCs w:val="24"/>
        </w:rPr>
        <w:t>testimony is sufficient to rebut his conclusion on that issue</w:t>
      </w:r>
      <w:r w:rsidR="0099632F">
        <w:rPr>
          <w:rFonts w:ascii="Times New Roman" w:hAnsi="Times New Roman"/>
          <w:sz w:val="24"/>
          <w:szCs w:val="24"/>
        </w:rPr>
        <w:t>.</w:t>
      </w:r>
    </w:p>
    <w:p w:rsidR="005F0917" w:rsidRPr="00245FEE" w:rsidRDefault="005F0917" w:rsidP="005F0917">
      <w:pPr>
        <w:tabs>
          <w:tab w:val="left" w:pos="-1440"/>
        </w:tabs>
        <w:spacing w:after="0" w:line="480" w:lineRule="auto"/>
        <w:ind w:left="720" w:hanging="720"/>
        <w:rPr>
          <w:rFonts w:ascii="Times New Roman" w:hAnsi="Times New Roman"/>
          <w:sz w:val="24"/>
          <w:szCs w:val="24"/>
        </w:rPr>
      </w:pPr>
    </w:p>
    <w:p w:rsidR="005F0917" w:rsidRPr="00245FEE" w:rsidRDefault="009E6FAB" w:rsidP="005F0917">
      <w:pPr>
        <w:tabs>
          <w:tab w:val="left" w:pos="-1440"/>
        </w:tabs>
        <w:spacing w:after="0" w:line="480" w:lineRule="auto"/>
        <w:ind w:left="720" w:hanging="720"/>
        <w:rPr>
          <w:rFonts w:ascii="Times New Roman" w:hAnsi="Times New Roman"/>
          <w:sz w:val="24"/>
          <w:szCs w:val="24"/>
        </w:rPr>
      </w:pPr>
      <w:r>
        <w:rPr>
          <w:rFonts w:ascii="Times New Roman" w:hAnsi="Times New Roman"/>
          <w:b/>
          <w:sz w:val="24"/>
          <w:szCs w:val="24"/>
        </w:rPr>
        <w:lastRenderedPageBreak/>
        <w:t>Q.</w:t>
      </w:r>
      <w:r>
        <w:rPr>
          <w:rFonts w:ascii="Times New Roman" w:hAnsi="Times New Roman"/>
          <w:b/>
          <w:sz w:val="24"/>
          <w:szCs w:val="24"/>
        </w:rPr>
        <w:tab/>
        <w:t xml:space="preserve">Please </w:t>
      </w:r>
      <w:r w:rsidR="00376BFC">
        <w:rPr>
          <w:rFonts w:ascii="Times New Roman" w:hAnsi="Times New Roman"/>
          <w:b/>
          <w:sz w:val="24"/>
          <w:szCs w:val="24"/>
        </w:rPr>
        <w:t xml:space="preserve">generally </w:t>
      </w:r>
      <w:r>
        <w:rPr>
          <w:rFonts w:ascii="Times New Roman" w:hAnsi="Times New Roman"/>
          <w:b/>
          <w:sz w:val="24"/>
          <w:szCs w:val="24"/>
        </w:rPr>
        <w:t xml:space="preserve">describe the factors that PSE used </w:t>
      </w:r>
      <w:r w:rsidR="00376BFC">
        <w:rPr>
          <w:rFonts w:ascii="Times New Roman" w:hAnsi="Times New Roman"/>
          <w:b/>
          <w:sz w:val="24"/>
          <w:szCs w:val="24"/>
        </w:rPr>
        <w:t>to</w:t>
      </w:r>
      <w:r>
        <w:rPr>
          <w:rFonts w:ascii="Times New Roman" w:hAnsi="Times New Roman"/>
          <w:b/>
          <w:sz w:val="24"/>
          <w:szCs w:val="24"/>
        </w:rPr>
        <w:t xml:space="preserve"> evaluat</w:t>
      </w:r>
      <w:r w:rsidR="00376BFC">
        <w:rPr>
          <w:rFonts w:ascii="Times New Roman" w:hAnsi="Times New Roman"/>
          <w:b/>
          <w:sz w:val="24"/>
          <w:szCs w:val="24"/>
        </w:rPr>
        <w:t>e</w:t>
      </w:r>
      <w:r>
        <w:rPr>
          <w:rFonts w:ascii="Times New Roman" w:hAnsi="Times New Roman"/>
          <w:b/>
          <w:sz w:val="24"/>
          <w:szCs w:val="24"/>
        </w:rPr>
        <w:t xml:space="preserve"> </w:t>
      </w:r>
      <w:r w:rsidR="00376BFC">
        <w:rPr>
          <w:rFonts w:ascii="Times New Roman" w:hAnsi="Times New Roman"/>
          <w:b/>
          <w:sz w:val="24"/>
          <w:szCs w:val="24"/>
        </w:rPr>
        <w:t>resource acquisitions, including Mint Farm.</w:t>
      </w:r>
    </w:p>
    <w:p w:rsidR="0015547C" w:rsidRDefault="005F0917" w:rsidP="0015547C">
      <w:pPr>
        <w:spacing w:after="0" w:line="480" w:lineRule="auto"/>
        <w:ind w:left="720" w:hanging="720"/>
        <w:rPr>
          <w:rFonts w:ascii="Times New Roman" w:hAnsi="Times New Roman"/>
          <w:sz w:val="24"/>
          <w:szCs w:val="24"/>
        </w:rPr>
      </w:pPr>
      <w:r w:rsidRPr="00245FEE">
        <w:rPr>
          <w:rFonts w:ascii="Times New Roman" w:hAnsi="Times New Roman"/>
          <w:sz w:val="24"/>
          <w:szCs w:val="24"/>
        </w:rPr>
        <w:t>A.</w:t>
      </w:r>
      <w:r w:rsidRPr="00245FEE">
        <w:rPr>
          <w:rFonts w:ascii="Times New Roman" w:hAnsi="Times New Roman"/>
          <w:sz w:val="24"/>
          <w:szCs w:val="24"/>
        </w:rPr>
        <w:tab/>
      </w:r>
      <w:r w:rsidR="009E6FAB">
        <w:rPr>
          <w:rFonts w:ascii="Times New Roman" w:hAnsi="Times New Roman"/>
          <w:sz w:val="24"/>
          <w:szCs w:val="24"/>
        </w:rPr>
        <w:t xml:space="preserve">PSE used both qualitative and quantitative methodologies </w:t>
      </w:r>
      <w:r w:rsidR="00376BFC">
        <w:rPr>
          <w:rFonts w:ascii="Times New Roman" w:hAnsi="Times New Roman"/>
          <w:sz w:val="24"/>
          <w:szCs w:val="24"/>
        </w:rPr>
        <w:t>to</w:t>
      </w:r>
      <w:r w:rsidR="009E6FAB">
        <w:rPr>
          <w:rFonts w:ascii="Times New Roman" w:hAnsi="Times New Roman"/>
          <w:sz w:val="24"/>
          <w:szCs w:val="24"/>
        </w:rPr>
        <w:t xml:space="preserve"> evaluat</w:t>
      </w:r>
      <w:r w:rsidR="00376BFC">
        <w:rPr>
          <w:rFonts w:ascii="Times New Roman" w:hAnsi="Times New Roman"/>
          <w:sz w:val="24"/>
          <w:szCs w:val="24"/>
        </w:rPr>
        <w:t>e all</w:t>
      </w:r>
      <w:r w:rsidR="009E6FAB">
        <w:rPr>
          <w:rFonts w:ascii="Times New Roman" w:hAnsi="Times New Roman"/>
          <w:sz w:val="24"/>
          <w:szCs w:val="24"/>
        </w:rPr>
        <w:t xml:space="preserve"> proposals.  The primary quantitative factors were the </w:t>
      </w:r>
      <w:r w:rsidR="00376BFC">
        <w:rPr>
          <w:rFonts w:ascii="Times New Roman" w:hAnsi="Times New Roman"/>
          <w:sz w:val="24"/>
          <w:szCs w:val="24"/>
        </w:rPr>
        <w:t xml:space="preserve">following three calculations:  (1) </w:t>
      </w:r>
      <w:r w:rsidR="0015547C" w:rsidRPr="0015547C">
        <w:rPr>
          <w:rFonts w:ascii="Times New Roman" w:hAnsi="Times New Roman"/>
          <w:sz w:val="24"/>
          <w:szCs w:val="24"/>
        </w:rPr>
        <w:t>Portfolio Benefit</w:t>
      </w:r>
      <w:r w:rsidR="00376BFC">
        <w:rPr>
          <w:rFonts w:ascii="Times New Roman" w:hAnsi="Times New Roman"/>
          <w:sz w:val="24"/>
          <w:szCs w:val="24"/>
        </w:rPr>
        <w:t>;</w:t>
      </w:r>
      <w:r w:rsidR="0015547C" w:rsidRPr="0015547C">
        <w:rPr>
          <w:rFonts w:ascii="Times New Roman" w:hAnsi="Times New Roman"/>
          <w:sz w:val="24"/>
          <w:szCs w:val="24"/>
        </w:rPr>
        <w:t xml:space="preserve"> </w:t>
      </w:r>
      <w:r w:rsidR="00376BFC">
        <w:rPr>
          <w:rFonts w:ascii="Times New Roman" w:hAnsi="Times New Roman"/>
          <w:sz w:val="24"/>
          <w:szCs w:val="24"/>
        </w:rPr>
        <w:t>(</w:t>
      </w:r>
      <w:r w:rsidR="0015547C" w:rsidRPr="0015547C">
        <w:rPr>
          <w:rFonts w:ascii="Times New Roman" w:hAnsi="Times New Roman"/>
          <w:sz w:val="24"/>
          <w:szCs w:val="24"/>
        </w:rPr>
        <w:t>2) Benefit Ratio</w:t>
      </w:r>
      <w:r w:rsidR="00376BFC">
        <w:rPr>
          <w:rFonts w:ascii="Times New Roman" w:hAnsi="Times New Roman"/>
          <w:sz w:val="24"/>
          <w:szCs w:val="24"/>
        </w:rPr>
        <w:t>;</w:t>
      </w:r>
      <w:r w:rsidR="0015547C" w:rsidRPr="0015547C">
        <w:rPr>
          <w:rFonts w:ascii="Times New Roman" w:hAnsi="Times New Roman"/>
          <w:sz w:val="24"/>
          <w:szCs w:val="24"/>
        </w:rPr>
        <w:t xml:space="preserve"> and </w:t>
      </w:r>
      <w:r w:rsidR="00376BFC">
        <w:rPr>
          <w:rFonts w:ascii="Times New Roman" w:hAnsi="Times New Roman"/>
          <w:sz w:val="24"/>
          <w:szCs w:val="24"/>
        </w:rPr>
        <w:t>(</w:t>
      </w:r>
      <w:r w:rsidR="0015547C" w:rsidRPr="0015547C">
        <w:rPr>
          <w:rFonts w:ascii="Times New Roman" w:hAnsi="Times New Roman"/>
          <w:sz w:val="24"/>
          <w:szCs w:val="24"/>
        </w:rPr>
        <w:t>3) 20-Year Levelized Cost.</w:t>
      </w:r>
    </w:p>
    <w:p w:rsidR="0015547C" w:rsidRPr="0015547C" w:rsidRDefault="0015547C" w:rsidP="0015547C">
      <w:pPr>
        <w:spacing w:after="0" w:line="480" w:lineRule="auto"/>
        <w:ind w:left="720" w:hanging="720"/>
        <w:rPr>
          <w:rFonts w:ascii="Times New Roman" w:hAnsi="Times New Roman"/>
          <w:sz w:val="24"/>
          <w:szCs w:val="24"/>
        </w:rPr>
      </w:pPr>
    </w:p>
    <w:p w:rsidR="0015547C" w:rsidRDefault="00B01AD7" w:rsidP="0015547C">
      <w:pPr>
        <w:spacing w:after="0" w:line="480" w:lineRule="auto"/>
        <w:ind w:left="720" w:hanging="720"/>
        <w:rPr>
          <w:rFonts w:ascii="Times New Roman" w:hAnsi="Times New Roman"/>
          <w:sz w:val="24"/>
          <w:szCs w:val="24"/>
        </w:rPr>
      </w:pPr>
      <w:r w:rsidRPr="00B01AD7">
        <w:rPr>
          <w:rFonts w:ascii="Times New Roman" w:hAnsi="Times New Roman"/>
          <w:b/>
          <w:sz w:val="24"/>
          <w:szCs w:val="24"/>
        </w:rPr>
        <w:t>Q.</w:t>
      </w:r>
      <w:r w:rsidRPr="00B01AD7">
        <w:rPr>
          <w:rFonts w:ascii="Times New Roman" w:hAnsi="Times New Roman"/>
          <w:b/>
          <w:sz w:val="24"/>
          <w:szCs w:val="24"/>
        </w:rPr>
        <w:tab/>
        <w:t>Plea</w:t>
      </w:r>
      <w:r w:rsidR="0048720D">
        <w:rPr>
          <w:rFonts w:ascii="Times New Roman" w:hAnsi="Times New Roman"/>
          <w:b/>
          <w:sz w:val="24"/>
          <w:szCs w:val="24"/>
        </w:rPr>
        <w:t xml:space="preserve">se describe </w:t>
      </w:r>
      <w:r>
        <w:rPr>
          <w:rFonts w:ascii="Times New Roman" w:hAnsi="Times New Roman"/>
          <w:b/>
          <w:sz w:val="24"/>
          <w:szCs w:val="24"/>
        </w:rPr>
        <w:t>the</w:t>
      </w:r>
      <w:r w:rsidR="0099632F">
        <w:rPr>
          <w:rFonts w:ascii="Times New Roman" w:hAnsi="Times New Roman"/>
          <w:b/>
          <w:sz w:val="24"/>
          <w:szCs w:val="24"/>
        </w:rPr>
        <w:t xml:space="preserve"> Portfolio Benefit</w:t>
      </w:r>
      <w:r>
        <w:rPr>
          <w:rFonts w:ascii="Times New Roman" w:hAnsi="Times New Roman"/>
          <w:b/>
          <w:sz w:val="24"/>
          <w:szCs w:val="24"/>
        </w:rPr>
        <w:t xml:space="preserve"> factor</w:t>
      </w:r>
      <w:r w:rsidRPr="00B01AD7">
        <w:rPr>
          <w:rFonts w:ascii="Times New Roman" w:hAnsi="Times New Roman"/>
          <w:b/>
          <w:sz w:val="24"/>
          <w:szCs w:val="24"/>
        </w:rPr>
        <w:t>.</w:t>
      </w:r>
    </w:p>
    <w:p w:rsidR="008F2864" w:rsidRDefault="00B01AD7" w:rsidP="008F2864">
      <w:pPr>
        <w:spacing w:after="0" w:line="240" w:lineRule="auto"/>
        <w:ind w:left="720" w:hanging="720"/>
        <w:rPr>
          <w:rFonts w:ascii="Times New Roman" w:hAnsi="Times New Roman"/>
          <w:sz w:val="24"/>
          <w:szCs w:val="24"/>
        </w:rPr>
      </w:pPr>
      <w:r w:rsidRPr="00B01AD7">
        <w:rPr>
          <w:rFonts w:ascii="Times New Roman" w:hAnsi="Times New Roman"/>
          <w:sz w:val="24"/>
          <w:szCs w:val="24"/>
        </w:rPr>
        <w:t>A.</w:t>
      </w:r>
      <w:r w:rsidRPr="00B01AD7">
        <w:rPr>
          <w:rFonts w:ascii="Times New Roman" w:hAnsi="Times New Roman"/>
          <w:sz w:val="24"/>
          <w:szCs w:val="24"/>
        </w:rPr>
        <w:tab/>
      </w:r>
      <w:r>
        <w:rPr>
          <w:rFonts w:ascii="Times New Roman" w:hAnsi="Times New Roman"/>
          <w:sz w:val="24"/>
          <w:szCs w:val="24"/>
        </w:rPr>
        <w:t>PSE</w:t>
      </w:r>
      <w:r w:rsidR="009703E8">
        <w:rPr>
          <w:rFonts w:ascii="Times New Roman" w:hAnsi="Times New Roman"/>
          <w:sz w:val="24"/>
          <w:szCs w:val="24"/>
        </w:rPr>
        <w:t>’s</w:t>
      </w:r>
      <w:r>
        <w:rPr>
          <w:rFonts w:ascii="Times New Roman" w:hAnsi="Times New Roman"/>
          <w:sz w:val="24"/>
          <w:szCs w:val="24"/>
        </w:rPr>
        <w:t xml:space="preserve"> </w:t>
      </w:r>
      <w:r w:rsidR="0099632F">
        <w:rPr>
          <w:rFonts w:ascii="Times New Roman" w:hAnsi="Times New Roman"/>
          <w:sz w:val="24"/>
          <w:szCs w:val="24"/>
        </w:rPr>
        <w:t xml:space="preserve">Portfolio Benefit </w:t>
      </w:r>
      <w:r>
        <w:rPr>
          <w:rFonts w:ascii="Times New Roman" w:hAnsi="Times New Roman"/>
          <w:sz w:val="24"/>
          <w:szCs w:val="24"/>
        </w:rPr>
        <w:t xml:space="preserve">factor </w:t>
      </w:r>
      <w:r w:rsidR="0099632F">
        <w:rPr>
          <w:rFonts w:ascii="Times New Roman" w:hAnsi="Times New Roman"/>
          <w:sz w:val="24"/>
          <w:szCs w:val="24"/>
        </w:rPr>
        <w:t>can be summarized as follows:</w:t>
      </w:r>
      <w:r w:rsidR="0099632F">
        <w:rPr>
          <w:rStyle w:val="FootnoteReference"/>
          <w:rFonts w:ascii="Times New Roman" w:hAnsi="Times New Roman"/>
          <w:sz w:val="24"/>
          <w:szCs w:val="24"/>
        </w:rPr>
        <w:footnoteReference w:id="1"/>
      </w:r>
    </w:p>
    <w:p w:rsidR="00B02CB7" w:rsidRPr="00B02CB7" w:rsidRDefault="00B02CB7" w:rsidP="00B02CB7">
      <w:pPr>
        <w:spacing w:after="0" w:line="480" w:lineRule="auto"/>
        <w:ind w:left="720" w:hanging="720"/>
        <w:rPr>
          <w:rFonts w:ascii="Times New Roman" w:hAnsi="Times New Roman"/>
          <w:sz w:val="24"/>
          <w:szCs w:val="24"/>
        </w:rPr>
      </w:pPr>
    </w:p>
    <w:p w:rsidR="00B01AD7" w:rsidRPr="00D01ED5" w:rsidRDefault="00B01AD7" w:rsidP="00D01ED5">
      <w:pPr>
        <w:spacing w:after="0" w:line="240" w:lineRule="auto"/>
        <w:ind w:right="-180"/>
        <w:rPr>
          <w:rFonts w:ascii="Times New Roman" w:hAnsi="Times New Roman" w:cs="Times New Roman"/>
        </w:rPr>
      </w:pPr>
      <w:r w:rsidRPr="00D01ED5">
        <w:rPr>
          <w:rFonts w:ascii="Times New Roman" w:hAnsi="Times New Roman" w:cs="Times New Roman"/>
        </w:rPr>
        <w:t>Portfolio Benefit</w:t>
      </w:r>
      <w:r w:rsidRPr="00D01ED5">
        <w:rPr>
          <w:rFonts w:ascii="Times New Roman" w:hAnsi="Times New Roman" w:cs="Times New Roman"/>
          <w:b/>
        </w:rPr>
        <w:t xml:space="preserve">    =</w:t>
      </w:r>
      <w:r w:rsidRPr="00D01ED5">
        <w:rPr>
          <w:rFonts w:ascii="Times New Roman" w:hAnsi="Times New Roman" w:cs="Times New Roman"/>
        </w:rPr>
        <w:t xml:space="preserve">    PV cost of the existing portfolio plus   </w:t>
      </w:r>
      <w:r w:rsidRPr="00D01ED5">
        <w:rPr>
          <w:rFonts w:ascii="Times New Roman" w:hAnsi="Times New Roman" w:cs="Times New Roman"/>
          <w:b/>
        </w:rPr>
        <w:t>_</w:t>
      </w:r>
      <w:r w:rsidRPr="00D01ED5">
        <w:rPr>
          <w:rFonts w:ascii="Times New Roman" w:hAnsi="Times New Roman" w:cs="Times New Roman"/>
        </w:rPr>
        <w:t xml:space="preserve">      PV cost of existing portfolio including a</w:t>
      </w:r>
    </w:p>
    <w:p w:rsidR="008F2864" w:rsidRPr="00D01ED5" w:rsidRDefault="00B01AD7" w:rsidP="008F2864">
      <w:pPr>
        <w:spacing w:line="240" w:lineRule="auto"/>
        <w:rPr>
          <w:rFonts w:ascii="Times New Roman" w:hAnsi="Times New Roman" w:cs="Times New Roman"/>
        </w:rPr>
      </w:pPr>
      <w:r w:rsidRPr="00D01ED5">
        <w:rPr>
          <w:rFonts w:ascii="Times New Roman" w:hAnsi="Times New Roman" w:cs="Times New Roman"/>
        </w:rPr>
        <w:tab/>
        <w:t>($M)</w:t>
      </w:r>
      <w:r w:rsidRPr="00D01ED5">
        <w:rPr>
          <w:rFonts w:ascii="Times New Roman" w:hAnsi="Times New Roman" w:cs="Times New Roman"/>
        </w:rPr>
        <w:tab/>
        <w:t xml:space="preserve">          </w:t>
      </w:r>
      <w:r w:rsidR="00D01ED5">
        <w:rPr>
          <w:rFonts w:ascii="Times New Roman" w:hAnsi="Times New Roman" w:cs="Times New Roman"/>
        </w:rPr>
        <w:t xml:space="preserve"> </w:t>
      </w:r>
      <w:r w:rsidRPr="00D01ED5">
        <w:rPr>
          <w:rFonts w:ascii="Times New Roman" w:hAnsi="Times New Roman" w:cs="Times New Roman"/>
        </w:rPr>
        <w:t>generic re</w:t>
      </w:r>
      <w:r w:rsidR="00D01ED5">
        <w:rPr>
          <w:rFonts w:ascii="Times New Roman" w:hAnsi="Times New Roman" w:cs="Times New Roman"/>
        </w:rPr>
        <w:t>sources to meet 20 yr. loads</w:t>
      </w:r>
      <w:r w:rsidR="00D01ED5">
        <w:rPr>
          <w:rFonts w:ascii="Times New Roman" w:hAnsi="Times New Roman" w:cs="Times New Roman"/>
        </w:rPr>
        <w:tab/>
        <w:t xml:space="preserve">  </w:t>
      </w:r>
      <w:r w:rsidRPr="00D01ED5">
        <w:rPr>
          <w:rFonts w:ascii="Times New Roman" w:hAnsi="Times New Roman" w:cs="Times New Roman"/>
        </w:rPr>
        <w:t>proposed resource with othe</w:t>
      </w:r>
      <w:r w:rsidR="00D01ED5">
        <w:rPr>
          <w:rFonts w:ascii="Times New Roman" w:hAnsi="Times New Roman" w:cs="Times New Roman"/>
        </w:rPr>
        <w:t xml:space="preserve">r </w:t>
      </w:r>
      <w:r w:rsidR="00D01ED5">
        <w:rPr>
          <w:rFonts w:ascii="Times New Roman" w:hAnsi="Times New Roman" w:cs="Times New Roman"/>
        </w:rPr>
        <w:tab/>
        <w:t>generic</w:t>
      </w:r>
      <w:r w:rsidR="00D01ED5">
        <w:rPr>
          <w:rFonts w:ascii="Times New Roman" w:hAnsi="Times New Roman" w:cs="Times New Roman"/>
        </w:rPr>
        <w:tab/>
      </w:r>
      <w:r w:rsidR="00D01ED5">
        <w:rPr>
          <w:rFonts w:ascii="Times New Roman" w:hAnsi="Times New Roman" w:cs="Times New Roman"/>
        </w:rPr>
        <w:tab/>
      </w:r>
      <w:r w:rsidR="00D01ED5">
        <w:rPr>
          <w:rFonts w:ascii="Times New Roman" w:hAnsi="Times New Roman" w:cs="Times New Roman"/>
        </w:rPr>
        <w:tab/>
      </w:r>
      <w:r w:rsidR="00D01ED5">
        <w:rPr>
          <w:rFonts w:ascii="Times New Roman" w:hAnsi="Times New Roman" w:cs="Times New Roman"/>
        </w:rPr>
        <w:tab/>
      </w:r>
      <w:r w:rsidR="00D01ED5">
        <w:rPr>
          <w:rFonts w:ascii="Times New Roman" w:hAnsi="Times New Roman" w:cs="Times New Roman"/>
        </w:rPr>
        <w:tab/>
      </w:r>
      <w:r w:rsidR="00D01ED5">
        <w:rPr>
          <w:rFonts w:ascii="Times New Roman" w:hAnsi="Times New Roman" w:cs="Times New Roman"/>
        </w:rPr>
        <w:tab/>
      </w:r>
      <w:r w:rsidR="00D01ED5">
        <w:rPr>
          <w:rFonts w:ascii="Times New Roman" w:hAnsi="Times New Roman" w:cs="Times New Roman"/>
        </w:rPr>
        <w:tab/>
      </w:r>
      <w:r w:rsidR="00D01ED5">
        <w:rPr>
          <w:rFonts w:ascii="Times New Roman" w:hAnsi="Times New Roman" w:cs="Times New Roman"/>
        </w:rPr>
        <w:tab/>
        <w:t xml:space="preserve">       </w:t>
      </w:r>
      <w:r w:rsidR="00D01ED5">
        <w:rPr>
          <w:rFonts w:ascii="Times New Roman" w:hAnsi="Times New Roman" w:cs="Times New Roman"/>
        </w:rPr>
        <w:tab/>
        <w:t xml:space="preserve"> </w:t>
      </w:r>
      <w:r w:rsidRPr="00D01ED5">
        <w:rPr>
          <w:rFonts w:ascii="Times New Roman" w:hAnsi="Times New Roman" w:cs="Times New Roman"/>
        </w:rPr>
        <w:t xml:space="preserve"> resources to meet 20 yr. loads</w:t>
      </w:r>
    </w:p>
    <w:p w:rsidR="008F2864" w:rsidRDefault="008F2864" w:rsidP="008F2864">
      <w:pPr>
        <w:spacing w:after="0" w:line="240" w:lineRule="auto"/>
        <w:ind w:left="720"/>
        <w:rPr>
          <w:rFonts w:ascii="Times New Roman" w:hAnsi="Times New Roman"/>
          <w:sz w:val="24"/>
          <w:szCs w:val="24"/>
        </w:rPr>
      </w:pPr>
    </w:p>
    <w:p w:rsidR="0015547C" w:rsidRDefault="0099632F" w:rsidP="00B02CB7">
      <w:pPr>
        <w:spacing w:after="0" w:line="480" w:lineRule="auto"/>
        <w:ind w:left="720"/>
        <w:rPr>
          <w:rFonts w:ascii="Times New Roman" w:hAnsi="Times New Roman"/>
          <w:sz w:val="24"/>
          <w:szCs w:val="24"/>
        </w:rPr>
      </w:pPr>
      <w:r>
        <w:rPr>
          <w:rFonts w:ascii="Times New Roman" w:hAnsi="Times New Roman"/>
          <w:sz w:val="24"/>
          <w:szCs w:val="24"/>
        </w:rPr>
        <w:t xml:space="preserve">The </w:t>
      </w:r>
      <w:r w:rsidRPr="00CA3830">
        <w:rPr>
          <w:rFonts w:ascii="Times New Roman" w:hAnsi="Times New Roman"/>
          <w:sz w:val="24"/>
          <w:szCs w:val="24"/>
        </w:rPr>
        <w:t>Portfolio Benefit</w:t>
      </w:r>
      <w:r>
        <w:rPr>
          <w:rFonts w:ascii="Times New Roman" w:hAnsi="Times New Roman"/>
          <w:sz w:val="24"/>
          <w:szCs w:val="24"/>
        </w:rPr>
        <w:t xml:space="preserve"> calculation provides a dollar value comparison between the generic resource in PSE’s integrated resource plan (“IRP”) and a ne</w:t>
      </w:r>
      <w:r w:rsidR="00925622">
        <w:rPr>
          <w:rFonts w:ascii="Times New Roman" w:hAnsi="Times New Roman"/>
          <w:sz w:val="24"/>
          <w:szCs w:val="24"/>
        </w:rPr>
        <w:t>w resource proposal substituting</w:t>
      </w:r>
      <w:r>
        <w:rPr>
          <w:rFonts w:ascii="Times New Roman" w:hAnsi="Times New Roman"/>
          <w:sz w:val="24"/>
          <w:szCs w:val="24"/>
        </w:rPr>
        <w:t xml:space="preserve"> for part of the generic resource.  A positive </w:t>
      </w:r>
      <w:r w:rsidR="00925622">
        <w:rPr>
          <w:rFonts w:ascii="Times New Roman" w:hAnsi="Times New Roman"/>
          <w:sz w:val="24"/>
          <w:szCs w:val="24"/>
        </w:rPr>
        <w:t xml:space="preserve">Portfolio Benefit </w:t>
      </w:r>
      <w:r w:rsidR="00B02CB7">
        <w:rPr>
          <w:rFonts w:ascii="Times New Roman" w:hAnsi="Times New Roman"/>
          <w:sz w:val="24"/>
          <w:szCs w:val="24"/>
        </w:rPr>
        <w:t xml:space="preserve">factor </w:t>
      </w:r>
      <w:r>
        <w:rPr>
          <w:rFonts w:ascii="Times New Roman" w:hAnsi="Times New Roman"/>
          <w:sz w:val="24"/>
          <w:szCs w:val="24"/>
        </w:rPr>
        <w:t xml:space="preserve">indicates a more valuable resource than the IRP generic resource.  The units for this </w:t>
      </w:r>
      <w:r w:rsidR="00B02CB7">
        <w:rPr>
          <w:rFonts w:ascii="Times New Roman" w:hAnsi="Times New Roman"/>
          <w:sz w:val="24"/>
          <w:szCs w:val="24"/>
        </w:rPr>
        <w:t>measure</w:t>
      </w:r>
      <w:r>
        <w:rPr>
          <w:rFonts w:ascii="Times New Roman" w:hAnsi="Times New Roman"/>
          <w:sz w:val="24"/>
          <w:szCs w:val="24"/>
        </w:rPr>
        <w:t xml:space="preserve"> are typically millions of dollars.</w:t>
      </w:r>
    </w:p>
    <w:p w:rsidR="0015547C" w:rsidRDefault="0015547C" w:rsidP="0015547C">
      <w:pPr>
        <w:spacing w:after="0" w:line="480" w:lineRule="auto"/>
        <w:ind w:left="720"/>
        <w:rPr>
          <w:rFonts w:ascii="Times New Roman" w:hAnsi="Times New Roman"/>
          <w:sz w:val="24"/>
          <w:szCs w:val="24"/>
        </w:rPr>
      </w:pPr>
    </w:p>
    <w:p w:rsidR="0015547C" w:rsidRDefault="0015547C" w:rsidP="0015547C">
      <w:pPr>
        <w:spacing w:after="0" w:line="480" w:lineRule="auto"/>
        <w:ind w:left="720" w:hanging="720"/>
        <w:rPr>
          <w:rFonts w:ascii="Times New Roman" w:hAnsi="Times New Roman"/>
          <w:b/>
          <w:sz w:val="24"/>
          <w:szCs w:val="24"/>
        </w:rPr>
      </w:pPr>
      <w:r w:rsidRPr="0015547C">
        <w:rPr>
          <w:rFonts w:ascii="Times New Roman" w:hAnsi="Times New Roman"/>
          <w:b/>
          <w:sz w:val="24"/>
          <w:szCs w:val="24"/>
        </w:rPr>
        <w:t>Q.</w:t>
      </w:r>
      <w:r w:rsidRPr="0015547C">
        <w:rPr>
          <w:rFonts w:ascii="Times New Roman" w:hAnsi="Times New Roman"/>
          <w:b/>
          <w:sz w:val="24"/>
          <w:szCs w:val="24"/>
        </w:rPr>
        <w:tab/>
        <w:t>Please describe the Benefit Ratio factor.</w:t>
      </w:r>
    </w:p>
    <w:p w:rsidR="0015547C" w:rsidRDefault="00925622" w:rsidP="0015547C">
      <w:pPr>
        <w:spacing w:after="0"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 xml:space="preserve">PSE’s Benefit </w:t>
      </w:r>
      <w:r w:rsidR="00D03628">
        <w:rPr>
          <w:rFonts w:ascii="Times New Roman" w:hAnsi="Times New Roman"/>
          <w:sz w:val="24"/>
          <w:szCs w:val="24"/>
        </w:rPr>
        <w:t>Ratio f</w:t>
      </w:r>
      <w:r>
        <w:rPr>
          <w:rFonts w:ascii="Times New Roman" w:hAnsi="Times New Roman"/>
          <w:sz w:val="24"/>
          <w:szCs w:val="24"/>
        </w:rPr>
        <w:t>actor can be summarized as follows:</w:t>
      </w:r>
    </w:p>
    <w:p w:rsidR="00B01AD7" w:rsidRPr="00D01ED5" w:rsidRDefault="00753644" w:rsidP="00B01AD7">
      <w:pPr>
        <w:spacing w:after="0" w:line="240" w:lineRule="auto"/>
        <w:rPr>
          <w:rFonts w:ascii="Times New Roman" w:hAnsi="Times New Roman" w:cs="Times New Roman"/>
        </w:rPr>
      </w:pPr>
      <w:r w:rsidRPr="00D01ED5">
        <w:tab/>
      </w:r>
      <w:r w:rsidR="000F5B72" w:rsidRPr="00D01ED5">
        <w:rPr>
          <w:rFonts w:ascii="Times New Roman" w:hAnsi="Times New Roman" w:cs="Times New Roman"/>
        </w:rPr>
        <w:t>Benefit Ratio</w:t>
      </w:r>
      <w:r w:rsidR="000F5B72" w:rsidRPr="00D01ED5">
        <w:rPr>
          <w:rFonts w:ascii="Times New Roman" w:hAnsi="Times New Roman" w:cs="Times New Roman"/>
          <w:b/>
        </w:rPr>
        <w:t xml:space="preserve"> </w:t>
      </w:r>
      <w:r w:rsidRPr="00D01ED5">
        <w:rPr>
          <w:rFonts w:ascii="Times New Roman" w:hAnsi="Times New Roman" w:cs="Times New Roman"/>
          <w:b/>
        </w:rPr>
        <w:tab/>
      </w:r>
      <w:r w:rsidR="000F5B72" w:rsidRPr="00D01ED5">
        <w:rPr>
          <w:rFonts w:ascii="Times New Roman" w:hAnsi="Times New Roman" w:cs="Times New Roman"/>
          <w:b/>
        </w:rPr>
        <w:tab/>
        <w:t>=</w:t>
      </w:r>
      <w:r w:rsidR="000F5B72" w:rsidRPr="00D01ED5">
        <w:rPr>
          <w:rFonts w:ascii="Times New Roman" w:hAnsi="Times New Roman" w:cs="Times New Roman"/>
        </w:rPr>
        <w:tab/>
      </w:r>
      <w:r w:rsidRPr="00D01ED5">
        <w:rPr>
          <w:rFonts w:ascii="Times New Roman" w:hAnsi="Times New Roman" w:cs="Times New Roman"/>
        </w:rPr>
        <w:tab/>
      </w:r>
      <w:r w:rsidR="000F5B72" w:rsidRPr="00D01ED5">
        <w:rPr>
          <w:rFonts w:ascii="Times New Roman" w:hAnsi="Times New Roman" w:cs="Times New Roman"/>
        </w:rPr>
        <w:t>Portfolio Benefit of a specific resource</w:t>
      </w:r>
    </w:p>
    <w:p w:rsidR="00B01AD7" w:rsidRPr="00D01ED5" w:rsidRDefault="004504FC" w:rsidP="00B01AD7">
      <w:pPr>
        <w:spacing w:after="0" w:line="240" w:lineRule="auto"/>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6" type="#_x0000_t32" style="position:absolute;margin-left:180pt;margin-top:5.65pt;width:270pt;height:0;z-index:251658240" o:connectortype="straight" strokeweight="2pt"/>
        </w:pict>
      </w:r>
      <w:r w:rsidR="000F5B72" w:rsidRPr="00D01ED5">
        <w:rPr>
          <w:rFonts w:ascii="Times New Roman" w:hAnsi="Times New Roman" w:cs="Times New Roman"/>
        </w:rPr>
        <w:t xml:space="preserve">  </w:t>
      </w:r>
      <w:r w:rsidR="000F5B72" w:rsidRPr="00D01ED5">
        <w:rPr>
          <w:rFonts w:ascii="Times New Roman" w:hAnsi="Times New Roman" w:cs="Times New Roman"/>
        </w:rPr>
        <w:tab/>
      </w:r>
      <w:r w:rsidR="000F5B72" w:rsidRPr="00D01ED5">
        <w:rPr>
          <w:rFonts w:ascii="Times New Roman" w:hAnsi="Times New Roman" w:cs="Times New Roman"/>
        </w:rPr>
        <w:tab/>
      </w:r>
      <w:r w:rsidR="000F5B72" w:rsidRPr="00D01ED5">
        <w:rPr>
          <w:rFonts w:ascii="Times New Roman" w:hAnsi="Times New Roman" w:cs="Times New Roman"/>
        </w:rPr>
        <w:tab/>
      </w:r>
      <w:r w:rsidR="000F5B72" w:rsidRPr="00D01ED5">
        <w:rPr>
          <w:rFonts w:ascii="Times New Roman" w:hAnsi="Times New Roman" w:cs="Times New Roman"/>
        </w:rPr>
        <w:tab/>
      </w:r>
    </w:p>
    <w:p w:rsidR="00925622" w:rsidRPr="00D01ED5" w:rsidRDefault="000F5B72" w:rsidP="00B01AD7">
      <w:pPr>
        <w:spacing w:after="0" w:line="240" w:lineRule="auto"/>
        <w:rPr>
          <w:rFonts w:ascii="Times New Roman" w:hAnsi="Times New Roman" w:cs="Times New Roman"/>
        </w:rPr>
      </w:pPr>
      <w:r w:rsidRPr="00D01ED5">
        <w:rPr>
          <w:rFonts w:ascii="Times New Roman" w:hAnsi="Times New Roman" w:cs="Times New Roman"/>
        </w:rPr>
        <w:tab/>
      </w:r>
      <w:r w:rsidRPr="00D01ED5">
        <w:rPr>
          <w:rFonts w:ascii="Times New Roman" w:hAnsi="Times New Roman" w:cs="Times New Roman"/>
        </w:rPr>
        <w:tab/>
      </w:r>
      <w:r w:rsidRPr="00D01ED5">
        <w:rPr>
          <w:rFonts w:ascii="Times New Roman" w:hAnsi="Times New Roman" w:cs="Times New Roman"/>
        </w:rPr>
        <w:tab/>
      </w:r>
      <w:r w:rsidRPr="00D01ED5">
        <w:rPr>
          <w:rFonts w:ascii="Times New Roman" w:hAnsi="Times New Roman" w:cs="Times New Roman"/>
        </w:rPr>
        <w:tab/>
      </w:r>
      <w:r w:rsidR="00753644" w:rsidRPr="00D01ED5">
        <w:rPr>
          <w:rFonts w:ascii="Times New Roman" w:hAnsi="Times New Roman" w:cs="Times New Roman"/>
        </w:rPr>
        <w:tab/>
      </w:r>
      <w:r w:rsidRPr="00D01ED5">
        <w:rPr>
          <w:rFonts w:ascii="Times New Roman" w:hAnsi="Times New Roman" w:cs="Times New Roman"/>
        </w:rPr>
        <w:t>PV to purchase and operate a specific resource for 20 years</w:t>
      </w:r>
    </w:p>
    <w:p w:rsidR="00925622" w:rsidRPr="00D01ED5" w:rsidRDefault="00925622" w:rsidP="00B01AD7">
      <w:pPr>
        <w:spacing w:after="0" w:line="240" w:lineRule="auto"/>
        <w:rPr>
          <w:rFonts w:ascii="Times New Roman" w:hAnsi="Times New Roman" w:cs="Times New Roman"/>
          <w:sz w:val="24"/>
          <w:szCs w:val="24"/>
        </w:rPr>
      </w:pPr>
    </w:p>
    <w:p w:rsidR="00925622" w:rsidRDefault="00925622" w:rsidP="004272F4">
      <w:pPr>
        <w:spacing w:after="0" w:line="480" w:lineRule="auto"/>
        <w:ind w:left="720"/>
        <w:rPr>
          <w:rFonts w:ascii="Times New Roman" w:hAnsi="Times New Roman"/>
          <w:sz w:val="24"/>
          <w:szCs w:val="24"/>
        </w:rPr>
      </w:pPr>
      <w:r>
        <w:rPr>
          <w:rFonts w:ascii="Times New Roman" w:hAnsi="Times New Roman"/>
          <w:sz w:val="24"/>
          <w:szCs w:val="24"/>
        </w:rPr>
        <w:lastRenderedPageBreak/>
        <w:t xml:space="preserve">The </w:t>
      </w:r>
      <w:r w:rsidRPr="00CA3830">
        <w:rPr>
          <w:rFonts w:ascii="Times New Roman" w:hAnsi="Times New Roman"/>
          <w:sz w:val="24"/>
          <w:szCs w:val="24"/>
        </w:rPr>
        <w:t>Benefit Ratio</w:t>
      </w:r>
      <w:r>
        <w:rPr>
          <w:rFonts w:ascii="Times New Roman" w:hAnsi="Times New Roman"/>
          <w:sz w:val="24"/>
          <w:szCs w:val="24"/>
        </w:rPr>
        <w:t xml:space="preserve"> normalizes the Portfolio Benefit for different sizes of the same resource type.  A very large plant may require a lot of capital to realize a relatively modest amount of Portfolio Benefit dollars.  When </w:t>
      </w:r>
      <w:r w:rsidR="0055769B">
        <w:rPr>
          <w:rFonts w:ascii="Times New Roman" w:hAnsi="Times New Roman"/>
          <w:sz w:val="24"/>
          <w:szCs w:val="24"/>
        </w:rPr>
        <w:t>the</w:t>
      </w:r>
      <w:r>
        <w:rPr>
          <w:rFonts w:ascii="Times New Roman" w:hAnsi="Times New Roman"/>
          <w:sz w:val="24"/>
          <w:szCs w:val="24"/>
        </w:rPr>
        <w:t xml:space="preserve"> Portfolio Benefit</w:t>
      </w:r>
      <w:r w:rsidR="0055769B">
        <w:rPr>
          <w:rFonts w:ascii="Times New Roman" w:hAnsi="Times New Roman"/>
          <w:sz w:val="24"/>
          <w:szCs w:val="24"/>
        </w:rPr>
        <w:t xml:space="preserve"> of each propo</w:t>
      </w:r>
      <w:r>
        <w:rPr>
          <w:rFonts w:ascii="Times New Roman" w:hAnsi="Times New Roman"/>
          <w:sz w:val="24"/>
          <w:szCs w:val="24"/>
        </w:rPr>
        <w:t>s</w:t>
      </w:r>
      <w:r w:rsidR="0055769B">
        <w:rPr>
          <w:rFonts w:ascii="Times New Roman" w:hAnsi="Times New Roman"/>
          <w:sz w:val="24"/>
          <w:szCs w:val="24"/>
        </w:rPr>
        <w:t>ed resource</w:t>
      </w:r>
      <w:r>
        <w:rPr>
          <w:rFonts w:ascii="Times New Roman" w:hAnsi="Times New Roman"/>
          <w:sz w:val="24"/>
          <w:szCs w:val="24"/>
        </w:rPr>
        <w:t xml:space="preserve"> </w:t>
      </w:r>
      <w:r w:rsidR="0055769B">
        <w:rPr>
          <w:rFonts w:ascii="Times New Roman" w:hAnsi="Times New Roman"/>
          <w:sz w:val="24"/>
          <w:szCs w:val="24"/>
        </w:rPr>
        <w:t>is</w:t>
      </w:r>
      <w:r>
        <w:rPr>
          <w:rFonts w:ascii="Times New Roman" w:hAnsi="Times New Roman"/>
          <w:sz w:val="24"/>
          <w:szCs w:val="24"/>
        </w:rPr>
        <w:t xml:space="preserve"> divided by </w:t>
      </w:r>
      <w:r w:rsidR="0055769B">
        <w:rPr>
          <w:rFonts w:ascii="Times New Roman" w:hAnsi="Times New Roman"/>
          <w:sz w:val="24"/>
          <w:szCs w:val="24"/>
        </w:rPr>
        <w:t>its</w:t>
      </w:r>
      <w:r>
        <w:rPr>
          <w:rFonts w:ascii="Times New Roman" w:hAnsi="Times New Roman"/>
          <w:sz w:val="24"/>
          <w:szCs w:val="24"/>
        </w:rPr>
        <w:t xml:space="preserve"> “all in” costs, </w:t>
      </w:r>
      <w:r w:rsidR="0055769B">
        <w:rPr>
          <w:rFonts w:ascii="Times New Roman" w:hAnsi="Times New Roman"/>
          <w:sz w:val="24"/>
          <w:szCs w:val="24"/>
        </w:rPr>
        <w:t>different proposed resources</w:t>
      </w:r>
      <w:r>
        <w:rPr>
          <w:rFonts w:ascii="Times New Roman" w:hAnsi="Times New Roman"/>
          <w:sz w:val="24"/>
          <w:szCs w:val="24"/>
        </w:rPr>
        <w:t xml:space="preserve"> can be more directly compared; this is the value of the Benefit Ratio calculation.  Generally, a higher </w:t>
      </w:r>
      <w:r w:rsidR="0055769B">
        <w:rPr>
          <w:rFonts w:ascii="Times New Roman" w:hAnsi="Times New Roman"/>
          <w:sz w:val="24"/>
          <w:szCs w:val="24"/>
        </w:rPr>
        <w:t>positive</w:t>
      </w:r>
      <w:r w:rsidR="00F0368C">
        <w:rPr>
          <w:rFonts w:ascii="Times New Roman" w:hAnsi="Times New Roman"/>
          <w:sz w:val="24"/>
          <w:szCs w:val="24"/>
        </w:rPr>
        <w:t xml:space="preserve"> </w:t>
      </w:r>
      <w:r>
        <w:rPr>
          <w:rFonts w:ascii="Times New Roman" w:hAnsi="Times New Roman"/>
          <w:sz w:val="24"/>
          <w:szCs w:val="24"/>
        </w:rPr>
        <w:t>Benefit Ratio represents a more favorable acquisition opportunity.</w:t>
      </w:r>
    </w:p>
    <w:p w:rsidR="00601774" w:rsidRDefault="00601774">
      <w:pPr>
        <w:spacing w:after="0" w:line="480" w:lineRule="auto"/>
      </w:pPr>
    </w:p>
    <w:p w:rsidR="00925622" w:rsidRDefault="00925622" w:rsidP="004272F4">
      <w:pPr>
        <w:spacing w:after="0" w:line="480" w:lineRule="auto"/>
        <w:ind w:left="720" w:hanging="720"/>
        <w:rPr>
          <w:rFonts w:ascii="Times New Roman" w:hAnsi="Times New Roman"/>
          <w:b/>
          <w:sz w:val="24"/>
          <w:szCs w:val="24"/>
        </w:rPr>
      </w:pPr>
      <w:r w:rsidRPr="00925622">
        <w:rPr>
          <w:rFonts w:ascii="Times New Roman" w:hAnsi="Times New Roman"/>
          <w:b/>
          <w:sz w:val="24"/>
          <w:szCs w:val="24"/>
        </w:rPr>
        <w:t>Q.</w:t>
      </w:r>
      <w:r w:rsidRPr="00925622">
        <w:rPr>
          <w:rFonts w:ascii="Times New Roman" w:hAnsi="Times New Roman"/>
          <w:b/>
          <w:sz w:val="24"/>
          <w:szCs w:val="24"/>
        </w:rPr>
        <w:tab/>
        <w:t xml:space="preserve">Please describe the </w:t>
      </w:r>
      <w:r>
        <w:rPr>
          <w:rFonts w:ascii="Times New Roman" w:hAnsi="Times New Roman"/>
          <w:b/>
          <w:sz w:val="24"/>
          <w:szCs w:val="24"/>
        </w:rPr>
        <w:t>20-Year Levelized Cost</w:t>
      </w:r>
      <w:r w:rsidRPr="00925622">
        <w:rPr>
          <w:rFonts w:ascii="Times New Roman" w:hAnsi="Times New Roman"/>
          <w:b/>
          <w:sz w:val="24"/>
          <w:szCs w:val="24"/>
        </w:rPr>
        <w:t xml:space="preserve"> factor.</w:t>
      </w:r>
    </w:p>
    <w:p w:rsidR="0015547C" w:rsidRDefault="00925622" w:rsidP="0015547C">
      <w:pPr>
        <w:spacing w:after="0" w:line="480" w:lineRule="auto"/>
        <w:ind w:left="720" w:hanging="720"/>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 xml:space="preserve">PSE’s 20-Year Levelized Cost </w:t>
      </w:r>
      <w:r w:rsidR="00B02CB7">
        <w:rPr>
          <w:rFonts w:ascii="Times New Roman" w:hAnsi="Times New Roman"/>
          <w:sz w:val="24"/>
          <w:szCs w:val="24"/>
        </w:rPr>
        <w:t>factor</w:t>
      </w:r>
      <w:r>
        <w:rPr>
          <w:rFonts w:ascii="Times New Roman" w:hAnsi="Times New Roman"/>
          <w:sz w:val="24"/>
          <w:szCs w:val="24"/>
        </w:rPr>
        <w:t xml:space="preserve"> can be summarized as follows:</w:t>
      </w:r>
    </w:p>
    <w:p w:rsidR="00B01AD7" w:rsidRPr="00D01ED5" w:rsidRDefault="00B01AD7" w:rsidP="00B01AD7">
      <w:pPr>
        <w:spacing w:after="0" w:line="240" w:lineRule="auto"/>
        <w:rPr>
          <w:rFonts w:ascii="Times New Roman" w:hAnsi="Times New Roman" w:cs="Times New Roman"/>
        </w:rPr>
      </w:pPr>
    </w:p>
    <w:p w:rsidR="00B01AD7" w:rsidRPr="00D01ED5" w:rsidRDefault="00B01AD7" w:rsidP="00B01AD7">
      <w:pPr>
        <w:spacing w:after="0" w:line="240" w:lineRule="auto"/>
        <w:rPr>
          <w:rFonts w:ascii="Times New Roman" w:hAnsi="Times New Roman" w:cs="Times New Roman"/>
        </w:rPr>
      </w:pPr>
      <w:r w:rsidRPr="00D01ED5">
        <w:rPr>
          <w:rFonts w:ascii="Times New Roman" w:hAnsi="Times New Roman" w:cs="Times New Roman"/>
        </w:rPr>
        <w:tab/>
      </w:r>
      <w:r w:rsidRPr="00D01ED5">
        <w:rPr>
          <w:rFonts w:ascii="Times New Roman" w:hAnsi="Times New Roman" w:cs="Times New Roman"/>
        </w:rPr>
        <w:tab/>
      </w:r>
      <w:r w:rsidRPr="00D01ED5">
        <w:rPr>
          <w:rFonts w:ascii="Times New Roman" w:hAnsi="Times New Roman" w:cs="Times New Roman"/>
        </w:rPr>
        <w:tab/>
      </w:r>
      <w:r w:rsidRPr="00D01ED5">
        <w:rPr>
          <w:rFonts w:ascii="Times New Roman" w:hAnsi="Times New Roman" w:cs="Times New Roman"/>
        </w:rPr>
        <w:tab/>
      </w:r>
      <w:r w:rsidRPr="00D01ED5">
        <w:rPr>
          <w:rFonts w:ascii="Times New Roman" w:hAnsi="Times New Roman" w:cs="Times New Roman"/>
        </w:rPr>
        <w:tab/>
        <w:t>PV to purchase and operate a specific resource for 20 years</w:t>
      </w:r>
    </w:p>
    <w:p w:rsidR="00B01AD7" w:rsidRPr="00D01ED5" w:rsidRDefault="004504FC" w:rsidP="00B01AD7">
      <w:pPr>
        <w:spacing w:after="0" w:line="240" w:lineRule="auto"/>
        <w:rPr>
          <w:rFonts w:ascii="Times New Roman" w:hAnsi="Times New Roman" w:cs="Times New Roman"/>
        </w:rPr>
      </w:pPr>
      <w:r>
        <w:rPr>
          <w:rFonts w:ascii="Times New Roman" w:hAnsi="Times New Roman" w:cs="Times New Roman"/>
          <w:noProof/>
        </w:rPr>
        <w:pict>
          <v:shape id="_x0000_s1027" type="#_x0000_t32" style="position:absolute;margin-left:181.6pt;margin-top:7.05pt;width:270pt;height:0;z-index:251659264" o:connectortype="straight" strokeweight="2pt"/>
        </w:pict>
      </w:r>
      <w:r w:rsidR="0048720D" w:rsidRPr="00D01ED5">
        <w:rPr>
          <w:rFonts w:ascii="Times New Roman" w:hAnsi="Times New Roman" w:cs="Times New Roman"/>
        </w:rPr>
        <w:t>20-</w:t>
      </w:r>
      <w:r w:rsidR="00B01AD7" w:rsidRPr="00D01ED5">
        <w:rPr>
          <w:rFonts w:ascii="Times New Roman" w:hAnsi="Times New Roman" w:cs="Times New Roman"/>
        </w:rPr>
        <w:t xml:space="preserve">Year Levelized Cost ($/MWh)    </w:t>
      </w:r>
      <w:r w:rsidR="00B01AD7" w:rsidRPr="00D01ED5">
        <w:rPr>
          <w:rFonts w:ascii="Times New Roman" w:hAnsi="Times New Roman" w:cs="Times New Roman"/>
          <w:b/>
        </w:rPr>
        <w:t xml:space="preserve">= </w:t>
      </w:r>
      <w:r w:rsidR="00B01AD7" w:rsidRPr="00D01ED5">
        <w:rPr>
          <w:rFonts w:ascii="Times New Roman" w:hAnsi="Times New Roman" w:cs="Times New Roman"/>
        </w:rPr>
        <w:tab/>
      </w:r>
    </w:p>
    <w:p w:rsidR="00B01AD7" w:rsidRPr="00D01ED5" w:rsidRDefault="00272DDA" w:rsidP="00B01AD7">
      <w:pPr>
        <w:spacing w:after="0" w:line="240" w:lineRule="auto"/>
        <w:rPr>
          <w:rFonts w:ascii="Times New Roman" w:hAnsi="Times New Roman" w:cs="Times New Roman"/>
        </w:rPr>
      </w:pPr>
      <w:r w:rsidRPr="00D01ED5">
        <w:rPr>
          <w:rFonts w:ascii="Times New Roman" w:hAnsi="Times New Roman" w:cs="Times New Roman"/>
        </w:rPr>
        <w:tab/>
      </w:r>
      <w:r w:rsidRPr="00D01ED5">
        <w:rPr>
          <w:rFonts w:ascii="Times New Roman" w:hAnsi="Times New Roman" w:cs="Times New Roman"/>
        </w:rPr>
        <w:tab/>
      </w:r>
      <w:r w:rsidRPr="00D01ED5">
        <w:rPr>
          <w:rFonts w:ascii="Times New Roman" w:hAnsi="Times New Roman" w:cs="Times New Roman"/>
        </w:rPr>
        <w:tab/>
      </w:r>
      <w:r w:rsidRPr="00D01ED5">
        <w:rPr>
          <w:rFonts w:ascii="Times New Roman" w:hAnsi="Times New Roman" w:cs="Times New Roman"/>
        </w:rPr>
        <w:tab/>
      </w:r>
      <w:r w:rsidRPr="00D01ED5">
        <w:rPr>
          <w:rFonts w:ascii="Times New Roman" w:hAnsi="Times New Roman" w:cs="Times New Roman"/>
        </w:rPr>
        <w:tab/>
      </w:r>
      <w:r w:rsidRPr="00D01ED5">
        <w:rPr>
          <w:rFonts w:ascii="Times New Roman" w:hAnsi="Times New Roman" w:cs="Times New Roman"/>
        </w:rPr>
        <w:tab/>
      </w:r>
      <w:r w:rsidRPr="00D01ED5">
        <w:rPr>
          <w:rFonts w:ascii="Times New Roman" w:hAnsi="Times New Roman" w:cs="Times New Roman"/>
        </w:rPr>
        <w:tab/>
        <w:t>MWh generated over 20 Years</w:t>
      </w:r>
    </w:p>
    <w:p w:rsidR="0015547C" w:rsidRPr="00D01ED5" w:rsidRDefault="0015547C" w:rsidP="0015547C">
      <w:pPr>
        <w:rPr>
          <w:rFonts w:ascii="Times New Roman" w:hAnsi="Times New Roman" w:cs="Times New Roman"/>
        </w:rPr>
      </w:pPr>
    </w:p>
    <w:p w:rsidR="0015547C" w:rsidRDefault="0048720D" w:rsidP="0015547C">
      <w:pPr>
        <w:spacing w:after="0" w:line="480" w:lineRule="auto"/>
        <w:ind w:left="720"/>
        <w:rPr>
          <w:rFonts w:ascii="Times New Roman" w:hAnsi="Times New Roman"/>
          <w:sz w:val="24"/>
          <w:szCs w:val="24"/>
        </w:rPr>
      </w:pPr>
      <w:r>
        <w:rPr>
          <w:rFonts w:ascii="Times New Roman" w:hAnsi="Times New Roman"/>
          <w:sz w:val="24"/>
          <w:szCs w:val="24"/>
        </w:rPr>
        <w:t xml:space="preserve">The </w:t>
      </w:r>
      <w:r w:rsidR="0015547C" w:rsidRPr="0015547C">
        <w:rPr>
          <w:rFonts w:ascii="Times New Roman" w:hAnsi="Times New Roman"/>
          <w:sz w:val="24"/>
          <w:szCs w:val="24"/>
        </w:rPr>
        <w:t>20-Year Levelized Cost</w:t>
      </w:r>
      <w:r w:rsidRPr="0048720D">
        <w:rPr>
          <w:rFonts w:ascii="Times New Roman" w:hAnsi="Times New Roman"/>
          <w:sz w:val="24"/>
          <w:szCs w:val="24"/>
        </w:rPr>
        <w:t xml:space="preserve"> </w:t>
      </w:r>
      <w:r>
        <w:rPr>
          <w:rFonts w:ascii="Times New Roman" w:hAnsi="Times New Roman"/>
          <w:sz w:val="24"/>
          <w:szCs w:val="24"/>
        </w:rPr>
        <w:t xml:space="preserve">represents </w:t>
      </w:r>
      <w:r w:rsidR="00C02033">
        <w:rPr>
          <w:rFonts w:ascii="Times New Roman" w:hAnsi="Times New Roman"/>
          <w:sz w:val="24"/>
          <w:szCs w:val="24"/>
        </w:rPr>
        <w:t>the average cost</w:t>
      </w:r>
      <w:r>
        <w:rPr>
          <w:rFonts w:ascii="Times New Roman" w:hAnsi="Times New Roman"/>
          <w:sz w:val="24"/>
          <w:szCs w:val="24"/>
        </w:rPr>
        <w:t xml:space="preserve"> over a twenty year timeline to generate energy</w:t>
      </w:r>
      <w:r w:rsidR="00C02033">
        <w:rPr>
          <w:rFonts w:ascii="Times New Roman" w:hAnsi="Times New Roman"/>
          <w:sz w:val="24"/>
          <w:szCs w:val="24"/>
        </w:rPr>
        <w:t xml:space="preserve"> and has the units $/MWh</w:t>
      </w:r>
      <w:r>
        <w:rPr>
          <w:rFonts w:ascii="Times New Roman" w:hAnsi="Times New Roman"/>
          <w:sz w:val="24"/>
          <w:szCs w:val="24"/>
        </w:rPr>
        <w:t xml:space="preserve">.  </w:t>
      </w:r>
      <w:r w:rsidR="00CC19B5">
        <w:rPr>
          <w:rFonts w:ascii="Times New Roman" w:hAnsi="Times New Roman"/>
          <w:sz w:val="24"/>
          <w:szCs w:val="24"/>
        </w:rPr>
        <w:t xml:space="preserve">This is analogous to calculating dollars per mile for a truck considering all capital and operating costs.  </w:t>
      </w:r>
      <w:r>
        <w:rPr>
          <w:rFonts w:ascii="Times New Roman" w:hAnsi="Times New Roman"/>
          <w:sz w:val="24"/>
          <w:szCs w:val="24"/>
        </w:rPr>
        <w:t xml:space="preserve">This calculation does not rely on the </w:t>
      </w:r>
      <w:r w:rsidR="00562903">
        <w:rPr>
          <w:rFonts w:ascii="Times New Roman" w:hAnsi="Times New Roman"/>
          <w:sz w:val="24"/>
          <w:szCs w:val="24"/>
        </w:rPr>
        <w:t xml:space="preserve">existing </w:t>
      </w:r>
      <w:r>
        <w:rPr>
          <w:rFonts w:ascii="Times New Roman" w:hAnsi="Times New Roman"/>
          <w:sz w:val="24"/>
          <w:szCs w:val="24"/>
        </w:rPr>
        <w:t xml:space="preserve">mix of </w:t>
      </w:r>
      <w:r w:rsidR="00925622">
        <w:rPr>
          <w:rFonts w:ascii="Times New Roman" w:hAnsi="Times New Roman"/>
          <w:sz w:val="24"/>
          <w:szCs w:val="24"/>
        </w:rPr>
        <w:t xml:space="preserve">PSE’s </w:t>
      </w:r>
      <w:r>
        <w:rPr>
          <w:rFonts w:ascii="Times New Roman" w:hAnsi="Times New Roman"/>
          <w:sz w:val="24"/>
          <w:szCs w:val="24"/>
        </w:rPr>
        <w:t xml:space="preserve">current portfolio, but rather </w:t>
      </w:r>
      <w:r w:rsidR="00925622">
        <w:rPr>
          <w:rFonts w:ascii="Times New Roman" w:hAnsi="Times New Roman"/>
          <w:sz w:val="24"/>
          <w:szCs w:val="24"/>
        </w:rPr>
        <w:t xml:space="preserve">it </w:t>
      </w:r>
      <w:r>
        <w:rPr>
          <w:rFonts w:ascii="Times New Roman" w:hAnsi="Times New Roman"/>
          <w:sz w:val="24"/>
          <w:szCs w:val="24"/>
        </w:rPr>
        <w:t>is an estimate of what the expected costs to generate energy will be for a specific resource</w:t>
      </w:r>
      <w:r w:rsidR="00C02033">
        <w:rPr>
          <w:rFonts w:ascii="Times New Roman" w:hAnsi="Times New Roman"/>
          <w:sz w:val="24"/>
          <w:szCs w:val="24"/>
        </w:rPr>
        <w:t>, contract, purchase</w:t>
      </w:r>
      <w:r w:rsidR="001C4CEB">
        <w:rPr>
          <w:rFonts w:ascii="Times New Roman" w:hAnsi="Times New Roman"/>
          <w:sz w:val="24"/>
          <w:szCs w:val="24"/>
        </w:rPr>
        <w:t xml:space="preserve"> agreement</w:t>
      </w:r>
      <w:r w:rsidR="00C02033">
        <w:rPr>
          <w:rFonts w:ascii="Times New Roman" w:hAnsi="Times New Roman"/>
          <w:sz w:val="24"/>
          <w:szCs w:val="24"/>
        </w:rPr>
        <w:t>, or the like</w:t>
      </w:r>
      <w:r>
        <w:rPr>
          <w:rFonts w:ascii="Times New Roman" w:hAnsi="Times New Roman"/>
          <w:sz w:val="24"/>
          <w:szCs w:val="24"/>
        </w:rPr>
        <w:t>.  This</w:t>
      </w:r>
      <w:r w:rsidR="00C02033">
        <w:rPr>
          <w:rFonts w:ascii="Times New Roman" w:hAnsi="Times New Roman"/>
          <w:sz w:val="24"/>
          <w:szCs w:val="24"/>
        </w:rPr>
        <w:t xml:space="preserve"> calculation</w:t>
      </w:r>
      <w:r>
        <w:rPr>
          <w:rFonts w:ascii="Times New Roman" w:hAnsi="Times New Roman"/>
          <w:sz w:val="24"/>
          <w:szCs w:val="24"/>
        </w:rPr>
        <w:t xml:space="preserve"> can be valuable when comparing different types of energy or capacity generating resources</w:t>
      </w:r>
      <w:r w:rsidR="00504E9C">
        <w:rPr>
          <w:rFonts w:ascii="Times New Roman" w:hAnsi="Times New Roman"/>
          <w:sz w:val="24"/>
          <w:szCs w:val="24"/>
        </w:rPr>
        <w:t>,</w:t>
      </w:r>
      <w:r>
        <w:rPr>
          <w:rFonts w:ascii="Times New Roman" w:hAnsi="Times New Roman"/>
          <w:sz w:val="24"/>
          <w:szCs w:val="24"/>
        </w:rPr>
        <w:t xml:space="preserve"> as well as different sizes of resources</w:t>
      </w:r>
      <w:r w:rsidR="00B02CB7">
        <w:rPr>
          <w:rFonts w:ascii="Times New Roman" w:hAnsi="Times New Roman"/>
          <w:sz w:val="24"/>
          <w:szCs w:val="24"/>
        </w:rPr>
        <w:t>,</w:t>
      </w:r>
      <w:r w:rsidR="00C02033">
        <w:rPr>
          <w:rFonts w:ascii="Times New Roman" w:hAnsi="Times New Roman"/>
          <w:sz w:val="24"/>
          <w:szCs w:val="24"/>
        </w:rPr>
        <w:t xml:space="preserve"> because all calculation</w:t>
      </w:r>
      <w:r w:rsidR="00504E9C">
        <w:rPr>
          <w:rFonts w:ascii="Times New Roman" w:hAnsi="Times New Roman"/>
          <w:sz w:val="24"/>
          <w:szCs w:val="24"/>
        </w:rPr>
        <w:t>s</w:t>
      </w:r>
      <w:r w:rsidR="00C02033">
        <w:rPr>
          <w:rFonts w:ascii="Times New Roman" w:hAnsi="Times New Roman"/>
          <w:sz w:val="24"/>
          <w:szCs w:val="24"/>
        </w:rPr>
        <w:t xml:space="preserve"> are dollar normalized to the generation of one MWh of energy</w:t>
      </w:r>
      <w:r>
        <w:rPr>
          <w:rFonts w:ascii="Times New Roman" w:hAnsi="Times New Roman"/>
          <w:sz w:val="24"/>
          <w:szCs w:val="24"/>
        </w:rPr>
        <w:t>.</w:t>
      </w:r>
    </w:p>
    <w:p w:rsidR="00405788" w:rsidRDefault="00405788" w:rsidP="0015547C">
      <w:pPr>
        <w:spacing w:after="0" w:line="480" w:lineRule="auto"/>
        <w:ind w:left="720"/>
        <w:rPr>
          <w:rFonts w:ascii="Times New Roman" w:hAnsi="Times New Roman"/>
          <w:sz w:val="24"/>
          <w:szCs w:val="24"/>
        </w:rPr>
      </w:pPr>
    </w:p>
    <w:p w:rsidR="00405788" w:rsidRDefault="00405788" w:rsidP="0015547C">
      <w:pPr>
        <w:spacing w:after="0" w:line="480" w:lineRule="auto"/>
        <w:ind w:left="720"/>
        <w:rPr>
          <w:rFonts w:ascii="Times New Roman" w:hAnsi="Times New Roman"/>
          <w:sz w:val="24"/>
          <w:szCs w:val="24"/>
        </w:rPr>
        <w:sectPr w:rsidR="00405788" w:rsidSect="00405788">
          <w:footerReference w:type="default" r:id="rId8"/>
          <w:pgSz w:w="12240" w:h="15840" w:code="1"/>
          <w:pgMar w:top="1440" w:right="1440" w:bottom="1440" w:left="1440" w:header="720" w:footer="720" w:gutter="0"/>
          <w:lnNumType w:countBy="1"/>
          <w:pgNumType w:start="1"/>
          <w:cols w:space="720"/>
          <w:docGrid w:linePitch="360"/>
        </w:sectPr>
      </w:pPr>
    </w:p>
    <w:p w:rsidR="0015547C" w:rsidRDefault="00B01AD7" w:rsidP="0015547C">
      <w:pPr>
        <w:spacing w:after="0" w:line="480" w:lineRule="auto"/>
        <w:ind w:left="720" w:hanging="720"/>
        <w:rPr>
          <w:rFonts w:ascii="Times New Roman" w:hAnsi="Times New Roman"/>
          <w:sz w:val="24"/>
          <w:szCs w:val="24"/>
        </w:rPr>
      </w:pPr>
      <w:r w:rsidRPr="00B01AD7">
        <w:rPr>
          <w:rFonts w:ascii="Times New Roman" w:hAnsi="Times New Roman"/>
          <w:b/>
          <w:sz w:val="24"/>
          <w:szCs w:val="24"/>
        </w:rPr>
        <w:lastRenderedPageBreak/>
        <w:t>Q.</w:t>
      </w:r>
      <w:r w:rsidRPr="00B01AD7">
        <w:rPr>
          <w:rFonts w:ascii="Times New Roman" w:hAnsi="Times New Roman"/>
          <w:b/>
          <w:sz w:val="24"/>
          <w:szCs w:val="24"/>
        </w:rPr>
        <w:tab/>
      </w:r>
      <w:r>
        <w:rPr>
          <w:rFonts w:ascii="Times New Roman" w:hAnsi="Times New Roman"/>
          <w:b/>
          <w:sz w:val="24"/>
          <w:szCs w:val="24"/>
        </w:rPr>
        <w:t xml:space="preserve">Is </w:t>
      </w:r>
      <w:r w:rsidR="005F3C64">
        <w:rPr>
          <w:rFonts w:ascii="Times New Roman" w:hAnsi="Times New Roman"/>
          <w:b/>
          <w:sz w:val="24"/>
          <w:szCs w:val="24"/>
        </w:rPr>
        <w:t xml:space="preserve">it important </w:t>
      </w:r>
      <w:r w:rsidR="004272F4">
        <w:rPr>
          <w:rFonts w:ascii="Times New Roman" w:hAnsi="Times New Roman"/>
          <w:b/>
          <w:sz w:val="24"/>
          <w:szCs w:val="24"/>
        </w:rPr>
        <w:t xml:space="preserve">to use all three of these quantitative factors when evaluating </w:t>
      </w:r>
      <w:r w:rsidR="008D4B26">
        <w:rPr>
          <w:rFonts w:ascii="Times New Roman" w:hAnsi="Times New Roman"/>
          <w:b/>
          <w:sz w:val="24"/>
          <w:szCs w:val="24"/>
        </w:rPr>
        <w:t>each</w:t>
      </w:r>
      <w:r>
        <w:rPr>
          <w:rFonts w:ascii="Times New Roman" w:hAnsi="Times New Roman"/>
          <w:b/>
          <w:sz w:val="24"/>
          <w:szCs w:val="24"/>
        </w:rPr>
        <w:t xml:space="preserve"> </w:t>
      </w:r>
      <w:r w:rsidR="008D4B26">
        <w:rPr>
          <w:rFonts w:ascii="Times New Roman" w:hAnsi="Times New Roman"/>
          <w:b/>
          <w:sz w:val="24"/>
          <w:szCs w:val="24"/>
        </w:rPr>
        <w:t xml:space="preserve">resource </w:t>
      </w:r>
      <w:r>
        <w:rPr>
          <w:rFonts w:ascii="Times New Roman" w:hAnsi="Times New Roman"/>
          <w:b/>
          <w:sz w:val="24"/>
          <w:szCs w:val="24"/>
        </w:rPr>
        <w:t>proposal?</w:t>
      </w:r>
    </w:p>
    <w:p w:rsidR="0015547C" w:rsidRDefault="00B01AD7" w:rsidP="0015547C">
      <w:pPr>
        <w:spacing w:after="0" w:line="480" w:lineRule="auto"/>
        <w:ind w:left="720" w:hanging="720"/>
        <w:rPr>
          <w:rFonts w:ascii="Times New Roman" w:hAnsi="Times New Roman"/>
          <w:sz w:val="24"/>
          <w:szCs w:val="24"/>
        </w:rPr>
      </w:pPr>
      <w:r w:rsidRPr="00B01AD7">
        <w:rPr>
          <w:rFonts w:ascii="Times New Roman" w:hAnsi="Times New Roman"/>
          <w:sz w:val="24"/>
          <w:szCs w:val="24"/>
        </w:rPr>
        <w:t>A.</w:t>
      </w:r>
      <w:r w:rsidRPr="00B01AD7">
        <w:rPr>
          <w:rFonts w:ascii="Times New Roman" w:hAnsi="Times New Roman"/>
          <w:sz w:val="24"/>
          <w:szCs w:val="24"/>
        </w:rPr>
        <w:tab/>
      </w:r>
      <w:r w:rsidR="0048720D">
        <w:rPr>
          <w:rFonts w:ascii="Times New Roman" w:hAnsi="Times New Roman"/>
          <w:sz w:val="24"/>
          <w:szCs w:val="24"/>
        </w:rPr>
        <w:t>Yes</w:t>
      </w:r>
      <w:r w:rsidR="00B02CB7">
        <w:rPr>
          <w:rFonts w:ascii="Times New Roman" w:hAnsi="Times New Roman"/>
          <w:sz w:val="24"/>
          <w:szCs w:val="24"/>
        </w:rPr>
        <w:t>.  I</w:t>
      </w:r>
      <w:r w:rsidR="0048720D">
        <w:rPr>
          <w:rFonts w:ascii="Times New Roman" w:hAnsi="Times New Roman"/>
          <w:sz w:val="24"/>
          <w:szCs w:val="24"/>
        </w:rPr>
        <w:t xml:space="preserve">n order to </w:t>
      </w:r>
      <w:r w:rsidR="004272F4">
        <w:rPr>
          <w:rFonts w:ascii="Times New Roman" w:hAnsi="Times New Roman"/>
          <w:sz w:val="24"/>
          <w:szCs w:val="24"/>
        </w:rPr>
        <w:t xml:space="preserve">properly </w:t>
      </w:r>
      <w:r w:rsidR="0048720D">
        <w:rPr>
          <w:rFonts w:ascii="Times New Roman" w:hAnsi="Times New Roman"/>
          <w:sz w:val="24"/>
          <w:szCs w:val="24"/>
        </w:rPr>
        <w:t xml:space="preserve">compare various resource proposals available to the </w:t>
      </w:r>
      <w:r w:rsidR="009703E8">
        <w:rPr>
          <w:rFonts w:ascii="Times New Roman" w:hAnsi="Times New Roman"/>
          <w:sz w:val="24"/>
          <w:szCs w:val="24"/>
        </w:rPr>
        <w:t>C</w:t>
      </w:r>
      <w:r w:rsidR="0048720D">
        <w:rPr>
          <w:rFonts w:ascii="Times New Roman" w:hAnsi="Times New Roman"/>
          <w:sz w:val="24"/>
          <w:szCs w:val="24"/>
        </w:rPr>
        <w:t>ompany</w:t>
      </w:r>
      <w:r w:rsidR="008D4B26">
        <w:rPr>
          <w:rFonts w:ascii="Times New Roman" w:hAnsi="Times New Roman"/>
          <w:sz w:val="24"/>
          <w:szCs w:val="24"/>
        </w:rPr>
        <w:t>,</w:t>
      </w:r>
      <w:r w:rsidR="0048720D">
        <w:rPr>
          <w:rFonts w:ascii="Times New Roman" w:hAnsi="Times New Roman"/>
          <w:sz w:val="24"/>
          <w:szCs w:val="24"/>
        </w:rPr>
        <w:t xml:space="preserve"> it is important to match up each proposal with same evaluation criteria</w:t>
      </w:r>
      <w:r w:rsidR="008D4B26">
        <w:rPr>
          <w:rFonts w:ascii="Times New Roman" w:hAnsi="Times New Roman"/>
          <w:sz w:val="24"/>
          <w:szCs w:val="24"/>
        </w:rPr>
        <w:t xml:space="preserve">.  This </w:t>
      </w:r>
      <w:r w:rsidR="0048720D">
        <w:rPr>
          <w:rFonts w:ascii="Times New Roman" w:hAnsi="Times New Roman"/>
          <w:sz w:val="24"/>
          <w:szCs w:val="24"/>
        </w:rPr>
        <w:t>provide</w:t>
      </w:r>
      <w:r w:rsidR="008D4B26">
        <w:rPr>
          <w:rFonts w:ascii="Times New Roman" w:hAnsi="Times New Roman"/>
          <w:sz w:val="24"/>
          <w:szCs w:val="24"/>
        </w:rPr>
        <w:t>s</w:t>
      </w:r>
      <w:r w:rsidR="0048720D">
        <w:rPr>
          <w:rFonts w:ascii="Times New Roman" w:hAnsi="Times New Roman"/>
          <w:sz w:val="24"/>
          <w:szCs w:val="24"/>
        </w:rPr>
        <w:t xml:space="preserve"> a fair and transparent</w:t>
      </w:r>
      <w:r w:rsidR="00C02033">
        <w:rPr>
          <w:rFonts w:ascii="Times New Roman" w:hAnsi="Times New Roman"/>
          <w:sz w:val="24"/>
          <w:szCs w:val="24"/>
        </w:rPr>
        <w:t xml:space="preserve"> process for PSE decision-makers and the Com</w:t>
      </w:r>
      <w:r w:rsidR="002F5A79">
        <w:rPr>
          <w:rFonts w:ascii="Times New Roman" w:hAnsi="Times New Roman"/>
          <w:sz w:val="24"/>
          <w:szCs w:val="24"/>
        </w:rPr>
        <w:t>m</w:t>
      </w:r>
      <w:r w:rsidR="00C02033">
        <w:rPr>
          <w:rFonts w:ascii="Times New Roman" w:hAnsi="Times New Roman"/>
          <w:sz w:val="24"/>
          <w:szCs w:val="24"/>
        </w:rPr>
        <w:t>ission</w:t>
      </w:r>
      <w:r w:rsidR="008D4B26">
        <w:rPr>
          <w:rFonts w:ascii="Times New Roman" w:hAnsi="Times New Roman"/>
          <w:sz w:val="24"/>
          <w:szCs w:val="24"/>
        </w:rPr>
        <w:t xml:space="preserve"> when conducting a prudence review in a general rate case</w:t>
      </w:r>
      <w:r w:rsidR="00C02033">
        <w:rPr>
          <w:rFonts w:ascii="Times New Roman" w:hAnsi="Times New Roman"/>
          <w:sz w:val="24"/>
          <w:szCs w:val="24"/>
        </w:rPr>
        <w:t>.</w:t>
      </w:r>
    </w:p>
    <w:p w:rsidR="0015547C" w:rsidRDefault="0015547C" w:rsidP="0015547C">
      <w:pPr>
        <w:spacing w:after="0" w:line="480" w:lineRule="auto"/>
        <w:ind w:left="720" w:hanging="720"/>
        <w:rPr>
          <w:rFonts w:ascii="Times New Roman" w:hAnsi="Times New Roman"/>
          <w:sz w:val="24"/>
          <w:szCs w:val="24"/>
        </w:rPr>
      </w:pPr>
    </w:p>
    <w:p w:rsidR="0015547C" w:rsidRDefault="009E6FAB" w:rsidP="0015547C">
      <w:pPr>
        <w:spacing w:after="0" w:line="480" w:lineRule="auto"/>
        <w:ind w:left="720" w:hanging="720"/>
        <w:rPr>
          <w:rFonts w:ascii="Times New Roman" w:hAnsi="Times New Roman" w:cs="Times New Roman"/>
          <w:sz w:val="24"/>
          <w:szCs w:val="24"/>
        </w:rPr>
      </w:pPr>
      <w:r w:rsidRPr="009E6FAB">
        <w:rPr>
          <w:rFonts w:ascii="Times New Roman" w:hAnsi="Times New Roman" w:cs="Times New Roman"/>
          <w:b/>
          <w:sz w:val="24"/>
          <w:szCs w:val="24"/>
        </w:rPr>
        <w:t>Q.</w:t>
      </w:r>
      <w:r w:rsidRPr="009E6FAB">
        <w:rPr>
          <w:rFonts w:ascii="Times New Roman" w:hAnsi="Times New Roman" w:cs="Times New Roman"/>
          <w:b/>
          <w:sz w:val="24"/>
          <w:szCs w:val="24"/>
        </w:rPr>
        <w:tab/>
      </w:r>
      <w:r w:rsidR="008D4B26">
        <w:rPr>
          <w:rFonts w:ascii="Times New Roman" w:hAnsi="Times New Roman" w:cs="Times New Roman"/>
          <w:b/>
          <w:sz w:val="24"/>
          <w:szCs w:val="24"/>
        </w:rPr>
        <w:t xml:space="preserve">Did </w:t>
      </w:r>
      <w:r>
        <w:rPr>
          <w:rFonts w:ascii="Times New Roman" w:hAnsi="Times New Roman" w:cs="Times New Roman"/>
          <w:b/>
          <w:sz w:val="24"/>
          <w:szCs w:val="24"/>
        </w:rPr>
        <w:t>Mr. Norwood</w:t>
      </w:r>
      <w:r w:rsidR="008D4B26">
        <w:rPr>
          <w:rFonts w:ascii="Times New Roman" w:hAnsi="Times New Roman" w:cs="Times New Roman"/>
          <w:b/>
          <w:sz w:val="24"/>
          <w:szCs w:val="24"/>
        </w:rPr>
        <w:t xml:space="preserve"> </w:t>
      </w:r>
      <w:r w:rsidR="00C03492">
        <w:rPr>
          <w:rFonts w:ascii="Times New Roman" w:hAnsi="Times New Roman" w:cs="Times New Roman"/>
          <w:b/>
          <w:sz w:val="24"/>
          <w:szCs w:val="24"/>
        </w:rPr>
        <w:t xml:space="preserve">adequately </w:t>
      </w:r>
      <w:r w:rsidR="008D4B26">
        <w:rPr>
          <w:rFonts w:ascii="Times New Roman" w:hAnsi="Times New Roman" w:cs="Times New Roman"/>
          <w:b/>
          <w:sz w:val="24"/>
          <w:szCs w:val="24"/>
        </w:rPr>
        <w:t>take into account all three quantitative factors in his evaluation of the Mint Farm acquisition</w:t>
      </w:r>
      <w:r w:rsidR="00C02033">
        <w:rPr>
          <w:rFonts w:ascii="Times New Roman" w:hAnsi="Times New Roman" w:cs="Times New Roman"/>
          <w:b/>
          <w:sz w:val="24"/>
          <w:szCs w:val="24"/>
        </w:rPr>
        <w:t>?</w:t>
      </w:r>
    </w:p>
    <w:p w:rsidR="0015547C" w:rsidRDefault="009E6FAB" w:rsidP="0015547C">
      <w:pPr>
        <w:spacing w:after="0" w:line="480" w:lineRule="auto"/>
        <w:ind w:left="720" w:hanging="720"/>
        <w:rPr>
          <w:rFonts w:ascii="Times New Roman" w:hAnsi="Times New Roman" w:cs="Times New Roman"/>
          <w:sz w:val="24"/>
          <w:szCs w:val="24"/>
        </w:rPr>
      </w:pPr>
      <w:r w:rsidRPr="009E6FAB">
        <w:rPr>
          <w:rFonts w:ascii="Times New Roman" w:hAnsi="Times New Roman" w:cs="Times New Roman"/>
          <w:sz w:val="24"/>
          <w:szCs w:val="24"/>
        </w:rPr>
        <w:t>A.</w:t>
      </w:r>
      <w:r w:rsidRPr="009E6FAB">
        <w:rPr>
          <w:rFonts w:ascii="Times New Roman" w:hAnsi="Times New Roman" w:cs="Times New Roman"/>
          <w:sz w:val="24"/>
          <w:szCs w:val="24"/>
        </w:rPr>
        <w:tab/>
      </w:r>
      <w:r w:rsidR="008D4B26">
        <w:rPr>
          <w:rFonts w:ascii="Times New Roman" w:hAnsi="Times New Roman" w:cs="Times New Roman"/>
          <w:sz w:val="24"/>
          <w:szCs w:val="24"/>
        </w:rPr>
        <w:t xml:space="preserve">No.  </w:t>
      </w:r>
      <w:r>
        <w:rPr>
          <w:rFonts w:ascii="Times New Roman" w:hAnsi="Times New Roman" w:cs="Times New Roman"/>
          <w:sz w:val="24"/>
          <w:szCs w:val="24"/>
        </w:rPr>
        <w:t>Mr. Norwood focus</w:t>
      </w:r>
      <w:r w:rsidR="008D4B26">
        <w:rPr>
          <w:rFonts w:ascii="Times New Roman" w:hAnsi="Times New Roman" w:cs="Times New Roman"/>
          <w:sz w:val="24"/>
          <w:szCs w:val="24"/>
        </w:rPr>
        <w:t>ed</w:t>
      </w:r>
      <w:r>
        <w:rPr>
          <w:rFonts w:ascii="Times New Roman" w:hAnsi="Times New Roman" w:cs="Times New Roman"/>
          <w:sz w:val="24"/>
          <w:szCs w:val="24"/>
        </w:rPr>
        <w:t xml:space="preserve"> </w:t>
      </w:r>
      <w:r w:rsidR="00CC19B5">
        <w:rPr>
          <w:rFonts w:ascii="Times New Roman" w:hAnsi="Times New Roman" w:cs="Times New Roman"/>
          <w:sz w:val="24"/>
          <w:szCs w:val="24"/>
        </w:rPr>
        <w:t>primarily</w:t>
      </w:r>
      <w:r>
        <w:rPr>
          <w:rFonts w:ascii="Times New Roman" w:hAnsi="Times New Roman" w:cs="Times New Roman"/>
          <w:sz w:val="24"/>
          <w:szCs w:val="24"/>
        </w:rPr>
        <w:t xml:space="preserve"> on the </w:t>
      </w:r>
      <w:r w:rsidR="008D4B26">
        <w:rPr>
          <w:rFonts w:ascii="Times New Roman" w:hAnsi="Times New Roman" w:cs="Times New Roman"/>
          <w:sz w:val="24"/>
          <w:szCs w:val="24"/>
        </w:rPr>
        <w:t xml:space="preserve">Portfolio Benefit and Benefit Ratio factors </w:t>
      </w:r>
      <w:r>
        <w:rPr>
          <w:rFonts w:ascii="Times New Roman" w:hAnsi="Times New Roman" w:cs="Times New Roman"/>
          <w:sz w:val="24"/>
          <w:szCs w:val="24"/>
        </w:rPr>
        <w:t xml:space="preserve">and </w:t>
      </w:r>
      <w:r w:rsidR="00CC19B5">
        <w:rPr>
          <w:rFonts w:ascii="Times New Roman" w:hAnsi="Times New Roman" w:cs="Times New Roman"/>
          <w:sz w:val="24"/>
          <w:szCs w:val="24"/>
        </w:rPr>
        <w:t xml:space="preserve">largely </w:t>
      </w:r>
      <w:r w:rsidR="00A660F3">
        <w:rPr>
          <w:rFonts w:ascii="Times New Roman" w:hAnsi="Times New Roman" w:cs="Times New Roman"/>
          <w:sz w:val="24"/>
          <w:szCs w:val="24"/>
        </w:rPr>
        <w:t>ignores</w:t>
      </w:r>
      <w:r>
        <w:rPr>
          <w:rFonts w:ascii="Times New Roman" w:hAnsi="Times New Roman" w:cs="Times New Roman"/>
          <w:sz w:val="24"/>
          <w:szCs w:val="24"/>
        </w:rPr>
        <w:t xml:space="preserve"> t</w:t>
      </w:r>
      <w:r w:rsidR="002F5A79">
        <w:rPr>
          <w:rFonts w:ascii="Times New Roman" w:hAnsi="Times New Roman" w:cs="Times New Roman"/>
          <w:sz w:val="24"/>
          <w:szCs w:val="24"/>
        </w:rPr>
        <w:t>he 20-Y</w:t>
      </w:r>
      <w:r>
        <w:rPr>
          <w:rFonts w:ascii="Times New Roman" w:hAnsi="Times New Roman" w:cs="Times New Roman"/>
          <w:sz w:val="24"/>
          <w:szCs w:val="24"/>
        </w:rPr>
        <w:t>ear Levelized Cost</w:t>
      </w:r>
      <w:r w:rsidR="008D4B26">
        <w:rPr>
          <w:rFonts w:ascii="Times New Roman" w:hAnsi="Times New Roman" w:cs="Times New Roman"/>
          <w:sz w:val="24"/>
          <w:szCs w:val="24"/>
        </w:rPr>
        <w:t xml:space="preserve"> factor</w:t>
      </w:r>
      <w:r>
        <w:rPr>
          <w:rFonts w:ascii="Times New Roman" w:hAnsi="Times New Roman" w:cs="Times New Roman"/>
          <w:sz w:val="24"/>
          <w:szCs w:val="24"/>
        </w:rPr>
        <w:t>.</w:t>
      </w:r>
      <w:r w:rsidR="001C4CEB">
        <w:rPr>
          <w:rFonts w:ascii="Times New Roman" w:hAnsi="Times New Roman" w:cs="Times New Roman"/>
          <w:sz w:val="24"/>
          <w:szCs w:val="24"/>
        </w:rPr>
        <w:t xml:space="preserve">  </w:t>
      </w:r>
      <w:r w:rsidR="00432E3F">
        <w:rPr>
          <w:rFonts w:ascii="Times New Roman" w:hAnsi="Times New Roman" w:cs="Times New Roman"/>
          <w:sz w:val="24"/>
          <w:szCs w:val="24"/>
        </w:rPr>
        <w:t>He conce</w:t>
      </w:r>
      <w:r w:rsidR="00CC19B5">
        <w:rPr>
          <w:rFonts w:ascii="Times New Roman" w:hAnsi="Times New Roman" w:cs="Times New Roman"/>
          <w:sz w:val="24"/>
          <w:szCs w:val="24"/>
        </w:rPr>
        <w:t>de</w:t>
      </w:r>
      <w:r w:rsidR="00345D0A">
        <w:rPr>
          <w:rFonts w:ascii="Times New Roman" w:hAnsi="Times New Roman" w:cs="Times New Roman"/>
          <w:sz w:val="24"/>
          <w:szCs w:val="24"/>
        </w:rPr>
        <w:t>s</w:t>
      </w:r>
      <w:r w:rsidR="00CC19B5">
        <w:rPr>
          <w:rFonts w:ascii="Times New Roman" w:hAnsi="Times New Roman" w:cs="Times New Roman"/>
          <w:sz w:val="24"/>
          <w:szCs w:val="24"/>
        </w:rPr>
        <w:t xml:space="preserve"> that </w:t>
      </w:r>
      <w:r w:rsidR="0012306B">
        <w:rPr>
          <w:rFonts w:ascii="Times New Roman" w:hAnsi="Times New Roman" w:cs="Times New Roman"/>
          <w:sz w:val="24"/>
          <w:szCs w:val="24"/>
        </w:rPr>
        <w:t>“in the long-run ownership of Min</w:t>
      </w:r>
      <w:r w:rsidR="00CC19B5">
        <w:rPr>
          <w:rFonts w:ascii="Times New Roman" w:hAnsi="Times New Roman" w:cs="Times New Roman"/>
          <w:sz w:val="24"/>
          <w:szCs w:val="24"/>
        </w:rPr>
        <w:t xml:space="preserve">t Farm </w:t>
      </w:r>
      <w:r w:rsidR="00345D0A">
        <w:rPr>
          <w:rFonts w:ascii="Times New Roman" w:hAnsi="Times New Roman" w:cs="Times New Roman"/>
          <w:sz w:val="24"/>
          <w:szCs w:val="24"/>
        </w:rPr>
        <w:t>should benefit customers”</w:t>
      </w:r>
      <w:r w:rsidR="00345D0A">
        <w:rPr>
          <w:rStyle w:val="FootnoteReference"/>
          <w:rFonts w:ascii="Times New Roman" w:hAnsi="Times New Roman" w:cs="Times New Roman"/>
          <w:sz w:val="24"/>
          <w:szCs w:val="24"/>
        </w:rPr>
        <w:footnoteReference w:id="2"/>
      </w:r>
      <w:r w:rsidR="00CC19B5">
        <w:rPr>
          <w:rFonts w:ascii="Times New Roman" w:hAnsi="Times New Roman" w:cs="Times New Roman"/>
          <w:sz w:val="24"/>
          <w:szCs w:val="24"/>
        </w:rPr>
        <w:t xml:space="preserve">, </w:t>
      </w:r>
      <w:r w:rsidR="009542F4">
        <w:rPr>
          <w:rFonts w:ascii="Times New Roman" w:hAnsi="Times New Roman" w:cs="Times New Roman"/>
          <w:sz w:val="24"/>
          <w:szCs w:val="24"/>
        </w:rPr>
        <w:t>but</w:t>
      </w:r>
      <w:r w:rsidR="00345D0A">
        <w:rPr>
          <w:rFonts w:ascii="Times New Roman" w:hAnsi="Times New Roman" w:cs="Times New Roman"/>
          <w:sz w:val="24"/>
          <w:szCs w:val="24"/>
        </w:rPr>
        <w:t xml:space="preserve"> he</w:t>
      </w:r>
      <w:r w:rsidR="00CC19B5">
        <w:rPr>
          <w:rFonts w:ascii="Times New Roman" w:hAnsi="Times New Roman" w:cs="Times New Roman"/>
          <w:sz w:val="24"/>
          <w:szCs w:val="24"/>
        </w:rPr>
        <w:t xml:space="preserve"> focus</w:t>
      </w:r>
      <w:r w:rsidR="00345D0A">
        <w:rPr>
          <w:rFonts w:ascii="Times New Roman" w:hAnsi="Times New Roman" w:cs="Times New Roman"/>
          <w:sz w:val="24"/>
          <w:szCs w:val="24"/>
        </w:rPr>
        <w:t>es</w:t>
      </w:r>
      <w:r w:rsidR="00CC19B5">
        <w:rPr>
          <w:rFonts w:ascii="Times New Roman" w:hAnsi="Times New Roman" w:cs="Times New Roman"/>
          <w:sz w:val="24"/>
          <w:szCs w:val="24"/>
        </w:rPr>
        <w:t xml:space="preserve"> mainly on the </w:t>
      </w:r>
      <w:r w:rsidR="009542F4">
        <w:rPr>
          <w:rFonts w:ascii="Times New Roman" w:hAnsi="Times New Roman" w:cs="Times New Roman"/>
          <w:sz w:val="24"/>
          <w:szCs w:val="24"/>
        </w:rPr>
        <w:t>financial burden</w:t>
      </w:r>
      <w:r w:rsidR="00CC19B5">
        <w:rPr>
          <w:rFonts w:ascii="Times New Roman" w:hAnsi="Times New Roman" w:cs="Times New Roman"/>
          <w:sz w:val="24"/>
          <w:szCs w:val="24"/>
        </w:rPr>
        <w:t xml:space="preserve"> of </w:t>
      </w:r>
      <w:r w:rsidR="008674E9">
        <w:rPr>
          <w:rFonts w:ascii="Times New Roman" w:hAnsi="Times New Roman" w:cs="Times New Roman"/>
          <w:sz w:val="24"/>
          <w:szCs w:val="24"/>
        </w:rPr>
        <w:t xml:space="preserve">Mint Farm </w:t>
      </w:r>
      <w:r w:rsidR="00CC19B5">
        <w:rPr>
          <w:rFonts w:ascii="Times New Roman" w:hAnsi="Times New Roman" w:cs="Times New Roman"/>
          <w:sz w:val="24"/>
          <w:szCs w:val="24"/>
        </w:rPr>
        <w:t xml:space="preserve">surplus capacity </w:t>
      </w:r>
      <w:r w:rsidR="0015547C" w:rsidRPr="000C4C7B">
        <w:rPr>
          <w:rFonts w:ascii="Times New Roman" w:hAnsi="Times New Roman" w:cs="Times New Roman"/>
          <w:sz w:val="24"/>
          <w:szCs w:val="24"/>
          <w:highlight w:val="black"/>
          <w:u w:val="single"/>
        </w:rPr>
        <w:t>through 2011</w:t>
      </w:r>
      <w:r w:rsidR="00432E3F">
        <w:rPr>
          <w:rFonts w:ascii="Times New Roman" w:hAnsi="Times New Roman" w:cs="Times New Roman"/>
          <w:sz w:val="24"/>
          <w:szCs w:val="24"/>
        </w:rPr>
        <w:t>.</w:t>
      </w:r>
      <w:r w:rsidR="00CC19B5">
        <w:rPr>
          <w:rFonts w:ascii="Times New Roman" w:hAnsi="Times New Roman" w:cs="Times New Roman"/>
          <w:sz w:val="24"/>
          <w:szCs w:val="24"/>
        </w:rPr>
        <w:t xml:space="preserve"> </w:t>
      </w:r>
      <w:r w:rsidR="009542F4">
        <w:rPr>
          <w:rFonts w:ascii="Times New Roman" w:hAnsi="Times New Roman" w:cs="Times New Roman"/>
          <w:sz w:val="24"/>
          <w:szCs w:val="24"/>
        </w:rPr>
        <w:t xml:space="preserve"> </w:t>
      </w:r>
      <w:r w:rsidR="00345D0A">
        <w:rPr>
          <w:rFonts w:ascii="Times New Roman" w:hAnsi="Times New Roman" w:cs="Times New Roman"/>
          <w:sz w:val="24"/>
          <w:szCs w:val="24"/>
        </w:rPr>
        <w:t>However, t</w:t>
      </w:r>
      <w:r w:rsidR="009542F4">
        <w:rPr>
          <w:rFonts w:ascii="Times New Roman" w:hAnsi="Times New Roman" w:cs="Times New Roman"/>
          <w:sz w:val="24"/>
          <w:szCs w:val="24"/>
        </w:rPr>
        <w:t>h</w:t>
      </w:r>
      <w:r w:rsidR="008674E9">
        <w:rPr>
          <w:rFonts w:ascii="Times New Roman" w:hAnsi="Times New Roman" w:cs="Times New Roman"/>
          <w:sz w:val="24"/>
          <w:szCs w:val="24"/>
        </w:rPr>
        <w:t xml:space="preserve">at </w:t>
      </w:r>
      <w:r w:rsidR="009542F4">
        <w:rPr>
          <w:rFonts w:ascii="Times New Roman" w:hAnsi="Times New Roman" w:cs="Times New Roman"/>
          <w:sz w:val="24"/>
          <w:szCs w:val="24"/>
        </w:rPr>
        <w:t>financial burden was incorporated into the 20-Year Levelized Cost calculations performed by PSE in comparing Mint Farm to other alternatives</w:t>
      </w:r>
      <w:r w:rsidR="00345D0A">
        <w:rPr>
          <w:rFonts w:ascii="Times New Roman" w:hAnsi="Times New Roman" w:cs="Times New Roman"/>
          <w:sz w:val="24"/>
          <w:szCs w:val="24"/>
        </w:rPr>
        <w:t>.</w:t>
      </w:r>
    </w:p>
    <w:p w:rsidR="0015547C" w:rsidRDefault="0015547C" w:rsidP="0015547C">
      <w:pPr>
        <w:spacing w:after="0" w:line="480" w:lineRule="auto"/>
        <w:ind w:left="720" w:hanging="720"/>
        <w:rPr>
          <w:rFonts w:ascii="Times New Roman" w:hAnsi="Times New Roman" w:cs="Times New Roman"/>
          <w:sz w:val="24"/>
          <w:szCs w:val="24"/>
        </w:rPr>
      </w:pPr>
    </w:p>
    <w:p w:rsidR="0015547C" w:rsidRDefault="009E6FAB" w:rsidP="0015547C">
      <w:pPr>
        <w:spacing w:after="0" w:line="480" w:lineRule="auto"/>
        <w:ind w:left="720" w:hanging="720"/>
        <w:rPr>
          <w:rFonts w:ascii="Times New Roman" w:hAnsi="Times New Roman" w:cs="Times New Roman"/>
          <w:sz w:val="24"/>
          <w:szCs w:val="24"/>
        </w:rPr>
      </w:pPr>
      <w:r w:rsidRPr="009E6FAB">
        <w:rPr>
          <w:rFonts w:ascii="Times New Roman" w:hAnsi="Times New Roman" w:cs="Times New Roman"/>
          <w:b/>
          <w:sz w:val="24"/>
          <w:szCs w:val="24"/>
        </w:rPr>
        <w:t>Q.</w:t>
      </w:r>
      <w:r w:rsidRPr="009E6FAB">
        <w:rPr>
          <w:rFonts w:ascii="Times New Roman" w:hAnsi="Times New Roman" w:cs="Times New Roman"/>
          <w:b/>
          <w:sz w:val="24"/>
          <w:szCs w:val="24"/>
        </w:rPr>
        <w:tab/>
      </w:r>
      <w:r w:rsidR="009542F4">
        <w:rPr>
          <w:rFonts w:ascii="Times New Roman" w:hAnsi="Times New Roman" w:cs="Times New Roman"/>
          <w:b/>
          <w:sz w:val="24"/>
          <w:szCs w:val="24"/>
        </w:rPr>
        <w:t xml:space="preserve">Did </w:t>
      </w:r>
      <w:r w:rsidR="001A35E5">
        <w:rPr>
          <w:rFonts w:ascii="Times New Roman" w:hAnsi="Times New Roman" w:cs="Times New Roman"/>
          <w:b/>
          <w:sz w:val="24"/>
          <w:szCs w:val="24"/>
        </w:rPr>
        <w:t>Mr. Norwood’s</w:t>
      </w:r>
      <w:r w:rsidR="009542F4">
        <w:rPr>
          <w:rFonts w:ascii="Times New Roman" w:hAnsi="Times New Roman" w:cs="Times New Roman"/>
          <w:b/>
          <w:sz w:val="24"/>
          <w:szCs w:val="24"/>
        </w:rPr>
        <w:t xml:space="preserve"> de-emphasis of the 20-Year Levelized Cost </w:t>
      </w:r>
      <w:r w:rsidR="00A660F3">
        <w:rPr>
          <w:rFonts w:ascii="Times New Roman" w:hAnsi="Times New Roman" w:cs="Times New Roman"/>
          <w:b/>
          <w:sz w:val="24"/>
          <w:szCs w:val="24"/>
        </w:rPr>
        <w:t>factor</w:t>
      </w:r>
      <w:r w:rsidR="009542F4">
        <w:rPr>
          <w:rFonts w:ascii="Times New Roman" w:hAnsi="Times New Roman" w:cs="Times New Roman"/>
          <w:b/>
          <w:sz w:val="24"/>
          <w:szCs w:val="24"/>
        </w:rPr>
        <w:t xml:space="preserve"> affect his</w:t>
      </w:r>
      <w:r w:rsidR="00C02033">
        <w:rPr>
          <w:rFonts w:ascii="Times New Roman" w:hAnsi="Times New Roman" w:cs="Times New Roman"/>
          <w:b/>
          <w:sz w:val="24"/>
          <w:szCs w:val="24"/>
        </w:rPr>
        <w:t xml:space="preserve"> conclusion regarding the prudence of the Mint Farm acquisition?</w:t>
      </w:r>
    </w:p>
    <w:p w:rsidR="0015547C" w:rsidRDefault="009E6FAB" w:rsidP="0015547C">
      <w:pPr>
        <w:spacing w:after="0" w:line="480" w:lineRule="auto"/>
        <w:ind w:left="720" w:hanging="720"/>
        <w:rPr>
          <w:rFonts w:ascii="Times New Roman" w:hAnsi="Times New Roman" w:cs="Times New Roman"/>
          <w:sz w:val="24"/>
          <w:szCs w:val="24"/>
        </w:rPr>
      </w:pPr>
      <w:r w:rsidRPr="009E6FAB">
        <w:rPr>
          <w:rFonts w:ascii="Times New Roman" w:hAnsi="Times New Roman" w:cs="Times New Roman"/>
          <w:sz w:val="24"/>
          <w:szCs w:val="24"/>
        </w:rPr>
        <w:t>A.</w:t>
      </w:r>
      <w:r w:rsidRPr="009E6FAB">
        <w:rPr>
          <w:rFonts w:ascii="Times New Roman" w:hAnsi="Times New Roman" w:cs="Times New Roman"/>
          <w:sz w:val="24"/>
          <w:szCs w:val="24"/>
        </w:rPr>
        <w:tab/>
      </w:r>
      <w:r w:rsidR="00562903">
        <w:rPr>
          <w:rFonts w:ascii="Times New Roman" w:hAnsi="Times New Roman" w:cs="Times New Roman"/>
          <w:sz w:val="24"/>
          <w:szCs w:val="24"/>
        </w:rPr>
        <w:t>Yes</w:t>
      </w:r>
      <w:r w:rsidR="00432E3F">
        <w:rPr>
          <w:rFonts w:ascii="Times New Roman" w:hAnsi="Times New Roman" w:cs="Times New Roman"/>
          <w:sz w:val="24"/>
          <w:szCs w:val="24"/>
        </w:rPr>
        <w:t>.  D</w:t>
      </w:r>
      <w:r w:rsidR="00562903">
        <w:rPr>
          <w:rFonts w:ascii="Times New Roman" w:hAnsi="Times New Roman" w:cs="Times New Roman"/>
          <w:sz w:val="24"/>
          <w:szCs w:val="24"/>
        </w:rPr>
        <w:t xml:space="preserve">ue </w:t>
      </w:r>
      <w:r w:rsidR="002F5A79">
        <w:rPr>
          <w:rFonts w:ascii="Times New Roman" w:hAnsi="Times New Roman" w:cs="Times New Roman"/>
          <w:sz w:val="24"/>
          <w:szCs w:val="24"/>
        </w:rPr>
        <w:t xml:space="preserve">largely </w:t>
      </w:r>
      <w:r w:rsidR="00562903">
        <w:rPr>
          <w:rFonts w:ascii="Times New Roman" w:hAnsi="Times New Roman" w:cs="Times New Roman"/>
          <w:sz w:val="24"/>
          <w:szCs w:val="24"/>
        </w:rPr>
        <w:t xml:space="preserve">to his focus on </w:t>
      </w:r>
      <w:r w:rsidR="00504E9C">
        <w:rPr>
          <w:rFonts w:ascii="Times New Roman" w:hAnsi="Times New Roman" w:cs="Times New Roman"/>
          <w:sz w:val="24"/>
          <w:szCs w:val="24"/>
        </w:rPr>
        <w:t xml:space="preserve">only </w:t>
      </w:r>
      <w:r w:rsidR="00562903">
        <w:rPr>
          <w:rFonts w:ascii="Times New Roman" w:hAnsi="Times New Roman" w:cs="Times New Roman"/>
          <w:sz w:val="24"/>
          <w:szCs w:val="24"/>
        </w:rPr>
        <w:t xml:space="preserve">two of the three quantitative factors </w:t>
      </w:r>
      <w:r w:rsidR="00345D0A">
        <w:rPr>
          <w:rFonts w:ascii="Times New Roman" w:hAnsi="Times New Roman" w:cs="Times New Roman"/>
          <w:sz w:val="24"/>
          <w:szCs w:val="24"/>
        </w:rPr>
        <w:t xml:space="preserve">and the financial burdens of owning Mint Farm in the </w:t>
      </w:r>
      <w:r w:rsidR="00A660F3">
        <w:rPr>
          <w:rFonts w:ascii="Times New Roman" w:hAnsi="Times New Roman" w:cs="Times New Roman"/>
          <w:sz w:val="24"/>
          <w:szCs w:val="24"/>
        </w:rPr>
        <w:t>early</w:t>
      </w:r>
      <w:r w:rsidR="00345D0A">
        <w:rPr>
          <w:rFonts w:ascii="Times New Roman" w:hAnsi="Times New Roman" w:cs="Times New Roman"/>
          <w:sz w:val="24"/>
          <w:szCs w:val="24"/>
        </w:rPr>
        <w:t xml:space="preserve"> years</w:t>
      </w:r>
      <w:r w:rsidR="00504E9C">
        <w:rPr>
          <w:rFonts w:ascii="Times New Roman" w:hAnsi="Times New Roman" w:cs="Times New Roman"/>
          <w:sz w:val="24"/>
          <w:szCs w:val="24"/>
        </w:rPr>
        <w:t>,</w:t>
      </w:r>
      <w:r w:rsidR="00345D0A">
        <w:rPr>
          <w:rFonts w:ascii="Times New Roman" w:hAnsi="Times New Roman" w:cs="Times New Roman"/>
          <w:sz w:val="24"/>
          <w:szCs w:val="24"/>
        </w:rPr>
        <w:t xml:space="preserve"> </w:t>
      </w:r>
      <w:r w:rsidR="00562903">
        <w:rPr>
          <w:rFonts w:ascii="Times New Roman" w:hAnsi="Times New Roman" w:cs="Times New Roman"/>
          <w:sz w:val="24"/>
          <w:szCs w:val="24"/>
        </w:rPr>
        <w:t xml:space="preserve">he concluded that Mint Farm was not </w:t>
      </w:r>
      <w:r w:rsidR="00504E9C">
        <w:rPr>
          <w:rFonts w:ascii="Times New Roman" w:hAnsi="Times New Roman" w:cs="Times New Roman"/>
          <w:sz w:val="24"/>
          <w:szCs w:val="24"/>
        </w:rPr>
        <w:t xml:space="preserve">a </w:t>
      </w:r>
      <w:r w:rsidR="00562903">
        <w:rPr>
          <w:rFonts w:ascii="Times New Roman" w:hAnsi="Times New Roman" w:cs="Times New Roman"/>
          <w:sz w:val="24"/>
          <w:szCs w:val="24"/>
        </w:rPr>
        <w:t xml:space="preserve">prudent </w:t>
      </w:r>
      <w:r w:rsidR="00504E9C">
        <w:rPr>
          <w:rFonts w:ascii="Times New Roman" w:hAnsi="Times New Roman" w:cs="Times New Roman"/>
          <w:sz w:val="24"/>
          <w:szCs w:val="24"/>
        </w:rPr>
        <w:t xml:space="preserve">acquisition </w:t>
      </w:r>
      <w:r w:rsidR="00FD6DD2">
        <w:rPr>
          <w:rFonts w:ascii="Times New Roman" w:hAnsi="Times New Roman" w:cs="Times New Roman"/>
          <w:sz w:val="24"/>
          <w:szCs w:val="24"/>
        </w:rPr>
        <w:t xml:space="preserve">when </w:t>
      </w:r>
      <w:r w:rsidR="00562903">
        <w:rPr>
          <w:rFonts w:ascii="Times New Roman" w:hAnsi="Times New Roman" w:cs="Times New Roman"/>
          <w:sz w:val="24"/>
          <w:szCs w:val="24"/>
        </w:rPr>
        <w:t xml:space="preserve">compared to </w:t>
      </w:r>
      <w:r w:rsidR="00134F01">
        <w:rPr>
          <w:rFonts w:ascii="Times New Roman" w:hAnsi="Times New Roman" w:cs="Times New Roman"/>
          <w:sz w:val="24"/>
          <w:szCs w:val="24"/>
        </w:rPr>
        <w:t xml:space="preserve">the </w:t>
      </w:r>
      <w:r w:rsidR="00134F01" w:rsidRPr="000C4C7B">
        <w:rPr>
          <w:rFonts w:ascii="Times New Roman" w:hAnsi="Times New Roman" w:cs="Times New Roman"/>
          <w:sz w:val="24"/>
          <w:szCs w:val="24"/>
          <w:highlight w:val="black"/>
          <w:u w:val="single"/>
        </w:rPr>
        <w:t xml:space="preserve">Tenaska Ferndale </w:t>
      </w:r>
      <w:r w:rsidR="00B65F33" w:rsidRPr="000C4C7B">
        <w:rPr>
          <w:rFonts w:ascii="Times New Roman" w:hAnsi="Times New Roman" w:cs="Times New Roman"/>
          <w:sz w:val="24"/>
          <w:szCs w:val="24"/>
          <w:highlight w:val="black"/>
          <w:u w:val="single"/>
        </w:rPr>
        <w:t>power purchase agreement (“</w:t>
      </w:r>
      <w:r w:rsidR="00134F01" w:rsidRPr="000C4C7B">
        <w:rPr>
          <w:rFonts w:ascii="Times New Roman" w:hAnsi="Times New Roman" w:cs="Times New Roman"/>
          <w:sz w:val="24"/>
          <w:szCs w:val="24"/>
          <w:highlight w:val="black"/>
          <w:u w:val="single"/>
        </w:rPr>
        <w:t>PPA</w:t>
      </w:r>
      <w:r w:rsidR="000F5B72" w:rsidRPr="000C4C7B">
        <w:rPr>
          <w:rFonts w:ascii="Times New Roman" w:hAnsi="Times New Roman" w:cs="Times New Roman"/>
          <w:sz w:val="24"/>
          <w:szCs w:val="24"/>
          <w:highlight w:val="black"/>
          <w:u w:val="single"/>
        </w:rPr>
        <w:t>”)</w:t>
      </w:r>
      <w:r w:rsidR="00134F01" w:rsidRPr="00924159">
        <w:rPr>
          <w:rFonts w:ascii="Times New Roman" w:hAnsi="Times New Roman" w:cs="Times New Roman"/>
          <w:sz w:val="24"/>
          <w:szCs w:val="24"/>
        </w:rPr>
        <w:t>,</w:t>
      </w:r>
      <w:r w:rsidR="00134F01">
        <w:rPr>
          <w:rFonts w:ascii="Times New Roman" w:hAnsi="Times New Roman" w:cs="Times New Roman"/>
          <w:sz w:val="24"/>
          <w:szCs w:val="24"/>
        </w:rPr>
        <w:t xml:space="preserve"> </w:t>
      </w:r>
      <w:r w:rsidR="00B65F33">
        <w:rPr>
          <w:rFonts w:ascii="Times New Roman" w:hAnsi="Times New Roman" w:cs="Times New Roman"/>
          <w:sz w:val="24"/>
          <w:szCs w:val="24"/>
        </w:rPr>
        <w:t xml:space="preserve">which is </w:t>
      </w:r>
      <w:r w:rsidR="005F3C64">
        <w:rPr>
          <w:rFonts w:ascii="Times New Roman" w:hAnsi="Times New Roman" w:cs="Times New Roman"/>
          <w:sz w:val="24"/>
          <w:szCs w:val="24"/>
        </w:rPr>
        <w:t>a resource of</w:t>
      </w:r>
      <w:r w:rsidR="00134F01">
        <w:rPr>
          <w:rFonts w:ascii="Times New Roman" w:hAnsi="Times New Roman" w:cs="Times New Roman"/>
          <w:sz w:val="24"/>
          <w:szCs w:val="24"/>
        </w:rPr>
        <w:t xml:space="preserve"> </w:t>
      </w:r>
      <w:r w:rsidR="00562903">
        <w:rPr>
          <w:rFonts w:ascii="Times New Roman" w:hAnsi="Times New Roman" w:cs="Times New Roman"/>
          <w:sz w:val="24"/>
          <w:szCs w:val="24"/>
        </w:rPr>
        <w:t xml:space="preserve"> similar type and size</w:t>
      </w:r>
      <w:r w:rsidR="0015547C" w:rsidRPr="0015547C">
        <w:rPr>
          <w:rFonts w:ascii="Times New Roman" w:hAnsi="Times New Roman" w:cs="Times New Roman"/>
          <w:color w:val="4F81BD" w:themeColor="accent1"/>
          <w:sz w:val="24"/>
          <w:szCs w:val="24"/>
        </w:rPr>
        <w:t>.</w:t>
      </w:r>
      <w:r w:rsidR="00562903">
        <w:rPr>
          <w:rFonts w:ascii="Times New Roman" w:hAnsi="Times New Roman" w:cs="Times New Roman"/>
          <w:sz w:val="24"/>
          <w:szCs w:val="24"/>
        </w:rPr>
        <w:t xml:space="preserve"> </w:t>
      </w:r>
      <w:r w:rsidR="008674E9">
        <w:rPr>
          <w:rFonts w:ascii="Times New Roman" w:hAnsi="Times New Roman" w:cs="Times New Roman"/>
          <w:sz w:val="24"/>
          <w:szCs w:val="24"/>
        </w:rPr>
        <w:t xml:space="preserve"> It is true that, while </w:t>
      </w:r>
      <w:r w:rsidR="00B9001B">
        <w:rPr>
          <w:rFonts w:ascii="Times New Roman" w:hAnsi="Times New Roman" w:cs="Times New Roman"/>
          <w:sz w:val="24"/>
          <w:szCs w:val="24"/>
        </w:rPr>
        <w:lastRenderedPageBreak/>
        <w:t xml:space="preserve">both resources </w:t>
      </w:r>
      <w:r w:rsidR="00562903">
        <w:rPr>
          <w:rFonts w:ascii="Times New Roman" w:hAnsi="Times New Roman" w:cs="Times New Roman"/>
          <w:sz w:val="24"/>
          <w:szCs w:val="24"/>
        </w:rPr>
        <w:t>had positive Portfolio Benefit</w:t>
      </w:r>
      <w:r w:rsidR="00B9001B">
        <w:rPr>
          <w:rFonts w:ascii="Times New Roman" w:hAnsi="Times New Roman" w:cs="Times New Roman"/>
          <w:sz w:val="24"/>
          <w:szCs w:val="24"/>
        </w:rPr>
        <w:t>s</w:t>
      </w:r>
      <w:r w:rsidR="00562903">
        <w:rPr>
          <w:rFonts w:ascii="Times New Roman" w:hAnsi="Times New Roman" w:cs="Times New Roman"/>
          <w:sz w:val="24"/>
          <w:szCs w:val="24"/>
        </w:rPr>
        <w:t xml:space="preserve"> </w:t>
      </w:r>
      <w:r w:rsidR="00A660F3">
        <w:rPr>
          <w:rFonts w:ascii="Times New Roman" w:hAnsi="Times New Roman" w:cs="Times New Roman"/>
          <w:sz w:val="24"/>
          <w:szCs w:val="24"/>
        </w:rPr>
        <w:t xml:space="preserve">and </w:t>
      </w:r>
      <w:r w:rsidR="00562903">
        <w:rPr>
          <w:rFonts w:ascii="Times New Roman" w:hAnsi="Times New Roman" w:cs="Times New Roman"/>
          <w:sz w:val="24"/>
          <w:szCs w:val="24"/>
        </w:rPr>
        <w:t>Benefit Ratio</w:t>
      </w:r>
      <w:r w:rsidR="00B9001B">
        <w:rPr>
          <w:rFonts w:ascii="Times New Roman" w:hAnsi="Times New Roman" w:cs="Times New Roman"/>
          <w:sz w:val="24"/>
          <w:szCs w:val="24"/>
        </w:rPr>
        <w:t>s</w:t>
      </w:r>
      <w:r w:rsidR="00562903">
        <w:rPr>
          <w:rFonts w:ascii="Times New Roman" w:hAnsi="Times New Roman" w:cs="Times New Roman"/>
          <w:sz w:val="24"/>
          <w:szCs w:val="24"/>
        </w:rPr>
        <w:t xml:space="preserve">, </w:t>
      </w:r>
      <w:r w:rsidR="00B9001B">
        <w:rPr>
          <w:rFonts w:ascii="Times New Roman" w:hAnsi="Times New Roman" w:cs="Times New Roman"/>
          <w:sz w:val="24"/>
          <w:szCs w:val="24"/>
        </w:rPr>
        <w:t xml:space="preserve">Mint Farm </w:t>
      </w:r>
      <w:r w:rsidR="00C03492">
        <w:rPr>
          <w:rFonts w:ascii="Times New Roman" w:hAnsi="Times New Roman" w:cs="Times New Roman"/>
          <w:sz w:val="24"/>
          <w:szCs w:val="24"/>
        </w:rPr>
        <w:t xml:space="preserve">did not </w:t>
      </w:r>
      <w:r w:rsidR="00B9001B">
        <w:rPr>
          <w:rFonts w:ascii="Times New Roman" w:hAnsi="Times New Roman" w:cs="Times New Roman"/>
          <w:sz w:val="24"/>
          <w:szCs w:val="24"/>
        </w:rPr>
        <w:t>have as high a positive score</w:t>
      </w:r>
      <w:r w:rsidR="00C03492">
        <w:rPr>
          <w:rFonts w:ascii="Times New Roman" w:hAnsi="Times New Roman" w:cs="Times New Roman"/>
          <w:sz w:val="24"/>
          <w:szCs w:val="24"/>
        </w:rPr>
        <w:t xml:space="preserve"> </w:t>
      </w:r>
      <w:r w:rsidR="00FD6DD2">
        <w:rPr>
          <w:rFonts w:ascii="Times New Roman" w:hAnsi="Times New Roman" w:cs="Times New Roman"/>
          <w:sz w:val="24"/>
          <w:szCs w:val="24"/>
        </w:rPr>
        <w:t>as th</w:t>
      </w:r>
      <w:r w:rsidR="00B9001B">
        <w:rPr>
          <w:rFonts w:ascii="Times New Roman" w:hAnsi="Times New Roman" w:cs="Times New Roman"/>
          <w:sz w:val="24"/>
          <w:szCs w:val="24"/>
        </w:rPr>
        <w:t>e</w:t>
      </w:r>
      <w:r w:rsidR="00C03492">
        <w:rPr>
          <w:rFonts w:ascii="Times New Roman" w:hAnsi="Times New Roman" w:cs="Times New Roman"/>
          <w:sz w:val="24"/>
          <w:szCs w:val="24"/>
        </w:rPr>
        <w:t xml:space="preserve"> </w:t>
      </w:r>
      <w:r w:rsidR="000F5B72" w:rsidRPr="000C4C7B">
        <w:rPr>
          <w:rFonts w:ascii="Times New Roman" w:hAnsi="Times New Roman" w:cs="Times New Roman"/>
          <w:sz w:val="24"/>
          <w:szCs w:val="24"/>
          <w:highlight w:val="black"/>
          <w:u w:val="single"/>
        </w:rPr>
        <w:t>Tenask</w:t>
      </w:r>
      <w:r w:rsidR="00054930" w:rsidRPr="000C4C7B">
        <w:rPr>
          <w:rFonts w:ascii="Times New Roman" w:hAnsi="Times New Roman" w:cs="Times New Roman"/>
          <w:sz w:val="24"/>
          <w:szCs w:val="24"/>
          <w:highlight w:val="black"/>
          <w:u w:val="single"/>
        </w:rPr>
        <w:t>a</w:t>
      </w:r>
      <w:r w:rsidR="000F5B72" w:rsidRPr="000C4C7B">
        <w:rPr>
          <w:rFonts w:ascii="Times New Roman" w:hAnsi="Times New Roman" w:cs="Times New Roman"/>
          <w:sz w:val="24"/>
          <w:szCs w:val="24"/>
          <w:highlight w:val="black"/>
          <w:u w:val="single"/>
        </w:rPr>
        <w:t xml:space="preserve"> Ferndale PPA</w:t>
      </w:r>
      <w:r w:rsidR="00C03492">
        <w:rPr>
          <w:rFonts w:ascii="Times New Roman" w:hAnsi="Times New Roman" w:cs="Times New Roman"/>
          <w:sz w:val="24"/>
          <w:szCs w:val="24"/>
        </w:rPr>
        <w:t>.</w:t>
      </w:r>
      <w:r w:rsidR="004B44B1">
        <w:rPr>
          <w:rStyle w:val="FootnoteReference"/>
          <w:rFonts w:ascii="Times New Roman" w:hAnsi="Times New Roman" w:cs="Times New Roman"/>
          <w:sz w:val="24"/>
          <w:szCs w:val="24"/>
        </w:rPr>
        <w:footnoteReference w:id="3"/>
      </w:r>
      <w:r w:rsidR="002F5A79">
        <w:rPr>
          <w:rFonts w:ascii="Times New Roman" w:hAnsi="Times New Roman" w:cs="Times New Roman"/>
          <w:sz w:val="24"/>
          <w:szCs w:val="24"/>
        </w:rPr>
        <w:t xml:space="preserve">  </w:t>
      </w:r>
      <w:r w:rsidR="00345D0A">
        <w:rPr>
          <w:rFonts w:ascii="Times New Roman" w:hAnsi="Times New Roman" w:cs="Times New Roman"/>
          <w:sz w:val="24"/>
          <w:szCs w:val="24"/>
        </w:rPr>
        <w:t xml:space="preserve">However, </w:t>
      </w:r>
      <w:r w:rsidR="00C03492">
        <w:rPr>
          <w:rFonts w:ascii="Times New Roman" w:hAnsi="Times New Roman" w:cs="Times New Roman"/>
          <w:sz w:val="24"/>
          <w:szCs w:val="24"/>
        </w:rPr>
        <w:t xml:space="preserve">when </w:t>
      </w:r>
      <w:r w:rsidR="00345D0A">
        <w:rPr>
          <w:rFonts w:ascii="Times New Roman" w:hAnsi="Times New Roman" w:cs="Times New Roman"/>
          <w:sz w:val="24"/>
          <w:szCs w:val="24"/>
        </w:rPr>
        <w:t>examining</w:t>
      </w:r>
      <w:r w:rsidR="002F5A79">
        <w:rPr>
          <w:rFonts w:ascii="Times New Roman" w:hAnsi="Times New Roman" w:cs="Times New Roman"/>
          <w:sz w:val="24"/>
          <w:szCs w:val="24"/>
        </w:rPr>
        <w:t xml:space="preserve"> the 20-Year Levelized Cost, Mint Farm </w:t>
      </w:r>
      <w:r w:rsidR="00345D0A">
        <w:rPr>
          <w:rFonts w:ascii="Times New Roman" w:hAnsi="Times New Roman" w:cs="Times New Roman"/>
          <w:sz w:val="24"/>
          <w:szCs w:val="24"/>
        </w:rPr>
        <w:t>ha</w:t>
      </w:r>
      <w:r w:rsidR="00C03492">
        <w:rPr>
          <w:rFonts w:ascii="Times New Roman" w:hAnsi="Times New Roman" w:cs="Times New Roman"/>
          <w:sz w:val="24"/>
          <w:szCs w:val="24"/>
        </w:rPr>
        <w:t>d</w:t>
      </w:r>
      <w:r w:rsidR="00345D0A">
        <w:rPr>
          <w:rFonts w:ascii="Times New Roman" w:hAnsi="Times New Roman" w:cs="Times New Roman"/>
          <w:sz w:val="24"/>
          <w:szCs w:val="24"/>
        </w:rPr>
        <w:t xml:space="preserve"> a </w:t>
      </w:r>
      <w:r w:rsidR="00507CA8">
        <w:rPr>
          <w:rFonts w:ascii="Times New Roman" w:hAnsi="Times New Roman" w:cs="Times New Roman"/>
          <w:sz w:val="24"/>
          <w:szCs w:val="24"/>
        </w:rPr>
        <w:t>sign</w:t>
      </w:r>
      <w:r w:rsidR="00345D0A">
        <w:rPr>
          <w:rFonts w:ascii="Times New Roman" w:hAnsi="Times New Roman" w:cs="Times New Roman"/>
          <w:sz w:val="24"/>
          <w:szCs w:val="24"/>
        </w:rPr>
        <w:t>i</w:t>
      </w:r>
      <w:r w:rsidR="00507CA8">
        <w:rPr>
          <w:rFonts w:ascii="Times New Roman" w:hAnsi="Times New Roman" w:cs="Times New Roman"/>
          <w:sz w:val="24"/>
          <w:szCs w:val="24"/>
        </w:rPr>
        <w:t>ficantly</w:t>
      </w:r>
      <w:r w:rsidR="002F5A79">
        <w:rPr>
          <w:rFonts w:ascii="Times New Roman" w:hAnsi="Times New Roman" w:cs="Times New Roman"/>
          <w:sz w:val="24"/>
          <w:szCs w:val="24"/>
        </w:rPr>
        <w:t xml:space="preserve"> lower cost per MWh</w:t>
      </w:r>
      <w:r w:rsidR="00753644">
        <w:rPr>
          <w:rFonts w:ascii="Times New Roman" w:hAnsi="Times New Roman" w:cs="Times New Roman"/>
          <w:sz w:val="24"/>
          <w:szCs w:val="24"/>
        </w:rPr>
        <w:t>.</w:t>
      </w:r>
      <w:r w:rsidR="002F5A79">
        <w:rPr>
          <w:rFonts w:ascii="Times New Roman" w:hAnsi="Times New Roman" w:cs="Times New Roman"/>
          <w:sz w:val="24"/>
          <w:szCs w:val="24"/>
        </w:rPr>
        <w:t xml:space="preserve"> </w:t>
      </w:r>
      <w:r w:rsidR="00B65F33">
        <w:rPr>
          <w:rFonts w:ascii="Times New Roman" w:hAnsi="Times New Roman" w:cs="Times New Roman"/>
          <w:sz w:val="24"/>
          <w:szCs w:val="24"/>
        </w:rPr>
        <w:t xml:space="preserve"> Mint Farm’s value was </w:t>
      </w:r>
      <w:r w:rsidR="000F5B72" w:rsidRPr="000C4C7B">
        <w:rPr>
          <w:rFonts w:ascii="Times New Roman" w:hAnsi="Times New Roman" w:cs="Times New Roman"/>
          <w:sz w:val="24"/>
          <w:szCs w:val="24"/>
          <w:highlight w:val="black"/>
          <w:u w:val="single"/>
          <w:shd w:val="clear" w:color="auto" w:fill="BFBFBF" w:themeFill="background1" w:themeFillShade="BF"/>
        </w:rPr>
        <w:t>$144/MWh</w:t>
      </w:r>
      <w:r w:rsidR="00B65F33">
        <w:rPr>
          <w:rFonts w:ascii="Times New Roman" w:hAnsi="Times New Roman" w:cs="Times New Roman"/>
          <w:sz w:val="24"/>
          <w:szCs w:val="24"/>
        </w:rPr>
        <w:t xml:space="preserve"> versus</w:t>
      </w:r>
      <w:r w:rsidR="00B92377">
        <w:rPr>
          <w:rFonts w:ascii="Times New Roman" w:hAnsi="Times New Roman" w:cs="Times New Roman"/>
          <w:sz w:val="24"/>
          <w:szCs w:val="24"/>
        </w:rPr>
        <w:t xml:space="preserve"> </w:t>
      </w:r>
      <w:r w:rsidR="000F5B72" w:rsidRPr="000C4C7B">
        <w:rPr>
          <w:rFonts w:ascii="Times New Roman" w:hAnsi="Times New Roman" w:cs="Times New Roman"/>
          <w:sz w:val="24"/>
          <w:szCs w:val="24"/>
          <w:highlight w:val="black"/>
          <w:u w:val="single"/>
          <w:shd w:val="clear" w:color="auto" w:fill="BFBFBF" w:themeFill="background1" w:themeFillShade="BF"/>
        </w:rPr>
        <w:t>$195/MWh</w:t>
      </w:r>
      <w:r w:rsidR="00B65F33">
        <w:rPr>
          <w:rFonts w:ascii="Times New Roman" w:hAnsi="Times New Roman" w:cs="Times New Roman"/>
          <w:sz w:val="24"/>
          <w:szCs w:val="24"/>
        </w:rPr>
        <w:t xml:space="preserve"> for the </w:t>
      </w:r>
      <w:r w:rsidR="000F5B72" w:rsidRPr="000C4C7B">
        <w:rPr>
          <w:rFonts w:ascii="Times New Roman" w:hAnsi="Times New Roman" w:cs="Times New Roman"/>
          <w:sz w:val="24"/>
          <w:szCs w:val="24"/>
          <w:highlight w:val="black"/>
          <w:u w:val="single"/>
        </w:rPr>
        <w:t>Tenaska Ferndale PPA</w:t>
      </w:r>
      <w:r w:rsidR="00B65F33">
        <w:rPr>
          <w:rFonts w:ascii="Times New Roman" w:hAnsi="Times New Roman" w:cs="Times New Roman"/>
          <w:sz w:val="24"/>
          <w:szCs w:val="24"/>
        </w:rPr>
        <w:t>.</w:t>
      </w:r>
      <w:r w:rsidR="004B44B1">
        <w:rPr>
          <w:rStyle w:val="FootnoteReference"/>
          <w:rFonts w:ascii="Times New Roman" w:hAnsi="Times New Roman" w:cs="Times New Roman"/>
          <w:sz w:val="24"/>
          <w:szCs w:val="24"/>
        </w:rPr>
        <w:footnoteReference w:id="4"/>
      </w:r>
    </w:p>
    <w:p w:rsidR="0015547C" w:rsidRDefault="0015547C" w:rsidP="0015547C">
      <w:pPr>
        <w:spacing w:after="0" w:line="480" w:lineRule="auto"/>
        <w:ind w:left="720" w:hanging="720"/>
        <w:rPr>
          <w:rFonts w:ascii="Times New Roman" w:hAnsi="Times New Roman" w:cs="Times New Roman"/>
          <w:sz w:val="24"/>
          <w:szCs w:val="24"/>
        </w:rPr>
      </w:pPr>
    </w:p>
    <w:p w:rsidR="0015547C" w:rsidRDefault="001C4CEB" w:rsidP="0015547C">
      <w:pPr>
        <w:spacing w:after="0" w:line="480" w:lineRule="auto"/>
        <w:ind w:left="720" w:hanging="720"/>
        <w:rPr>
          <w:rFonts w:ascii="Times New Roman" w:hAnsi="Times New Roman" w:cs="Times New Roman"/>
          <w:b/>
          <w:sz w:val="24"/>
          <w:szCs w:val="24"/>
        </w:rPr>
      </w:pPr>
      <w:r w:rsidRPr="001C4CEB">
        <w:rPr>
          <w:rFonts w:ascii="Times New Roman" w:hAnsi="Times New Roman" w:cs="Times New Roman"/>
          <w:b/>
          <w:sz w:val="24"/>
          <w:szCs w:val="24"/>
        </w:rPr>
        <w:t>Q.</w:t>
      </w:r>
      <w:r w:rsidRPr="001C4CEB">
        <w:rPr>
          <w:rFonts w:ascii="Times New Roman" w:hAnsi="Times New Roman" w:cs="Times New Roman"/>
          <w:b/>
          <w:sz w:val="24"/>
          <w:szCs w:val="24"/>
        </w:rPr>
        <w:tab/>
        <w:t xml:space="preserve">How would you </w:t>
      </w:r>
      <w:r w:rsidR="008674E9">
        <w:rPr>
          <w:rFonts w:ascii="Times New Roman" w:hAnsi="Times New Roman" w:cs="Times New Roman"/>
          <w:b/>
          <w:sz w:val="24"/>
          <w:szCs w:val="24"/>
        </w:rPr>
        <w:t>compare</w:t>
      </w:r>
      <w:r w:rsidRPr="001C4CEB">
        <w:rPr>
          <w:rFonts w:ascii="Times New Roman" w:hAnsi="Times New Roman" w:cs="Times New Roman"/>
          <w:b/>
          <w:sz w:val="24"/>
          <w:szCs w:val="24"/>
        </w:rPr>
        <w:t xml:space="preserve"> the </w:t>
      </w:r>
      <w:r w:rsidR="00972B58">
        <w:rPr>
          <w:rFonts w:ascii="Times New Roman" w:hAnsi="Times New Roman" w:cs="Times New Roman"/>
          <w:b/>
          <w:sz w:val="24"/>
          <w:szCs w:val="24"/>
        </w:rPr>
        <w:t xml:space="preserve">quantitative criteria </w:t>
      </w:r>
      <w:r w:rsidR="00FD6DD2">
        <w:rPr>
          <w:rFonts w:ascii="Times New Roman" w:hAnsi="Times New Roman" w:cs="Times New Roman"/>
          <w:b/>
          <w:sz w:val="24"/>
          <w:szCs w:val="24"/>
        </w:rPr>
        <w:t>of</w:t>
      </w:r>
      <w:r w:rsidR="00972B58">
        <w:rPr>
          <w:rFonts w:ascii="Times New Roman" w:hAnsi="Times New Roman" w:cs="Times New Roman"/>
          <w:b/>
          <w:sz w:val="24"/>
          <w:szCs w:val="24"/>
        </w:rPr>
        <w:t xml:space="preserve"> </w:t>
      </w:r>
      <w:r w:rsidRPr="001C4CEB">
        <w:rPr>
          <w:rFonts w:ascii="Times New Roman" w:hAnsi="Times New Roman" w:cs="Times New Roman"/>
          <w:b/>
          <w:sz w:val="24"/>
          <w:szCs w:val="24"/>
        </w:rPr>
        <w:t>Mint Farm v</w:t>
      </w:r>
      <w:r w:rsidR="00504E9C">
        <w:rPr>
          <w:rFonts w:ascii="Times New Roman" w:hAnsi="Times New Roman" w:cs="Times New Roman"/>
          <w:b/>
          <w:sz w:val="24"/>
          <w:szCs w:val="24"/>
        </w:rPr>
        <w:t>ersus</w:t>
      </w:r>
      <w:r w:rsidRPr="001C4CEB">
        <w:rPr>
          <w:rFonts w:ascii="Times New Roman" w:hAnsi="Times New Roman" w:cs="Times New Roman"/>
          <w:b/>
          <w:sz w:val="24"/>
          <w:szCs w:val="24"/>
        </w:rPr>
        <w:t xml:space="preserve"> the </w:t>
      </w:r>
      <w:r w:rsidR="0015547C" w:rsidRPr="000C4C7B">
        <w:rPr>
          <w:rFonts w:ascii="Times New Roman" w:hAnsi="Times New Roman" w:cs="Times New Roman"/>
          <w:b/>
          <w:sz w:val="24"/>
          <w:szCs w:val="24"/>
          <w:highlight w:val="black"/>
          <w:u w:val="single"/>
        </w:rPr>
        <w:t>Tenaska Ferndale PPA</w:t>
      </w:r>
      <w:r w:rsidRPr="001C4CEB">
        <w:rPr>
          <w:rFonts w:ascii="Times New Roman" w:hAnsi="Times New Roman" w:cs="Times New Roman"/>
          <w:b/>
          <w:sz w:val="24"/>
          <w:szCs w:val="24"/>
        </w:rPr>
        <w:t xml:space="preserve"> </w:t>
      </w:r>
      <w:r w:rsidR="00972B58">
        <w:rPr>
          <w:rFonts w:ascii="Times New Roman" w:hAnsi="Times New Roman" w:cs="Times New Roman"/>
          <w:b/>
          <w:sz w:val="24"/>
          <w:szCs w:val="24"/>
        </w:rPr>
        <w:t>that Mr. No</w:t>
      </w:r>
      <w:r w:rsidRPr="001C4CEB">
        <w:rPr>
          <w:rFonts w:ascii="Times New Roman" w:hAnsi="Times New Roman" w:cs="Times New Roman"/>
          <w:b/>
          <w:sz w:val="24"/>
          <w:szCs w:val="24"/>
        </w:rPr>
        <w:t>rwood suggests was a better choice?</w:t>
      </w:r>
    </w:p>
    <w:p w:rsidR="0015547C" w:rsidRDefault="001C4CEB" w:rsidP="0015547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2F5A79">
        <w:rPr>
          <w:rFonts w:ascii="Times New Roman" w:hAnsi="Times New Roman" w:cs="Times New Roman"/>
          <w:sz w:val="24"/>
          <w:szCs w:val="24"/>
        </w:rPr>
        <w:t>Both of these acquisition</w:t>
      </w:r>
      <w:r w:rsidR="008674E9">
        <w:rPr>
          <w:rFonts w:ascii="Times New Roman" w:hAnsi="Times New Roman" w:cs="Times New Roman"/>
          <w:sz w:val="24"/>
          <w:szCs w:val="24"/>
        </w:rPr>
        <w:t>s</w:t>
      </w:r>
      <w:r w:rsidR="002F5A79">
        <w:rPr>
          <w:rFonts w:ascii="Times New Roman" w:hAnsi="Times New Roman" w:cs="Times New Roman"/>
          <w:sz w:val="24"/>
          <w:szCs w:val="24"/>
        </w:rPr>
        <w:t xml:space="preserve"> were</w:t>
      </w:r>
      <w:r w:rsidR="00972B58">
        <w:rPr>
          <w:rFonts w:ascii="Times New Roman" w:hAnsi="Times New Roman" w:cs="Times New Roman"/>
          <w:sz w:val="24"/>
          <w:szCs w:val="24"/>
        </w:rPr>
        <w:t xml:space="preserve"> likely to </w:t>
      </w:r>
      <w:r w:rsidR="002F5A79">
        <w:rPr>
          <w:rFonts w:ascii="Times New Roman" w:hAnsi="Times New Roman" w:cs="Times New Roman"/>
          <w:sz w:val="24"/>
          <w:szCs w:val="24"/>
        </w:rPr>
        <w:t>ben</w:t>
      </w:r>
      <w:r w:rsidR="00063506">
        <w:rPr>
          <w:rFonts w:ascii="Times New Roman" w:hAnsi="Times New Roman" w:cs="Times New Roman"/>
          <w:sz w:val="24"/>
          <w:szCs w:val="24"/>
        </w:rPr>
        <w:t xml:space="preserve">efit </w:t>
      </w:r>
      <w:r w:rsidR="002F5A79">
        <w:rPr>
          <w:rFonts w:ascii="Times New Roman" w:hAnsi="Times New Roman" w:cs="Times New Roman"/>
          <w:sz w:val="24"/>
          <w:szCs w:val="24"/>
        </w:rPr>
        <w:t xml:space="preserve">the </w:t>
      </w:r>
      <w:r w:rsidR="00B94A1D">
        <w:rPr>
          <w:rFonts w:ascii="Times New Roman" w:hAnsi="Times New Roman" w:cs="Times New Roman"/>
          <w:sz w:val="24"/>
          <w:szCs w:val="24"/>
        </w:rPr>
        <w:t>C</w:t>
      </w:r>
      <w:r w:rsidR="002F5A79">
        <w:rPr>
          <w:rFonts w:ascii="Times New Roman" w:hAnsi="Times New Roman" w:cs="Times New Roman"/>
          <w:sz w:val="24"/>
          <w:szCs w:val="24"/>
        </w:rPr>
        <w:t>ompany and customers compared to the generic portfolio or building a new CCCT.</w:t>
      </w:r>
      <w:r w:rsidR="00507CA8">
        <w:rPr>
          <w:rFonts w:ascii="Times New Roman" w:hAnsi="Times New Roman" w:cs="Times New Roman"/>
          <w:sz w:val="24"/>
          <w:szCs w:val="24"/>
        </w:rPr>
        <w:t xml:space="preserve">  </w:t>
      </w:r>
      <w:r w:rsidR="00972B58">
        <w:rPr>
          <w:rFonts w:ascii="Times New Roman" w:hAnsi="Times New Roman" w:cs="Times New Roman"/>
          <w:sz w:val="24"/>
          <w:szCs w:val="24"/>
        </w:rPr>
        <w:t>However, from an economic perspective</w:t>
      </w:r>
      <w:r w:rsidR="008674E9">
        <w:rPr>
          <w:rFonts w:ascii="Times New Roman" w:hAnsi="Times New Roman" w:cs="Times New Roman"/>
          <w:sz w:val="24"/>
          <w:szCs w:val="24"/>
        </w:rPr>
        <w:t>,</w:t>
      </w:r>
      <w:r w:rsidR="00972B58">
        <w:rPr>
          <w:rFonts w:ascii="Times New Roman" w:hAnsi="Times New Roman" w:cs="Times New Roman"/>
          <w:sz w:val="24"/>
          <w:szCs w:val="24"/>
        </w:rPr>
        <w:t xml:space="preserve"> Mint Farm will be run more often and provide a cheaper source of energy due to its </w:t>
      </w:r>
      <w:r w:rsidR="00972B58" w:rsidRPr="000C4C7B">
        <w:rPr>
          <w:rFonts w:ascii="Times New Roman" w:hAnsi="Times New Roman" w:cs="Times New Roman"/>
          <w:sz w:val="24"/>
          <w:szCs w:val="24"/>
          <w:highlight w:val="black"/>
          <w:u w:val="single"/>
        </w:rPr>
        <w:t>lower heat rate</w:t>
      </w:r>
      <w:r w:rsidR="00972B58" w:rsidRPr="007B24A4">
        <w:rPr>
          <w:rFonts w:ascii="Times New Roman" w:hAnsi="Times New Roman" w:cs="Times New Roman"/>
          <w:sz w:val="24"/>
          <w:szCs w:val="24"/>
          <w:highlight w:val="lightGray"/>
          <w:u w:val="single"/>
        </w:rPr>
        <w:t>.</w:t>
      </w:r>
      <w:r w:rsidR="001A6A1A">
        <w:rPr>
          <w:rFonts w:ascii="Times New Roman" w:hAnsi="Times New Roman" w:cs="Times New Roman"/>
          <w:sz w:val="24"/>
          <w:szCs w:val="24"/>
        </w:rPr>
        <w:t xml:space="preserve">  Although Mint Farm </w:t>
      </w:r>
      <w:r w:rsidR="00063506">
        <w:rPr>
          <w:rFonts w:ascii="Times New Roman" w:hAnsi="Times New Roman" w:cs="Times New Roman"/>
          <w:sz w:val="24"/>
          <w:szCs w:val="24"/>
        </w:rPr>
        <w:t xml:space="preserve">provides surplus capacity </w:t>
      </w:r>
      <w:r w:rsidR="0015547C" w:rsidRPr="000C4C7B">
        <w:rPr>
          <w:rFonts w:ascii="Times New Roman" w:hAnsi="Times New Roman" w:cs="Times New Roman"/>
          <w:sz w:val="24"/>
          <w:szCs w:val="24"/>
          <w:highlight w:val="black"/>
          <w:u w:val="single"/>
        </w:rPr>
        <w:t>until 2012</w:t>
      </w:r>
      <w:r w:rsidR="001A6A1A">
        <w:rPr>
          <w:rFonts w:ascii="Times New Roman" w:hAnsi="Times New Roman" w:cs="Times New Roman"/>
          <w:sz w:val="24"/>
          <w:szCs w:val="24"/>
        </w:rPr>
        <w:t xml:space="preserve">, the </w:t>
      </w:r>
      <w:r w:rsidR="00432E3F">
        <w:rPr>
          <w:rFonts w:ascii="Times New Roman" w:hAnsi="Times New Roman" w:cs="Times New Roman"/>
          <w:sz w:val="24"/>
          <w:szCs w:val="24"/>
        </w:rPr>
        <w:t xml:space="preserve">Company’s </w:t>
      </w:r>
      <w:r w:rsidR="00063506">
        <w:rPr>
          <w:rFonts w:ascii="Times New Roman" w:hAnsi="Times New Roman" w:cs="Times New Roman"/>
          <w:sz w:val="24"/>
          <w:szCs w:val="24"/>
        </w:rPr>
        <w:t xml:space="preserve">earlier </w:t>
      </w:r>
      <w:r w:rsidR="001A6A1A">
        <w:rPr>
          <w:rFonts w:ascii="Times New Roman" w:hAnsi="Times New Roman" w:cs="Times New Roman"/>
          <w:sz w:val="24"/>
          <w:szCs w:val="24"/>
        </w:rPr>
        <w:t xml:space="preserve">purchase opportunity was unique and favorably priced.  </w:t>
      </w:r>
      <w:r w:rsidR="00063506">
        <w:rPr>
          <w:rFonts w:ascii="Times New Roman" w:hAnsi="Times New Roman" w:cs="Times New Roman"/>
          <w:sz w:val="24"/>
          <w:szCs w:val="24"/>
        </w:rPr>
        <w:t xml:space="preserve">Moreover, </w:t>
      </w:r>
      <w:r w:rsidR="001A6A1A">
        <w:rPr>
          <w:rFonts w:ascii="Times New Roman" w:hAnsi="Times New Roman" w:cs="Times New Roman"/>
          <w:sz w:val="24"/>
          <w:szCs w:val="24"/>
        </w:rPr>
        <w:t>the add</w:t>
      </w:r>
      <w:r w:rsidR="00063506">
        <w:rPr>
          <w:rFonts w:ascii="Times New Roman" w:hAnsi="Times New Roman" w:cs="Times New Roman"/>
          <w:sz w:val="24"/>
          <w:szCs w:val="24"/>
        </w:rPr>
        <w:t>itional</w:t>
      </w:r>
      <w:r w:rsidR="001A6A1A">
        <w:rPr>
          <w:rFonts w:ascii="Times New Roman" w:hAnsi="Times New Roman" w:cs="Times New Roman"/>
          <w:sz w:val="24"/>
          <w:szCs w:val="24"/>
        </w:rPr>
        <w:t xml:space="preserve"> projected costs</w:t>
      </w:r>
      <w:r w:rsidR="00E500EC">
        <w:rPr>
          <w:rFonts w:ascii="Times New Roman" w:hAnsi="Times New Roman" w:cs="Times New Roman"/>
          <w:sz w:val="24"/>
          <w:szCs w:val="24"/>
        </w:rPr>
        <w:t xml:space="preserve"> of</w:t>
      </w:r>
      <w:r w:rsidR="001A6A1A">
        <w:rPr>
          <w:rFonts w:ascii="Times New Roman" w:hAnsi="Times New Roman" w:cs="Times New Roman"/>
          <w:sz w:val="24"/>
          <w:szCs w:val="24"/>
        </w:rPr>
        <w:t xml:space="preserve"> purchas</w:t>
      </w:r>
      <w:r w:rsidR="00E500EC">
        <w:rPr>
          <w:rFonts w:ascii="Times New Roman" w:hAnsi="Times New Roman" w:cs="Times New Roman"/>
          <w:sz w:val="24"/>
          <w:szCs w:val="24"/>
        </w:rPr>
        <w:t xml:space="preserve">ing Mint Farm </w:t>
      </w:r>
      <w:r w:rsidR="00063506">
        <w:rPr>
          <w:rFonts w:ascii="Times New Roman" w:hAnsi="Times New Roman" w:cs="Times New Roman"/>
          <w:sz w:val="24"/>
          <w:szCs w:val="24"/>
        </w:rPr>
        <w:t xml:space="preserve">before </w:t>
      </w:r>
      <w:r w:rsidR="0015547C" w:rsidRPr="000C4C7B">
        <w:rPr>
          <w:rFonts w:ascii="Times New Roman" w:hAnsi="Times New Roman" w:cs="Times New Roman"/>
          <w:sz w:val="24"/>
          <w:szCs w:val="24"/>
          <w:highlight w:val="black"/>
          <w:u w:val="single"/>
        </w:rPr>
        <w:t>2012</w:t>
      </w:r>
      <w:r w:rsidR="001A6A1A">
        <w:rPr>
          <w:rFonts w:ascii="Times New Roman" w:hAnsi="Times New Roman" w:cs="Times New Roman"/>
          <w:sz w:val="24"/>
          <w:szCs w:val="24"/>
        </w:rPr>
        <w:t xml:space="preserve"> </w:t>
      </w:r>
      <w:r w:rsidR="00063506">
        <w:rPr>
          <w:rFonts w:ascii="Times New Roman" w:hAnsi="Times New Roman" w:cs="Times New Roman"/>
          <w:sz w:val="24"/>
          <w:szCs w:val="24"/>
        </w:rPr>
        <w:t>are</w:t>
      </w:r>
      <w:r w:rsidR="001A6A1A">
        <w:rPr>
          <w:rFonts w:ascii="Times New Roman" w:hAnsi="Times New Roman" w:cs="Times New Roman"/>
          <w:sz w:val="24"/>
          <w:szCs w:val="24"/>
        </w:rPr>
        <w:t xml:space="preserve"> o</w:t>
      </w:r>
      <w:r w:rsidR="00063506">
        <w:rPr>
          <w:rFonts w:ascii="Times New Roman" w:hAnsi="Times New Roman" w:cs="Times New Roman"/>
          <w:sz w:val="24"/>
          <w:szCs w:val="24"/>
        </w:rPr>
        <w:t>utweighed</w:t>
      </w:r>
      <w:r w:rsidR="001A6A1A">
        <w:rPr>
          <w:rFonts w:ascii="Times New Roman" w:hAnsi="Times New Roman" w:cs="Times New Roman"/>
          <w:sz w:val="24"/>
          <w:szCs w:val="24"/>
        </w:rPr>
        <w:t xml:space="preserve"> by the increased benefits of its </w:t>
      </w:r>
      <w:r w:rsidR="00063506">
        <w:rPr>
          <w:rFonts w:ascii="Times New Roman" w:hAnsi="Times New Roman" w:cs="Times New Roman"/>
          <w:sz w:val="24"/>
          <w:szCs w:val="24"/>
        </w:rPr>
        <w:t xml:space="preserve">lower </w:t>
      </w:r>
      <w:r w:rsidR="001A6A1A">
        <w:rPr>
          <w:rFonts w:ascii="Times New Roman" w:hAnsi="Times New Roman" w:cs="Times New Roman"/>
          <w:sz w:val="24"/>
          <w:szCs w:val="24"/>
        </w:rPr>
        <w:t>longer-term operating costs.</w:t>
      </w:r>
    </w:p>
    <w:p w:rsidR="0015547C" w:rsidRDefault="0015547C" w:rsidP="0015547C">
      <w:pPr>
        <w:spacing w:after="0" w:line="480" w:lineRule="auto"/>
        <w:ind w:left="720" w:hanging="720"/>
        <w:rPr>
          <w:rFonts w:ascii="Times New Roman" w:hAnsi="Times New Roman" w:cs="Times New Roman"/>
          <w:sz w:val="24"/>
          <w:szCs w:val="24"/>
        </w:rPr>
      </w:pPr>
    </w:p>
    <w:p w:rsidR="0015547C" w:rsidRDefault="0005300A" w:rsidP="0015547C">
      <w:pPr>
        <w:spacing w:after="0" w:line="480" w:lineRule="auto"/>
        <w:ind w:left="720" w:hanging="720"/>
        <w:rPr>
          <w:rFonts w:ascii="Times New Roman" w:hAnsi="Times New Roman" w:cs="Times New Roman"/>
          <w:b/>
          <w:sz w:val="24"/>
          <w:szCs w:val="24"/>
        </w:rPr>
      </w:pPr>
      <w:r w:rsidRPr="0005300A">
        <w:rPr>
          <w:rFonts w:ascii="Times New Roman" w:hAnsi="Times New Roman" w:cs="Times New Roman"/>
          <w:b/>
          <w:sz w:val="24"/>
          <w:szCs w:val="24"/>
        </w:rPr>
        <w:t xml:space="preserve">Q. </w:t>
      </w:r>
      <w:r w:rsidRPr="0005300A">
        <w:rPr>
          <w:rFonts w:ascii="Times New Roman" w:hAnsi="Times New Roman" w:cs="Times New Roman"/>
          <w:b/>
          <w:sz w:val="24"/>
          <w:szCs w:val="24"/>
        </w:rPr>
        <w:tab/>
        <w:t xml:space="preserve">Please explain why </w:t>
      </w:r>
      <w:r w:rsidR="00E36C3B">
        <w:rPr>
          <w:rFonts w:ascii="Times New Roman" w:hAnsi="Times New Roman" w:cs="Times New Roman"/>
          <w:b/>
          <w:sz w:val="24"/>
          <w:szCs w:val="24"/>
        </w:rPr>
        <w:t xml:space="preserve">Mint Farm and the </w:t>
      </w:r>
      <w:r w:rsidR="0015547C" w:rsidRPr="000C4C7B">
        <w:rPr>
          <w:rFonts w:ascii="Times New Roman" w:hAnsi="Times New Roman" w:cs="Times New Roman"/>
          <w:b/>
          <w:sz w:val="24"/>
          <w:szCs w:val="24"/>
          <w:highlight w:val="black"/>
          <w:u w:val="single"/>
        </w:rPr>
        <w:t xml:space="preserve">Tenaska Ferndale </w:t>
      </w:r>
      <w:r w:rsidR="008F2864" w:rsidRPr="000C4C7B">
        <w:rPr>
          <w:rFonts w:ascii="Times New Roman" w:hAnsi="Times New Roman" w:cs="Times New Roman"/>
          <w:b/>
          <w:sz w:val="24"/>
          <w:szCs w:val="24"/>
          <w:highlight w:val="black"/>
          <w:u w:val="single"/>
        </w:rPr>
        <w:t>generation plant</w:t>
      </w:r>
      <w:r w:rsidR="00E36C3B">
        <w:rPr>
          <w:rFonts w:ascii="Times New Roman" w:hAnsi="Times New Roman" w:cs="Times New Roman"/>
          <w:b/>
          <w:sz w:val="24"/>
          <w:szCs w:val="24"/>
        </w:rPr>
        <w:t xml:space="preserve"> </w:t>
      </w:r>
      <w:r w:rsidR="006E4C1D">
        <w:rPr>
          <w:rFonts w:ascii="Times New Roman" w:hAnsi="Times New Roman" w:cs="Times New Roman"/>
          <w:b/>
          <w:sz w:val="24"/>
          <w:szCs w:val="24"/>
        </w:rPr>
        <w:t xml:space="preserve">that underlies the PPA </w:t>
      </w:r>
      <w:r w:rsidRPr="0005300A">
        <w:rPr>
          <w:rFonts w:ascii="Times New Roman" w:hAnsi="Times New Roman" w:cs="Times New Roman"/>
          <w:b/>
          <w:sz w:val="24"/>
          <w:szCs w:val="24"/>
        </w:rPr>
        <w:t xml:space="preserve">will be run different amounts of time </w:t>
      </w:r>
      <w:r>
        <w:rPr>
          <w:rFonts w:ascii="Times New Roman" w:hAnsi="Times New Roman" w:cs="Times New Roman"/>
          <w:b/>
          <w:sz w:val="24"/>
          <w:szCs w:val="24"/>
        </w:rPr>
        <w:t xml:space="preserve">and the implication </w:t>
      </w:r>
      <w:r w:rsidR="00E36C3B">
        <w:rPr>
          <w:rFonts w:ascii="Times New Roman" w:hAnsi="Times New Roman" w:cs="Times New Roman"/>
          <w:b/>
          <w:sz w:val="24"/>
          <w:szCs w:val="24"/>
        </w:rPr>
        <w:t>of that difference on</w:t>
      </w:r>
      <w:r>
        <w:rPr>
          <w:rFonts w:ascii="Times New Roman" w:hAnsi="Times New Roman" w:cs="Times New Roman"/>
          <w:b/>
          <w:sz w:val="24"/>
          <w:szCs w:val="24"/>
        </w:rPr>
        <w:t xml:space="preserve"> potential energy market exposure.</w:t>
      </w:r>
    </w:p>
    <w:p w:rsidR="008F3744" w:rsidRDefault="0005300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Each</w:t>
      </w:r>
      <w:r w:rsidRPr="0005300A">
        <w:rPr>
          <w:rFonts w:ascii="Times New Roman" w:hAnsi="Times New Roman" w:cs="Times New Roman"/>
          <w:sz w:val="24"/>
          <w:szCs w:val="24"/>
        </w:rPr>
        <w:t xml:space="preserve"> plant w</w:t>
      </w:r>
      <w:r w:rsidR="00E36C3B">
        <w:rPr>
          <w:rFonts w:ascii="Times New Roman" w:hAnsi="Times New Roman" w:cs="Times New Roman"/>
          <w:sz w:val="24"/>
          <w:szCs w:val="24"/>
        </w:rPr>
        <w:t>ould</w:t>
      </w:r>
      <w:r w:rsidRPr="0005300A">
        <w:rPr>
          <w:rFonts w:ascii="Times New Roman" w:hAnsi="Times New Roman" w:cs="Times New Roman"/>
          <w:sz w:val="24"/>
          <w:szCs w:val="24"/>
        </w:rPr>
        <w:t xml:space="preserve"> be </w:t>
      </w:r>
      <w:r w:rsidR="00FE5DEC">
        <w:rPr>
          <w:rFonts w:ascii="Times New Roman" w:hAnsi="Times New Roman" w:cs="Times New Roman"/>
          <w:sz w:val="24"/>
          <w:szCs w:val="24"/>
        </w:rPr>
        <w:t xml:space="preserve">dedicated to serving PSE loads and </w:t>
      </w:r>
      <w:r w:rsidRPr="0005300A">
        <w:rPr>
          <w:rFonts w:ascii="Times New Roman" w:hAnsi="Times New Roman" w:cs="Times New Roman"/>
          <w:sz w:val="24"/>
          <w:szCs w:val="24"/>
        </w:rPr>
        <w:t xml:space="preserve">dispatched based on their individual economics.  Fundamentally the </w:t>
      </w:r>
      <w:r w:rsidRPr="000C4C7B">
        <w:rPr>
          <w:rFonts w:ascii="Times New Roman" w:hAnsi="Times New Roman" w:cs="Times New Roman"/>
          <w:sz w:val="24"/>
          <w:szCs w:val="24"/>
          <w:highlight w:val="black"/>
          <w:u w:val="single"/>
        </w:rPr>
        <w:t>Tenaska</w:t>
      </w:r>
      <w:r w:rsidRPr="0005300A">
        <w:rPr>
          <w:rFonts w:ascii="Times New Roman" w:hAnsi="Times New Roman" w:cs="Times New Roman"/>
          <w:sz w:val="24"/>
          <w:szCs w:val="24"/>
        </w:rPr>
        <w:t xml:space="preserve"> plant</w:t>
      </w:r>
      <w:r w:rsidR="00B65F33">
        <w:rPr>
          <w:rFonts w:ascii="Times New Roman" w:hAnsi="Times New Roman" w:cs="Times New Roman"/>
          <w:sz w:val="24"/>
          <w:szCs w:val="24"/>
        </w:rPr>
        <w:t xml:space="preserve"> employs</w:t>
      </w:r>
      <w:r w:rsidRPr="0005300A">
        <w:rPr>
          <w:rFonts w:ascii="Times New Roman" w:hAnsi="Times New Roman" w:cs="Times New Roman"/>
          <w:sz w:val="24"/>
          <w:szCs w:val="24"/>
        </w:rPr>
        <w:t xml:space="preserve"> older </w:t>
      </w:r>
      <w:r>
        <w:rPr>
          <w:rFonts w:ascii="Times New Roman" w:hAnsi="Times New Roman" w:cs="Times New Roman"/>
          <w:sz w:val="24"/>
          <w:szCs w:val="24"/>
        </w:rPr>
        <w:t>technology</w:t>
      </w:r>
      <w:r w:rsidRPr="0005300A">
        <w:rPr>
          <w:rFonts w:ascii="Times New Roman" w:hAnsi="Times New Roman" w:cs="Times New Roman"/>
          <w:sz w:val="24"/>
          <w:szCs w:val="24"/>
        </w:rPr>
        <w:t xml:space="preserve"> </w:t>
      </w:r>
      <w:r w:rsidR="00E36C3B">
        <w:rPr>
          <w:rFonts w:ascii="Times New Roman" w:hAnsi="Times New Roman" w:cs="Times New Roman"/>
          <w:sz w:val="24"/>
          <w:szCs w:val="24"/>
        </w:rPr>
        <w:t>using a</w:t>
      </w:r>
      <w:r w:rsidRPr="0005300A">
        <w:rPr>
          <w:rFonts w:ascii="Times New Roman" w:hAnsi="Times New Roman" w:cs="Times New Roman"/>
          <w:sz w:val="24"/>
          <w:szCs w:val="24"/>
        </w:rPr>
        <w:t xml:space="preserve"> </w:t>
      </w:r>
      <w:r w:rsidRPr="000C4C7B">
        <w:rPr>
          <w:rFonts w:ascii="Times New Roman" w:hAnsi="Times New Roman" w:cs="Times New Roman"/>
          <w:sz w:val="24"/>
          <w:szCs w:val="24"/>
          <w:highlight w:val="black"/>
          <w:u w:val="single"/>
        </w:rPr>
        <w:t>General Electric frame model 7E</w:t>
      </w:r>
      <w:r w:rsidRPr="0005300A">
        <w:rPr>
          <w:rFonts w:ascii="Times New Roman" w:hAnsi="Times New Roman" w:cs="Times New Roman"/>
          <w:sz w:val="24"/>
          <w:szCs w:val="24"/>
        </w:rPr>
        <w:t xml:space="preserve"> with a </w:t>
      </w:r>
      <w:r w:rsidRPr="000C4C7B">
        <w:rPr>
          <w:rFonts w:ascii="Times New Roman" w:hAnsi="Times New Roman" w:cs="Times New Roman"/>
          <w:sz w:val="24"/>
          <w:szCs w:val="24"/>
          <w:highlight w:val="black"/>
          <w:u w:val="single"/>
        </w:rPr>
        <w:t xml:space="preserve">significantly higher </w:t>
      </w:r>
      <w:r w:rsidR="0015547C" w:rsidRPr="000C4C7B">
        <w:rPr>
          <w:rFonts w:ascii="Times New Roman" w:hAnsi="Times New Roman" w:cs="Times New Roman"/>
          <w:sz w:val="24"/>
          <w:szCs w:val="24"/>
          <w:highlight w:val="black"/>
          <w:u w:val="single"/>
        </w:rPr>
        <w:t>heat rate</w:t>
      </w:r>
      <w:r w:rsidRPr="0005300A">
        <w:rPr>
          <w:rFonts w:ascii="Times New Roman" w:hAnsi="Times New Roman" w:cs="Times New Roman"/>
          <w:sz w:val="24"/>
          <w:szCs w:val="24"/>
        </w:rPr>
        <w:t xml:space="preserve"> than Mint Farm, </w:t>
      </w:r>
      <w:r w:rsidRPr="0005300A">
        <w:rPr>
          <w:rFonts w:ascii="Times New Roman" w:hAnsi="Times New Roman" w:cs="Times New Roman"/>
          <w:sz w:val="24"/>
          <w:szCs w:val="24"/>
        </w:rPr>
        <w:lastRenderedPageBreak/>
        <w:t xml:space="preserve">which uses a </w:t>
      </w:r>
      <w:r w:rsidRPr="000C4C7B">
        <w:rPr>
          <w:rFonts w:ascii="Times New Roman" w:hAnsi="Times New Roman" w:cs="Times New Roman"/>
          <w:sz w:val="24"/>
          <w:szCs w:val="24"/>
          <w:highlight w:val="black"/>
          <w:u w:val="single"/>
        </w:rPr>
        <w:t>General Electric frame model 7F</w:t>
      </w:r>
      <w:r w:rsidR="00E36C3B">
        <w:rPr>
          <w:rFonts w:ascii="Times New Roman" w:hAnsi="Times New Roman" w:cs="Times New Roman"/>
          <w:sz w:val="24"/>
          <w:szCs w:val="24"/>
        </w:rPr>
        <w:t>.</w:t>
      </w:r>
      <w:r w:rsidRPr="0005300A">
        <w:rPr>
          <w:rFonts w:ascii="Times New Roman" w:hAnsi="Times New Roman" w:cs="Times New Roman"/>
          <w:sz w:val="24"/>
          <w:szCs w:val="24"/>
          <w:vertAlign w:val="superscript"/>
        </w:rPr>
        <w:footnoteReference w:id="5"/>
      </w:r>
      <w:r w:rsidRPr="0005300A">
        <w:rPr>
          <w:rFonts w:ascii="Times New Roman" w:hAnsi="Times New Roman" w:cs="Times New Roman"/>
          <w:sz w:val="24"/>
          <w:szCs w:val="24"/>
        </w:rPr>
        <w:t xml:space="preserve">   Therefore, Mint Farm will run many more hours in any year than </w:t>
      </w:r>
      <w:r w:rsidR="0015547C" w:rsidRPr="000C4C7B">
        <w:rPr>
          <w:rFonts w:ascii="Times New Roman" w:hAnsi="Times New Roman" w:cs="Times New Roman"/>
          <w:sz w:val="24"/>
          <w:szCs w:val="24"/>
          <w:highlight w:val="black"/>
          <w:u w:val="single"/>
        </w:rPr>
        <w:t>Tenaska</w:t>
      </w:r>
      <w:r w:rsidR="00E36C3B">
        <w:rPr>
          <w:rFonts w:ascii="Times New Roman" w:hAnsi="Times New Roman" w:cs="Times New Roman"/>
          <w:sz w:val="24"/>
          <w:szCs w:val="24"/>
        </w:rPr>
        <w:t>.</w:t>
      </w:r>
      <w:r w:rsidRPr="0005300A">
        <w:rPr>
          <w:rFonts w:ascii="Times New Roman" w:hAnsi="Times New Roman" w:cs="Times New Roman"/>
          <w:sz w:val="24"/>
          <w:szCs w:val="24"/>
        </w:rPr>
        <w:t xml:space="preserve">  This means that if the Company decided to </w:t>
      </w:r>
      <w:r w:rsidR="00753644">
        <w:rPr>
          <w:rFonts w:ascii="Times New Roman" w:hAnsi="Times New Roman" w:cs="Times New Roman"/>
          <w:sz w:val="24"/>
          <w:szCs w:val="24"/>
        </w:rPr>
        <w:t>acquire</w:t>
      </w:r>
      <w:r w:rsidR="00B9001B">
        <w:rPr>
          <w:rFonts w:ascii="Times New Roman" w:hAnsi="Times New Roman" w:cs="Times New Roman"/>
          <w:sz w:val="24"/>
          <w:szCs w:val="24"/>
        </w:rPr>
        <w:t xml:space="preserve"> the</w:t>
      </w:r>
      <w:r w:rsidRPr="0005300A">
        <w:rPr>
          <w:rFonts w:ascii="Times New Roman" w:hAnsi="Times New Roman" w:cs="Times New Roman"/>
          <w:sz w:val="24"/>
          <w:szCs w:val="24"/>
        </w:rPr>
        <w:t xml:space="preserve"> </w:t>
      </w:r>
      <w:r w:rsidR="000F5B72" w:rsidRPr="000C4C7B">
        <w:rPr>
          <w:rFonts w:ascii="Times New Roman" w:hAnsi="Times New Roman" w:cs="Times New Roman"/>
          <w:sz w:val="24"/>
          <w:szCs w:val="24"/>
          <w:highlight w:val="black"/>
          <w:u w:val="single"/>
        </w:rPr>
        <w:t>Tenaska Ferndale PPA</w:t>
      </w:r>
      <w:r w:rsidR="00B65F33">
        <w:rPr>
          <w:rFonts w:ascii="Times New Roman" w:hAnsi="Times New Roman" w:cs="Times New Roman"/>
          <w:sz w:val="24"/>
          <w:szCs w:val="24"/>
        </w:rPr>
        <w:t xml:space="preserve"> </w:t>
      </w:r>
      <w:r w:rsidRPr="0005300A">
        <w:rPr>
          <w:rFonts w:ascii="Times New Roman" w:hAnsi="Times New Roman" w:cs="Times New Roman"/>
          <w:sz w:val="24"/>
          <w:szCs w:val="24"/>
        </w:rPr>
        <w:t xml:space="preserve">instead of Mint Farm, the Company would be </w:t>
      </w:r>
      <w:r w:rsidR="001A6A1A">
        <w:rPr>
          <w:rFonts w:ascii="Times New Roman" w:hAnsi="Times New Roman" w:cs="Times New Roman"/>
          <w:sz w:val="24"/>
          <w:szCs w:val="24"/>
        </w:rPr>
        <w:t xml:space="preserve">more </w:t>
      </w:r>
      <w:r w:rsidRPr="0005300A">
        <w:rPr>
          <w:rFonts w:ascii="Times New Roman" w:hAnsi="Times New Roman" w:cs="Times New Roman"/>
          <w:sz w:val="24"/>
          <w:szCs w:val="24"/>
        </w:rPr>
        <w:t xml:space="preserve">subject to variable market conditions and pricing during </w:t>
      </w:r>
      <w:r w:rsidR="001A6A1A">
        <w:rPr>
          <w:rFonts w:ascii="Times New Roman" w:hAnsi="Times New Roman" w:cs="Times New Roman"/>
          <w:sz w:val="24"/>
          <w:szCs w:val="24"/>
        </w:rPr>
        <w:t>each</w:t>
      </w:r>
      <w:r w:rsidRPr="0005300A">
        <w:rPr>
          <w:rFonts w:ascii="Times New Roman" w:hAnsi="Times New Roman" w:cs="Times New Roman"/>
          <w:sz w:val="24"/>
          <w:szCs w:val="24"/>
        </w:rPr>
        <w:t xml:space="preserve"> year, because </w:t>
      </w:r>
      <w:r w:rsidR="000F5B72" w:rsidRPr="000C4C7B">
        <w:rPr>
          <w:rFonts w:ascii="Times New Roman" w:hAnsi="Times New Roman" w:cs="Times New Roman"/>
          <w:sz w:val="24"/>
          <w:szCs w:val="24"/>
          <w:highlight w:val="black"/>
          <w:u w:val="single"/>
        </w:rPr>
        <w:t>Tenaska</w:t>
      </w:r>
      <w:r w:rsidRPr="0005300A">
        <w:rPr>
          <w:rFonts w:ascii="Times New Roman" w:hAnsi="Times New Roman" w:cs="Times New Roman"/>
          <w:sz w:val="24"/>
          <w:szCs w:val="24"/>
        </w:rPr>
        <w:t xml:space="preserve"> would run comparatively l</w:t>
      </w:r>
      <w:r w:rsidR="00E36C3B">
        <w:rPr>
          <w:rFonts w:ascii="Times New Roman" w:hAnsi="Times New Roman" w:cs="Times New Roman"/>
          <w:sz w:val="24"/>
          <w:szCs w:val="24"/>
        </w:rPr>
        <w:t>ess</w:t>
      </w:r>
      <w:r w:rsidRPr="0005300A">
        <w:rPr>
          <w:rFonts w:ascii="Times New Roman" w:hAnsi="Times New Roman" w:cs="Times New Roman"/>
          <w:sz w:val="24"/>
          <w:szCs w:val="24"/>
        </w:rPr>
        <w:t xml:space="preserve">.  </w:t>
      </w:r>
    </w:p>
    <w:p w:rsidR="0015547C" w:rsidRDefault="0015547C" w:rsidP="0015547C">
      <w:pPr>
        <w:spacing w:after="0" w:line="480" w:lineRule="auto"/>
        <w:ind w:left="720" w:hanging="720"/>
        <w:rPr>
          <w:rFonts w:ascii="Times New Roman" w:hAnsi="Times New Roman" w:cs="Times New Roman"/>
          <w:sz w:val="24"/>
          <w:szCs w:val="24"/>
        </w:rPr>
      </w:pPr>
    </w:p>
    <w:p w:rsidR="0015547C" w:rsidRDefault="009E6FAB" w:rsidP="0015547C">
      <w:pPr>
        <w:spacing w:after="0" w:line="480" w:lineRule="auto"/>
        <w:ind w:left="720" w:hanging="720"/>
        <w:rPr>
          <w:rFonts w:ascii="Times New Roman" w:hAnsi="Times New Roman" w:cs="Times New Roman"/>
          <w:sz w:val="24"/>
          <w:szCs w:val="24"/>
        </w:rPr>
      </w:pPr>
      <w:r w:rsidRPr="009E6FAB">
        <w:rPr>
          <w:rFonts w:ascii="Times New Roman" w:hAnsi="Times New Roman" w:cs="Times New Roman"/>
          <w:b/>
          <w:sz w:val="24"/>
          <w:szCs w:val="24"/>
        </w:rPr>
        <w:t>Q.</w:t>
      </w:r>
      <w:r w:rsidRPr="009E6FAB">
        <w:rPr>
          <w:rFonts w:ascii="Times New Roman" w:hAnsi="Times New Roman" w:cs="Times New Roman"/>
          <w:b/>
          <w:sz w:val="24"/>
          <w:szCs w:val="24"/>
        </w:rPr>
        <w:tab/>
      </w:r>
      <w:r w:rsidR="00E36C3B">
        <w:rPr>
          <w:rFonts w:ascii="Times New Roman" w:hAnsi="Times New Roman" w:cs="Times New Roman"/>
          <w:b/>
          <w:sz w:val="24"/>
          <w:szCs w:val="24"/>
        </w:rPr>
        <w:t>Please compare the qualitative</w:t>
      </w:r>
      <w:r w:rsidR="00823675">
        <w:rPr>
          <w:rFonts w:ascii="Times New Roman" w:hAnsi="Times New Roman" w:cs="Times New Roman"/>
          <w:b/>
          <w:sz w:val="24"/>
          <w:szCs w:val="24"/>
        </w:rPr>
        <w:t xml:space="preserve"> factors </w:t>
      </w:r>
      <w:r w:rsidR="00E36C3B">
        <w:rPr>
          <w:rFonts w:ascii="Times New Roman" w:hAnsi="Times New Roman" w:cs="Times New Roman"/>
          <w:b/>
          <w:sz w:val="24"/>
          <w:szCs w:val="24"/>
        </w:rPr>
        <w:t>of</w:t>
      </w:r>
      <w:r w:rsidR="002F5A79">
        <w:rPr>
          <w:rFonts w:ascii="Times New Roman" w:hAnsi="Times New Roman" w:cs="Times New Roman"/>
          <w:b/>
          <w:sz w:val="24"/>
          <w:szCs w:val="24"/>
        </w:rPr>
        <w:t xml:space="preserve"> </w:t>
      </w:r>
      <w:r w:rsidR="006E4C1D">
        <w:rPr>
          <w:rFonts w:ascii="Times New Roman" w:hAnsi="Times New Roman" w:cs="Times New Roman"/>
          <w:b/>
          <w:sz w:val="24"/>
          <w:szCs w:val="24"/>
        </w:rPr>
        <w:t xml:space="preserve">Mint Farm and </w:t>
      </w:r>
      <w:r w:rsidR="002F5A79">
        <w:rPr>
          <w:rFonts w:ascii="Times New Roman" w:hAnsi="Times New Roman" w:cs="Times New Roman"/>
          <w:b/>
          <w:sz w:val="24"/>
          <w:szCs w:val="24"/>
        </w:rPr>
        <w:t xml:space="preserve">the </w:t>
      </w:r>
      <w:r w:rsidR="000F5B72" w:rsidRPr="000C4C7B">
        <w:rPr>
          <w:rFonts w:ascii="Times New Roman" w:hAnsi="Times New Roman" w:cs="Times New Roman"/>
          <w:b/>
          <w:sz w:val="24"/>
          <w:szCs w:val="24"/>
          <w:highlight w:val="black"/>
          <w:u w:val="single"/>
        </w:rPr>
        <w:t>Tena</w:t>
      </w:r>
      <w:r w:rsidR="00924159" w:rsidRPr="000C4C7B">
        <w:rPr>
          <w:rFonts w:ascii="Times New Roman" w:hAnsi="Times New Roman" w:cs="Times New Roman"/>
          <w:b/>
          <w:sz w:val="24"/>
          <w:szCs w:val="24"/>
          <w:highlight w:val="black"/>
          <w:u w:val="single"/>
        </w:rPr>
        <w:t>ska</w:t>
      </w:r>
      <w:r w:rsidR="000F5B72" w:rsidRPr="000C4C7B">
        <w:rPr>
          <w:rFonts w:ascii="Times New Roman" w:hAnsi="Times New Roman" w:cs="Times New Roman"/>
          <w:b/>
          <w:sz w:val="24"/>
          <w:szCs w:val="24"/>
          <w:highlight w:val="black"/>
          <w:u w:val="single"/>
        </w:rPr>
        <w:t xml:space="preserve"> Ferndale PPA</w:t>
      </w:r>
      <w:r w:rsidR="000F5B72" w:rsidRPr="007B24A4">
        <w:rPr>
          <w:rFonts w:ascii="Times New Roman" w:hAnsi="Times New Roman" w:cs="Times New Roman"/>
          <w:b/>
          <w:sz w:val="24"/>
          <w:szCs w:val="24"/>
          <w:highlight w:val="lightGray"/>
          <w:u w:val="single"/>
        </w:rPr>
        <w:t>,</w:t>
      </w:r>
      <w:r w:rsidR="00753644">
        <w:rPr>
          <w:rFonts w:ascii="Times New Roman" w:hAnsi="Times New Roman" w:cs="Times New Roman"/>
          <w:b/>
          <w:sz w:val="24"/>
          <w:szCs w:val="24"/>
        </w:rPr>
        <w:t xml:space="preserve"> which</w:t>
      </w:r>
      <w:r w:rsidR="00823675">
        <w:rPr>
          <w:rFonts w:ascii="Times New Roman" w:hAnsi="Times New Roman" w:cs="Times New Roman"/>
          <w:b/>
          <w:sz w:val="24"/>
          <w:szCs w:val="24"/>
        </w:rPr>
        <w:t xml:space="preserve"> Mr. Norwood </w:t>
      </w:r>
      <w:r w:rsidR="006E4C1D">
        <w:rPr>
          <w:rFonts w:ascii="Times New Roman" w:hAnsi="Times New Roman" w:cs="Times New Roman"/>
          <w:b/>
          <w:sz w:val="24"/>
          <w:szCs w:val="24"/>
        </w:rPr>
        <w:t xml:space="preserve">concludes was a </w:t>
      </w:r>
      <w:r w:rsidR="002F5A79">
        <w:rPr>
          <w:rFonts w:ascii="Times New Roman" w:hAnsi="Times New Roman" w:cs="Times New Roman"/>
          <w:b/>
          <w:sz w:val="24"/>
          <w:szCs w:val="24"/>
        </w:rPr>
        <w:t>more prudent choice</w:t>
      </w:r>
      <w:r w:rsidR="006E4C1D">
        <w:rPr>
          <w:rFonts w:ascii="Times New Roman" w:hAnsi="Times New Roman" w:cs="Times New Roman"/>
          <w:b/>
          <w:sz w:val="24"/>
          <w:szCs w:val="24"/>
        </w:rPr>
        <w:t>.</w:t>
      </w:r>
    </w:p>
    <w:p w:rsidR="008F3744" w:rsidRDefault="009E6FAB">
      <w:pPr>
        <w:spacing w:after="0" w:line="480" w:lineRule="auto"/>
        <w:ind w:left="720" w:hanging="720"/>
        <w:rPr>
          <w:rFonts w:ascii="Times New Roman" w:hAnsi="Times New Roman" w:cs="Times New Roman"/>
          <w:sz w:val="24"/>
          <w:szCs w:val="24"/>
        </w:rPr>
      </w:pPr>
      <w:r w:rsidRPr="009E6FAB">
        <w:rPr>
          <w:rFonts w:ascii="Times New Roman" w:hAnsi="Times New Roman" w:cs="Times New Roman"/>
          <w:sz w:val="24"/>
          <w:szCs w:val="24"/>
        </w:rPr>
        <w:t>A.</w:t>
      </w:r>
      <w:r w:rsidRPr="009E6FAB">
        <w:rPr>
          <w:rFonts w:ascii="Times New Roman" w:hAnsi="Times New Roman" w:cs="Times New Roman"/>
          <w:sz w:val="24"/>
          <w:szCs w:val="24"/>
        </w:rPr>
        <w:tab/>
      </w:r>
      <w:r w:rsidR="001A35E5" w:rsidRPr="001A35E5">
        <w:rPr>
          <w:rFonts w:ascii="Times New Roman" w:hAnsi="Times New Roman" w:cs="Times New Roman"/>
          <w:sz w:val="24"/>
          <w:szCs w:val="24"/>
        </w:rPr>
        <w:t xml:space="preserve">Both Mint Farm and </w:t>
      </w:r>
      <w:r w:rsidR="001A35E5">
        <w:rPr>
          <w:rFonts w:ascii="Times New Roman" w:hAnsi="Times New Roman" w:cs="Times New Roman"/>
          <w:sz w:val="24"/>
          <w:szCs w:val="24"/>
        </w:rPr>
        <w:t xml:space="preserve">the </w:t>
      </w:r>
      <w:r w:rsidR="0015547C" w:rsidRPr="000C4C7B">
        <w:rPr>
          <w:rFonts w:ascii="Times New Roman" w:hAnsi="Times New Roman" w:cs="Times New Roman"/>
          <w:sz w:val="24"/>
          <w:szCs w:val="24"/>
          <w:highlight w:val="black"/>
          <w:u w:val="single"/>
        </w:rPr>
        <w:t>Tenaska Ferndale PPA</w:t>
      </w:r>
      <w:r w:rsidR="001A35E5" w:rsidRPr="001A35E5">
        <w:rPr>
          <w:rFonts w:ascii="Times New Roman" w:hAnsi="Times New Roman" w:cs="Times New Roman"/>
          <w:sz w:val="24"/>
          <w:szCs w:val="24"/>
        </w:rPr>
        <w:t xml:space="preserve"> have positive </w:t>
      </w:r>
      <w:r w:rsidR="00E36C3B">
        <w:rPr>
          <w:rFonts w:ascii="Times New Roman" w:hAnsi="Times New Roman" w:cs="Times New Roman"/>
          <w:sz w:val="24"/>
          <w:szCs w:val="24"/>
        </w:rPr>
        <w:t xml:space="preserve">qualitative attributes.  Both are located </w:t>
      </w:r>
      <w:r w:rsidR="001A35E5" w:rsidRPr="001A35E5">
        <w:rPr>
          <w:rFonts w:ascii="Times New Roman" w:hAnsi="Times New Roman" w:cs="Times New Roman"/>
          <w:sz w:val="24"/>
          <w:szCs w:val="24"/>
        </w:rPr>
        <w:t xml:space="preserve">in western Washington, </w:t>
      </w:r>
      <w:r w:rsidR="00E36C3B">
        <w:rPr>
          <w:rFonts w:ascii="Times New Roman" w:hAnsi="Times New Roman" w:cs="Times New Roman"/>
          <w:sz w:val="24"/>
          <w:szCs w:val="24"/>
        </w:rPr>
        <w:t>are</w:t>
      </w:r>
      <w:r w:rsidR="001A35E5">
        <w:rPr>
          <w:rFonts w:ascii="Times New Roman" w:hAnsi="Times New Roman" w:cs="Times New Roman"/>
          <w:sz w:val="24"/>
          <w:szCs w:val="24"/>
        </w:rPr>
        <w:t xml:space="preserve"> </w:t>
      </w:r>
      <w:r w:rsidR="001A35E5" w:rsidRPr="001A35E5">
        <w:rPr>
          <w:rFonts w:ascii="Times New Roman" w:hAnsi="Times New Roman" w:cs="Times New Roman"/>
          <w:sz w:val="24"/>
          <w:szCs w:val="24"/>
        </w:rPr>
        <w:t xml:space="preserve">fully operational, </w:t>
      </w:r>
      <w:r w:rsidR="001A35E5">
        <w:rPr>
          <w:rFonts w:ascii="Times New Roman" w:hAnsi="Times New Roman" w:cs="Times New Roman"/>
          <w:sz w:val="24"/>
          <w:szCs w:val="24"/>
        </w:rPr>
        <w:t>hav</w:t>
      </w:r>
      <w:r w:rsidR="00E36C3B">
        <w:rPr>
          <w:rFonts w:ascii="Times New Roman" w:hAnsi="Times New Roman" w:cs="Times New Roman"/>
          <w:sz w:val="24"/>
          <w:szCs w:val="24"/>
        </w:rPr>
        <w:t>e</w:t>
      </w:r>
      <w:r w:rsidR="001A35E5">
        <w:rPr>
          <w:rFonts w:ascii="Times New Roman" w:hAnsi="Times New Roman" w:cs="Times New Roman"/>
          <w:sz w:val="24"/>
          <w:szCs w:val="24"/>
        </w:rPr>
        <w:t xml:space="preserve"> </w:t>
      </w:r>
      <w:r w:rsidR="001A35E5" w:rsidRPr="001A35E5">
        <w:rPr>
          <w:rFonts w:ascii="Times New Roman" w:hAnsi="Times New Roman" w:cs="Times New Roman"/>
          <w:sz w:val="24"/>
          <w:szCs w:val="24"/>
        </w:rPr>
        <w:t xml:space="preserve">existing transmission and gas supplies, </w:t>
      </w:r>
      <w:r w:rsidR="00FD1D6A">
        <w:rPr>
          <w:rFonts w:ascii="Times New Roman" w:hAnsi="Times New Roman" w:cs="Times New Roman"/>
          <w:sz w:val="24"/>
          <w:szCs w:val="24"/>
        </w:rPr>
        <w:t xml:space="preserve">have </w:t>
      </w:r>
      <w:r w:rsidR="001A35E5" w:rsidRPr="001A35E5">
        <w:rPr>
          <w:rFonts w:ascii="Times New Roman" w:hAnsi="Times New Roman" w:cs="Times New Roman"/>
          <w:sz w:val="24"/>
          <w:szCs w:val="24"/>
        </w:rPr>
        <w:t xml:space="preserve">good reliability, and </w:t>
      </w:r>
      <w:r w:rsidR="00823675">
        <w:rPr>
          <w:rFonts w:ascii="Times New Roman" w:hAnsi="Times New Roman" w:cs="Times New Roman"/>
          <w:sz w:val="24"/>
          <w:szCs w:val="24"/>
        </w:rPr>
        <w:t xml:space="preserve">employ </w:t>
      </w:r>
      <w:r w:rsidR="001A35E5" w:rsidRPr="001A35E5">
        <w:rPr>
          <w:rFonts w:ascii="Times New Roman" w:hAnsi="Times New Roman" w:cs="Times New Roman"/>
          <w:sz w:val="24"/>
          <w:szCs w:val="24"/>
        </w:rPr>
        <w:t xml:space="preserve">mature technologies.  </w:t>
      </w:r>
      <w:r w:rsidR="00FD1D6A">
        <w:rPr>
          <w:rFonts w:ascii="Times New Roman" w:hAnsi="Times New Roman" w:cs="Times New Roman"/>
          <w:sz w:val="24"/>
          <w:szCs w:val="24"/>
        </w:rPr>
        <w:t xml:space="preserve">However, </w:t>
      </w:r>
      <w:r w:rsidR="001A35E5" w:rsidRPr="001A35E5">
        <w:rPr>
          <w:rFonts w:ascii="Times New Roman" w:hAnsi="Times New Roman" w:cs="Times New Roman"/>
          <w:sz w:val="24"/>
          <w:szCs w:val="24"/>
        </w:rPr>
        <w:t xml:space="preserve">Mint Farm is </w:t>
      </w:r>
      <w:r w:rsidR="00FD1D6A">
        <w:rPr>
          <w:rFonts w:ascii="Times New Roman" w:hAnsi="Times New Roman" w:cs="Times New Roman"/>
          <w:sz w:val="24"/>
          <w:szCs w:val="24"/>
        </w:rPr>
        <w:t xml:space="preserve">a </w:t>
      </w:r>
      <w:r w:rsidR="001A35E5" w:rsidRPr="001A35E5">
        <w:rPr>
          <w:rFonts w:ascii="Times New Roman" w:hAnsi="Times New Roman" w:cs="Times New Roman"/>
          <w:sz w:val="24"/>
          <w:szCs w:val="24"/>
        </w:rPr>
        <w:t xml:space="preserve">newer </w:t>
      </w:r>
      <w:r w:rsidR="00823675">
        <w:rPr>
          <w:rFonts w:ascii="Times New Roman" w:hAnsi="Times New Roman" w:cs="Times New Roman"/>
          <w:sz w:val="24"/>
          <w:szCs w:val="24"/>
        </w:rPr>
        <w:t xml:space="preserve">plant </w:t>
      </w:r>
      <w:r w:rsidR="001A35E5" w:rsidRPr="001A35E5">
        <w:rPr>
          <w:rFonts w:ascii="Times New Roman" w:hAnsi="Times New Roman" w:cs="Times New Roman"/>
          <w:sz w:val="24"/>
          <w:szCs w:val="24"/>
        </w:rPr>
        <w:t xml:space="preserve">with an expected remaining life of well over 25 years and runs more economically due to its </w:t>
      </w:r>
      <w:r w:rsidR="000F5B72" w:rsidRPr="000C4C7B">
        <w:rPr>
          <w:rFonts w:ascii="Times New Roman" w:hAnsi="Times New Roman" w:cs="Times New Roman"/>
          <w:sz w:val="24"/>
          <w:szCs w:val="24"/>
          <w:highlight w:val="black"/>
          <w:u w:val="single"/>
          <w:shd w:val="clear" w:color="auto" w:fill="BFBFBF" w:themeFill="background1" w:themeFillShade="BF"/>
        </w:rPr>
        <w:t xml:space="preserve">low </w:t>
      </w:r>
      <w:r w:rsidR="001A35E5" w:rsidRPr="000C4C7B">
        <w:rPr>
          <w:rFonts w:ascii="Times New Roman" w:hAnsi="Times New Roman" w:cs="Times New Roman"/>
          <w:sz w:val="24"/>
          <w:szCs w:val="24"/>
          <w:highlight w:val="black"/>
          <w:u w:val="single"/>
        </w:rPr>
        <w:t>heat rate</w:t>
      </w:r>
      <w:r w:rsidR="001A35E5" w:rsidRPr="001A35E5">
        <w:rPr>
          <w:rFonts w:ascii="Times New Roman" w:hAnsi="Times New Roman" w:cs="Times New Roman"/>
          <w:sz w:val="24"/>
          <w:szCs w:val="24"/>
        </w:rPr>
        <w:t>.  T</w:t>
      </w:r>
      <w:r w:rsidR="001A35E5">
        <w:rPr>
          <w:rFonts w:ascii="Times New Roman" w:hAnsi="Times New Roman" w:cs="Times New Roman"/>
          <w:sz w:val="24"/>
          <w:szCs w:val="24"/>
        </w:rPr>
        <w:t xml:space="preserve">he </w:t>
      </w:r>
      <w:r w:rsidR="000F5B72" w:rsidRPr="000C4C7B">
        <w:rPr>
          <w:rFonts w:ascii="Times New Roman" w:hAnsi="Times New Roman" w:cs="Times New Roman"/>
          <w:sz w:val="24"/>
          <w:szCs w:val="24"/>
          <w:highlight w:val="black"/>
          <w:u w:val="single"/>
        </w:rPr>
        <w:t>Tenaska</w:t>
      </w:r>
      <w:r w:rsidR="00B65F33">
        <w:rPr>
          <w:rFonts w:ascii="Times New Roman" w:hAnsi="Times New Roman" w:cs="Times New Roman"/>
          <w:sz w:val="24"/>
          <w:szCs w:val="24"/>
        </w:rPr>
        <w:t xml:space="preserve"> </w:t>
      </w:r>
      <w:r w:rsidR="001A35E5">
        <w:rPr>
          <w:rFonts w:ascii="Times New Roman" w:hAnsi="Times New Roman" w:cs="Times New Roman"/>
          <w:sz w:val="24"/>
          <w:szCs w:val="24"/>
        </w:rPr>
        <w:t>plant</w:t>
      </w:r>
      <w:r w:rsidR="001A35E5" w:rsidRPr="001A35E5">
        <w:rPr>
          <w:rFonts w:ascii="Times New Roman" w:hAnsi="Times New Roman" w:cs="Times New Roman"/>
          <w:sz w:val="24"/>
          <w:szCs w:val="24"/>
        </w:rPr>
        <w:t xml:space="preserve"> is older with approximately a 15 year remaining life and runs less economically due to its relatively </w:t>
      </w:r>
      <w:r w:rsidR="0015547C" w:rsidRPr="000C4C7B">
        <w:rPr>
          <w:rFonts w:ascii="Times New Roman" w:hAnsi="Times New Roman" w:cs="Times New Roman"/>
          <w:sz w:val="24"/>
          <w:szCs w:val="24"/>
          <w:highlight w:val="black"/>
          <w:u w:val="single"/>
        </w:rPr>
        <w:t>higher</w:t>
      </w:r>
      <w:r w:rsidR="001A35E5" w:rsidRPr="000C4C7B">
        <w:rPr>
          <w:rFonts w:ascii="Times New Roman" w:hAnsi="Times New Roman" w:cs="Times New Roman"/>
          <w:sz w:val="24"/>
          <w:szCs w:val="24"/>
          <w:highlight w:val="black"/>
          <w:u w:val="single"/>
        </w:rPr>
        <w:t xml:space="preserve"> heat rate</w:t>
      </w:r>
      <w:r w:rsidR="001A35E5" w:rsidRPr="007B24A4">
        <w:rPr>
          <w:rFonts w:ascii="Times New Roman" w:hAnsi="Times New Roman" w:cs="Times New Roman"/>
          <w:sz w:val="24"/>
          <w:szCs w:val="24"/>
          <w:u w:val="single"/>
        </w:rPr>
        <w:t>.</w:t>
      </w:r>
      <w:r w:rsidR="001A35E5" w:rsidRPr="001A35E5">
        <w:rPr>
          <w:rFonts w:ascii="Times New Roman" w:hAnsi="Times New Roman" w:cs="Times New Roman"/>
          <w:sz w:val="24"/>
          <w:szCs w:val="24"/>
        </w:rPr>
        <w:t xml:space="preserve">  As such</w:t>
      </w:r>
      <w:r w:rsidR="00F1324C">
        <w:rPr>
          <w:rFonts w:ascii="Times New Roman" w:hAnsi="Times New Roman" w:cs="Times New Roman"/>
          <w:sz w:val="24"/>
          <w:szCs w:val="24"/>
        </w:rPr>
        <w:t>,</w:t>
      </w:r>
      <w:r w:rsidR="001A35E5" w:rsidRPr="001A35E5">
        <w:rPr>
          <w:rFonts w:ascii="Times New Roman" w:hAnsi="Times New Roman" w:cs="Times New Roman"/>
          <w:sz w:val="24"/>
          <w:szCs w:val="24"/>
        </w:rPr>
        <w:t xml:space="preserve"> </w:t>
      </w:r>
      <w:r w:rsidR="000F5B72" w:rsidRPr="000C4C7B">
        <w:rPr>
          <w:rFonts w:ascii="Times New Roman" w:hAnsi="Times New Roman" w:cs="Times New Roman"/>
          <w:sz w:val="24"/>
          <w:szCs w:val="24"/>
          <w:highlight w:val="black"/>
          <w:u w:val="single"/>
          <w:shd w:val="clear" w:color="auto" w:fill="BFBFBF" w:themeFill="background1" w:themeFillShade="BF"/>
        </w:rPr>
        <w:t>Tenaska</w:t>
      </w:r>
      <w:r w:rsidR="00753644">
        <w:rPr>
          <w:rFonts w:ascii="Times New Roman" w:hAnsi="Times New Roman" w:cs="Times New Roman"/>
          <w:sz w:val="24"/>
          <w:szCs w:val="24"/>
        </w:rPr>
        <w:t xml:space="preserve"> </w:t>
      </w:r>
      <w:r w:rsidR="001A35E5" w:rsidRPr="001A35E5">
        <w:rPr>
          <w:rFonts w:ascii="Times New Roman" w:hAnsi="Times New Roman" w:cs="Times New Roman"/>
          <w:sz w:val="24"/>
          <w:szCs w:val="24"/>
        </w:rPr>
        <w:t>would</w:t>
      </w:r>
      <w:r w:rsidR="001A35E5">
        <w:rPr>
          <w:rFonts w:ascii="Times New Roman" w:hAnsi="Times New Roman" w:cs="Times New Roman"/>
          <w:sz w:val="24"/>
          <w:szCs w:val="24"/>
        </w:rPr>
        <w:t xml:space="preserve"> have</w:t>
      </w:r>
      <w:r w:rsidR="001A35E5" w:rsidRPr="001A35E5">
        <w:rPr>
          <w:rFonts w:ascii="Times New Roman" w:hAnsi="Times New Roman" w:cs="Times New Roman"/>
          <w:sz w:val="24"/>
          <w:szCs w:val="24"/>
        </w:rPr>
        <w:t xml:space="preserve"> provide</w:t>
      </w:r>
      <w:r w:rsidR="001A35E5">
        <w:rPr>
          <w:rFonts w:ascii="Times New Roman" w:hAnsi="Times New Roman" w:cs="Times New Roman"/>
          <w:sz w:val="24"/>
          <w:szCs w:val="24"/>
        </w:rPr>
        <w:t>d</w:t>
      </w:r>
      <w:r w:rsidR="001A35E5" w:rsidRPr="001A35E5">
        <w:rPr>
          <w:rFonts w:ascii="Times New Roman" w:hAnsi="Times New Roman" w:cs="Times New Roman"/>
          <w:sz w:val="24"/>
          <w:szCs w:val="24"/>
        </w:rPr>
        <w:t xml:space="preserve"> less overall energy </w:t>
      </w:r>
      <w:r w:rsidR="00F1324C">
        <w:rPr>
          <w:rFonts w:ascii="Times New Roman" w:hAnsi="Times New Roman" w:cs="Times New Roman"/>
          <w:sz w:val="24"/>
          <w:szCs w:val="24"/>
        </w:rPr>
        <w:t xml:space="preserve">for </w:t>
      </w:r>
      <w:r w:rsidR="00972B58">
        <w:rPr>
          <w:rFonts w:ascii="Times New Roman" w:hAnsi="Times New Roman" w:cs="Times New Roman"/>
          <w:sz w:val="24"/>
          <w:szCs w:val="24"/>
        </w:rPr>
        <w:t>fewer</w:t>
      </w:r>
      <w:r w:rsidR="00F1324C">
        <w:rPr>
          <w:rFonts w:ascii="Times New Roman" w:hAnsi="Times New Roman" w:cs="Times New Roman"/>
          <w:sz w:val="24"/>
          <w:szCs w:val="24"/>
        </w:rPr>
        <w:t xml:space="preserve"> years </w:t>
      </w:r>
      <w:r w:rsidR="001A35E5" w:rsidRPr="001A35E5">
        <w:rPr>
          <w:rFonts w:ascii="Times New Roman" w:hAnsi="Times New Roman" w:cs="Times New Roman"/>
          <w:sz w:val="24"/>
          <w:szCs w:val="24"/>
        </w:rPr>
        <w:t>to meet PSE load</w:t>
      </w:r>
      <w:r w:rsidR="00FD1D6A">
        <w:rPr>
          <w:rFonts w:ascii="Times New Roman" w:hAnsi="Times New Roman" w:cs="Times New Roman"/>
          <w:sz w:val="24"/>
          <w:szCs w:val="24"/>
        </w:rPr>
        <w:t>s</w:t>
      </w:r>
      <w:r w:rsidR="001A35E5" w:rsidRPr="001A35E5">
        <w:rPr>
          <w:rFonts w:ascii="Times New Roman" w:hAnsi="Times New Roman" w:cs="Times New Roman"/>
          <w:sz w:val="24"/>
          <w:szCs w:val="24"/>
        </w:rPr>
        <w:t xml:space="preserve"> </w:t>
      </w:r>
      <w:r w:rsidR="00823675">
        <w:rPr>
          <w:rFonts w:ascii="Times New Roman" w:hAnsi="Times New Roman" w:cs="Times New Roman"/>
          <w:sz w:val="24"/>
          <w:szCs w:val="24"/>
        </w:rPr>
        <w:t>when compared to</w:t>
      </w:r>
      <w:r w:rsidR="001A35E5" w:rsidRPr="001A35E5">
        <w:rPr>
          <w:rFonts w:ascii="Times New Roman" w:hAnsi="Times New Roman" w:cs="Times New Roman"/>
          <w:sz w:val="24"/>
          <w:szCs w:val="24"/>
        </w:rPr>
        <w:t xml:space="preserve"> Mint Farm.</w:t>
      </w:r>
    </w:p>
    <w:p w:rsidR="0015547C" w:rsidRDefault="0015547C" w:rsidP="0015547C">
      <w:pPr>
        <w:spacing w:after="0" w:line="480" w:lineRule="auto"/>
        <w:ind w:left="720" w:hanging="720"/>
        <w:rPr>
          <w:rFonts w:ascii="Times New Roman" w:hAnsi="Times New Roman" w:cs="Times New Roman"/>
          <w:sz w:val="24"/>
          <w:szCs w:val="24"/>
        </w:rPr>
      </w:pPr>
    </w:p>
    <w:p w:rsidR="0015547C" w:rsidRDefault="0005300A" w:rsidP="0015547C">
      <w:pPr>
        <w:spacing w:after="0" w:line="480" w:lineRule="auto"/>
        <w:ind w:left="720" w:hanging="720"/>
        <w:rPr>
          <w:rFonts w:ascii="Times New Roman" w:hAnsi="Times New Roman" w:cs="Times New Roman"/>
          <w:b/>
          <w:sz w:val="24"/>
          <w:szCs w:val="24"/>
        </w:rPr>
      </w:pPr>
      <w:r w:rsidRPr="0005300A">
        <w:rPr>
          <w:rFonts w:ascii="Times New Roman" w:hAnsi="Times New Roman" w:cs="Times New Roman"/>
          <w:b/>
          <w:sz w:val="24"/>
          <w:szCs w:val="24"/>
        </w:rPr>
        <w:t xml:space="preserve">Q. </w:t>
      </w:r>
      <w:r w:rsidRPr="0005300A">
        <w:rPr>
          <w:rFonts w:ascii="Times New Roman" w:hAnsi="Times New Roman" w:cs="Times New Roman"/>
          <w:b/>
          <w:sz w:val="24"/>
          <w:szCs w:val="24"/>
        </w:rPr>
        <w:tab/>
      </w:r>
      <w:r w:rsidR="00FD1D6A">
        <w:rPr>
          <w:rFonts w:ascii="Times New Roman" w:hAnsi="Times New Roman" w:cs="Times New Roman"/>
          <w:b/>
          <w:sz w:val="24"/>
          <w:szCs w:val="24"/>
        </w:rPr>
        <w:t xml:space="preserve">Are there </w:t>
      </w:r>
      <w:r w:rsidRPr="0005300A">
        <w:rPr>
          <w:rFonts w:ascii="Times New Roman" w:hAnsi="Times New Roman" w:cs="Times New Roman"/>
          <w:b/>
          <w:sz w:val="24"/>
          <w:szCs w:val="24"/>
        </w:rPr>
        <w:t xml:space="preserve">other factors </w:t>
      </w:r>
      <w:r w:rsidR="00FD1D6A">
        <w:rPr>
          <w:rFonts w:ascii="Times New Roman" w:hAnsi="Times New Roman" w:cs="Times New Roman"/>
          <w:b/>
          <w:sz w:val="24"/>
          <w:szCs w:val="24"/>
        </w:rPr>
        <w:t xml:space="preserve">that </w:t>
      </w:r>
      <w:r w:rsidRPr="0005300A">
        <w:rPr>
          <w:rFonts w:ascii="Times New Roman" w:hAnsi="Times New Roman" w:cs="Times New Roman"/>
          <w:b/>
          <w:sz w:val="24"/>
          <w:szCs w:val="24"/>
        </w:rPr>
        <w:t>lead you to conclude that Mint Farm was a</w:t>
      </w:r>
      <w:r w:rsidR="00FD1D6A">
        <w:rPr>
          <w:rFonts w:ascii="Times New Roman" w:hAnsi="Times New Roman" w:cs="Times New Roman"/>
          <w:b/>
          <w:sz w:val="24"/>
          <w:szCs w:val="24"/>
        </w:rPr>
        <w:t xml:space="preserve">n appropriate acquisition as compared to the </w:t>
      </w:r>
      <w:r w:rsidR="0015547C" w:rsidRPr="000C4C7B">
        <w:rPr>
          <w:rFonts w:ascii="Times New Roman" w:hAnsi="Times New Roman" w:cs="Times New Roman"/>
          <w:b/>
          <w:sz w:val="24"/>
          <w:szCs w:val="24"/>
          <w:highlight w:val="black"/>
          <w:u w:val="single"/>
        </w:rPr>
        <w:t>Tenaska Ferndale PPA</w:t>
      </w:r>
      <w:r w:rsidR="00FD1D6A">
        <w:rPr>
          <w:rFonts w:ascii="Times New Roman" w:hAnsi="Times New Roman" w:cs="Times New Roman"/>
          <w:b/>
          <w:sz w:val="24"/>
          <w:szCs w:val="24"/>
        </w:rPr>
        <w:t>?</w:t>
      </w:r>
    </w:p>
    <w:p w:rsidR="0015547C" w:rsidRDefault="0005300A" w:rsidP="0015547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FD1D6A">
        <w:rPr>
          <w:rFonts w:ascii="Times New Roman" w:hAnsi="Times New Roman" w:cs="Times New Roman"/>
          <w:sz w:val="24"/>
          <w:szCs w:val="24"/>
        </w:rPr>
        <w:t>Yes.  T</w:t>
      </w:r>
      <w:r w:rsidR="001A35E5" w:rsidRPr="001A35E5">
        <w:rPr>
          <w:rFonts w:ascii="Times New Roman" w:hAnsi="Times New Roman" w:cs="Times New Roman"/>
          <w:sz w:val="24"/>
          <w:szCs w:val="24"/>
        </w:rPr>
        <w:t xml:space="preserve">hree </w:t>
      </w:r>
      <w:r w:rsidR="00823675">
        <w:rPr>
          <w:rFonts w:ascii="Times New Roman" w:hAnsi="Times New Roman" w:cs="Times New Roman"/>
          <w:sz w:val="24"/>
          <w:szCs w:val="24"/>
        </w:rPr>
        <w:t>additional</w:t>
      </w:r>
      <w:r w:rsidR="001A35E5" w:rsidRPr="001A35E5">
        <w:rPr>
          <w:rFonts w:ascii="Times New Roman" w:hAnsi="Times New Roman" w:cs="Times New Roman"/>
          <w:sz w:val="24"/>
          <w:szCs w:val="24"/>
        </w:rPr>
        <w:t xml:space="preserve"> factors </w:t>
      </w:r>
      <w:r w:rsidR="00FD1D6A">
        <w:rPr>
          <w:rFonts w:ascii="Times New Roman" w:hAnsi="Times New Roman" w:cs="Times New Roman"/>
          <w:sz w:val="24"/>
          <w:szCs w:val="24"/>
        </w:rPr>
        <w:t>are</w:t>
      </w:r>
      <w:r w:rsidR="001A35E5" w:rsidRPr="001A35E5">
        <w:rPr>
          <w:rFonts w:ascii="Times New Roman" w:hAnsi="Times New Roman" w:cs="Times New Roman"/>
          <w:sz w:val="24"/>
          <w:szCs w:val="24"/>
        </w:rPr>
        <w:t xml:space="preserve"> significant</w:t>
      </w:r>
      <w:r w:rsidR="00823675">
        <w:rPr>
          <w:rFonts w:ascii="Times New Roman" w:hAnsi="Times New Roman" w:cs="Times New Roman"/>
          <w:sz w:val="24"/>
          <w:szCs w:val="24"/>
        </w:rPr>
        <w:t xml:space="preserve"> in</w:t>
      </w:r>
      <w:r w:rsidR="00F1324C">
        <w:rPr>
          <w:rFonts w:ascii="Times New Roman" w:hAnsi="Times New Roman" w:cs="Times New Roman"/>
          <w:sz w:val="24"/>
          <w:szCs w:val="24"/>
        </w:rPr>
        <w:t xml:space="preserve"> </w:t>
      </w:r>
      <w:r w:rsidR="00FD1D6A">
        <w:rPr>
          <w:rFonts w:ascii="Times New Roman" w:hAnsi="Times New Roman" w:cs="Times New Roman"/>
          <w:sz w:val="24"/>
          <w:szCs w:val="24"/>
        </w:rPr>
        <w:t xml:space="preserve">supporting PSE’s </w:t>
      </w:r>
      <w:r w:rsidR="001A35E5" w:rsidRPr="001A35E5">
        <w:rPr>
          <w:rFonts w:ascii="Times New Roman" w:hAnsi="Times New Roman" w:cs="Times New Roman"/>
          <w:sz w:val="24"/>
          <w:szCs w:val="24"/>
        </w:rPr>
        <w:t xml:space="preserve">decision to purchase Mint Farm instead of </w:t>
      </w:r>
      <w:r w:rsidR="001A35E5">
        <w:rPr>
          <w:rFonts w:ascii="Times New Roman" w:hAnsi="Times New Roman" w:cs="Times New Roman"/>
          <w:sz w:val="24"/>
          <w:szCs w:val="24"/>
        </w:rPr>
        <w:t>the alternative resource</w:t>
      </w:r>
      <w:r w:rsidR="001A35E5" w:rsidRPr="001A35E5">
        <w:rPr>
          <w:rFonts w:ascii="Times New Roman" w:hAnsi="Times New Roman" w:cs="Times New Roman"/>
          <w:sz w:val="24"/>
          <w:szCs w:val="24"/>
        </w:rPr>
        <w:t xml:space="preserve">.  </w:t>
      </w:r>
      <w:r w:rsidR="00FD1D6A">
        <w:rPr>
          <w:rFonts w:ascii="Times New Roman" w:hAnsi="Times New Roman" w:cs="Times New Roman"/>
          <w:sz w:val="24"/>
          <w:szCs w:val="24"/>
        </w:rPr>
        <w:t>First, PSE continues to examine</w:t>
      </w:r>
      <w:r w:rsidR="001A35E5" w:rsidRPr="001A35E5">
        <w:rPr>
          <w:rFonts w:ascii="Times New Roman" w:hAnsi="Times New Roman" w:cs="Times New Roman"/>
          <w:sz w:val="24"/>
          <w:szCs w:val="24"/>
        </w:rPr>
        <w:t xml:space="preserve"> </w:t>
      </w:r>
      <w:r w:rsidR="001A35E5" w:rsidRPr="000C4C7B">
        <w:rPr>
          <w:rFonts w:ascii="Times New Roman" w:hAnsi="Times New Roman" w:cs="Times New Roman"/>
          <w:sz w:val="24"/>
          <w:szCs w:val="24"/>
          <w:highlight w:val="black"/>
          <w:u w:val="single"/>
        </w:rPr>
        <w:t>Tenaska for how it fits into future needs</w:t>
      </w:r>
      <w:r w:rsidR="00FD1D6A" w:rsidRPr="000C4C7B">
        <w:rPr>
          <w:rFonts w:ascii="Times New Roman" w:hAnsi="Times New Roman" w:cs="Times New Roman"/>
          <w:sz w:val="24"/>
          <w:szCs w:val="24"/>
          <w:highlight w:val="black"/>
          <w:u w:val="single"/>
        </w:rPr>
        <w:t>,</w:t>
      </w:r>
      <w:r w:rsidR="001A35E5" w:rsidRPr="000C4C7B">
        <w:rPr>
          <w:rFonts w:ascii="Times New Roman" w:hAnsi="Times New Roman" w:cs="Times New Roman"/>
          <w:sz w:val="24"/>
          <w:szCs w:val="24"/>
          <w:highlight w:val="black"/>
          <w:u w:val="single"/>
        </w:rPr>
        <w:t xml:space="preserve"> including evalua</w:t>
      </w:r>
      <w:r w:rsidR="00FD1D6A" w:rsidRPr="000C4C7B">
        <w:rPr>
          <w:rFonts w:ascii="Times New Roman" w:hAnsi="Times New Roman" w:cs="Times New Roman"/>
          <w:sz w:val="24"/>
          <w:szCs w:val="24"/>
          <w:highlight w:val="black"/>
          <w:u w:val="single"/>
        </w:rPr>
        <w:t xml:space="preserve">ting </w:t>
      </w:r>
      <w:r w:rsidR="001A35E5" w:rsidRPr="000C4C7B">
        <w:rPr>
          <w:rFonts w:ascii="Times New Roman" w:hAnsi="Times New Roman" w:cs="Times New Roman"/>
          <w:sz w:val="24"/>
          <w:szCs w:val="24"/>
          <w:highlight w:val="black"/>
          <w:u w:val="single"/>
        </w:rPr>
        <w:t>its potential to assist with wind</w:t>
      </w:r>
      <w:r w:rsidR="001A35E5" w:rsidRPr="000C4C7B">
        <w:rPr>
          <w:rFonts w:ascii="Times New Roman" w:hAnsi="Times New Roman" w:cs="Times New Roman"/>
          <w:sz w:val="24"/>
          <w:szCs w:val="24"/>
          <w:highlight w:val="black"/>
        </w:rPr>
        <w:t xml:space="preserve"> </w:t>
      </w:r>
      <w:r w:rsidR="001A35E5" w:rsidRPr="000C4C7B">
        <w:rPr>
          <w:rFonts w:ascii="Times New Roman" w:hAnsi="Times New Roman" w:cs="Times New Roman"/>
          <w:sz w:val="24"/>
          <w:szCs w:val="24"/>
          <w:highlight w:val="black"/>
          <w:u w:val="single"/>
        </w:rPr>
        <w:lastRenderedPageBreak/>
        <w:t>integration.  Secon</w:t>
      </w:r>
      <w:r w:rsidR="00FD1D6A" w:rsidRPr="000C4C7B">
        <w:rPr>
          <w:rFonts w:ascii="Times New Roman" w:hAnsi="Times New Roman" w:cs="Times New Roman"/>
          <w:sz w:val="24"/>
          <w:szCs w:val="24"/>
          <w:highlight w:val="black"/>
          <w:u w:val="single"/>
        </w:rPr>
        <w:t>d</w:t>
      </w:r>
      <w:r w:rsidR="001A35E5" w:rsidRPr="000C4C7B">
        <w:rPr>
          <w:rFonts w:ascii="Times New Roman" w:hAnsi="Times New Roman" w:cs="Times New Roman"/>
          <w:sz w:val="24"/>
          <w:szCs w:val="24"/>
          <w:highlight w:val="black"/>
          <w:u w:val="single"/>
        </w:rPr>
        <w:t>, Tenaska is currently under contract to PSE for its full output through 2011 and</w:t>
      </w:r>
      <w:r w:rsidR="00FD1D6A" w:rsidRPr="000C4C7B">
        <w:rPr>
          <w:rFonts w:ascii="Times New Roman" w:hAnsi="Times New Roman" w:cs="Times New Roman"/>
          <w:sz w:val="24"/>
          <w:szCs w:val="24"/>
          <w:highlight w:val="black"/>
          <w:u w:val="single"/>
        </w:rPr>
        <w:t xml:space="preserve">, therefore, </w:t>
      </w:r>
      <w:r w:rsidR="00F1324C" w:rsidRPr="000C4C7B">
        <w:rPr>
          <w:rFonts w:ascii="Times New Roman" w:hAnsi="Times New Roman" w:cs="Times New Roman"/>
          <w:sz w:val="24"/>
          <w:szCs w:val="24"/>
          <w:highlight w:val="black"/>
          <w:u w:val="single"/>
        </w:rPr>
        <w:t>the</w:t>
      </w:r>
      <w:r w:rsidR="001A35E5" w:rsidRPr="000C4C7B">
        <w:rPr>
          <w:rFonts w:ascii="Times New Roman" w:hAnsi="Times New Roman" w:cs="Times New Roman"/>
          <w:sz w:val="24"/>
          <w:szCs w:val="24"/>
          <w:highlight w:val="black"/>
          <w:u w:val="single"/>
        </w:rPr>
        <w:t xml:space="preserve"> acquisition </w:t>
      </w:r>
      <w:r w:rsidR="00F1324C" w:rsidRPr="000C4C7B">
        <w:rPr>
          <w:rFonts w:ascii="Times New Roman" w:hAnsi="Times New Roman" w:cs="Times New Roman"/>
          <w:sz w:val="24"/>
          <w:szCs w:val="24"/>
          <w:highlight w:val="black"/>
          <w:u w:val="single"/>
        </w:rPr>
        <w:t xml:space="preserve">of its capacity and energy for a longer time </w:t>
      </w:r>
      <w:r w:rsidR="001A35E5" w:rsidRPr="000C4C7B">
        <w:rPr>
          <w:rFonts w:ascii="Times New Roman" w:hAnsi="Times New Roman" w:cs="Times New Roman"/>
          <w:sz w:val="24"/>
          <w:szCs w:val="24"/>
          <w:highlight w:val="black"/>
          <w:u w:val="single"/>
        </w:rPr>
        <w:t xml:space="preserve">would not </w:t>
      </w:r>
      <w:r w:rsidR="00774F9B" w:rsidRPr="000C4C7B">
        <w:rPr>
          <w:rFonts w:ascii="Times New Roman" w:hAnsi="Times New Roman" w:cs="Times New Roman"/>
          <w:sz w:val="24"/>
          <w:szCs w:val="24"/>
          <w:highlight w:val="black"/>
          <w:u w:val="single"/>
        </w:rPr>
        <w:t>meet</w:t>
      </w:r>
      <w:r w:rsidR="001A35E5" w:rsidRPr="000C4C7B">
        <w:rPr>
          <w:rFonts w:ascii="Times New Roman" w:hAnsi="Times New Roman" w:cs="Times New Roman"/>
          <w:sz w:val="24"/>
          <w:szCs w:val="24"/>
          <w:highlight w:val="black"/>
          <w:u w:val="single"/>
        </w:rPr>
        <w:t xml:space="preserve"> </w:t>
      </w:r>
      <w:r w:rsidR="0012306B" w:rsidRPr="000C4C7B">
        <w:rPr>
          <w:rFonts w:ascii="Times New Roman" w:hAnsi="Times New Roman" w:cs="Times New Roman"/>
          <w:sz w:val="24"/>
          <w:szCs w:val="24"/>
          <w:highlight w:val="black"/>
          <w:u w:val="single"/>
        </w:rPr>
        <w:t>any</w:t>
      </w:r>
      <w:r w:rsidR="001A35E5" w:rsidRPr="000C4C7B">
        <w:rPr>
          <w:rFonts w:ascii="Times New Roman" w:hAnsi="Times New Roman" w:cs="Times New Roman"/>
          <w:sz w:val="24"/>
          <w:szCs w:val="24"/>
          <w:highlight w:val="black"/>
          <w:u w:val="single"/>
        </w:rPr>
        <w:t xml:space="preserve"> </w:t>
      </w:r>
      <w:r w:rsidR="00FE5DEC" w:rsidRPr="000C4C7B">
        <w:rPr>
          <w:rFonts w:ascii="Times New Roman" w:hAnsi="Times New Roman" w:cs="Times New Roman"/>
          <w:sz w:val="24"/>
          <w:szCs w:val="24"/>
          <w:highlight w:val="black"/>
          <w:u w:val="single"/>
        </w:rPr>
        <w:t xml:space="preserve">additional </w:t>
      </w:r>
      <w:r w:rsidR="00F1324C" w:rsidRPr="000C4C7B">
        <w:rPr>
          <w:rFonts w:ascii="Times New Roman" w:hAnsi="Times New Roman" w:cs="Times New Roman"/>
          <w:sz w:val="24"/>
          <w:szCs w:val="24"/>
          <w:highlight w:val="black"/>
          <w:u w:val="single"/>
        </w:rPr>
        <w:t xml:space="preserve">future </w:t>
      </w:r>
      <w:r w:rsidR="001A35E5" w:rsidRPr="000C4C7B">
        <w:rPr>
          <w:rFonts w:ascii="Times New Roman" w:hAnsi="Times New Roman" w:cs="Times New Roman"/>
          <w:sz w:val="24"/>
          <w:szCs w:val="24"/>
          <w:highlight w:val="black"/>
          <w:u w:val="single"/>
        </w:rPr>
        <w:t xml:space="preserve">capacity and energy needs of the </w:t>
      </w:r>
      <w:r w:rsidR="00FD1D6A" w:rsidRPr="000C4C7B">
        <w:rPr>
          <w:rFonts w:ascii="Times New Roman" w:hAnsi="Times New Roman" w:cs="Times New Roman"/>
          <w:sz w:val="24"/>
          <w:szCs w:val="24"/>
          <w:highlight w:val="black"/>
          <w:u w:val="single"/>
        </w:rPr>
        <w:t>C</w:t>
      </w:r>
      <w:r w:rsidR="001A35E5" w:rsidRPr="000C4C7B">
        <w:rPr>
          <w:rFonts w:ascii="Times New Roman" w:hAnsi="Times New Roman" w:cs="Times New Roman"/>
          <w:sz w:val="24"/>
          <w:szCs w:val="24"/>
          <w:highlight w:val="black"/>
          <w:u w:val="single"/>
        </w:rPr>
        <w:t>ompany</w:t>
      </w:r>
      <w:r w:rsidR="00F1324C" w:rsidRPr="00924159">
        <w:rPr>
          <w:rFonts w:ascii="Times New Roman" w:hAnsi="Times New Roman" w:cs="Times New Roman"/>
          <w:sz w:val="24"/>
          <w:szCs w:val="24"/>
        </w:rPr>
        <w:t xml:space="preserve"> in comparison to Mint Farm</w:t>
      </w:r>
      <w:r w:rsidR="001A35E5" w:rsidRPr="00924159">
        <w:rPr>
          <w:rFonts w:ascii="Times New Roman" w:hAnsi="Times New Roman" w:cs="Times New Roman"/>
          <w:sz w:val="24"/>
          <w:szCs w:val="24"/>
        </w:rPr>
        <w:t>.</w:t>
      </w:r>
      <w:r w:rsidR="00924159">
        <w:rPr>
          <w:rStyle w:val="FootnoteReference"/>
          <w:rFonts w:ascii="Times New Roman" w:hAnsi="Times New Roman" w:cs="Times New Roman"/>
          <w:sz w:val="24"/>
          <w:szCs w:val="24"/>
        </w:rPr>
        <w:footnoteReference w:id="6"/>
      </w:r>
      <w:r w:rsidR="001A35E5" w:rsidRPr="00924159">
        <w:rPr>
          <w:rFonts w:ascii="Times New Roman" w:hAnsi="Times New Roman" w:cs="Times New Roman"/>
          <w:sz w:val="24"/>
          <w:szCs w:val="24"/>
        </w:rPr>
        <w:t xml:space="preserve">  </w:t>
      </w:r>
      <w:r w:rsidR="0012306B" w:rsidRPr="000C4C7B">
        <w:rPr>
          <w:rFonts w:ascii="Times New Roman" w:hAnsi="Times New Roman" w:cs="Times New Roman"/>
          <w:sz w:val="24"/>
          <w:szCs w:val="24"/>
          <w:highlight w:val="black"/>
          <w:u w:val="single"/>
        </w:rPr>
        <w:t>In purchasing Mint Farm</w:t>
      </w:r>
      <w:r w:rsidR="00FD1D6A" w:rsidRPr="000C4C7B">
        <w:rPr>
          <w:rFonts w:ascii="Times New Roman" w:hAnsi="Times New Roman" w:cs="Times New Roman"/>
          <w:sz w:val="24"/>
          <w:szCs w:val="24"/>
          <w:highlight w:val="black"/>
          <w:u w:val="single"/>
        </w:rPr>
        <w:t xml:space="preserve">, </w:t>
      </w:r>
      <w:r w:rsidR="0012306B" w:rsidRPr="000C4C7B">
        <w:rPr>
          <w:rFonts w:ascii="Times New Roman" w:hAnsi="Times New Roman" w:cs="Times New Roman"/>
          <w:sz w:val="24"/>
          <w:szCs w:val="24"/>
          <w:highlight w:val="black"/>
          <w:u w:val="single"/>
        </w:rPr>
        <w:t xml:space="preserve">the Company did not foreclose potential future opportunities to extend the </w:t>
      </w:r>
      <w:r w:rsidR="00924159" w:rsidRPr="000C4C7B">
        <w:rPr>
          <w:rFonts w:ascii="Times New Roman" w:hAnsi="Times New Roman" w:cs="Times New Roman"/>
          <w:sz w:val="24"/>
          <w:szCs w:val="24"/>
          <w:highlight w:val="black"/>
          <w:u w:val="single"/>
        </w:rPr>
        <w:t>T</w:t>
      </w:r>
      <w:r w:rsidR="00774F9B" w:rsidRPr="000C4C7B">
        <w:rPr>
          <w:rFonts w:ascii="Times New Roman" w:hAnsi="Times New Roman" w:cs="Times New Roman"/>
          <w:sz w:val="24"/>
          <w:szCs w:val="24"/>
          <w:highlight w:val="black"/>
          <w:u w:val="single"/>
        </w:rPr>
        <w:t>enaska Ferndale PPA</w:t>
      </w:r>
      <w:r w:rsidR="0012306B" w:rsidRPr="000C4C7B">
        <w:rPr>
          <w:rFonts w:ascii="Times New Roman" w:hAnsi="Times New Roman" w:cs="Times New Roman"/>
          <w:sz w:val="24"/>
          <w:szCs w:val="24"/>
          <w:highlight w:val="black"/>
          <w:u w:val="single"/>
        </w:rPr>
        <w:t xml:space="preserve"> or </w:t>
      </w:r>
      <w:r w:rsidR="006E4C1D" w:rsidRPr="000C4C7B">
        <w:rPr>
          <w:rFonts w:ascii="Times New Roman" w:hAnsi="Times New Roman" w:cs="Times New Roman"/>
          <w:sz w:val="24"/>
          <w:szCs w:val="24"/>
          <w:highlight w:val="black"/>
          <w:u w:val="single"/>
        </w:rPr>
        <w:t xml:space="preserve">to </w:t>
      </w:r>
      <w:r w:rsidR="0012306B" w:rsidRPr="000C4C7B">
        <w:rPr>
          <w:rFonts w:ascii="Times New Roman" w:hAnsi="Times New Roman" w:cs="Times New Roman"/>
          <w:sz w:val="24"/>
          <w:szCs w:val="24"/>
          <w:highlight w:val="black"/>
          <w:u w:val="single"/>
        </w:rPr>
        <w:t>purchase the Tenaska plant</w:t>
      </w:r>
      <w:r w:rsidR="0012306B" w:rsidRPr="00924159">
        <w:rPr>
          <w:rFonts w:ascii="Times New Roman" w:hAnsi="Times New Roman" w:cs="Times New Roman"/>
          <w:sz w:val="24"/>
          <w:szCs w:val="24"/>
        </w:rPr>
        <w:t>.</w:t>
      </w:r>
      <w:r w:rsidR="0012306B">
        <w:rPr>
          <w:rFonts w:ascii="Times New Roman" w:hAnsi="Times New Roman" w:cs="Times New Roman"/>
          <w:sz w:val="24"/>
          <w:szCs w:val="24"/>
        </w:rPr>
        <w:t xml:space="preserve">  </w:t>
      </w:r>
      <w:r w:rsidR="001A35E5" w:rsidRPr="001A35E5">
        <w:rPr>
          <w:rFonts w:ascii="Times New Roman" w:hAnsi="Times New Roman" w:cs="Times New Roman"/>
          <w:sz w:val="24"/>
          <w:szCs w:val="24"/>
        </w:rPr>
        <w:t xml:space="preserve">Lastly, the Mint Farm opportunity was unique and unlikely </w:t>
      </w:r>
      <w:r w:rsidR="00E500EC">
        <w:rPr>
          <w:rFonts w:ascii="Times New Roman" w:hAnsi="Times New Roman" w:cs="Times New Roman"/>
          <w:sz w:val="24"/>
          <w:szCs w:val="24"/>
        </w:rPr>
        <w:t xml:space="preserve">to </w:t>
      </w:r>
      <w:r w:rsidR="001A35E5" w:rsidRPr="001A35E5">
        <w:rPr>
          <w:rFonts w:ascii="Times New Roman" w:hAnsi="Times New Roman" w:cs="Times New Roman"/>
          <w:sz w:val="24"/>
          <w:szCs w:val="24"/>
        </w:rPr>
        <w:t xml:space="preserve">have been available for long.  It was unique in that it was available in the PSE service area and </w:t>
      </w:r>
      <w:r w:rsidR="00FD1D6A">
        <w:rPr>
          <w:rFonts w:ascii="Times New Roman" w:hAnsi="Times New Roman" w:cs="Times New Roman"/>
          <w:sz w:val="24"/>
          <w:szCs w:val="24"/>
        </w:rPr>
        <w:t xml:space="preserve">was </w:t>
      </w:r>
      <w:r w:rsidR="001A35E5" w:rsidRPr="001A35E5">
        <w:rPr>
          <w:rFonts w:ascii="Times New Roman" w:hAnsi="Times New Roman" w:cs="Times New Roman"/>
          <w:sz w:val="24"/>
          <w:szCs w:val="24"/>
        </w:rPr>
        <w:t xml:space="preserve">offered at a large capital purchase discount </w:t>
      </w:r>
      <w:r w:rsidR="007D6732">
        <w:rPr>
          <w:rFonts w:ascii="Times New Roman" w:hAnsi="Times New Roman" w:cs="Times New Roman"/>
          <w:sz w:val="24"/>
          <w:szCs w:val="24"/>
        </w:rPr>
        <w:t>compared to</w:t>
      </w:r>
      <w:r w:rsidR="001A35E5" w:rsidRPr="001A35E5">
        <w:rPr>
          <w:rFonts w:ascii="Times New Roman" w:hAnsi="Times New Roman" w:cs="Times New Roman"/>
          <w:sz w:val="24"/>
          <w:szCs w:val="24"/>
        </w:rPr>
        <w:t xml:space="preserve"> building a new plant</w:t>
      </w:r>
      <w:r w:rsidR="007D6732">
        <w:rPr>
          <w:rFonts w:ascii="Times New Roman" w:hAnsi="Times New Roman" w:cs="Times New Roman"/>
          <w:sz w:val="24"/>
          <w:szCs w:val="24"/>
        </w:rPr>
        <w:t xml:space="preserve"> with comparable technology</w:t>
      </w:r>
      <w:r w:rsidR="001A35E5" w:rsidRPr="001A35E5">
        <w:rPr>
          <w:rFonts w:ascii="Times New Roman" w:hAnsi="Times New Roman" w:cs="Times New Roman"/>
          <w:sz w:val="24"/>
          <w:szCs w:val="24"/>
        </w:rPr>
        <w:t xml:space="preserve">.  It was unlikely to be available for long because other utilities in the region need additional generating resources in the near future. </w:t>
      </w:r>
    </w:p>
    <w:p w:rsidR="0015547C" w:rsidRDefault="0015547C" w:rsidP="0015547C">
      <w:pPr>
        <w:spacing w:after="0" w:line="480" w:lineRule="auto"/>
        <w:ind w:left="720"/>
        <w:rPr>
          <w:rFonts w:ascii="Times New Roman" w:hAnsi="Times New Roman" w:cs="Times New Roman"/>
          <w:sz w:val="24"/>
          <w:szCs w:val="24"/>
        </w:rPr>
      </w:pPr>
    </w:p>
    <w:p w:rsidR="0015547C" w:rsidRPr="0015547C" w:rsidRDefault="0015547C" w:rsidP="0015547C">
      <w:pPr>
        <w:spacing w:after="0" w:line="480" w:lineRule="auto"/>
        <w:ind w:left="720" w:hanging="630"/>
        <w:rPr>
          <w:rFonts w:ascii="Times New Roman" w:hAnsi="Times New Roman" w:cs="Times New Roman"/>
          <w:b/>
          <w:sz w:val="24"/>
          <w:szCs w:val="24"/>
        </w:rPr>
      </w:pPr>
      <w:r w:rsidRPr="0015547C">
        <w:rPr>
          <w:rFonts w:ascii="Times New Roman" w:hAnsi="Times New Roman" w:cs="Times New Roman"/>
          <w:b/>
          <w:sz w:val="24"/>
          <w:szCs w:val="24"/>
        </w:rPr>
        <w:t>Q.</w:t>
      </w:r>
      <w:r w:rsidRPr="0015547C">
        <w:rPr>
          <w:rFonts w:ascii="Times New Roman" w:hAnsi="Times New Roman" w:cs="Times New Roman"/>
          <w:b/>
          <w:sz w:val="24"/>
          <w:szCs w:val="24"/>
        </w:rPr>
        <w:tab/>
        <w:t>Does this complete your cross-answering testimony?</w:t>
      </w:r>
    </w:p>
    <w:p w:rsidR="007B2CF0" w:rsidRDefault="009703E8">
      <w:pPr>
        <w:spacing w:after="0" w:line="480" w:lineRule="auto"/>
        <w:ind w:left="9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Yes.</w:t>
      </w:r>
    </w:p>
    <w:p w:rsidR="0049253C" w:rsidRDefault="0049253C">
      <w:pPr>
        <w:spacing w:after="0" w:line="480" w:lineRule="auto"/>
        <w:ind w:left="90"/>
        <w:rPr>
          <w:rFonts w:ascii="Times New Roman" w:hAnsi="Times New Roman" w:cs="Times New Roman"/>
          <w:sz w:val="24"/>
          <w:szCs w:val="24"/>
        </w:rPr>
      </w:pPr>
    </w:p>
    <w:p w:rsidR="0049253C" w:rsidRDefault="0049253C">
      <w:pPr>
        <w:spacing w:after="0" w:line="480" w:lineRule="auto"/>
        <w:ind w:left="90"/>
        <w:rPr>
          <w:rFonts w:ascii="Times New Roman" w:hAnsi="Times New Roman" w:cs="Times New Roman"/>
          <w:sz w:val="24"/>
          <w:szCs w:val="24"/>
        </w:rPr>
      </w:pPr>
    </w:p>
    <w:sectPr w:rsidR="0049253C" w:rsidSect="00405788">
      <w:footerReference w:type="default" r:id="rId9"/>
      <w:pgSz w:w="12240" w:h="15840" w:code="1"/>
      <w:pgMar w:top="1440" w:right="1440" w:bottom="1440" w:left="144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BE3" w:rsidRDefault="00082BE3" w:rsidP="005F0917">
      <w:pPr>
        <w:spacing w:after="0" w:line="240" w:lineRule="auto"/>
      </w:pPr>
      <w:r>
        <w:separator/>
      </w:r>
    </w:p>
  </w:endnote>
  <w:endnote w:type="continuationSeparator" w:id="0">
    <w:p w:rsidR="00082BE3" w:rsidRDefault="00082BE3" w:rsidP="005F0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BE3" w:rsidRDefault="00082BE3" w:rsidP="005F0917">
    <w:pPr>
      <w:pStyle w:val="Footer"/>
      <w:tabs>
        <w:tab w:val="clear" w:pos="9360"/>
        <w:tab w:val="left" w:pos="7110"/>
        <w:tab w:val="right" w:pos="8910"/>
      </w:tabs>
      <w:rPr>
        <w:rFonts w:ascii="Times New Roman" w:hAnsi="Times New Roman"/>
      </w:rPr>
    </w:pPr>
  </w:p>
  <w:p w:rsidR="00082BE3" w:rsidRPr="0094047B" w:rsidRDefault="00082BE3" w:rsidP="00C73B8F">
    <w:pPr>
      <w:pStyle w:val="Footer"/>
      <w:tabs>
        <w:tab w:val="clear" w:pos="9360"/>
        <w:tab w:val="left" w:pos="7110"/>
        <w:tab w:val="right" w:pos="9180"/>
      </w:tabs>
      <w:rPr>
        <w:rFonts w:ascii="Times New Roman" w:hAnsi="Times New Roman"/>
      </w:rPr>
    </w:pPr>
    <w:r>
      <w:rPr>
        <w:rFonts w:ascii="Times New Roman" w:hAnsi="Times New Roman"/>
      </w:rPr>
      <w:t>CROSS ANSWERING TESTIMONY OF DAVID NIGHTINGALE</w:t>
    </w:r>
    <w:r>
      <w:rPr>
        <w:rFonts w:ascii="Times New Roman" w:hAnsi="Times New Roman"/>
      </w:rPr>
      <w:tab/>
    </w:r>
    <w:r>
      <w:rPr>
        <w:rFonts w:ascii="Times New Roman" w:hAnsi="Times New Roman"/>
      </w:rPr>
      <w:tab/>
      <w:t>Exhibit No. DN</w:t>
    </w:r>
    <w:r w:rsidRPr="0094047B">
      <w:rPr>
        <w:rFonts w:ascii="Times New Roman" w:hAnsi="Times New Roman"/>
      </w:rPr>
      <w:t>-</w:t>
    </w:r>
    <w:r>
      <w:rPr>
        <w:rFonts w:ascii="Times New Roman" w:hAnsi="Times New Roman"/>
      </w:rPr>
      <w:t>3</w:t>
    </w:r>
    <w:r w:rsidRPr="0094047B">
      <w:rPr>
        <w:rFonts w:ascii="Times New Roman" w:hAnsi="Times New Roman"/>
      </w:rPr>
      <w:t>T</w:t>
    </w:r>
    <w:r>
      <w:rPr>
        <w:rFonts w:ascii="Times New Roman" w:hAnsi="Times New Roman"/>
      </w:rPr>
      <w:t>HC</w:t>
    </w:r>
  </w:p>
  <w:p w:rsidR="00082BE3" w:rsidRDefault="00082BE3" w:rsidP="00C73B8F">
    <w:pPr>
      <w:pStyle w:val="Footer"/>
      <w:tabs>
        <w:tab w:val="clear" w:pos="9360"/>
        <w:tab w:val="left" w:pos="7110"/>
        <w:tab w:val="right" w:pos="9180"/>
      </w:tabs>
      <w:rPr>
        <w:rStyle w:val="PageNumber"/>
        <w:rFonts w:ascii="Times New Roman" w:hAnsi="Times New Roman"/>
        <w:lang w:val="fr-FR"/>
      </w:rPr>
    </w:pPr>
    <w:r w:rsidRPr="0094047B">
      <w:rPr>
        <w:rFonts w:ascii="Times New Roman" w:hAnsi="Times New Roman"/>
      </w:rPr>
      <w:t>Docket</w:t>
    </w:r>
    <w:r>
      <w:rPr>
        <w:rFonts w:ascii="Times New Roman" w:hAnsi="Times New Roman"/>
      </w:rPr>
      <w:t>s</w:t>
    </w:r>
    <w:r>
      <w:rPr>
        <w:rFonts w:ascii="Times New Roman" w:hAnsi="Times New Roman"/>
        <w:lang w:val="fr-FR"/>
      </w:rPr>
      <w:t xml:space="preserve"> UE-090704/UG-090705</w:t>
    </w:r>
    <w:r w:rsidRPr="0094047B">
      <w:rPr>
        <w:rFonts w:ascii="Times New Roman" w:hAnsi="Times New Roman"/>
        <w:lang w:val="fr-FR"/>
      </w:rPr>
      <w:tab/>
    </w:r>
    <w:r w:rsidRPr="0094047B">
      <w:rPr>
        <w:rFonts w:ascii="Times New Roman" w:hAnsi="Times New Roman"/>
        <w:lang w:val="fr-FR"/>
      </w:rPr>
      <w:tab/>
    </w:r>
    <w:r>
      <w:rPr>
        <w:rFonts w:ascii="Times New Roman" w:hAnsi="Times New Roman"/>
        <w:lang w:val="fr-FR"/>
      </w:rPr>
      <w:tab/>
    </w:r>
    <w:r w:rsidRPr="0094047B">
      <w:rPr>
        <w:rFonts w:ascii="Times New Roman" w:hAnsi="Times New Roman"/>
        <w:lang w:val="fr-FR"/>
      </w:rPr>
      <w:t xml:space="preserve">Page </w:t>
    </w:r>
    <w:r w:rsidR="004504FC" w:rsidRPr="0094047B">
      <w:rPr>
        <w:rStyle w:val="PageNumber"/>
        <w:rFonts w:ascii="Times New Roman" w:hAnsi="Times New Roman"/>
        <w:lang w:val="fr-FR"/>
      </w:rPr>
      <w:fldChar w:fldCharType="begin"/>
    </w:r>
    <w:r w:rsidRPr="0094047B">
      <w:rPr>
        <w:rStyle w:val="PageNumber"/>
        <w:rFonts w:ascii="Times New Roman" w:hAnsi="Times New Roman"/>
        <w:lang w:val="fr-FR"/>
      </w:rPr>
      <w:instrText xml:space="preserve"> PAGE </w:instrText>
    </w:r>
    <w:r w:rsidR="004504FC" w:rsidRPr="0094047B">
      <w:rPr>
        <w:rStyle w:val="PageNumber"/>
        <w:rFonts w:ascii="Times New Roman" w:hAnsi="Times New Roman"/>
        <w:lang w:val="fr-FR"/>
      </w:rPr>
      <w:fldChar w:fldCharType="separate"/>
    </w:r>
    <w:r w:rsidR="000C4C7B">
      <w:rPr>
        <w:rStyle w:val="PageNumber"/>
        <w:rFonts w:ascii="Times New Roman" w:hAnsi="Times New Roman"/>
        <w:noProof/>
        <w:lang w:val="fr-FR"/>
      </w:rPr>
      <w:t>3</w:t>
    </w:r>
    <w:r w:rsidR="004504FC" w:rsidRPr="0094047B">
      <w:rPr>
        <w:rStyle w:val="PageNumber"/>
        <w:rFonts w:ascii="Times New Roman" w:hAnsi="Times New Roman"/>
        <w:lang w:val="fr-FR"/>
      </w:rPr>
      <w:fldChar w:fldCharType="end"/>
    </w:r>
  </w:p>
  <w:p w:rsidR="00082BE3" w:rsidRDefault="00082BE3" w:rsidP="00405788">
    <w:pPr>
      <w:pStyle w:val="Footer"/>
      <w:tabs>
        <w:tab w:val="clear" w:pos="9360"/>
        <w:tab w:val="left" w:pos="7110"/>
        <w:tab w:val="right" w:pos="8910"/>
      </w:tabs>
      <w:jc w:val="center"/>
      <w:rPr>
        <w:rStyle w:val="PageNumber"/>
        <w:rFonts w:ascii="Times New Roman" w:hAnsi="Times New Roman"/>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BE3" w:rsidRDefault="00082BE3" w:rsidP="005F0917">
    <w:pPr>
      <w:pStyle w:val="Footer"/>
      <w:tabs>
        <w:tab w:val="clear" w:pos="9360"/>
        <w:tab w:val="left" w:pos="7110"/>
        <w:tab w:val="right" w:pos="8910"/>
      </w:tabs>
      <w:rPr>
        <w:rFonts w:ascii="Times New Roman" w:hAnsi="Times New Roman"/>
      </w:rPr>
    </w:pPr>
  </w:p>
  <w:p w:rsidR="00082BE3" w:rsidRPr="0094047B" w:rsidRDefault="00082BE3" w:rsidP="00C73B8F">
    <w:pPr>
      <w:pStyle w:val="Footer"/>
      <w:tabs>
        <w:tab w:val="clear" w:pos="9360"/>
        <w:tab w:val="left" w:pos="7110"/>
        <w:tab w:val="right" w:pos="9180"/>
      </w:tabs>
      <w:rPr>
        <w:rFonts w:ascii="Times New Roman" w:hAnsi="Times New Roman"/>
      </w:rPr>
    </w:pPr>
    <w:r>
      <w:rPr>
        <w:rFonts w:ascii="Times New Roman" w:hAnsi="Times New Roman"/>
      </w:rPr>
      <w:t>CROSS ANSWERING TESTIMONY OF DAVID NIGHTINGALE</w:t>
    </w:r>
    <w:r>
      <w:rPr>
        <w:rFonts w:ascii="Times New Roman" w:hAnsi="Times New Roman"/>
      </w:rPr>
      <w:tab/>
    </w:r>
    <w:r>
      <w:rPr>
        <w:rFonts w:ascii="Times New Roman" w:hAnsi="Times New Roman"/>
      </w:rPr>
      <w:tab/>
      <w:t>Exhibit No. DN</w:t>
    </w:r>
    <w:r w:rsidRPr="0094047B">
      <w:rPr>
        <w:rFonts w:ascii="Times New Roman" w:hAnsi="Times New Roman"/>
      </w:rPr>
      <w:t>-</w:t>
    </w:r>
    <w:r>
      <w:rPr>
        <w:rFonts w:ascii="Times New Roman" w:hAnsi="Times New Roman"/>
      </w:rPr>
      <w:t>3</w:t>
    </w:r>
    <w:r w:rsidRPr="0094047B">
      <w:rPr>
        <w:rFonts w:ascii="Times New Roman" w:hAnsi="Times New Roman"/>
      </w:rPr>
      <w:t>T</w:t>
    </w:r>
    <w:r>
      <w:rPr>
        <w:rFonts w:ascii="Times New Roman" w:hAnsi="Times New Roman"/>
      </w:rPr>
      <w:t>HC</w:t>
    </w:r>
  </w:p>
  <w:p w:rsidR="00082BE3" w:rsidRDefault="00082BE3" w:rsidP="00C73B8F">
    <w:pPr>
      <w:pStyle w:val="Footer"/>
      <w:tabs>
        <w:tab w:val="clear" w:pos="9360"/>
        <w:tab w:val="left" w:pos="7110"/>
        <w:tab w:val="right" w:pos="9180"/>
      </w:tabs>
      <w:rPr>
        <w:rStyle w:val="PageNumber"/>
        <w:rFonts w:ascii="Times New Roman" w:hAnsi="Times New Roman"/>
        <w:lang w:val="fr-FR"/>
      </w:rPr>
    </w:pPr>
    <w:r w:rsidRPr="0094047B">
      <w:rPr>
        <w:rFonts w:ascii="Times New Roman" w:hAnsi="Times New Roman"/>
      </w:rPr>
      <w:t>Docket</w:t>
    </w:r>
    <w:r>
      <w:rPr>
        <w:rFonts w:ascii="Times New Roman" w:hAnsi="Times New Roman"/>
      </w:rPr>
      <w:t>s</w:t>
    </w:r>
    <w:r>
      <w:rPr>
        <w:rFonts w:ascii="Times New Roman" w:hAnsi="Times New Roman"/>
        <w:lang w:val="fr-FR"/>
      </w:rPr>
      <w:t xml:space="preserve"> UE-090704/UG-090705</w:t>
    </w:r>
    <w:r w:rsidRPr="0094047B">
      <w:rPr>
        <w:rFonts w:ascii="Times New Roman" w:hAnsi="Times New Roman"/>
        <w:lang w:val="fr-FR"/>
      </w:rPr>
      <w:tab/>
    </w:r>
    <w:r w:rsidRPr="0094047B">
      <w:rPr>
        <w:rFonts w:ascii="Times New Roman" w:hAnsi="Times New Roman"/>
        <w:lang w:val="fr-FR"/>
      </w:rPr>
      <w:tab/>
    </w:r>
    <w:r>
      <w:rPr>
        <w:rFonts w:ascii="Times New Roman" w:hAnsi="Times New Roman"/>
        <w:lang w:val="fr-FR"/>
      </w:rPr>
      <w:tab/>
    </w:r>
    <w:r w:rsidRPr="0094047B">
      <w:rPr>
        <w:rFonts w:ascii="Times New Roman" w:hAnsi="Times New Roman"/>
        <w:lang w:val="fr-FR"/>
      </w:rPr>
      <w:t xml:space="preserve">Page </w:t>
    </w:r>
    <w:r w:rsidR="004504FC" w:rsidRPr="0094047B">
      <w:rPr>
        <w:rStyle w:val="PageNumber"/>
        <w:rFonts w:ascii="Times New Roman" w:hAnsi="Times New Roman"/>
        <w:lang w:val="fr-FR"/>
      </w:rPr>
      <w:fldChar w:fldCharType="begin"/>
    </w:r>
    <w:r w:rsidRPr="0094047B">
      <w:rPr>
        <w:rStyle w:val="PageNumber"/>
        <w:rFonts w:ascii="Times New Roman" w:hAnsi="Times New Roman"/>
        <w:lang w:val="fr-FR"/>
      </w:rPr>
      <w:instrText xml:space="preserve"> PAGE </w:instrText>
    </w:r>
    <w:r w:rsidR="004504FC" w:rsidRPr="0094047B">
      <w:rPr>
        <w:rStyle w:val="PageNumber"/>
        <w:rFonts w:ascii="Times New Roman" w:hAnsi="Times New Roman"/>
        <w:lang w:val="fr-FR"/>
      </w:rPr>
      <w:fldChar w:fldCharType="separate"/>
    </w:r>
    <w:r w:rsidR="000C4C7B">
      <w:rPr>
        <w:rStyle w:val="PageNumber"/>
        <w:rFonts w:ascii="Times New Roman" w:hAnsi="Times New Roman"/>
        <w:noProof/>
        <w:lang w:val="fr-FR"/>
      </w:rPr>
      <w:t>7</w:t>
    </w:r>
    <w:r w:rsidR="004504FC" w:rsidRPr="0094047B">
      <w:rPr>
        <w:rStyle w:val="PageNumber"/>
        <w:rFonts w:ascii="Times New Roman" w:hAnsi="Times New Roman"/>
        <w:lang w:val="fr-FR"/>
      </w:rPr>
      <w:fldChar w:fldCharType="end"/>
    </w:r>
  </w:p>
  <w:p w:rsidR="00082BE3" w:rsidRDefault="00082BE3" w:rsidP="00405788">
    <w:pPr>
      <w:pStyle w:val="Footer"/>
      <w:tabs>
        <w:tab w:val="clear" w:pos="9360"/>
        <w:tab w:val="left" w:pos="7110"/>
        <w:tab w:val="right" w:pos="8910"/>
      </w:tabs>
      <w:jc w:val="center"/>
      <w:rPr>
        <w:rStyle w:val="PageNumber"/>
        <w:rFonts w:ascii="Times New Roman" w:hAnsi="Times New Roman"/>
        <w:lang w:val="fr-FR"/>
      </w:rPr>
    </w:pPr>
    <w:r>
      <w:rPr>
        <w:rStyle w:val="PageNumber"/>
        <w:rFonts w:ascii="Times New Roman" w:hAnsi="Times New Roman"/>
        <w:lang w:val="fr-FR"/>
      </w:rPr>
      <w:t xml:space="preserve">HIGHLY </w:t>
    </w:r>
    <w:proofErr w:type="spellStart"/>
    <w:r>
      <w:rPr>
        <w:rStyle w:val="PageNumber"/>
        <w:rFonts w:ascii="Times New Roman" w:hAnsi="Times New Roman"/>
        <w:lang w:val="fr-FR"/>
      </w:rPr>
      <w:t>CONFIDENTIAL</w:t>
    </w:r>
    <w:proofErr w:type="spellEnd"/>
    <w:r>
      <w:rPr>
        <w:rStyle w:val="PageNumber"/>
        <w:rFonts w:ascii="Times New Roman" w:hAnsi="Times New Roman"/>
        <w:lang w:val="fr-FR"/>
      </w:rPr>
      <w:t xml:space="preserve"> PER PROTECTIVE </w:t>
    </w:r>
    <w:proofErr w:type="spellStart"/>
    <w:r>
      <w:rPr>
        <w:rStyle w:val="PageNumber"/>
        <w:rFonts w:ascii="Times New Roman" w:hAnsi="Times New Roman"/>
        <w:lang w:val="fr-FR"/>
      </w:rPr>
      <w:t>ORDER</w:t>
    </w:r>
    <w:proofErr w:type="spellEnd"/>
    <w:r w:rsidR="000C4C7B">
      <w:rPr>
        <w:rStyle w:val="PageNumber"/>
        <w:rFonts w:ascii="Times New Roman" w:hAnsi="Times New Roman"/>
        <w:lang w:val="fr-FR"/>
      </w:rPr>
      <w:t xml:space="preserve"> – </w:t>
    </w:r>
    <w:proofErr w:type="spellStart"/>
    <w:r w:rsidR="000C4C7B">
      <w:rPr>
        <w:rStyle w:val="PageNumber"/>
        <w:rFonts w:ascii="Times New Roman" w:hAnsi="Times New Roman"/>
        <w:lang w:val="fr-FR"/>
      </w:rPr>
      <w:t>Redacted</w:t>
    </w:r>
    <w:proofErr w:type="spellEnd"/>
    <w:r w:rsidR="000C4C7B">
      <w:rPr>
        <w:rStyle w:val="PageNumber"/>
        <w:rFonts w:ascii="Times New Roman" w:hAnsi="Times New Roman"/>
        <w:lang w:val="fr-FR"/>
      </w:rPr>
      <w:t xml:space="preserve"> Version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BE3" w:rsidRDefault="00082BE3" w:rsidP="005F0917">
      <w:pPr>
        <w:spacing w:after="0" w:line="240" w:lineRule="auto"/>
      </w:pPr>
      <w:r>
        <w:separator/>
      </w:r>
    </w:p>
  </w:footnote>
  <w:footnote w:type="continuationSeparator" w:id="0">
    <w:p w:rsidR="00082BE3" w:rsidRDefault="00082BE3" w:rsidP="005F0917">
      <w:pPr>
        <w:spacing w:after="0" w:line="240" w:lineRule="auto"/>
      </w:pPr>
      <w:r>
        <w:continuationSeparator/>
      </w:r>
    </w:p>
  </w:footnote>
  <w:footnote w:id="1">
    <w:p w:rsidR="00082BE3" w:rsidRPr="0049253C" w:rsidRDefault="00082BE3" w:rsidP="0049253C">
      <w:pPr>
        <w:spacing w:after="0" w:line="240" w:lineRule="auto"/>
        <w:rPr>
          <w:rFonts w:ascii="Times New Roman" w:hAnsi="Times New Roman" w:cs="Times New Roman"/>
          <w:sz w:val="20"/>
          <w:szCs w:val="20"/>
        </w:rPr>
      </w:pPr>
      <w:r w:rsidRPr="008F2864">
        <w:rPr>
          <w:rStyle w:val="FootnoteReference"/>
          <w:rFonts w:ascii="Times New Roman" w:hAnsi="Times New Roman" w:cs="Times New Roman"/>
          <w:sz w:val="20"/>
          <w:szCs w:val="20"/>
        </w:rPr>
        <w:footnoteRef/>
      </w:r>
      <w:r w:rsidRPr="008F2864">
        <w:rPr>
          <w:rFonts w:ascii="Times New Roman" w:hAnsi="Times New Roman" w:cs="Times New Roman"/>
          <w:sz w:val="20"/>
          <w:szCs w:val="20"/>
        </w:rPr>
        <w:t xml:space="preserve"> For all quantitative factors, PV = Present Value (discounted for the time value of money) of a cost or benefit.  All generic and proposed resource PV costs and benefits include “all in” costs including capital expenses, operations and maintenance, fuel, transportation, transmission, and end effects such as residual plant value.</w:t>
      </w:r>
    </w:p>
  </w:footnote>
  <w:footnote w:id="2">
    <w:p w:rsidR="00082BE3" w:rsidRPr="00504E9C" w:rsidRDefault="00082BE3">
      <w:pPr>
        <w:pStyle w:val="FootnoteText"/>
        <w:rPr>
          <w:rFonts w:ascii="Times New Roman" w:hAnsi="Times New Roman" w:cs="Times New Roman"/>
        </w:rPr>
      </w:pPr>
      <w:r w:rsidRPr="0015547C">
        <w:rPr>
          <w:rStyle w:val="FootnoteReference"/>
          <w:rFonts w:ascii="Times New Roman" w:hAnsi="Times New Roman" w:cs="Times New Roman"/>
        </w:rPr>
        <w:footnoteRef/>
      </w:r>
      <w:r w:rsidRPr="0015547C">
        <w:rPr>
          <w:rFonts w:ascii="Times New Roman" w:hAnsi="Times New Roman" w:cs="Times New Roman"/>
        </w:rPr>
        <w:t xml:space="preserve"> Exhibit No. SN-1HCT at 21</w:t>
      </w:r>
      <w:r>
        <w:rPr>
          <w:rFonts w:ascii="Times New Roman" w:hAnsi="Times New Roman" w:cs="Times New Roman"/>
        </w:rPr>
        <w:t>:15-16.</w:t>
      </w:r>
    </w:p>
  </w:footnote>
  <w:footnote w:id="3">
    <w:p w:rsidR="00082BE3" w:rsidRPr="004B44B1" w:rsidRDefault="00082BE3">
      <w:pPr>
        <w:pStyle w:val="FootnoteText"/>
        <w:rPr>
          <w:rFonts w:ascii="Times New Roman" w:hAnsi="Times New Roman" w:cs="Times New Roman"/>
        </w:rPr>
      </w:pPr>
      <w:r w:rsidRPr="004B44B1">
        <w:rPr>
          <w:rStyle w:val="FootnoteReference"/>
          <w:rFonts w:ascii="Times New Roman" w:hAnsi="Times New Roman" w:cs="Times New Roman"/>
        </w:rPr>
        <w:footnoteRef/>
      </w:r>
      <w:r w:rsidRPr="004B44B1">
        <w:rPr>
          <w:rFonts w:ascii="Times New Roman" w:hAnsi="Times New Roman" w:cs="Times New Roman"/>
        </w:rPr>
        <w:t xml:space="preserve"> Exhibit No. WJE-11HC at 28.</w:t>
      </w:r>
    </w:p>
  </w:footnote>
  <w:footnote w:id="4">
    <w:p w:rsidR="00082BE3" w:rsidRDefault="00082BE3">
      <w:pPr>
        <w:pStyle w:val="FootnoteText"/>
      </w:pPr>
      <w:r w:rsidRPr="004B44B1">
        <w:rPr>
          <w:rStyle w:val="FootnoteReference"/>
          <w:rFonts w:ascii="Times New Roman" w:hAnsi="Times New Roman" w:cs="Times New Roman"/>
        </w:rPr>
        <w:footnoteRef/>
      </w:r>
      <w:r>
        <w:t xml:space="preserve"> </w:t>
      </w:r>
      <w:r w:rsidRPr="004B44B1">
        <w:rPr>
          <w:rFonts w:ascii="Times New Roman" w:hAnsi="Times New Roman" w:cs="Times New Roman"/>
          <w:i/>
        </w:rPr>
        <w:t>Id</w:t>
      </w:r>
      <w:r w:rsidRPr="004B44B1">
        <w:rPr>
          <w:rFonts w:ascii="Times New Roman" w:hAnsi="Times New Roman" w:cs="Times New Roman"/>
        </w:rPr>
        <w:t>.</w:t>
      </w:r>
    </w:p>
  </w:footnote>
  <w:footnote w:id="5">
    <w:p w:rsidR="00082BE3" w:rsidRPr="004B44B1" w:rsidRDefault="00082BE3" w:rsidP="0005300A">
      <w:pPr>
        <w:pStyle w:val="FootnoteText"/>
        <w:rPr>
          <w:rFonts w:ascii="Times New Roman" w:hAnsi="Times New Roman" w:cs="Times New Roman"/>
        </w:rPr>
      </w:pPr>
      <w:r w:rsidRPr="004B44B1">
        <w:rPr>
          <w:rStyle w:val="FootnoteReference"/>
          <w:rFonts w:ascii="Times New Roman" w:hAnsi="Times New Roman" w:cs="Times New Roman"/>
        </w:rPr>
        <w:footnoteRef/>
      </w:r>
      <w:r w:rsidRPr="004B44B1">
        <w:rPr>
          <w:rFonts w:ascii="Times New Roman" w:hAnsi="Times New Roman" w:cs="Times New Roman"/>
        </w:rPr>
        <w:t xml:space="preserve"> Exhibit No. RG-3HC at 266.</w:t>
      </w:r>
    </w:p>
  </w:footnote>
  <w:footnote w:id="6">
    <w:p w:rsidR="00082BE3" w:rsidRDefault="00082BE3">
      <w:pPr>
        <w:pStyle w:val="FootnoteText"/>
      </w:pPr>
      <w:r>
        <w:rPr>
          <w:rStyle w:val="FootnoteReference"/>
        </w:rPr>
        <w:footnoteRef/>
      </w:r>
      <w:r>
        <w:t xml:space="preserve"> </w:t>
      </w:r>
      <w:r w:rsidRPr="0015547C">
        <w:rPr>
          <w:rFonts w:ascii="Times New Roman" w:hAnsi="Times New Roman" w:cs="Times New Roman"/>
        </w:rPr>
        <w:t>Exhibit No. RG-5HC</w:t>
      </w:r>
      <w:r>
        <w:rPr>
          <w:rFonts w:ascii="Times New Roman" w:hAnsi="Times New Roman" w:cs="Times New Roman"/>
        </w:rPr>
        <w:t xml:space="preserve"> at </w:t>
      </w:r>
      <w:r w:rsidRPr="0015547C">
        <w:rPr>
          <w:rFonts w:ascii="Times New Roman" w:hAnsi="Times New Roman" w:cs="Times New Roman"/>
        </w:rPr>
        <w:t>44</w:t>
      </w:r>
      <w:r>
        <w:rPr>
          <w:rFonts w:ascii="Times New Roman" w:hAnsi="Times New Roman" w:cs="Times New Roman"/>
        </w:rPr>
        <w:t>-</w:t>
      </w:r>
      <w:r w:rsidRPr="0015547C">
        <w:rPr>
          <w:rFonts w:ascii="Times New Roman" w:hAnsi="Times New Roman" w:cs="Times New Roman"/>
        </w:rPr>
        <w:t>45.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36A8D"/>
    <w:multiLevelType w:val="hybridMultilevel"/>
    <w:tmpl w:val="D8E0AE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F0917"/>
    <w:rsid w:val="0005300A"/>
    <w:rsid w:val="00054930"/>
    <w:rsid w:val="00056CAB"/>
    <w:rsid w:val="0006041F"/>
    <w:rsid w:val="00063506"/>
    <w:rsid w:val="00081E22"/>
    <w:rsid w:val="00082BE3"/>
    <w:rsid w:val="000C4C7B"/>
    <w:rsid w:val="000F5B72"/>
    <w:rsid w:val="00114A4D"/>
    <w:rsid w:val="001204AE"/>
    <w:rsid w:val="0012306B"/>
    <w:rsid w:val="00127DFB"/>
    <w:rsid w:val="00134F01"/>
    <w:rsid w:val="0015547C"/>
    <w:rsid w:val="00192C77"/>
    <w:rsid w:val="001A35E5"/>
    <w:rsid w:val="001A6A1A"/>
    <w:rsid w:val="001C4CEB"/>
    <w:rsid w:val="001F21C1"/>
    <w:rsid w:val="00214B4E"/>
    <w:rsid w:val="00272DDA"/>
    <w:rsid w:val="002E446B"/>
    <w:rsid w:val="002F5A79"/>
    <w:rsid w:val="00316156"/>
    <w:rsid w:val="003204B5"/>
    <w:rsid w:val="00345D0A"/>
    <w:rsid w:val="00352666"/>
    <w:rsid w:val="00354B6D"/>
    <w:rsid w:val="00376BFC"/>
    <w:rsid w:val="003E60BA"/>
    <w:rsid w:val="00405788"/>
    <w:rsid w:val="004272F4"/>
    <w:rsid w:val="00432E3F"/>
    <w:rsid w:val="004504FC"/>
    <w:rsid w:val="004671A2"/>
    <w:rsid w:val="0048720D"/>
    <w:rsid w:val="0049253C"/>
    <w:rsid w:val="00493654"/>
    <w:rsid w:val="004B44B1"/>
    <w:rsid w:val="00504E9C"/>
    <w:rsid w:val="00507CA8"/>
    <w:rsid w:val="005151A8"/>
    <w:rsid w:val="0055769B"/>
    <w:rsid w:val="00562903"/>
    <w:rsid w:val="005F0917"/>
    <w:rsid w:val="005F3C64"/>
    <w:rsid w:val="0060088D"/>
    <w:rsid w:val="00601774"/>
    <w:rsid w:val="006242C8"/>
    <w:rsid w:val="006366EC"/>
    <w:rsid w:val="00683FA8"/>
    <w:rsid w:val="006A16BC"/>
    <w:rsid w:val="006B7089"/>
    <w:rsid w:val="006E4C1D"/>
    <w:rsid w:val="00733157"/>
    <w:rsid w:val="00753644"/>
    <w:rsid w:val="00774F9B"/>
    <w:rsid w:val="00782084"/>
    <w:rsid w:val="007B24A4"/>
    <w:rsid w:val="007B2CF0"/>
    <w:rsid w:val="007D6732"/>
    <w:rsid w:val="0080576E"/>
    <w:rsid w:val="00823675"/>
    <w:rsid w:val="008674E9"/>
    <w:rsid w:val="008949EA"/>
    <w:rsid w:val="008B1762"/>
    <w:rsid w:val="008D4B26"/>
    <w:rsid w:val="008F2864"/>
    <w:rsid w:val="008F3744"/>
    <w:rsid w:val="00902967"/>
    <w:rsid w:val="00906897"/>
    <w:rsid w:val="00924159"/>
    <w:rsid w:val="00925622"/>
    <w:rsid w:val="00926B69"/>
    <w:rsid w:val="0093574A"/>
    <w:rsid w:val="009542F4"/>
    <w:rsid w:val="009703E8"/>
    <w:rsid w:val="00972B58"/>
    <w:rsid w:val="0099632F"/>
    <w:rsid w:val="009A312E"/>
    <w:rsid w:val="009E59E6"/>
    <w:rsid w:val="009E6FAB"/>
    <w:rsid w:val="00A37923"/>
    <w:rsid w:val="00A660F3"/>
    <w:rsid w:val="00A80CD2"/>
    <w:rsid w:val="00AA1ED0"/>
    <w:rsid w:val="00AF2AA6"/>
    <w:rsid w:val="00B01AD7"/>
    <w:rsid w:val="00B02CB7"/>
    <w:rsid w:val="00B50AEE"/>
    <w:rsid w:val="00B65F33"/>
    <w:rsid w:val="00B9001B"/>
    <w:rsid w:val="00B92377"/>
    <w:rsid w:val="00B94A1D"/>
    <w:rsid w:val="00C02033"/>
    <w:rsid w:val="00C03492"/>
    <w:rsid w:val="00C32DB3"/>
    <w:rsid w:val="00C63661"/>
    <w:rsid w:val="00C7112F"/>
    <w:rsid w:val="00C73B8F"/>
    <w:rsid w:val="00C76114"/>
    <w:rsid w:val="00CA3830"/>
    <w:rsid w:val="00CC19B5"/>
    <w:rsid w:val="00CD49E9"/>
    <w:rsid w:val="00D01ED5"/>
    <w:rsid w:val="00D03628"/>
    <w:rsid w:val="00DE7D7E"/>
    <w:rsid w:val="00E1626B"/>
    <w:rsid w:val="00E36C3B"/>
    <w:rsid w:val="00E500EC"/>
    <w:rsid w:val="00F0368C"/>
    <w:rsid w:val="00F117E0"/>
    <w:rsid w:val="00F1324C"/>
    <w:rsid w:val="00FD1D6A"/>
    <w:rsid w:val="00FD6DD2"/>
    <w:rsid w:val="00FE5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F0917"/>
  </w:style>
  <w:style w:type="paragraph" w:styleId="Header">
    <w:name w:val="header"/>
    <w:basedOn w:val="Normal"/>
    <w:link w:val="HeaderChar"/>
    <w:uiPriority w:val="99"/>
    <w:semiHidden/>
    <w:unhideWhenUsed/>
    <w:rsid w:val="005F09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0917"/>
  </w:style>
  <w:style w:type="paragraph" w:styleId="Footer">
    <w:name w:val="footer"/>
    <w:basedOn w:val="Normal"/>
    <w:link w:val="FooterChar"/>
    <w:uiPriority w:val="99"/>
    <w:unhideWhenUsed/>
    <w:rsid w:val="005F0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917"/>
  </w:style>
  <w:style w:type="paragraph" w:styleId="BalloonText">
    <w:name w:val="Balloon Text"/>
    <w:basedOn w:val="Normal"/>
    <w:link w:val="BalloonTextChar"/>
    <w:uiPriority w:val="99"/>
    <w:semiHidden/>
    <w:unhideWhenUsed/>
    <w:rsid w:val="005F0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917"/>
    <w:rPr>
      <w:rFonts w:ascii="Tahoma" w:hAnsi="Tahoma" w:cs="Tahoma"/>
      <w:sz w:val="16"/>
      <w:szCs w:val="16"/>
    </w:rPr>
  </w:style>
  <w:style w:type="character" w:styleId="PageNumber">
    <w:name w:val="page number"/>
    <w:basedOn w:val="DefaultParagraphFont"/>
    <w:uiPriority w:val="99"/>
    <w:rsid w:val="005F0917"/>
    <w:rPr>
      <w:rFonts w:cs="Times New Roman"/>
    </w:rPr>
  </w:style>
  <w:style w:type="paragraph" w:styleId="FootnoteText">
    <w:name w:val="footnote text"/>
    <w:basedOn w:val="Normal"/>
    <w:link w:val="FootnoteTextChar"/>
    <w:uiPriority w:val="99"/>
    <w:semiHidden/>
    <w:unhideWhenUsed/>
    <w:rsid w:val="001A35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35E5"/>
    <w:rPr>
      <w:sz w:val="20"/>
      <w:szCs w:val="20"/>
    </w:rPr>
  </w:style>
  <w:style w:type="character" w:styleId="FootnoteReference">
    <w:name w:val="footnote reference"/>
    <w:basedOn w:val="DefaultParagraphFont"/>
    <w:uiPriority w:val="99"/>
    <w:semiHidden/>
    <w:unhideWhenUsed/>
    <w:rsid w:val="001A35E5"/>
    <w:rPr>
      <w:vertAlign w:val="superscript"/>
    </w:rPr>
  </w:style>
  <w:style w:type="paragraph" w:styleId="ListParagraph">
    <w:name w:val="List Paragraph"/>
    <w:basedOn w:val="Normal"/>
    <w:uiPriority w:val="34"/>
    <w:qFormat/>
    <w:rsid w:val="00376BFC"/>
    <w:pPr>
      <w:ind w:left="720"/>
      <w:contextualSpacing/>
    </w:pPr>
  </w:style>
  <w:style w:type="character" w:styleId="CommentReference">
    <w:name w:val="annotation reference"/>
    <w:basedOn w:val="DefaultParagraphFont"/>
    <w:uiPriority w:val="99"/>
    <w:semiHidden/>
    <w:unhideWhenUsed/>
    <w:rsid w:val="00063506"/>
    <w:rPr>
      <w:sz w:val="16"/>
      <w:szCs w:val="16"/>
    </w:rPr>
  </w:style>
  <w:style w:type="paragraph" w:styleId="CommentText">
    <w:name w:val="annotation text"/>
    <w:basedOn w:val="Normal"/>
    <w:link w:val="CommentTextChar"/>
    <w:uiPriority w:val="99"/>
    <w:semiHidden/>
    <w:unhideWhenUsed/>
    <w:rsid w:val="00063506"/>
    <w:pPr>
      <w:spacing w:line="240" w:lineRule="auto"/>
    </w:pPr>
    <w:rPr>
      <w:sz w:val="20"/>
      <w:szCs w:val="20"/>
    </w:rPr>
  </w:style>
  <w:style w:type="character" w:customStyle="1" w:styleId="CommentTextChar">
    <w:name w:val="Comment Text Char"/>
    <w:basedOn w:val="DefaultParagraphFont"/>
    <w:link w:val="CommentText"/>
    <w:uiPriority w:val="99"/>
    <w:semiHidden/>
    <w:rsid w:val="00063506"/>
    <w:rPr>
      <w:sz w:val="20"/>
      <w:szCs w:val="20"/>
    </w:rPr>
  </w:style>
  <w:style w:type="paragraph" w:styleId="CommentSubject">
    <w:name w:val="annotation subject"/>
    <w:basedOn w:val="CommentText"/>
    <w:next w:val="CommentText"/>
    <w:link w:val="CommentSubjectChar"/>
    <w:uiPriority w:val="99"/>
    <w:semiHidden/>
    <w:unhideWhenUsed/>
    <w:rsid w:val="00063506"/>
    <w:rPr>
      <w:b/>
      <w:bCs/>
    </w:rPr>
  </w:style>
  <w:style w:type="character" w:customStyle="1" w:styleId="CommentSubjectChar">
    <w:name w:val="Comment Subject Char"/>
    <w:basedOn w:val="CommentTextChar"/>
    <w:link w:val="CommentSubject"/>
    <w:uiPriority w:val="99"/>
    <w:semiHidden/>
    <w:rsid w:val="00063506"/>
    <w:rPr>
      <w:b/>
      <w:bCs/>
    </w:rPr>
  </w:style>
  <w:style w:type="paragraph" w:styleId="Revision">
    <w:name w:val="Revision"/>
    <w:hidden/>
    <w:uiPriority w:val="99"/>
    <w:semiHidden/>
    <w:rsid w:val="00FD6DD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2009-05-08T07:00:00+00:00</OpenedDate>
    <Date1 xmlns="dc463f71-b30c-4ab2-9473-d307f9d35888">2009-12-17T08:00:00+00:00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090704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A42C26506CF14D82D0A72383FC3E88" ma:contentTypeVersion="131" ma:contentTypeDescription="" ma:contentTypeScope="" ma:versionID="900aaace43aad440889e194c92f720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5B4FC-7EBA-47BE-923E-EEE7A273DF7D}"/>
</file>

<file path=customXml/itemProps2.xml><?xml version="1.0" encoding="utf-8"?>
<ds:datastoreItem xmlns:ds="http://schemas.openxmlformats.org/officeDocument/2006/customXml" ds:itemID="{448869DF-2C2A-4241-99A8-6302FF533079}"/>
</file>

<file path=customXml/itemProps3.xml><?xml version="1.0" encoding="utf-8"?>
<ds:datastoreItem xmlns:ds="http://schemas.openxmlformats.org/officeDocument/2006/customXml" ds:itemID="{CE598874-FE2B-4B91-8E00-E6E5D0A644A2}"/>
</file>

<file path=customXml/itemProps4.xml><?xml version="1.0" encoding="utf-8"?>
<ds:datastoreItem xmlns:ds="http://schemas.openxmlformats.org/officeDocument/2006/customXml" ds:itemID="{804DC809-D6B9-4251-8DA0-6D8BE5FDB99F}"/>
</file>

<file path=customXml/itemProps5.xml><?xml version="1.0" encoding="utf-8"?>
<ds:datastoreItem xmlns:ds="http://schemas.openxmlformats.org/officeDocument/2006/customXml" ds:itemID="{B76574ED-5A6D-4C4F-96A3-CC4057246C88}"/>
</file>

<file path=docProps/app.xml><?xml version="1.0" encoding="utf-8"?>
<Properties xmlns="http://schemas.openxmlformats.org/officeDocument/2006/extended-properties" xmlns:vt="http://schemas.openxmlformats.org/officeDocument/2006/docPropsVTypes">
  <Template>Normal.dotm</Template>
  <TotalTime>4</TotalTime>
  <Pages>8</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Nightingale</dc:creator>
  <cp:lastModifiedBy>Krista Gross</cp:lastModifiedBy>
  <cp:revision>3</cp:revision>
  <dcterms:created xsi:type="dcterms:W3CDTF">2009-12-16T22:51:00Z</dcterms:created>
  <dcterms:modified xsi:type="dcterms:W3CDTF">2009-12-16T22:55:00Z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0x0101006E56B4D1795A2E4DB2F0B01679ED314A007CA42C26506CF14D82D0A72383FC3E88</vt:lpwstr>
  </property>
  <property fmtid="{D5CDD505-2E9C-101B-9397-08002B2CF9AE}" pid="3" name="_docset_NoMedatataSyncRequired">
    <vt:lpwstr>False</vt:lpwstr>
  </property>
</Properties>
</file>