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10" w:rsidRDefault="00C93616" w:rsidP="002D533C">
      <w:pPr>
        <w:jc w:val="center"/>
        <w:rPr>
          <w:b/>
        </w:rPr>
      </w:pPr>
      <w:r>
        <w:rPr>
          <w:b/>
        </w:rPr>
        <w:t>BEFORE THE WASHINGTON</w:t>
      </w:r>
    </w:p>
    <w:p w:rsidR="00216B9F" w:rsidRPr="009A15DF" w:rsidRDefault="00216B9F" w:rsidP="009A15DF">
      <w:pPr>
        <w:jc w:val="center"/>
        <w:rPr>
          <w:b/>
        </w:rPr>
      </w:pPr>
      <w:r w:rsidRPr="00A658BE">
        <w:rPr>
          <w:b/>
        </w:rPr>
        <w:t>UTILITIES AND TRANSPORTATION</w:t>
      </w:r>
      <w:r w:rsidR="00BF1A10">
        <w:rPr>
          <w:b/>
        </w:rPr>
        <w:t xml:space="preserve"> </w:t>
      </w:r>
      <w:r w:rsidRPr="00A658BE">
        <w:rPr>
          <w:b/>
        </w:rPr>
        <w:t>COMMISSION</w:t>
      </w:r>
    </w:p>
    <w:p w:rsidR="00216B9F" w:rsidRDefault="00216B9F" w:rsidP="000D7A58"/>
    <w:tbl>
      <w:tblPr>
        <w:tblW w:w="0" w:type="auto"/>
        <w:tblInd w:w="360" w:type="dxa"/>
        <w:tblBorders>
          <w:bottom w:val="single" w:sz="6" w:space="0" w:color="auto"/>
        </w:tblBorders>
        <w:tblLayout w:type="fixed"/>
        <w:tblCellMar>
          <w:left w:w="360" w:type="dxa"/>
          <w:right w:w="36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216B9F" w:rsidRPr="00994CEC" w:rsidTr="00AF5691">
        <w:tc>
          <w:tcPr>
            <w:tcW w:w="4500" w:type="dxa"/>
            <w:tcBorders>
              <w:bottom w:val="single" w:sz="6" w:space="0" w:color="auto"/>
              <w:right w:val="single" w:sz="6" w:space="0" w:color="auto"/>
            </w:tcBorders>
          </w:tcPr>
          <w:p w:rsidR="005F563E" w:rsidRPr="00D5789B" w:rsidRDefault="005F563E" w:rsidP="005F563E">
            <w:pPr>
              <w:spacing w:line="276" w:lineRule="auto"/>
            </w:pPr>
            <w:bookmarkStart w:id="0" w:name="Appellant_Name"/>
            <w:bookmarkStart w:id="1" w:name="tag2"/>
            <w:bookmarkStart w:id="2" w:name="Caption"/>
            <w:bookmarkEnd w:id="0"/>
            <w:bookmarkEnd w:id="1"/>
            <w:r w:rsidRPr="00D5789B">
              <w:t>WASHINGTON UTILITIES AND TRANSPORTATION COMMISSION,</w:t>
            </w:r>
          </w:p>
          <w:p w:rsidR="005F563E" w:rsidRPr="00D5789B" w:rsidRDefault="005F563E" w:rsidP="005F563E">
            <w:pPr>
              <w:spacing w:line="276" w:lineRule="auto"/>
            </w:pPr>
          </w:p>
          <w:p w:rsidR="005F563E" w:rsidRPr="00D5789B" w:rsidRDefault="005F563E" w:rsidP="005F563E">
            <w:pPr>
              <w:spacing w:line="276" w:lineRule="auto"/>
              <w:jc w:val="center"/>
            </w:pPr>
            <w:r w:rsidRPr="00D5789B">
              <w:t>Complainant,</w:t>
            </w:r>
          </w:p>
          <w:p w:rsidR="005F563E" w:rsidRPr="00D5789B" w:rsidRDefault="005F563E" w:rsidP="005F563E">
            <w:pPr>
              <w:spacing w:line="276" w:lineRule="auto"/>
            </w:pPr>
          </w:p>
          <w:p w:rsidR="005F563E" w:rsidRPr="00D5789B" w:rsidRDefault="005F563E" w:rsidP="005F563E">
            <w:pPr>
              <w:spacing w:line="276" w:lineRule="auto"/>
            </w:pPr>
            <w:proofErr w:type="gramStart"/>
            <w:r w:rsidRPr="00D5789B">
              <w:t>v</w:t>
            </w:r>
            <w:proofErr w:type="gramEnd"/>
            <w:r w:rsidRPr="00D5789B">
              <w:t>.</w:t>
            </w:r>
          </w:p>
          <w:p w:rsidR="005F563E" w:rsidRPr="00D5789B" w:rsidRDefault="005F563E" w:rsidP="005F563E">
            <w:pPr>
              <w:spacing w:line="276" w:lineRule="auto"/>
              <w:jc w:val="center"/>
            </w:pPr>
          </w:p>
          <w:p w:rsidR="005F563E" w:rsidRPr="00D5789B" w:rsidRDefault="005F563E" w:rsidP="005F563E">
            <w:pPr>
              <w:spacing w:line="276" w:lineRule="auto"/>
            </w:pPr>
            <w:r w:rsidRPr="00D5789B">
              <w:fldChar w:fldCharType="begin"/>
            </w:r>
            <w:r w:rsidRPr="00D5789B">
              <w:instrText xml:space="preserve"> ASK company1_name "Enter Full Company 1 Name</w:instrText>
            </w:r>
            <w:r w:rsidRPr="00D5789B">
              <w:fldChar w:fldCharType="separate"/>
            </w:r>
            <w:bookmarkStart w:id="3" w:name="company1_name"/>
            <w:r>
              <w:t>Puget Sound Energy</w:t>
            </w:r>
            <w:bookmarkEnd w:id="3"/>
            <w:r w:rsidRPr="00D5789B">
              <w:fldChar w:fldCharType="end"/>
            </w:r>
            <w:fldSimple w:instr=" REF company1_name \* UPPER \* MERGEFORMAT ">
              <w:r w:rsidR="00190AD5">
                <w:t>PUGET SOUND ENERGY</w:t>
              </w:r>
            </w:fldSimple>
            <w:r w:rsidRPr="00D5789B">
              <w:t>,</w:t>
            </w:r>
          </w:p>
          <w:p w:rsidR="005F563E" w:rsidRPr="00D5789B" w:rsidRDefault="005F563E" w:rsidP="005F563E">
            <w:pPr>
              <w:spacing w:line="276" w:lineRule="auto"/>
              <w:jc w:val="center"/>
            </w:pPr>
            <w:r w:rsidRPr="00D5789B">
              <w:fldChar w:fldCharType="begin"/>
            </w:r>
            <w:r w:rsidRPr="00D5789B">
              <w:instrText xml:space="preserve"> ASK acronym1 "Enter company 1's Short Name" \* MERGEFORMAT </w:instrText>
            </w:r>
            <w:r w:rsidRPr="00D5789B">
              <w:fldChar w:fldCharType="separate"/>
            </w:r>
            <w:bookmarkStart w:id="4" w:name="acronym1"/>
            <w:r>
              <w:t>PSE</w:t>
            </w:r>
            <w:bookmarkEnd w:id="4"/>
            <w:r w:rsidRPr="00D5789B">
              <w:fldChar w:fldCharType="end"/>
            </w:r>
          </w:p>
          <w:p w:rsidR="005F563E" w:rsidRPr="00D5789B" w:rsidRDefault="005F563E" w:rsidP="005F563E">
            <w:pPr>
              <w:spacing w:line="276" w:lineRule="auto"/>
              <w:jc w:val="center"/>
            </w:pPr>
            <w:r w:rsidRPr="00D5789B">
              <w:t>Respondent.</w:t>
            </w:r>
          </w:p>
          <w:p w:rsidR="00216B9F" w:rsidRPr="00994CEC" w:rsidRDefault="00216B9F" w:rsidP="00B10D0B">
            <w:pPr>
              <w:pStyle w:val="Default"/>
            </w:pPr>
          </w:p>
        </w:tc>
        <w:tc>
          <w:tcPr>
            <w:tcW w:w="4500" w:type="dxa"/>
            <w:tcBorders>
              <w:left w:val="nil"/>
              <w:bottom w:val="nil"/>
            </w:tcBorders>
          </w:tcPr>
          <w:p w:rsidR="005F563E" w:rsidRDefault="005F563E" w:rsidP="00AD309C">
            <w:pPr>
              <w:rPr>
                <w:sz w:val="25"/>
                <w:szCs w:val="25"/>
              </w:rPr>
            </w:pPr>
            <w:bookmarkStart w:id="5" w:name="Court_Doc_Number"/>
            <w:bookmarkEnd w:id="5"/>
            <w:r>
              <w:rPr>
                <w:sz w:val="25"/>
                <w:szCs w:val="25"/>
              </w:rPr>
              <w:t xml:space="preserve">DOCKETS UE-151871 and </w:t>
            </w:r>
          </w:p>
          <w:p w:rsidR="002D533C" w:rsidRDefault="005F563E" w:rsidP="00AD30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UG-151872</w:t>
            </w:r>
          </w:p>
          <w:p w:rsidR="005F563E" w:rsidRDefault="005F563E" w:rsidP="00AD309C">
            <w:pPr>
              <w:rPr>
                <w:sz w:val="25"/>
                <w:szCs w:val="25"/>
              </w:rPr>
            </w:pPr>
          </w:p>
          <w:p w:rsidR="00AD309C" w:rsidRDefault="002D533C" w:rsidP="00AD309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AGREED MOTION FOR EXTENSION OF TIME </w:t>
            </w:r>
          </w:p>
          <w:p w:rsidR="00374849" w:rsidRDefault="00374849" w:rsidP="009E7452"/>
          <w:p w:rsidR="00374849" w:rsidRDefault="00374849" w:rsidP="009E7452"/>
          <w:p w:rsidR="00374849" w:rsidRDefault="00374849" w:rsidP="009E7452"/>
          <w:p w:rsidR="00A658BE" w:rsidRPr="00994CEC" w:rsidRDefault="00A658BE" w:rsidP="009E7452"/>
        </w:tc>
      </w:tr>
      <w:bookmarkEnd w:id="2"/>
    </w:tbl>
    <w:p w:rsidR="00D43DDE" w:rsidRDefault="00D43DDE" w:rsidP="00D43DDE"/>
    <w:p w:rsidR="00D21B90" w:rsidRDefault="006D2012" w:rsidP="004B081E">
      <w:pPr>
        <w:pStyle w:val="ParNumber"/>
        <w:spacing w:line="480" w:lineRule="auto"/>
      </w:pPr>
      <w:r>
        <w:tab/>
      </w:r>
      <w:r w:rsidR="003468CA">
        <w:t xml:space="preserve">Pursuant to WAC 480-07-385, Public Counsel respectfully requests </w:t>
      </w:r>
      <w:r w:rsidR="00B844EC">
        <w:t xml:space="preserve">a short </w:t>
      </w:r>
      <w:r w:rsidR="002D533C">
        <w:t xml:space="preserve">extension of time for parties to file their </w:t>
      </w:r>
      <w:r w:rsidR="005F563E">
        <w:t>opening</w:t>
      </w:r>
      <w:r w:rsidR="00561756">
        <w:t xml:space="preserve"> b</w:t>
      </w:r>
      <w:r w:rsidR="00C1096E">
        <w:t xml:space="preserve">riefs </w:t>
      </w:r>
      <w:r w:rsidR="005F563E">
        <w:t>in the above-captioned matter</w:t>
      </w:r>
      <w:r w:rsidR="00343E7B">
        <w:t xml:space="preserve">. </w:t>
      </w:r>
      <w:r w:rsidR="006E3057">
        <w:t xml:space="preserve"> </w:t>
      </w:r>
      <w:r w:rsidR="005F563E">
        <w:t>Public Counsel request</w:t>
      </w:r>
      <w:r w:rsidR="00D21B90">
        <w:t>s</w:t>
      </w:r>
      <w:r w:rsidR="005F563E">
        <w:t xml:space="preserve"> the deadline be extended from the current deadline of August 26, 2016</w:t>
      </w:r>
      <w:r w:rsidR="006E3057">
        <w:t>, to August 30, </w:t>
      </w:r>
      <w:r w:rsidR="005F563E">
        <w:t>2016.</w:t>
      </w:r>
      <w:r w:rsidR="00343E7B">
        <w:t xml:space="preserve"> </w:t>
      </w:r>
      <w:r w:rsidR="006E3057">
        <w:t xml:space="preserve"> </w:t>
      </w:r>
      <w:r w:rsidR="00D21B90">
        <w:t>Additionally, Public Counsel requests the deadline for the reply brief be extended from September 9</w:t>
      </w:r>
      <w:r w:rsidR="00343E7B">
        <w:t>, 2016</w:t>
      </w:r>
      <w:r w:rsidR="006E3057">
        <w:t>,</w:t>
      </w:r>
      <w:r w:rsidR="00D21B90">
        <w:t xml:space="preserve"> to September 19, 2016.</w:t>
      </w:r>
    </w:p>
    <w:p w:rsidR="00343E7B" w:rsidRDefault="00D21B90" w:rsidP="004B081E">
      <w:pPr>
        <w:pStyle w:val="ParNumber"/>
        <w:spacing w:line="480" w:lineRule="auto"/>
      </w:pPr>
      <w:r>
        <w:tab/>
      </w:r>
      <w:r w:rsidR="005F563E">
        <w:t>Public Counsel currently has one attorney covering an active litigation schedule that has included the evidentiary hearing in this case on August 1 and 3, 2016, mediation proceedin</w:t>
      </w:r>
      <w:r w:rsidR="006E3057">
        <w:t>gs in Puget Sound Energy’s Lique</w:t>
      </w:r>
      <w:r w:rsidR="005F563E">
        <w:t>fied Natural Gas docket (Docket UG-151663),</w:t>
      </w:r>
      <w:r w:rsidR="000066A9">
        <w:rPr>
          <w:rStyle w:val="FootnoteReference"/>
        </w:rPr>
        <w:footnoteReference w:id="1"/>
      </w:r>
      <w:r>
        <w:t xml:space="preserve"> and</w:t>
      </w:r>
      <w:r w:rsidR="005F563E">
        <w:t xml:space="preserve"> filing testimony</w:t>
      </w:r>
      <w:r>
        <w:t xml:space="preserve"> and preparing for settlement conferences</w:t>
      </w:r>
      <w:r w:rsidR="005F563E">
        <w:t xml:space="preserve"> in Avista Corporation’</w:t>
      </w:r>
      <w:r w:rsidR="006E3057">
        <w:t>s general rate case (Dockets UE</w:t>
      </w:r>
      <w:r w:rsidR="006E3057">
        <w:noBreakHyphen/>
      </w:r>
      <w:r w:rsidR="005F563E">
        <w:t>160228 and UG-160229)</w:t>
      </w:r>
      <w:r>
        <w:t>.</w:t>
      </w:r>
      <w:r w:rsidR="001B375D">
        <w:rPr>
          <w:rStyle w:val="FootnoteReference"/>
        </w:rPr>
        <w:footnoteReference w:id="2"/>
      </w:r>
      <w:r>
        <w:t xml:space="preserve"> </w:t>
      </w:r>
      <w:r w:rsidR="006E3057">
        <w:t xml:space="preserve"> </w:t>
      </w:r>
      <w:r>
        <w:t>The slight extension for the opening brief will significantly aid in Public Counsel’s ability to adequately prepare its brief</w:t>
      </w:r>
      <w:r w:rsidR="007D1224">
        <w:t xml:space="preserve"> in this matter</w:t>
      </w:r>
      <w:r>
        <w:t>.</w:t>
      </w:r>
      <w:r w:rsidR="000066A9">
        <w:t xml:space="preserve"> </w:t>
      </w:r>
      <w:r w:rsidR="006E3057">
        <w:t xml:space="preserve"> </w:t>
      </w:r>
      <w:r w:rsidR="00343E7B">
        <w:t xml:space="preserve">The other parties to the </w:t>
      </w:r>
      <w:r w:rsidR="00343E7B">
        <w:lastRenderedPageBreak/>
        <w:t>case,</w:t>
      </w:r>
      <w:r w:rsidR="000066A9">
        <w:t xml:space="preserve"> </w:t>
      </w:r>
      <w:r w:rsidR="0038059F">
        <w:t>Puget Sound Energy, Commission Staff, SMACNA-WW, and WSVACCA</w:t>
      </w:r>
      <w:r w:rsidR="00343E7B">
        <w:t>,</w:t>
      </w:r>
      <w:r w:rsidR="0038059F">
        <w:t xml:space="preserve"> </w:t>
      </w:r>
      <w:r w:rsidR="000066A9">
        <w:t xml:space="preserve">have no objection to </w:t>
      </w:r>
      <w:r w:rsidR="00343E7B">
        <w:t>Public Counsel’s</w:t>
      </w:r>
      <w:r w:rsidR="000066A9">
        <w:t xml:space="preserve"> request.</w:t>
      </w:r>
      <w:r w:rsidR="00343E7B">
        <w:t xml:space="preserve"> </w:t>
      </w:r>
    </w:p>
    <w:p w:rsidR="00D21B90" w:rsidRDefault="00343E7B" w:rsidP="004B081E">
      <w:pPr>
        <w:pStyle w:val="ParNumber"/>
        <w:spacing w:line="480" w:lineRule="auto"/>
      </w:pPr>
      <w:r>
        <w:tab/>
      </w:r>
      <w:r w:rsidR="000066A9">
        <w:t>Altering the date for the opening brief necessitates moving the date of the reply briefs</w:t>
      </w:r>
      <w:r w:rsidR="00190AD5">
        <w:t xml:space="preserve">. </w:t>
      </w:r>
      <w:r w:rsidR="000066A9">
        <w:t xml:space="preserve"> </w:t>
      </w:r>
      <w:r w:rsidR="00190AD5">
        <w:t xml:space="preserve">The earliest workable date was </w:t>
      </w:r>
      <w:r w:rsidR="000066A9">
        <w:t>September 19, 2016</w:t>
      </w:r>
      <w:r w:rsidR="00190AD5">
        <w:t>, because one party will be out of the country between August 30, 2016 and September 15, 2016</w:t>
      </w:r>
      <w:r w:rsidR="000066A9">
        <w:t>.</w:t>
      </w:r>
      <w:r w:rsidR="00D21B90">
        <w:t xml:space="preserve"> </w:t>
      </w:r>
      <w:r w:rsidR="006E3057">
        <w:t xml:space="preserve"> </w:t>
      </w:r>
      <w:r w:rsidR="007D1224">
        <w:t>As such, the Parties have no objection to Public Counsel’s request with respect to the reply brief.</w:t>
      </w:r>
    </w:p>
    <w:p w:rsidR="001B375D" w:rsidRDefault="00D21B90" w:rsidP="004B081E">
      <w:pPr>
        <w:pStyle w:val="ParNumber"/>
        <w:spacing w:line="480" w:lineRule="auto"/>
      </w:pPr>
      <w:r>
        <w:tab/>
      </w:r>
      <w:r w:rsidR="001B375D">
        <w:t xml:space="preserve">Public Counsel does not request </w:t>
      </w:r>
      <w:r w:rsidR="00343E7B">
        <w:t>altering</w:t>
      </w:r>
      <w:r w:rsidR="001B375D">
        <w:t xml:space="preserve"> the suspension date for this matter, and Puget Sound Energy does not waive the suspension date.</w:t>
      </w:r>
      <w:r w:rsidR="00343E7B">
        <w:t xml:space="preserve"> </w:t>
      </w:r>
    </w:p>
    <w:p w:rsidR="00440378" w:rsidRDefault="001B375D" w:rsidP="00932448">
      <w:pPr>
        <w:pStyle w:val="ParNumber"/>
        <w:spacing w:line="480" w:lineRule="auto"/>
      </w:pPr>
      <w:r>
        <w:tab/>
        <w:t>This motion confirms the electronic mail Public Counsel sent to the Administrati</w:t>
      </w:r>
      <w:r w:rsidR="007D1224">
        <w:t>ve Law Judge and P</w:t>
      </w:r>
      <w:r>
        <w:t>arties</w:t>
      </w:r>
      <w:r w:rsidR="00343E7B">
        <w:t xml:space="preserve"> on August 19, 2016, stating that it would file a motion</w:t>
      </w:r>
      <w:r>
        <w:t xml:space="preserve"> for extension.  To the extent waiver is required with respec</w:t>
      </w:r>
      <w:bookmarkStart w:id="6" w:name="_GoBack"/>
      <w:bookmarkEnd w:id="6"/>
      <w:r>
        <w:t xml:space="preserve">t to WAC 480-07-385(3)(a), </w:t>
      </w:r>
      <w:r w:rsidR="0038059F">
        <w:t xml:space="preserve">Public Counsel filed this motion as soon as possible after learning that </w:t>
      </w:r>
      <w:r w:rsidR="00343E7B">
        <w:t>P</w:t>
      </w:r>
      <w:r w:rsidR="0038059F">
        <w:t>arties would not object.  B</w:t>
      </w:r>
      <w:r w:rsidR="00932448">
        <w:t>ecause the extensions requested are short</w:t>
      </w:r>
      <w:r w:rsidR="0038059F">
        <w:t xml:space="preserve">, Public Counsel does not believe they will result in </w:t>
      </w:r>
      <w:r w:rsidR="00A74801">
        <w:t>prejudice to the P</w:t>
      </w:r>
      <w:r w:rsidR="0038059F">
        <w:t>arties or the Commission and respectfully requests the motion be granted.</w:t>
      </w:r>
    </w:p>
    <w:p w:rsidR="00D43DDE" w:rsidRDefault="00561756" w:rsidP="006A19BB">
      <w:pPr>
        <w:pStyle w:val="ParNumber"/>
      </w:pPr>
      <w:r>
        <w:tab/>
      </w:r>
      <w:r w:rsidR="00D43DDE" w:rsidRPr="00C23D1E">
        <w:t xml:space="preserve">DATED this </w:t>
      </w:r>
      <w:r w:rsidR="00932448">
        <w:t>22</w:t>
      </w:r>
      <w:r w:rsidR="002D533C" w:rsidRPr="002D533C">
        <w:rPr>
          <w:vertAlign w:val="superscript"/>
        </w:rPr>
        <w:t>th</w:t>
      </w:r>
      <w:r w:rsidR="00D43DDE" w:rsidRPr="00C23D1E">
        <w:t xml:space="preserve"> day </w:t>
      </w:r>
      <w:r w:rsidR="00C23D1E">
        <w:t xml:space="preserve">of </w:t>
      </w:r>
      <w:r w:rsidR="00932448">
        <w:t>August</w:t>
      </w:r>
      <w:r w:rsidR="00B844EC">
        <w:t>, 2016</w:t>
      </w:r>
      <w:r w:rsidR="00D43DDE" w:rsidRPr="00C23D1E">
        <w:t>.</w:t>
      </w:r>
    </w:p>
    <w:p w:rsidR="00D43DDE" w:rsidRDefault="00D43DDE" w:rsidP="00D43DDE">
      <w:pPr>
        <w:pStyle w:val="CourtName"/>
        <w:spacing w:line="480" w:lineRule="exact"/>
        <w:ind w:firstLine="720"/>
        <w:jc w:val="left"/>
      </w:pPr>
    </w:p>
    <w:p w:rsidR="00D43DDE" w:rsidRDefault="00D43DDE" w:rsidP="00D43DDE">
      <w:pPr>
        <w:ind w:left="2160"/>
      </w:pPr>
      <w:r>
        <w:tab/>
      </w:r>
      <w:r>
        <w:tab/>
      </w:r>
      <w:r>
        <w:tab/>
      </w:r>
      <w:r>
        <w:tab/>
        <w:t xml:space="preserve">ROBERT </w:t>
      </w:r>
      <w:r w:rsidR="003907AD">
        <w:t>W. FERGUSON</w:t>
      </w:r>
    </w:p>
    <w:p w:rsidR="00D43DDE" w:rsidRDefault="00D43DDE" w:rsidP="00D43DDE">
      <w:pPr>
        <w:ind w:left="2160"/>
      </w:pPr>
      <w:r>
        <w:tab/>
      </w:r>
      <w:r>
        <w:tab/>
      </w:r>
      <w:r>
        <w:tab/>
      </w:r>
      <w:r>
        <w:tab/>
        <w:t>Attorney General</w:t>
      </w:r>
    </w:p>
    <w:p w:rsidR="00D43DDE" w:rsidRDefault="00D43DDE" w:rsidP="00D43DDE">
      <w:pPr>
        <w:ind w:left="2160"/>
      </w:pPr>
    </w:p>
    <w:p w:rsidR="00D43DDE" w:rsidRDefault="00D43DDE" w:rsidP="00D43DDE">
      <w:pPr>
        <w:ind w:left="2160"/>
      </w:pPr>
    </w:p>
    <w:p w:rsidR="00D43DDE" w:rsidRPr="004B081E" w:rsidRDefault="004B081E" w:rsidP="00D43DDE">
      <w:pPr>
        <w:ind w:left="2160"/>
        <w:rPr>
          <w:u w:val="single"/>
        </w:rPr>
      </w:pPr>
      <w:r>
        <w:tab/>
      </w:r>
      <w:r>
        <w:tab/>
      </w:r>
      <w:r>
        <w:tab/>
      </w:r>
      <w:r>
        <w:tab/>
      </w:r>
      <w:r w:rsidRPr="004B081E">
        <w:rPr>
          <w:u w:val="single"/>
        </w:rPr>
        <w:tab/>
      </w:r>
      <w:r w:rsidRPr="004B081E">
        <w:rPr>
          <w:u w:val="single"/>
        </w:rPr>
        <w:tab/>
      </w:r>
      <w:r w:rsidRPr="004B081E">
        <w:rPr>
          <w:u w:val="single"/>
        </w:rPr>
        <w:tab/>
      </w:r>
      <w:r w:rsidRPr="004B081E">
        <w:rPr>
          <w:u w:val="single"/>
        </w:rPr>
        <w:tab/>
      </w:r>
      <w:r w:rsidRPr="004B081E">
        <w:rPr>
          <w:u w:val="single"/>
        </w:rPr>
        <w:tab/>
      </w:r>
    </w:p>
    <w:p w:rsidR="00D43DDE" w:rsidRPr="004970B1" w:rsidRDefault="00D43DDE" w:rsidP="00D43DDE">
      <w:pPr>
        <w:ind w:left="2160"/>
        <w:rPr>
          <w:caps/>
        </w:rPr>
      </w:pPr>
      <w:r>
        <w:tab/>
      </w:r>
      <w:r>
        <w:tab/>
      </w:r>
      <w:r>
        <w:tab/>
      </w:r>
      <w:r>
        <w:tab/>
      </w:r>
      <w:r w:rsidR="00932448" w:rsidRPr="004970B1">
        <w:rPr>
          <w:caps/>
        </w:rPr>
        <w:t>Lisa W. Gafken</w:t>
      </w:r>
    </w:p>
    <w:p w:rsidR="00D43DDE" w:rsidRDefault="00D43DDE" w:rsidP="00D43DDE">
      <w:pPr>
        <w:ind w:left="2160"/>
      </w:pPr>
      <w:r>
        <w:tab/>
      </w:r>
      <w:r>
        <w:tab/>
      </w:r>
      <w:r>
        <w:tab/>
      </w:r>
      <w:r>
        <w:tab/>
        <w:t>Assistant Attorney General</w:t>
      </w:r>
    </w:p>
    <w:p w:rsidR="00D43DDE" w:rsidRDefault="00D43DDE" w:rsidP="00374849">
      <w:pPr>
        <w:ind w:left="2160"/>
      </w:pPr>
      <w:r>
        <w:tab/>
      </w:r>
      <w:r>
        <w:tab/>
      </w:r>
      <w:r>
        <w:tab/>
      </w:r>
      <w:r>
        <w:tab/>
        <w:t>Public Counsel</w:t>
      </w:r>
      <w:r w:rsidR="004B081E">
        <w:t xml:space="preserve"> Unit</w:t>
      </w:r>
      <w:r w:rsidR="00FD7CE9">
        <w:t xml:space="preserve"> </w:t>
      </w:r>
    </w:p>
    <w:p w:rsidR="00216B9F" w:rsidRDefault="00216B9F" w:rsidP="00D43DDE"/>
    <w:sectPr w:rsidR="00216B9F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7B1" w:rsidRDefault="00EA27B1">
      <w:r>
        <w:separator/>
      </w:r>
    </w:p>
  </w:endnote>
  <w:endnote w:type="continuationSeparator" w:id="0">
    <w:p w:rsidR="00EA27B1" w:rsidRDefault="00EA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700"/>
      <w:gridCol w:w="2160"/>
      <w:gridCol w:w="4320"/>
    </w:tblGrid>
    <w:tr w:rsidR="006A19BB" w:rsidTr="00AF5691">
      <w:tc>
        <w:tcPr>
          <w:tcW w:w="2700" w:type="dxa"/>
        </w:tcPr>
        <w:p w:rsidR="005527AD" w:rsidRPr="00AF5691" w:rsidRDefault="00932448" w:rsidP="005527AD">
          <w:pPr>
            <w:pStyle w:val="Footer"/>
            <w:rPr>
              <w:caps/>
              <w:szCs w:val="20"/>
            </w:rPr>
          </w:pPr>
          <w:r>
            <w:rPr>
              <w:caps/>
              <w:szCs w:val="20"/>
            </w:rPr>
            <w:t>M</w:t>
          </w:r>
          <w:r w:rsidR="005527AD" w:rsidRPr="00AF5691">
            <w:rPr>
              <w:caps/>
              <w:szCs w:val="20"/>
            </w:rPr>
            <w:t xml:space="preserve">otion for </w:t>
          </w:r>
        </w:p>
        <w:p w:rsidR="005527AD" w:rsidRPr="00AF5691" w:rsidRDefault="005527AD" w:rsidP="005527AD">
          <w:pPr>
            <w:pStyle w:val="Footer"/>
            <w:rPr>
              <w:caps/>
              <w:szCs w:val="20"/>
            </w:rPr>
          </w:pPr>
          <w:r w:rsidRPr="00AF5691">
            <w:rPr>
              <w:caps/>
              <w:szCs w:val="20"/>
            </w:rPr>
            <w:t>extension of time</w:t>
          </w:r>
        </w:p>
        <w:p w:rsidR="00932448" w:rsidRDefault="00BF1A10" w:rsidP="005527AD">
          <w:pPr>
            <w:pStyle w:val="Footer"/>
            <w:tabs>
              <w:tab w:val="clear" w:pos="4320"/>
              <w:tab w:val="center" w:pos="3762"/>
            </w:tabs>
            <w:rPr>
              <w:caps/>
              <w:szCs w:val="20"/>
            </w:rPr>
          </w:pPr>
          <w:r w:rsidRPr="00AF5691">
            <w:rPr>
              <w:caps/>
              <w:szCs w:val="20"/>
            </w:rPr>
            <w:t>DOCKET</w:t>
          </w:r>
          <w:r w:rsidR="00932448">
            <w:rPr>
              <w:caps/>
              <w:szCs w:val="20"/>
            </w:rPr>
            <w:t xml:space="preserve">s ue-151871 </w:t>
          </w:r>
        </w:p>
        <w:p w:rsidR="00BF1A10" w:rsidRPr="00AF5691" w:rsidRDefault="00932448" w:rsidP="005527AD">
          <w:pPr>
            <w:pStyle w:val="Footer"/>
            <w:tabs>
              <w:tab w:val="clear" w:pos="4320"/>
              <w:tab w:val="center" w:pos="3762"/>
            </w:tabs>
            <w:rPr>
              <w:caps/>
              <w:szCs w:val="20"/>
            </w:rPr>
          </w:pPr>
          <w:r>
            <w:rPr>
              <w:caps/>
              <w:szCs w:val="20"/>
            </w:rPr>
            <w:t>and UG-151872</w:t>
          </w:r>
        </w:p>
        <w:p w:rsidR="002D533C" w:rsidRPr="00AF5691" w:rsidRDefault="002D533C" w:rsidP="005527AD">
          <w:pPr>
            <w:pStyle w:val="Footer"/>
            <w:rPr>
              <w:caps/>
              <w:szCs w:val="20"/>
            </w:rPr>
          </w:pPr>
        </w:p>
      </w:tc>
      <w:tc>
        <w:tcPr>
          <w:tcW w:w="2160" w:type="dxa"/>
        </w:tcPr>
        <w:p w:rsidR="006A19BB" w:rsidRPr="00AF5691" w:rsidRDefault="006A19BB" w:rsidP="00AF5691">
          <w:pPr>
            <w:pStyle w:val="Footer"/>
            <w:tabs>
              <w:tab w:val="clear" w:pos="4320"/>
            </w:tabs>
            <w:ind w:left="72"/>
            <w:jc w:val="center"/>
            <w:rPr>
              <w:caps/>
              <w:szCs w:val="20"/>
            </w:rPr>
          </w:pPr>
          <w:r w:rsidRPr="00AF5691">
            <w:rPr>
              <w:caps/>
              <w:szCs w:val="20"/>
            </w:rPr>
            <w:fldChar w:fldCharType="begin"/>
          </w:r>
          <w:r w:rsidRPr="00AF5691">
            <w:rPr>
              <w:caps/>
              <w:szCs w:val="20"/>
            </w:rPr>
            <w:instrText xml:space="preserve"> PAGE  \* MERGEFORMAT </w:instrText>
          </w:r>
          <w:r w:rsidRPr="00AF5691">
            <w:rPr>
              <w:caps/>
              <w:szCs w:val="20"/>
            </w:rPr>
            <w:fldChar w:fldCharType="separate"/>
          </w:r>
          <w:r w:rsidR="00BA28BA">
            <w:rPr>
              <w:caps/>
              <w:noProof/>
              <w:szCs w:val="20"/>
            </w:rPr>
            <w:t>1</w:t>
          </w:r>
          <w:r w:rsidRPr="00AF5691">
            <w:rPr>
              <w:caps/>
              <w:szCs w:val="20"/>
            </w:rPr>
            <w:fldChar w:fldCharType="end"/>
          </w:r>
        </w:p>
      </w:tc>
      <w:tc>
        <w:tcPr>
          <w:tcW w:w="4320" w:type="dxa"/>
        </w:tcPr>
        <w:p w:rsidR="006A19BB" w:rsidRPr="00AF5691" w:rsidRDefault="006A19BB">
          <w:pPr>
            <w:pStyle w:val="Footer"/>
            <w:jc w:val="center"/>
            <w:rPr>
              <w:caps/>
              <w:szCs w:val="20"/>
            </w:rPr>
          </w:pPr>
          <w:r w:rsidRPr="00AF5691">
            <w:rPr>
              <w:caps/>
              <w:szCs w:val="20"/>
            </w:rPr>
            <w:t>ATTORNEY GENERAL OF WASHINGTON</w:t>
          </w:r>
        </w:p>
        <w:p w:rsidR="006A19BB" w:rsidRPr="00AF5691" w:rsidRDefault="006A19BB">
          <w:pPr>
            <w:pStyle w:val="Footer"/>
            <w:jc w:val="center"/>
            <w:rPr>
              <w:caps/>
              <w:szCs w:val="20"/>
            </w:rPr>
          </w:pPr>
          <w:smartTag w:uri="urn:schemas-microsoft-com:office:smarttags" w:element="PersonName">
            <w:r w:rsidRPr="00AF5691">
              <w:rPr>
                <w:caps/>
                <w:szCs w:val="20"/>
              </w:rPr>
              <w:t>Public Counsel</w:t>
            </w:r>
          </w:smartTag>
        </w:p>
        <w:p w:rsidR="006A19BB" w:rsidRPr="00AF5691" w:rsidRDefault="006A19BB">
          <w:pPr>
            <w:pStyle w:val="Footer"/>
            <w:jc w:val="center"/>
            <w:rPr>
              <w:caps/>
              <w:szCs w:val="20"/>
            </w:rPr>
          </w:pPr>
          <w:r w:rsidRPr="00AF5691">
            <w:rPr>
              <w:caps/>
              <w:szCs w:val="20"/>
            </w:rPr>
            <w:t>800 5</w:t>
          </w:r>
          <w:r w:rsidRPr="00AF5691">
            <w:rPr>
              <w:caps/>
              <w:szCs w:val="20"/>
              <w:vertAlign w:val="superscript"/>
            </w:rPr>
            <w:t>th</w:t>
          </w:r>
          <w:r w:rsidRPr="00AF5691">
            <w:rPr>
              <w:caps/>
              <w:szCs w:val="20"/>
            </w:rPr>
            <w:t xml:space="preserve"> Ave., Suite 2000</w:t>
          </w:r>
        </w:p>
        <w:p w:rsidR="006A19BB" w:rsidRPr="00AF5691" w:rsidRDefault="006A19BB">
          <w:pPr>
            <w:pStyle w:val="Footer"/>
            <w:jc w:val="center"/>
            <w:rPr>
              <w:caps/>
              <w:szCs w:val="20"/>
            </w:rPr>
          </w:pPr>
          <w:r w:rsidRPr="00AF5691">
            <w:rPr>
              <w:caps/>
              <w:szCs w:val="20"/>
            </w:rPr>
            <w:t>Seattle, WA 98104-3188</w:t>
          </w:r>
        </w:p>
        <w:p w:rsidR="006A19BB" w:rsidRPr="00AF5691" w:rsidRDefault="006A19BB">
          <w:pPr>
            <w:pStyle w:val="Footer"/>
            <w:jc w:val="center"/>
            <w:rPr>
              <w:caps/>
              <w:szCs w:val="20"/>
            </w:rPr>
          </w:pPr>
          <w:r w:rsidRPr="00AF5691">
            <w:rPr>
              <w:caps/>
              <w:szCs w:val="20"/>
            </w:rPr>
            <w:t>(206) 464-7744</w:t>
          </w:r>
        </w:p>
      </w:tc>
    </w:tr>
  </w:tbl>
  <w:p w:rsidR="006A19BB" w:rsidRDefault="006A1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7B1" w:rsidRDefault="00EA27B1">
      <w:r>
        <w:separator/>
      </w:r>
    </w:p>
  </w:footnote>
  <w:footnote w:type="continuationSeparator" w:id="0">
    <w:p w:rsidR="00EA27B1" w:rsidRDefault="00EA27B1">
      <w:pPr>
        <w:ind w:right="5760"/>
      </w:pPr>
      <w:r>
        <w:continuationSeparator/>
      </w:r>
    </w:p>
  </w:footnote>
  <w:footnote w:id="1">
    <w:p w:rsidR="000066A9" w:rsidRDefault="000066A9">
      <w:pPr>
        <w:pStyle w:val="FootnoteText"/>
      </w:pPr>
      <w:r>
        <w:rPr>
          <w:rStyle w:val="FootnoteReference"/>
        </w:rPr>
        <w:footnoteRef/>
      </w:r>
      <w:r>
        <w:t xml:space="preserve"> Parties met on August 9, 2016</w:t>
      </w:r>
      <w:r w:rsidR="001B375D">
        <w:t>,</w:t>
      </w:r>
      <w:r>
        <w:t xml:space="preserve"> at the Commission’s headquarters in Olympia.  Additionally, </w:t>
      </w:r>
      <w:r w:rsidR="006E3057">
        <w:t>the third</w:t>
      </w:r>
      <w:r w:rsidR="006E3057">
        <w:noBreakHyphen/>
      </w:r>
      <w:r w:rsidR="001B375D">
        <w:t>party consultant’s report was issued on Friday, August 19, 2016, and parties will meet again in Seattle on August 26, 2016, to discuss the report’s findings.</w:t>
      </w:r>
    </w:p>
  </w:footnote>
  <w:footnote w:id="2">
    <w:p w:rsidR="006E3057" w:rsidRDefault="001B375D" w:rsidP="00B3143C">
      <w:pPr>
        <w:pStyle w:val="FootnoteText"/>
      </w:pPr>
      <w:r>
        <w:rPr>
          <w:rStyle w:val="FootnoteReference"/>
        </w:rPr>
        <w:footnoteRef/>
      </w:r>
      <w:r>
        <w:t xml:space="preserve"> Response testimony was filed on August 17, 2016, and settlement conferences are scheduled in Olympia on August 24 and 25,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9BB" w:rsidRDefault="00AF5691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-91440</wp:posOffset>
              </wp:positionH>
              <wp:positionV relativeFrom="page">
                <wp:posOffset>0</wp:posOffset>
              </wp:positionV>
              <wp:extent cx="635" cy="1005840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7.2pt,0" to="-7.1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" o:allowincell="f" stroked="f">
              <v:stroke startarrowwidth="narrow" startarrowlength="short" endarrowwidth="narrow" endarrowlength="short"/>
              <w10:wrap anchorx="margin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D50BBA8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abstractNum w:abstractNumId="1">
    <w:nsid w:val="30AB4EA6"/>
    <w:multiLevelType w:val="hybridMultilevel"/>
    <w:tmpl w:val="62E0A3A0"/>
    <w:lvl w:ilvl="0" w:tplc="8D404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701092"/>
    <w:multiLevelType w:val="hybridMultilevel"/>
    <w:tmpl w:val="D9D2D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001003"/>
    <w:multiLevelType w:val="singleLevel"/>
    <w:tmpl w:val="D0E44B00"/>
    <w:lvl w:ilvl="0">
      <w:start w:val="1"/>
      <w:numFmt w:val="decimal"/>
      <w:pStyle w:val="ParNumber"/>
      <w:lvlText w:val="%1."/>
      <w:lvlJc w:val="left"/>
      <w:pPr>
        <w:tabs>
          <w:tab w:val="num" w:pos="360"/>
        </w:tabs>
        <w:ind w:left="360" w:hanging="360"/>
      </w:pPr>
      <w:rPr>
        <w:i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3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9F"/>
    <w:rsid w:val="000066A9"/>
    <w:rsid w:val="00033921"/>
    <w:rsid w:val="00056A04"/>
    <w:rsid w:val="00064474"/>
    <w:rsid w:val="000778A7"/>
    <w:rsid w:val="000C227D"/>
    <w:rsid w:val="000C5724"/>
    <w:rsid w:val="000D7A58"/>
    <w:rsid w:val="000F049F"/>
    <w:rsid w:val="000F21BD"/>
    <w:rsid w:val="00113DDB"/>
    <w:rsid w:val="00147249"/>
    <w:rsid w:val="001479C6"/>
    <w:rsid w:val="00157C27"/>
    <w:rsid w:val="0017328E"/>
    <w:rsid w:val="00184E74"/>
    <w:rsid w:val="00190AD5"/>
    <w:rsid w:val="001958F7"/>
    <w:rsid w:val="00196471"/>
    <w:rsid w:val="001B375B"/>
    <w:rsid w:val="001B375D"/>
    <w:rsid w:val="001C005B"/>
    <w:rsid w:val="001D7339"/>
    <w:rsid w:val="001F4BF8"/>
    <w:rsid w:val="00216B9F"/>
    <w:rsid w:val="00220B6E"/>
    <w:rsid w:val="00227EBA"/>
    <w:rsid w:val="00233BF2"/>
    <w:rsid w:val="0024777D"/>
    <w:rsid w:val="00266A33"/>
    <w:rsid w:val="002941CF"/>
    <w:rsid w:val="002C17EF"/>
    <w:rsid w:val="002C5403"/>
    <w:rsid w:val="002C7CBF"/>
    <w:rsid w:val="002D533C"/>
    <w:rsid w:val="00331102"/>
    <w:rsid w:val="00331744"/>
    <w:rsid w:val="00331CC4"/>
    <w:rsid w:val="0033535A"/>
    <w:rsid w:val="00343E7B"/>
    <w:rsid w:val="003468CA"/>
    <w:rsid w:val="00374849"/>
    <w:rsid w:val="0038059F"/>
    <w:rsid w:val="003907AD"/>
    <w:rsid w:val="003B4CB5"/>
    <w:rsid w:val="003C6B3D"/>
    <w:rsid w:val="003C7318"/>
    <w:rsid w:val="003F0D9F"/>
    <w:rsid w:val="0040044D"/>
    <w:rsid w:val="00434C15"/>
    <w:rsid w:val="004378C5"/>
    <w:rsid w:val="00440378"/>
    <w:rsid w:val="004970B1"/>
    <w:rsid w:val="00497147"/>
    <w:rsid w:val="004B081E"/>
    <w:rsid w:val="004B2297"/>
    <w:rsid w:val="004C78AC"/>
    <w:rsid w:val="004E3569"/>
    <w:rsid w:val="004E693A"/>
    <w:rsid w:val="005051D9"/>
    <w:rsid w:val="005527AD"/>
    <w:rsid w:val="00561756"/>
    <w:rsid w:val="00583C9B"/>
    <w:rsid w:val="005B3830"/>
    <w:rsid w:val="005D1B68"/>
    <w:rsid w:val="005E1DC4"/>
    <w:rsid w:val="005F563E"/>
    <w:rsid w:val="00605374"/>
    <w:rsid w:val="006A19BB"/>
    <w:rsid w:val="006D2012"/>
    <w:rsid w:val="006D7119"/>
    <w:rsid w:val="006E3057"/>
    <w:rsid w:val="0073748D"/>
    <w:rsid w:val="007470FE"/>
    <w:rsid w:val="00765284"/>
    <w:rsid w:val="00797C11"/>
    <w:rsid w:val="007A4DAC"/>
    <w:rsid w:val="007C12B9"/>
    <w:rsid w:val="007D1224"/>
    <w:rsid w:val="008022CD"/>
    <w:rsid w:val="00803B53"/>
    <w:rsid w:val="00876ECE"/>
    <w:rsid w:val="008A2725"/>
    <w:rsid w:val="008C5228"/>
    <w:rsid w:val="008D0B70"/>
    <w:rsid w:val="00920721"/>
    <w:rsid w:val="00932448"/>
    <w:rsid w:val="009533C7"/>
    <w:rsid w:val="00994CEC"/>
    <w:rsid w:val="009A15DF"/>
    <w:rsid w:val="009A73E2"/>
    <w:rsid w:val="009B68A8"/>
    <w:rsid w:val="009E4588"/>
    <w:rsid w:val="009E7452"/>
    <w:rsid w:val="00A04A22"/>
    <w:rsid w:val="00A1075B"/>
    <w:rsid w:val="00A2073E"/>
    <w:rsid w:val="00A26E39"/>
    <w:rsid w:val="00A46B79"/>
    <w:rsid w:val="00A658BE"/>
    <w:rsid w:val="00A74801"/>
    <w:rsid w:val="00A91145"/>
    <w:rsid w:val="00AB2165"/>
    <w:rsid w:val="00AD309C"/>
    <w:rsid w:val="00AF5691"/>
    <w:rsid w:val="00B10D0B"/>
    <w:rsid w:val="00B3143C"/>
    <w:rsid w:val="00B36ABB"/>
    <w:rsid w:val="00B83445"/>
    <w:rsid w:val="00B844EC"/>
    <w:rsid w:val="00B84F33"/>
    <w:rsid w:val="00B951A7"/>
    <w:rsid w:val="00BA28BA"/>
    <w:rsid w:val="00BF1A10"/>
    <w:rsid w:val="00BF5577"/>
    <w:rsid w:val="00C1096E"/>
    <w:rsid w:val="00C23D1E"/>
    <w:rsid w:val="00C55D1B"/>
    <w:rsid w:val="00C75A1E"/>
    <w:rsid w:val="00C84678"/>
    <w:rsid w:val="00C93616"/>
    <w:rsid w:val="00CC326A"/>
    <w:rsid w:val="00CD5B2D"/>
    <w:rsid w:val="00CF0BD4"/>
    <w:rsid w:val="00D21B90"/>
    <w:rsid w:val="00D35BCA"/>
    <w:rsid w:val="00D43DDE"/>
    <w:rsid w:val="00D9788A"/>
    <w:rsid w:val="00DC6651"/>
    <w:rsid w:val="00DD0B80"/>
    <w:rsid w:val="00E14F6A"/>
    <w:rsid w:val="00EA27B1"/>
    <w:rsid w:val="00ED1346"/>
    <w:rsid w:val="00F25B1E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1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1"/>
      </w:numPr>
      <w:spacing w:before="2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1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1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pPr>
      <w:numPr>
        <w:numId w:val="12"/>
      </w:numPr>
      <w:tabs>
        <w:tab w:val="clear" w:pos="360"/>
        <w:tab w:val="left" w:pos="720"/>
      </w:tabs>
      <w:ind w:left="0" w:hanging="720"/>
    </w:pPr>
  </w:style>
  <w:style w:type="character" w:customStyle="1" w:styleId="Heading6Char">
    <w:name w:val="Heading 6 Char"/>
    <w:link w:val="Heading6"/>
    <w:rPr>
      <w:b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21"/>
      </w:numPr>
      <w:spacing w:before="24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1"/>
      </w:numPr>
      <w:spacing w:before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1"/>
      </w:numPr>
      <w:spacing w:before="24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1"/>
      </w:numPr>
      <w:spacing w:before="24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1"/>
      </w:numPr>
      <w:spacing w:before="240"/>
      <w:jc w:val="both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21"/>
      </w:numPr>
      <w:spacing w:before="24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1"/>
      </w:numPr>
      <w:spacing w:before="24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1"/>
      </w:numPr>
      <w:spacing w:before="240"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1"/>
      </w:numPr>
      <w:spacing w:before="240"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basedOn w:val="DefaultParagraphFont"/>
  </w:style>
  <w:style w:type="paragraph" w:customStyle="1" w:styleId="Address">
    <w:name w:val="Address"/>
    <w:basedOn w:val="SingleSpacing"/>
    <w:pPr>
      <w:ind w:left="4680"/>
    </w:pPr>
  </w:style>
  <w:style w:type="paragraph" w:customStyle="1" w:styleId="CourtName">
    <w:name w:val="CourtName"/>
    <w:basedOn w:val="Normal"/>
    <w:pPr>
      <w:jc w:val="center"/>
    </w:pPr>
  </w:style>
  <w:style w:type="character" w:styleId="FootnoteReference">
    <w:name w:val="footnote reference"/>
    <w:semiHidden/>
    <w:rPr>
      <w:vertAlign w:val="superscript"/>
    </w:r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b/>
      <w:u w:val="single"/>
    </w:rPr>
  </w:style>
  <w:style w:type="paragraph" w:styleId="FootnoteText">
    <w:name w:val="footnote text"/>
    <w:basedOn w:val="Normal"/>
    <w:semiHidden/>
    <w:pPr>
      <w:ind w:firstLine="720"/>
    </w:pPr>
    <w:rPr>
      <w:sz w:val="20"/>
    </w:rPr>
  </w:style>
  <w:style w:type="paragraph" w:styleId="TOC1">
    <w:name w:val="toc 1"/>
    <w:basedOn w:val="Normal"/>
    <w:next w:val="Normal"/>
    <w:semiHidden/>
    <w:pPr>
      <w:tabs>
        <w:tab w:val="right" w:leader="dot" w:pos="9158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semiHidden/>
    <w:pPr>
      <w:tabs>
        <w:tab w:val="right" w:leader="dot" w:pos="9158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semiHidden/>
    <w:pPr>
      <w:tabs>
        <w:tab w:val="right" w:leader="dot" w:pos="9158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semiHidden/>
    <w:pPr>
      <w:tabs>
        <w:tab w:val="right" w:leader="dot" w:pos="9158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semiHidden/>
    <w:pPr>
      <w:tabs>
        <w:tab w:val="right" w:leader="dot" w:pos="9158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semiHidden/>
    <w:pPr>
      <w:tabs>
        <w:tab w:val="right" w:pos="9158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semiHidden/>
    <w:pPr>
      <w:tabs>
        <w:tab w:val="right" w:leader="dot" w:pos="9158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semiHidden/>
    <w:pPr>
      <w:tabs>
        <w:tab w:val="right" w:leader="dot" w:pos="9158"/>
      </w:tabs>
      <w:spacing w:after="240"/>
      <w:ind w:left="4050" w:right="547" w:hanging="450"/>
    </w:pPr>
    <w:rPr>
      <w:noProof/>
    </w:rPr>
  </w:style>
  <w:style w:type="paragraph" w:styleId="BodyText">
    <w:name w:val="Body Text"/>
    <w:basedOn w:val="Normal"/>
    <w:pPr>
      <w:spacing w:after="120" w:line="480" w:lineRule="auto"/>
      <w:ind w:firstLine="720"/>
    </w:pPr>
  </w:style>
  <w:style w:type="paragraph" w:styleId="TableofAuthorities">
    <w:name w:val="table of authorities"/>
    <w:basedOn w:val="Normal"/>
    <w:next w:val="Normal"/>
    <w:semiHidden/>
    <w:pPr>
      <w:tabs>
        <w:tab w:val="right" w:pos="9360"/>
      </w:tabs>
      <w:spacing w:after="240"/>
      <w:ind w:left="245" w:right="720" w:hanging="245"/>
    </w:pPr>
  </w:style>
  <w:style w:type="paragraph" w:customStyle="1" w:styleId="ParNumber">
    <w:name w:val="ParNumber"/>
    <w:basedOn w:val="Normal"/>
    <w:pPr>
      <w:numPr>
        <w:numId w:val="12"/>
      </w:numPr>
      <w:tabs>
        <w:tab w:val="clear" w:pos="360"/>
        <w:tab w:val="left" w:pos="720"/>
      </w:tabs>
      <w:ind w:left="0" w:hanging="720"/>
    </w:pPr>
  </w:style>
  <w:style w:type="character" w:customStyle="1" w:styleId="Heading6Char">
    <w:name w:val="Heading 6 Char"/>
    <w:link w:val="Heading6"/>
    <w:rPr>
      <w:b/>
      <w:sz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3535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2CA3C0B0A1A9409D67CBA12AABAB7A" ma:contentTypeVersion="119" ma:contentTypeDescription="" ma:contentTypeScope="" ma:versionID="ada996b3d8eafc45a08c62473fb7b14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Motion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2015-09-18T07:00:00+00:00</OpenedDate>
    <Date1 xmlns="dc463f71-b30c-4ab2-9473-d307f9d35888">2016-08-22T07:00:00+00:00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151871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9A5BEADA-9774-4DCE-856C-C78053A074B5}"/>
</file>

<file path=customXml/itemProps2.xml><?xml version="1.0" encoding="utf-8"?>
<ds:datastoreItem xmlns:ds="http://schemas.openxmlformats.org/officeDocument/2006/customXml" ds:itemID="{8A8121DF-FB3A-4789-A8C9-7B069BF3427C}"/>
</file>

<file path=customXml/itemProps3.xml><?xml version="1.0" encoding="utf-8"?>
<ds:datastoreItem xmlns:ds="http://schemas.openxmlformats.org/officeDocument/2006/customXml" ds:itemID="{AD456543-93C2-437A-897C-B1F89E949AC9}"/>
</file>

<file path=customXml/itemProps4.xml><?xml version="1.0" encoding="utf-8"?>
<ds:datastoreItem xmlns:ds="http://schemas.openxmlformats.org/officeDocument/2006/customXml" ds:itemID="{061C4D5E-04B7-48A7-9B1A-3C8A0ECF71F4}"/>
</file>

<file path=customXml/itemProps5.xml><?xml version="1.0" encoding="utf-8"?>
<ds:datastoreItem xmlns:ds="http://schemas.openxmlformats.org/officeDocument/2006/customXml" ds:itemID="{376BD4B4-F914-41E6-8DAC-5B5B1EBA63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 Pleading</vt:lpstr>
    </vt:vector>
  </TitlesOfParts>
  <Company>Office of the Attorney General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 Pleading</dc:title>
  <dc:creator>Office of the Attorney General</dc:creator>
  <cp:lastModifiedBy>Mak, Chanda (ATG)</cp:lastModifiedBy>
  <cp:revision>6</cp:revision>
  <cp:lastPrinted>2016-08-22T01:02:00Z</cp:lastPrinted>
  <dcterms:created xsi:type="dcterms:W3CDTF">2016-08-22T14:49:00Z</dcterms:created>
  <dcterms:modified xsi:type="dcterms:W3CDTF">2016-08-22T15:58:00Z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-2120598170</vt:i4>
  </property>
  <property fmtid="{D5CDD505-2E9C-101B-9397-08002B2CF9AE}" pid="4" name="_EmailSubject">
    <vt:lpwstr>PSE LNG -- Legal Memorandum Extension</vt:lpwstr>
  </property>
  <property fmtid="{D5CDD505-2E9C-101B-9397-08002B2CF9AE}" pid="5" name="_AuthorEmail">
    <vt:lpwstr>ChandaM@ATG.WA.GOV</vt:lpwstr>
  </property>
  <property fmtid="{D5CDD505-2E9C-101B-9397-08002B2CF9AE}" pid="6" name="_AuthorEmailDisplayName">
    <vt:lpwstr>Mak, Chanda (ATG)</vt:lpwstr>
  </property>
  <property fmtid="{D5CDD505-2E9C-101B-9397-08002B2CF9AE}" pid="7" name="_ReviewingToolsShownOnce">
    <vt:lpwstr/>
  </property>
  <property fmtid="{D5CDD505-2E9C-101B-9397-08002B2CF9AE}" pid="8" name="ContentTypeId">
    <vt:lpwstr>0x0101006E56B4D1795A2E4DB2F0B01679ED314A00492CA3C0B0A1A9409D67CBA12AABAB7A</vt:lpwstr>
  </property>
  <property fmtid="{D5CDD505-2E9C-101B-9397-08002B2CF9AE}" pid="9" name="_docset_NoMedatataSyncRequired">
    <vt:lpwstr>False</vt:lpwstr>
  </property>
</Properties>
</file>