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1E5" w:rsidRPr="00892A0D" w:rsidRDefault="005711E5">
      <w:pPr>
        <w:pStyle w:val="BodyText"/>
        <w:rPr>
          <w:b/>
          <w:bCs/>
          <w:sz w:val="25"/>
          <w:szCs w:val="25"/>
        </w:rPr>
      </w:pPr>
      <w:bookmarkStart w:id="0" w:name="_GoBack"/>
      <w:bookmarkEnd w:id="0"/>
      <w:r w:rsidRPr="00892A0D">
        <w:rPr>
          <w:b/>
          <w:bCs/>
          <w:sz w:val="25"/>
          <w:szCs w:val="25"/>
        </w:rPr>
        <w:t>BEFORE THE WASHINGTON</w:t>
      </w:r>
    </w:p>
    <w:p w:rsidR="005711E5" w:rsidRPr="00892A0D" w:rsidRDefault="005711E5">
      <w:pPr>
        <w:pStyle w:val="BodyText"/>
        <w:rPr>
          <w:b/>
          <w:bCs/>
          <w:sz w:val="25"/>
          <w:szCs w:val="25"/>
        </w:rPr>
      </w:pPr>
      <w:r w:rsidRPr="00892A0D">
        <w:rPr>
          <w:b/>
          <w:bCs/>
          <w:sz w:val="25"/>
          <w:szCs w:val="25"/>
        </w:rPr>
        <w:t>UTILITIES AND TRANSPORTATION COMMISSION</w:t>
      </w:r>
    </w:p>
    <w:p w:rsidR="00DC39A1" w:rsidRDefault="00DC39A1">
      <w:pPr>
        <w:pStyle w:val="BodyText"/>
        <w:rPr>
          <w:sz w:val="25"/>
          <w:szCs w:val="25"/>
        </w:rPr>
      </w:pPr>
    </w:p>
    <w:p w:rsidR="00892A0D" w:rsidRDefault="00892A0D">
      <w:pPr>
        <w:pStyle w:val="BodyText"/>
        <w:rPr>
          <w:sz w:val="25"/>
          <w:szCs w:val="25"/>
        </w:rPr>
      </w:pPr>
    </w:p>
    <w:tbl>
      <w:tblPr>
        <w:tblStyle w:val="TableGrid"/>
        <w:tblW w:w="8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50"/>
        <w:gridCol w:w="4248"/>
      </w:tblGrid>
      <w:tr w:rsidR="00892A0D" w:rsidTr="00892A0D">
        <w:tc>
          <w:tcPr>
            <w:tcW w:w="4248" w:type="dxa"/>
          </w:tcPr>
          <w:p w:rsidR="00892A0D" w:rsidRDefault="00892A0D" w:rsidP="00892A0D">
            <w:pPr>
              <w:pStyle w:val="BodyText"/>
              <w:jc w:val="left"/>
              <w:rPr>
                <w:sz w:val="25"/>
                <w:szCs w:val="25"/>
              </w:rPr>
            </w:pPr>
            <w:r>
              <w:rPr>
                <w:sz w:val="25"/>
                <w:szCs w:val="25"/>
              </w:rPr>
              <w:t>WASHINGTON UTILITIES AND TRANSPORTATION COMMISSION,</w:t>
            </w:r>
          </w:p>
          <w:p w:rsidR="00892A0D" w:rsidRDefault="00892A0D" w:rsidP="00892A0D">
            <w:pPr>
              <w:pStyle w:val="BodyText"/>
              <w:jc w:val="left"/>
              <w:rPr>
                <w:sz w:val="25"/>
                <w:szCs w:val="25"/>
              </w:rPr>
            </w:pPr>
          </w:p>
          <w:p w:rsidR="00892A0D" w:rsidRDefault="00892A0D" w:rsidP="00892A0D">
            <w:pPr>
              <w:pStyle w:val="BodyText"/>
              <w:tabs>
                <w:tab w:val="left" w:pos="2174"/>
              </w:tabs>
              <w:jc w:val="left"/>
              <w:rPr>
                <w:sz w:val="25"/>
                <w:szCs w:val="25"/>
              </w:rPr>
            </w:pPr>
            <w:r>
              <w:rPr>
                <w:sz w:val="25"/>
                <w:szCs w:val="25"/>
              </w:rPr>
              <w:tab/>
              <w:t>Complainant,</w:t>
            </w:r>
          </w:p>
          <w:p w:rsidR="00892A0D" w:rsidRDefault="00892A0D" w:rsidP="00892A0D">
            <w:pPr>
              <w:pStyle w:val="BodyText"/>
              <w:tabs>
                <w:tab w:val="left" w:pos="2174"/>
              </w:tabs>
              <w:jc w:val="left"/>
              <w:rPr>
                <w:sz w:val="25"/>
                <w:szCs w:val="25"/>
              </w:rPr>
            </w:pPr>
          </w:p>
          <w:p w:rsidR="00892A0D" w:rsidRDefault="00892A0D" w:rsidP="00892A0D">
            <w:pPr>
              <w:pStyle w:val="BodyText"/>
              <w:tabs>
                <w:tab w:val="left" w:pos="2174"/>
              </w:tabs>
              <w:jc w:val="left"/>
              <w:rPr>
                <w:sz w:val="25"/>
                <w:szCs w:val="25"/>
              </w:rPr>
            </w:pPr>
            <w:r>
              <w:rPr>
                <w:sz w:val="25"/>
                <w:szCs w:val="25"/>
              </w:rPr>
              <w:t>v.</w:t>
            </w:r>
          </w:p>
          <w:p w:rsidR="00892A0D" w:rsidRDefault="00892A0D" w:rsidP="00892A0D">
            <w:pPr>
              <w:pStyle w:val="BodyText"/>
              <w:tabs>
                <w:tab w:val="left" w:pos="2174"/>
              </w:tabs>
              <w:jc w:val="left"/>
              <w:rPr>
                <w:sz w:val="25"/>
                <w:szCs w:val="25"/>
              </w:rPr>
            </w:pPr>
          </w:p>
          <w:p w:rsidR="00892A0D" w:rsidRDefault="00892A0D" w:rsidP="00892A0D">
            <w:pPr>
              <w:pStyle w:val="BodyText"/>
              <w:tabs>
                <w:tab w:val="left" w:pos="2174"/>
              </w:tabs>
              <w:jc w:val="left"/>
              <w:rPr>
                <w:sz w:val="25"/>
                <w:szCs w:val="25"/>
              </w:rPr>
            </w:pPr>
            <w:r>
              <w:rPr>
                <w:sz w:val="25"/>
                <w:szCs w:val="25"/>
              </w:rPr>
              <w:t>SANDY POINT IMPROVEMENT COMPANY,</w:t>
            </w:r>
          </w:p>
          <w:p w:rsidR="00892A0D" w:rsidRDefault="00892A0D" w:rsidP="00892A0D">
            <w:pPr>
              <w:pStyle w:val="BodyText"/>
              <w:tabs>
                <w:tab w:val="left" w:pos="2174"/>
              </w:tabs>
              <w:jc w:val="left"/>
              <w:rPr>
                <w:sz w:val="25"/>
                <w:szCs w:val="25"/>
              </w:rPr>
            </w:pPr>
          </w:p>
          <w:p w:rsidR="00892A0D" w:rsidRDefault="00892A0D" w:rsidP="00892A0D">
            <w:pPr>
              <w:pStyle w:val="BodyText"/>
              <w:tabs>
                <w:tab w:val="left" w:pos="2174"/>
              </w:tabs>
              <w:jc w:val="left"/>
              <w:rPr>
                <w:sz w:val="25"/>
                <w:szCs w:val="25"/>
              </w:rPr>
            </w:pPr>
            <w:r>
              <w:rPr>
                <w:sz w:val="25"/>
                <w:szCs w:val="25"/>
              </w:rPr>
              <w:tab/>
              <w:t>Respondent.</w:t>
            </w:r>
          </w:p>
          <w:p w:rsidR="000A30D2" w:rsidRDefault="000A30D2" w:rsidP="00892A0D">
            <w:pPr>
              <w:pStyle w:val="BodyText"/>
              <w:tabs>
                <w:tab w:val="left" w:pos="2174"/>
              </w:tabs>
              <w:jc w:val="left"/>
              <w:rPr>
                <w:sz w:val="25"/>
                <w:szCs w:val="25"/>
              </w:rPr>
            </w:pPr>
          </w:p>
          <w:p w:rsidR="00892A0D" w:rsidRDefault="00892A0D" w:rsidP="00892A0D">
            <w:pPr>
              <w:pStyle w:val="BodyText"/>
              <w:tabs>
                <w:tab w:val="left" w:pos="2174"/>
              </w:tabs>
              <w:jc w:val="left"/>
              <w:rPr>
                <w:sz w:val="25"/>
                <w:szCs w:val="25"/>
              </w:rPr>
            </w:pPr>
            <w:r>
              <w:rPr>
                <w:sz w:val="25"/>
                <w:szCs w:val="25"/>
              </w:rPr>
              <w:t>. . . . . . . . . . . . . . . . . . . . . . . . . . . . . . . .</w:t>
            </w:r>
          </w:p>
        </w:tc>
        <w:tc>
          <w:tcPr>
            <w:tcW w:w="450" w:type="dxa"/>
          </w:tcPr>
          <w:p w:rsidR="00892A0D" w:rsidRDefault="00892A0D" w:rsidP="00892A0D">
            <w:pPr>
              <w:pStyle w:val="BodyText"/>
              <w:jc w:val="left"/>
              <w:rPr>
                <w:sz w:val="25"/>
                <w:szCs w:val="25"/>
              </w:rPr>
            </w:pPr>
            <w:r>
              <w:rPr>
                <w:sz w:val="25"/>
                <w:szCs w:val="25"/>
              </w:rPr>
              <w:t>)</w:t>
            </w:r>
          </w:p>
          <w:p w:rsidR="00892A0D" w:rsidRDefault="00892A0D" w:rsidP="00892A0D">
            <w:pPr>
              <w:pStyle w:val="BodyText"/>
              <w:jc w:val="left"/>
              <w:rPr>
                <w:sz w:val="25"/>
                <w:szCs w:val="25"/>
              </w:rPr>
            </w:pPr>
            <w:r>
              <w:rPr>
                <w:sz w:val="25"/>
                <w:szCs w:val="25"/>
              </w:rPr>
              <w:t>)</w:t>
            </w:r>
          </w:p>
          <w:p w:rsidR="00892A0D" w:rsidRDefault="00892A0D" w:rsidP="00892A0D">
            <w:pPr>
              <w:pStyle w:val="BodyText"/>
              <w:jc w:val="left"/>
              <w:rPr>
                <w:sz w:val="25"/>
                <w:szCs w:val="25"/>
              </w:rPr>
            </w:pPr>
            <w:r>
              <w:rPr>
                <w:sz w:val="25"/>
                <w:szCs w:val="25"/>
              </w:rPr>
              <w:t>)</w:t>
            </w:r>
          </w:p>
          <w:p w:rsidR="00892A0D" w:rsidRDefault="00892A0D" w:rsidP="00892A0D">
            <w:pPr>
              <w:pStyle w:val="BodyText"/>
              <w:jc w:val="left"/>
              <w:rPr>
                <w:sz w:val="25"/>
                <w:szCs w:val="25"/>
              </w:rPr>
            </w:pPr>
            <w:r>
              <w:rPr>
                <w:sz w:val="25"/>
                <w:szCs w:val="25"/>
              </w:rPr>
              <w:t>)</w:t>
            </w:r>
          </w:p>
          <w:p w:rsidR="00892A0D" w:rsidRDefault="00892A0D" w:rsidP="00892A0D">
            <w:pPr>
              <w:pStyle w:val="BodyText"/>
              <w:jc w:val="left"/>
              <w:rPr>
                <w:sz w:val="25"/>
                <w:szCs w:val="25"/>
              </w:rPr>
            </w:pPr>
            <w:r>
              <w:rPr>
                <w:sz w:val="25"/>
                <w:szCs w:val="25"/>
              </w:rPr>
              <w:t>)</w:t>
            </w:r>
          </w:p>
          <w:p w:rsidR="00892A0D" w:rsidRDefault="00892A0D" w:rsidP="00892A0D">
            <w:pPr>
              <w:pStyle w:val="BodyText"/>
              <w:jc w:val="left"/>
              <w:rPr>
                <w:sz w:val="25"/>
                <w:szCs w:val="25"/>
              </w:rPr>
            </w:pPr>
            <w:r>
              <w:rPr>
                <w:sz w:val="25"/>
                <w:szCs w:val="25"/>
              </w:rPr>
              <w:t>)</w:t>
            </w:r>
          </w:p>
          <w:p w:rsidR="00892A0D" w:rsidRDefault="00892A0D" w:rsidP="00892A0D">
            <w:pPr>
              <w:pStyle w:val="BodyText"/>
              <w:jc w:val="left"/>
              <w:rPr>
                <w:sz w:val="25"/>
                <w:szCs w:val="25"/>
              </w:rPr>
            </w:pPr>
            <w:r>
              <w:rPr>
                <w:sz w:val="25"/>
                <w:szCs w:val="25"/>
              </w:rPr>
              <w:t>)</w:t>
            </w:r>
          </w:p>
          <w:p w:rsidR="00892A0D" w:rsidRDefault="00892A0D" w:rsidP="00892A0D">
            <w:pPr>
              <w:pStyle w:val="BodyText"/>
              <w:jc w:val="left"/>
              <w:rPr>
                <w:sz w:val="25"/>
                <w:szCs w:val="25"/>
              </w:rPr>
            </w:pPr>
            <w:r>
              <w:rPr>
                <w:sz w:val="25"/>
                <w:szCs w:val="25"/>
              </w:rPr>
              <w:t>)</w:t>
            </w:r>
          </w:p>
          <w:p w:rsidR="00892A0D" w:rsidRDefault="00892A0D" w:rsidP="00892A0D">
            <w:pPr>
              <w:pStyle w:val="BodyText"/>
              <w:jc w:val="left"/>
              <w:rPr>
                <w:sz w:val="25"/>
                <w:szCs w:val="25"/>
              </w:rPr>
            </w:pPr>
            <w:r>
              <w:rPr>
                <w:sz w:val="25"/>
                <w:szCs w:val="25"/>
              </w:rPr>
              <w:t>)</w:t>
            </w:r>
          </w:p>
          <w:p w:rsidR="00892A0D" w:rsidRDefault="00892A0D" w:rsidP="00892A0D">
            <w:pPr>
              <w:pStyle w:val="BodyText"/>
              <w:jc w:val="left"/>
              <w:rPr>
                <w:sz w:val="25"/>
                <w:szCs w:val="25"/>
              </w:rPr>
            </w:pPr>
            <w:r>
              <w:rPr>
                <w:sz w:val="25"/>
                <w:szCs w:val="25"/>
              </w:rPr>
              <w:t>)</w:t>
            </w:r>
          </w:p>
          <w:p w:rsidR="00892A0D" w:rsidRDefault="00892A0D" w:rsidP="00892A0D">
            <w:pPr>
              <w:pStyle w:val="BodyText"/>
              <w:jc w:val="left"/>
              <w:rPr>
                <w:sz w:val="25"/>
                <w:szCs w:val="25"/>
              </w:rPr>
            </w:pPr>
            <w:r>
              <w:rPr>
                <w:sz w:val="25"/>
                <w:szCs w:val="25"/>
              </w:rPr>
              <w:t>)</w:t>
            </w:r>
          </w:p>
          <w:p w:rsidR="00892A0D" w:rsidRDefault="00892A0D" w:rsidP="001C5C92">
            <w:pPr>
              <w:pStyle w:val="BodyText"/>
              <w:jc w:val="left"/>
              <w:rPr>
                <w:sz w:val="25"/>
                <w:szCs w:val="25"/>
              </w:rPr>
            </w:pPr>
            <w:r>
              <w:rPr>
                <w:sz w:val="25"/>
                <w:szCs w:val="25"/>
              </w:rPr>
              <w:t>)</w:t>
            </w:r>
          </w:p>
          <w:p w:rsidR="000A30D2" w:rsidRDefault="000A30D2" w:rsidP="001C5C92">
            <w:pPr>
              <w:pStyle w:val="BodyText"/>
              <w:jc w:val="left"/>
              <w:rPr>
                <w:sz w:val="25"/>
                <w:szCs w:val="25"/>
              </w:rPr>
            </w:pPr>
            <w:r>
              <w:rPr>
                <w:sz w:val="25"/>
                <w:szCs w:val="25"/>
              </w:rPr>
              <w:t>)</w:t>
            </w:r>
          </w:p>
        </w:tc>
        <w:tc>
          <w:tcPr>
            <w:tcW w:w="4248" w:type="dxa"/>
          </w:tcPr>
          <w:p w:rsidR="00892A0D" w:rsidRDefault="00892A0D" w:rsidP="00892A0D">
            <w:pPr>
              <w:pStyle w:val="BodyText"/>
              <w:jc w:val="left"/>
              <w:rPr>
                <w:sz w:val="25"/>
                <w:szCs w:val="25"/>
              </w:rPr>
            </w:pPr>
            <w:r>
              <w:rPr>
                <w:sz w:val="25"/>
                <w:szCs w:val="25"/>
              </w:rPr>
              <w:t>DOCKET UW-121408</w:t>
            </w:r>
          </w:p>
          <w:p w:rsidR="00892A0D" w:rsidRDefault="00892A0D" w:rsidP="00892A0D">
            <w:pPr>
              <w:pStyle w:val="BodyText"/>
              <w:jc w:val="left"/>
              <w:rPr>
                <w:sz w:val="25"/>
                <w:szCs w:val="25"/>
              </w:rPr>
            </w:pPr>
          </w:p>
          <w:p w:rsidR="00892A0D" w:rsidRDefault="00892A0D" w:rsidP="00892A0D">
            <w:pPr>
              <w:pStyle w:val="BodyText"/>
              <w:jc w:val="left"/>
              <w:rPr>
                <w:sz w:val="25"/>
                <w:szCs w:val="25"/>
              </w:rPr>
            </w:pPr>
          </w:p>
          <w:p w:rsidR="00892A0D" w:rsidRDefault="00892A0D" w:rsidP="00892A0D">
            <w:pPr>
              <w:pStyle w:val="BodyText"/>
              <w:jc w:val="left"/>
              <w:rPr>
                <w:sz w:val="25"/>
                <w:szCs w:val="25"/>
              </w:rPr>
            </w:pPr>
            <w:r>
              <w:rPr>
                <w:sz w:val="25"/>
                <w:szCs w:val="25"/>
              </w:rPr>
              <w:t>ORDER 0</w:t>
            </w:r>
            <w:r w:rsidR="001779A3">
              <w:rPr>
                <w:sz w:val="25"/>
                <w:szCs w:val="25"/>
              </w:rPr>
              <w:t>5</w:t>
            </w:r>
          </w:p>
          <w:p w:rsidR="00892A0D" w:rsidRDefault="00892A0D" w:rsidP="00892A0D">
            <w:pPr>
              <w:pStyle w:val="BodyText"/>
              <w:jc w:val="left"/>
              <w:rPr>
                <w:sz w:val="25"/>
                <w:szCs w:val="25"/>
              </w:rPr>
            </w:pPr>
          </w:p>
          <w:p w:rsidR="00CC64FE" w:rsidRDefault="00CC64FE" w:rsidP="00892A0D">
            <w:pPr>
              <w:pStyle w:val="BodyText"/>
              <w:jc w:val="left"/>
              <w:rPr>
                <w:sz w:val="25"/>
                <w:szCs w:val="25"/>
              </w:rPr>
            </w:pPr>
          </w:p>
          <w:p w:rsidR="006D2993" w:rsidRPr="006D2993" w:rsidRDefault="00A94DE6" w:rsidP="006D2993">
            <w:pPr>
              <w:spacing w:line="264" w:lineRule="auto"/>
              <w:rPr>
                <w:b/>
                <w:sz w:val="25"/>
                <w:szCs w:val="25"/>
              </w:rPr>
            </w:pPr>
            <w:r>
              <w:rPr>
                <w:sz w:val="25"/>
                <w:szCs w:val="25"/>
              </w:rPr>
              <w:t xml:space="preserve">INITIAL </w:t>
            </w:r>
            <w:r w:rsidR="006D2993" w:rsidRPr="006D2993">
              <w:rPr>
                <w:sz w:val="25"/>
                <w:szCs w:val="25"/>
              </w:rPr>
              <w:t>ORDER</w:t>
            </w:r>
            <w:r w:rsidR="006F0518">
              <w:rPr>
                <w:sz w:val="25"/>
                <w:szCs w:val="25"/>
              </w:rPr>
              <w:t xml:space="preserve"> </w:t>
            </w:r>
            <w:r w:rsidR="001779A3">
              <w:rPr>
                <w:sz w:val="25"/>
                <w:szCs w:val="25"/>
              </w:rPr>
              <w:t>GRANTING MOTION TO DISMISS WITHOUT PREJUDICE</w:t>
            </w:r>
          </w:p>
          <w:p w:rsidR="00892A0D" w:rsidRDefault="00892A0D">
            <w:pPr>
              <w:pStyle w:val="BodyText"/>
              <w:jc w:val="left"/>
              <w:rPr>
                <w:sz w:val="25"/>
                <w:szCs w:val="25"/>
              </w:rPr>
            </w:pPr>
          </w:p>
        </w:tc>
      </w:tr>
    </w:tbl>
    <w:p w:rsidR="005711E5" w:rsidRPr="00892A0D" w:rsidRDefault="005711E5">
      <w:pPr>
        <w:pStyle w:val="Header"/>
        <w:tabs>
          <w:tab w:val="clear" w:pos="4320"/>
          <w:tab w:val="clear" w:pos="8640"/>
        </w:tabs>
        <w:rPr>
          <w:sz w:val="25"/>
          <w:szCs w:val="25"/>
        </w:rPr>
        <w:sectPr w:rsidR="005711E5" w:rsidRPr="00892A0D">
          <w:headerReference w:type="default" r:id="rId9"/>
          <w:headerReference w:type="first" r:id="rId10"/>
          <w:pgSz w:w="12240" w:h="15840"/>
          <w:pgMar w:top="1440" w:right="1440" w:bottom="1440" w:left="2160" w:header="720" w:footer="720" w:gutter="0"/>
          <w:cols w:space="720"/>
          <w:titlePg/>
          <w:docGrid w:linePitch="360"/>
        </w:sectPr>
      </w:pPr>
    </w:p>
    <w:p w:rsidR="00434B19" w:rsidRDefault="00434B19" w:rsidP="00892A0D">
      <w:pPr>
        <w:rPr>
          <w:sz w:val="25"/>
          <w:szCs w:val="25"/>
        </w:rPr>
      </w:pPr>
    </w:p>
    <w:p w:rsidR="001C5C92" w:rsidRPr="00892A0D" w:rsidRDefault="001C5C92" w:rsidP="00892A0D">
      <w:pPr>
        <w:rPr>
          <w:sz w:val="25"/>
          <w:szCs w:val="25"/>
        </w:rPr>
      </w:pPr>
    </w:p>
    <w:p w:rsidR="00977B44" w:rsidRPr="00977B44" w:rsidRDefault="00977B44" w:rsidP="00977B44">
      <w:pPr>
        <w:numPr>
          <w:ilvl w:val="0"/>
          <w:numId w:val="2"/>
        </w:numPr>
        <w:spacing w:line="288" w:lineRule="auto"/>
        <w:rPr>
          <w:sz w:val="25"/>
          <w:szCs w:val="25"/>
        </w:rPr>
      </w:pPr>
      <w:r w:rsidRPr="00977B44">
        <w:rPr>
          <w:sz w:val="25"/>
          <w:szCs w:val="25"/>
        </w:rPr>
        <w:t>The Washington Utilities and Transportation Commission (Commission) initiated a special proceeding</w:t>
      </w:r>
      <w:r w:rsidRPr="00201076">
        <w:rPr>
          <w:sz w:val="25"/>
          <w:szCs w:val="25"/>
        </w:rPr>
        <w:t xml:space="preserve"> in this docket, pursuant to RCW 80.04.015, on November 21, 2012, to determine whether, and the extent to which, Sandy Point Improvement Company (Sandy Point or Company) is subject to Commission regulation under Chapter 80.28 RCW and is performing any act requiring approval of the Commission without securing such approval.  In addition, the Commission initiated a complaint proceeding against Sandy Point pursuant to RCW 80.04.110 and RCW 80.28.020.  The complaint alleges that the rates and charges being collected by Sandy Point are unfair, unjust</w:t>
      </w:r>
      <w:r w:rsidR="00702E6D">
        <w:rPr>
          <w:sz w:val="25"/>
          <w:szCs w:val="25"/>
        </w:rPr>
        <w:t>,</w:t>
      </w:r>
      <w:r w:rsidRPr="00201076">
        <w:rPr>
          <w:sz w:val="25"/>
          <w:szCs w:val="25"/>
        </w:rPr>
        <w:t xml:space="preserve"> and unreasonable, or unreasonably discriminatory or unduly preferential, </w:t>
      </w:r>
      <w:r>
        <w:rPr>
          <w:sz w:val="25"/>
          <w:szCs w:val="25"/>
        </w:rPr>
        <w:t>and may otherwise be</w:t>
      </w:r>
      <w:r w:rsidRPr="00977B44">
        <w:rPr>
          <w:sz w:val="25"/>
          <w:szCs w:val="25"/>
        </w:rPr>
        <w:t xml:space="preserve"> </w:t>
      </w:r>
      <w:r>
        <w:rPr>
          <w:sz w:val="25"/>
          <w:szCs w:val="25"/>
        </w:rPr>
        <w:t>unlawful</w:t>
      </w:r>
      <w:r w:rsidRPr="00977B44">
        <w:rPr>
          <w:sz w:val="25"/>
          <w:szCs w:val="25"/>
        </w:rPr>
        <w:t>.</w:t>
      </w:r>
      <w:r>
        <w:rPr>
          <w:sz w:val="25"/>
          <w:szCs w:val="25"/>
        </w:rPr>
        <w:t xml:space="preserve">  Finally, t</w:t>
      </w:r>
      <w:r w:rsidRPr="00977B44">
        <w:rPr>
          <w:sz w:val="25"/>
          <w:szCs w:val="25"/>
        </w:rPr>
        <w:t>he Commission initiate</w:t>
      </w:r>
      <w:r>
        <w:rPr>
          <w:sz w:val="25"/>
          <w:szCs w:val="25"/>
        </w:rPr>
        <w:t>d</w:t>
      </w:r>
      <w:r w:rsidRPr="00977B44">
        <w:rPr>
          <w:sz w:val="25"/>
          <w:szCs w:val="25"/>
        </w:rPr>
        <w:t xml:space="preserve"> a complaint proceeding for penalties pursuant to RCW 80.04.110 and RCW 80.04.380</w:t>
      </w:r>
      <w:r>
        <w:rPr>
          <w:sz w:val="25"/>
          <w:szCs w:val="25"/>
        </w:rPr>
        <w:t xml:space="preserve">, alleging that </w:t>
      </w:r>
      <w:r w:rsidRPr="00977B44">
        <w:rPr>
          <w:sz w:val="25"/>
          <w:szCs w:val="25"/>
        </w:rPr>
        <w:t>Sandy Point’s failure to file tariffs with the Commission constitutes a violation of RCW 80.28.050.  Per RCW 80.04.380, each day of such failure is a separate violation and subject to a separate monetary penalty.</w:t>
      </w:r>
    </w:p>
    <w:p w:rsidR="00977B44" w:rsidRPr="00977B44" w:rsidRDefault="00977B44" w:rsidP="00702E6D">
      <w:pPr>
        <w:spacing w:line="288" w:lineRule="auto"/>
        <w:rPr>
          <w:sz w:val="25"/>
          <w:szCs w:val="25"/>
        </w:rPr>
      </w:pPr>
    </w:p>
    <w:p w:rsidR="006C018B" w:rsidRPr="006C018B" w:rsidRDefault="007D7D1C" w:rsidP="009C5538">
      <w:pPr>
        <w:numPr>
          <w:ilvl w:val="0"/>
          <w:numId w:val="2"/>
        </w:numPr>
        <w:spacing w:line="288" w:lineRule="auto"/>
        <w:rPr>
          <w:sz w:val="25"/>
          <w:szCs w:val="25"/>
        </w:rPr>
      </w:pPr>
      <w:r w:rsidRPr="009C5538">
        <w:rPr>
          <w:bCs/>
          <w:sz w:val="25"/>
          <w:szCs w:val="25"/>
        </w:rPr>
        <w:t xml:space="preserve">On May 24, 2013, </w:t>
      </w:r>
      <w:r w:rsidR="00FE4CDD" w:rsidRPr="009C5538">
        <w:rPr>
          <w:bCs/>
          <w:sz w:val="25"/>
          <w:szCs w:val="25"/>
        </w:rPr>
        <w:t xml:space="preserve">the </w:t>
      </w:r>
      <w:r w:rsidRPr="009C5538">
        <w:rPr>
          <w:bCs/>
          <w:sz w:val="25"/>
          <w:szCs w:val="25"/>
        </w:rPr>
        <w:t>Commission</w:t>
      </w:r>
      <w:r w:rsidR="00FE4CDD" w:rsidRPr="009C5538">
        <w:rPr>
          <w:bCs/>
          <w:sz w:val="25"/>
          <w:szCs w:val="25"/>
        </w:rPr>
        <w:t>’s regulatory</w:t>
      </w:r>
      <w:r w:rsidRPr="009C5538">
        <w:rPr>
          <w:bCs/>
          <w:sz w:val="25"/>
          <w:szCs w:val="25"/>
        </w:rPr>
        <w:t xml:space="preserve"> </w:t>
      </w:r>
      <w:r w:rsidR="00FE4CDD" w:rsidRPr="009C5538">
        <w:rPr>
          <w:bCs/>
          <w:sz w:val="25"/>
          <w:szCs w:val="25"/>
        </w:rPr>
        <w:t>s</w:t>
      </w:r>
      <w:r w:rsidRPr="009C5538">
        <w:rPr>
          <w:bCs/>
          <w:sz w:val="25"/>
          <w:szCs w:val="25"/>
        </w:rPr>
        <w:t xml:space="preserve">taff </w:t>
      </w:r>
      <w:r w:rsidR="00862CF1" w:rsidRPr="009C5538">
        <w:rPr>
          <w:bCs/>
          <w:sz w:val="25"/>
          <w:szCs w:val="25"/>
        </w:rPr>
        <w:t>(Staff)</w:t>
      </w:r>
      <w:r w:rsidR="00EF435A" w:rsidRPr="00EF435A">
        <w:rPr>
          <w:bCs/>
          <w:sz w:val="25"/>
          <w:szCs w:val="25"/>
          <w:vertAlign w:val="superscript"/>
        </w:rPr>
        <w:footnoteReference w:id="1"/>
      </w:r>
      <w:r w:rsidR="00862CF1" w:rsidRPr="009C5538">
        <w:rPr>
          <w:bCs/>
          <w:sz w:val="25"/>
          <w:szCs w:val="25"/>
        </w:rPr>
        <w:t xml:space="preserve"> </w:t>
      </w:r>
      <w:r w:rsidRPr="009C5538">
        <w:rPr>
          <w:bCs/>
          <w:sz w:val="25"/>
          <w:szCs w:val="25"/>
        </w:rPr>
        <w:t xml:space="preserve">filed a motion with the </w:t>
      </w:r>
      <w:r w:rsidR="00FE4CDD" w:rsidRPr="009C5538">
        <w:rPr>
          <w:bCs/>
          <w:sz w:val="25"/>
          <w:szCs w:val="25"/>
        </w:rPr>
        <w:t xml:space="preserve">Commission </w:t>
      </w:r>
      <w:r w:rsidRPr="009C5538">
        <w:rPr>
          <w:bCs/>
          <w:sz w:val="25"/>
          <w:szCs w:val="25"/>
        </w:rPr>
        <w:t>seeking an order to dismiss</w:t>
      </w:r>
      <w:r w:rsidR="00977B44">
        <w:rPr>
          <w:bCs/>
          <w:sz w:val="25"/>
          <w:szCs w:val="25"/>
        </w:rPr>
        <w:t xml:space="preserve"> </w:t>
      </w:r>
      <w:r w:rsidR="00EF435A">
        <w:rPr>
          <w:bCs/>
          <w:sz w:val="25"/>
          <w:szCs w:val="25"/>
        </w:rPr>
        <w:t>this special proceeding and the Commission’s</w:t>
      </w:r>
      <w:r w:rsidR="00977B44">
        <w:rPr>
          <w:bCs/>
          <w:sz w:val="25"/>
          <w:szCs w:val="25"/>
        </w:rPr>
        <w:t xml:space="preserve"> complaint</w:t>
      </w:r>
      <w:r w:rsidR="00EF435A">
        <w:rPr>
          <w:bCs/>
          <w:sz w:val="25"/>
          <w:szCs w:val="25"/>
        </w:rPr>
        <w:t>s</w:t>
      </w:r>
      <w:r w:rsidR="00977B44">
        <w:rPr>
          <w:bCs/>
          <w:sz w:val="25"/>
          <w:szCs w:val="25"/>
        </w:rPr>
        <w:t xml:space="preserve"> against Sandy Point</w:t>
      </w:r>
      <w:r w:rsidRPr="009C5538">
        <w:rPr>
          <w:bCs/>
          <w:sz w:val="25"/>
          <w:szCs w:val="25"/>
        </w:rPr>
        <w:t>, without prejudice.</w:t>
      </w:r>
      <w:r w:rsidR="006B533D" w:rsidRPr="009C5538">
        <w:rPr>
          <w:bCs/>
          <w:sz w:val="25"/>
          <w:szCs w:val="25"/>
        </w:rPr>
        <w:t xml:space="preserve"> </w:t>
      </w:r>
      <w:r w:rsidRPr="009C5538">
        <w:rPr>
          <w:bCs/>
          <w:sz w:val="25"/>
          <w:szCs w:val="25"/>
        </w:rPr>
        <w:t xml:space="preserve">  </w:t>
      </w:r>
      <w:r w:rsidR="00EF435A">
        <w:rPr>
          <w:bCs/>
          <w:sz w:val="25"/>
          <w:szCs w:val="25"/>
        </w:rPr>
        <w:t>The motion states that t</w:t>
      </w:r>
      <w:r w:rsidR="00EF435A" w:rsidRPr="00EF435A">
        <w:rPr>
          <w:bCs/>
          <w:sz w:val="25"/>
          <w:szCs w:val="25"/>
        </w:rPr>
        <w:t>his docket</w:t>
      </w:r>
      <w:r w:rsidR="00EF435A">
        <w:rPr>
          <w:bCs/>
          <w:sz w:val="25"/>
          <w:szCs w:val="25"/>
        </w:rPr>
        <w:t xml:space="preserve">, </w:t>
      </w:r>
      <w:r w:rsidR="00EF435A">
        <w:rPr>
          <w:bCs/>
          <w:sz w:val="25"/>
          <w:szCs w:val="25"/>
        </w:rPr>
        <w:lastRenderedPageBreak/>
        <w:t>among other things,</w:t>
      </w:r>
      <w:r w:rsidR="00EF435A" w:rsidRPr="00EF435A">
        <w:rPr>
          <w:bCs/>
          <w:sz w:val="25"/>
          <w:szCs w:val="25"/>
        </w:rPr>
        <w:t xml:space="preserve"> </w:t>
      </w:r>
      <w:r w:rsidR="00EF435A">
        <w:rPr>
          <w:bCs/>
          <w:sz w:val="25"/>
          <w:szCs w:val="25"/>
        </w:rPr>
        <w:t>“</w:t>
      </w:r>
      <w:r w:rsidR="00EF435A" w:rsidRPr="00EF435A">
        <w:rPr>
          <w:bCs/>
          <w:sz w:val="25"/>
          <w:szCs w:val="25"/>
        </w:rPr>
        <w:t>involves application of WAC 480-110-255(2)(e) and (f), which describe certain entities that are exempt from Commission regulation.</w:t>
      </w:r>
      <w:r w:rsidR="00EF435A">
        <w:rPr>
          <w:bCs/>
          <w:sz w:val="25"/>
          <w:szCs w:val="25"/>
        </w:rPr>
        <w:t>”</w:t>
      </w:r>
      <w:r w:rsidR="00EF435A" w:rsidRPr="00EF435A">
        <w:rPr>
          <w:bCs/>
          <w:sz w:val="25"/>
          <w:szCs w:val="25"/>
        </w:rPr>
        <w:t xml:space="preserve">  Based on the issues raised in this docket</w:t>
      </w:r>
      <w:r w:rsidR="00EF435A">
        <w:rPr>
          <w:bCs/>
          <w:sz w:val="25"/>
          <w:szCs w:val="25"/>
        </w:rPr>
        <w:t xml:space="preserve"> in cross-motions for summary determination, and otherwise</w:t>
      </w:r>
      <w:r w:rsidR="00EF435A" w:rsidRPr="00EF435A">
        <w:rPr>
          <w:bCs/>
          <w:sz w:val="25"/>
          <w:szCs w:val="25"/>
        </w:rPr>
        <w:t xml:space="preserve">, Staff is concerned that the rule may be interpreted </w:t>
      </w:r>
      <w:r w:rsidR="00EF435A">
        <w:rPr>
          <w:bCs/>
          <w:sz w:val="25"/>
          <w:szCs w:val="25"/>
        </w:rPr>
        <w:t>more broadly</w:t>
      </w:r>
      <w:r w:rsidR="00EF435A" w:rsidRPr="00EF435A">
        <w:rPr>
          <w:bCs/>
          <w:sz w:val="25"/>
          <w:szCs w:val="25"/>
        </w:rPr>
        <w:t xml:space="preserve"> than justified and</w:t>
      </w:r>
      <w:r w:rsidR="00EF435A">
        <w:rPr>
          <w:bCs/>
          <w:sz w:val="25"/>
          <w:szCs w:val="25"/>
        </w:rPr>
        <w:t>,</w:t>
      </w:r>
      <w:r w:rsidR="00EF435A" w:rsidRPr="00EF435A">
        <w:rPr>
          <w:bCs/>
          <w:sz w:val="25"/>
          <w:szCs w:val="25"/>
        </w:rPr>
        <w:t xml:space="preserve"> thus</w:t>
      </w:r>
      <w:r w:rsidR="00EF435A">
        <w:rPr>
          <w:bCs/>
          <w:sz w:val="25"/>
          <w:szCs w:val="25"/>
        </w:rPr>
        <w:t>,</w:t>
      </w:r>
      <w:r w:rsidR="00EF435A" w:rsidRPr="00EF435A">
        <w:rPr>
          <w:bCs/>
          <w:sz w:val="25"/>
          <w:szCs w:val="25"/>
        </w:rPr>
        <w:t xml:space="preserve"> may be read to exempt entities that </w:t>
      </w:r>
      <w:r w:rsidR="00EF435A">
        <w:rPr>
          <w:bCs/>
          <w:sz w:val="25"/>
          <w:szCs w:val="25"/>
        </w:rPr>
        <w:t>should not be</w:t>
      </w:r>
      <w:r w:rsidR="00EF435A" w:rsidRPr="00EF435A">
        <w:rPr>
          <w:bCs/>
          <w:sz w:val="25"/>
          <w:szCs w:val="25"/>
        </w:rPr>
        <w:t xml:space="preserve"> exempt.  After thorough consideration, Staff concludes that it is preferable for the Commission to dismiss this docket without prejudice, and address the rule via a rulemaking proceeding</w:t>
      </w:r>
      <w:r w:rsidR="00DC310C" w:rsidRPr="00EF435A">
        <w:rPr>
          <w:bCs/>
          <w:sz w:val="25"/>
          <w:szCs w:val="25"/>
        </w:rPr>
        <w:t>.</w:t>
      </w:r>
      <w:r w:rsidR="006C018B">
        <w:rPr>
          <w:bCs/>
          <w:sz w:val="25"/>
          <w:szCs w:val="25"/>
        </w:rPr>
        <w:t xml:space="preserve">  Staff requests </w:t>
      </w:r>
      <w:r w:rsidR="00DF5A05">
        <w:rPr>
          <w:bCs/>
          <w:sz w:val="25"/>
          <w:szCs w:val="25"/>
        </w:rPr>
        <w:t xml:space="preserve">that </w:t>
      </w:r>
      <w:r w:rsidR="006C018B">
        <w:rPr>
          <w:bCs/>
          <w:sz w:val="25"/>
          <w:szCs w:val="25"/>
        </w:rPr>
        <w:t>the Commission delay any further classification of Sandy Point until the rulemaking is concluded</w:t>
      </w:r>
      <w:r w:rsidR="00EF435A">
        <w:rPr>
          <w:bCs/>
          <w:sz w:val="25"/>
          <w:szCs w:val="25"/>
        </w:rPr>
        <w:t>.  Staff states that if there is a subsequent classification proceeding brought with respect to Sandy Point, it</w:t>
      </w:r>
      <w:r w:rsidR="006C018B">
        <w:rPr>
          <w:bCs/>
          <w:sz w:val="25"/>
          <w:szCs w:val="25"/>
        </w:rPr>
        <w:t xml:space="preserve"> will not seek remedies against </w:t>
      </w:r>
      <w:r w:rsidR="00EF435A">
        <w:rPr>
          <w:bCs/>
          <w:sz w:val="25"/>
          <w:szCs w:val="25"/>
        </w:rPr>
        <w:t>the Company</w:t>
      </w:r>
      <w:r w:rsidR="006C018B">
        <w:rPr>
          <w:bCs/>
          <w:sz w:val="25"/>
          <w:szCs w:val="25"/>
        </w:rPr>
        <w:t xml:space="preserve"> for conduct before May 2013.  </w:t>
      </w:r>
    </w:p>
    <w:p w:rsidR="006C018B" w:rsidRPr="006C018B" w:rsidRDefault="006C018B" w:rsidP="006C018B">
      <w:pPr>
        <w:spacing w:line="288" w:lineRule="auto"/>
        <w:rPr>
          <w:sz w:val="25"/>
          <w:szCs w:val="25"/>
        </w:rPr>
      </w:pPr>
    </w:p>
    <w:p w:rsidR="00E92506" w:rsidRPr="00DF5A05" w:rsidRDefault="009C5538" w:rsidP="009C5538">
      <w:pPr>
        <w:numPr>
          <w:ilvl w:val="0"/>
          <w:numId w:val="2"/>
        </w:numPr>
        <w:spacing w:line="288" w:lineRule="auto"/>
        <w:rPr>
          <w:sz w:val="25"/>
          <w:szCs w:val="25"/>
        </w:rPr>
      </w:pPr>
      <w:r>
        <w:rPr>
          <w:bCs/>
          <w:sz w:val="25"/>
          <w:szCs w:val="25"/>
        </w:rPr>
        <w:t xml:space="preserve">Sandy Point </w:t>
      </w:r>
      <w:r w:rsidR="007D7D1C" w:rsidRPr="009C5538">
        <w:rPr>
          <w:bCs/>
          <w:sz w:val="25"/>
          <w:szCs w:val="25"/>
        </w:rPr>
        <w:t xml:space="preserve">supports </w:t>
      </w:r>
      <w:r w:rsidR="000B23C9" w:rsidRPr="009C5538">
        <w:rPr>
          <w:bCs/>
          <w:sz w:val="25"/>
          <w:szCs w:val="25"/>
        </w:rPr>
        <w:t>Commission Staff’s</w:t>
      </w:r>
      <w:r w:rsidR="007D7D1C" w:rsidRPr="009C5538">
        <w:rPr>
          <w:bCs/>
          <w:sz w:val="25"/>
          <w:szCs w:val="25"/>
        </w:rPr>
        <w:t xml:space="preserve"> motion</w:t>
      </w:r>
      <w:r w:rsidR="00201076">
        <w:rPr>
          <w:bCs/>
          <w:sz w:val="25"/>
          <w:szCs w:val="25"/>
        </w:rPr>
        <w:t xml:space="preserve"> under the conditions it outlines.  Mr. Steven Lockwood, an intervenor in this proceeding, informed the Commission informally that he also s</w:t>
      </w:r>
      <w:r w:rsidR="00CA5C87">
        <w:rPr>
          <w:bCs/>
          <w:sz w:val="25"/>
          <w:szCs w:val="25"/>
        </w:rPr>
        <w:t>upports the motion to dismiss.</w:t>
      </w:r>
    </w:p>
    <w:p w:rsidR="00DF5A05" w:rsidRDefault="00DF5A05" w:rsidP="00DF5A05">
      <w:pPr>
        <w:pStyle w:val="ListParagraph"/>
        <w:rPr>
          <w:sz w:val="25"/>
          <w:szCs w:val="25"/>
        </w:rPr>
      </w:pPr>
    </w:p>
    <w:p w:rsidR="009C5538" w:rsidRPr="009C5538" w:rsidRDefault="00201076" w:rsidP="009C5538">
      <w:pPr>
        <w:numPr>
          <w:ilvl w:val="0"/>
          <w:numId w:val="2"/>
        </w:numPr>
        <w:spacing w:line="288" w:lineRule="auto"/>
        <w:rPr>
          <w:sz w:val="25"/>
          <w:szCs w:val="25"/>
        </w:rPr>
      </w:pPr>
      <w:r>
        <w:rPr>
          <w:sz w:val="25"/>
          <w:szCs w:val="25"/>
        </w:rPr>
        <w:t>The Commission determines, for good cause shown, that it is in the public interest to grant Staff’s motion, terminate this special proceeding</w:t>
      </w:r>
      <w:r w:rsidR="00E904B1">
        <w:rPr>
          <w:sz w:val="25"/>
          <w:szCs w:val="25"/>
        </w:rPr>
        <w:t>,</w:t>
      </w:r>
      <w:r>
        <w:rPr>
          <w:sz w:val="25"/>
          <w:szCs w:val="25"/>
        </w:rPr>
        <w:t xml:space="preserve"> and dismiss the complaints against Sandy Point, without prejudice</w:t>
      </w:r>
      <w:r w:rsidR="00771DC4">
        <w:rPr>
          <w:sz w:val="25"/>
          <w:szCs w:val="25"/>
        </w:rPr>
        <w:t>.</w:t>
      </w:r>
    </w:p>
    <w:p w:rsidR="00991C7D" w:rsidRPr="00991C7D" w:rsidRDefault="00991C7D" w:rsidP="00991C7D">
      <w:pPr>
        <w:spacing w:line="288" w:lineRule="auto"/>
        <w:rPr>
          <w:sz w:val="25"/>
          <w:szCs w:val="25"/>
        </w:rPr>
      </w:pPr>
    </w:p>
    <w:p w:rsidR="00A677D0" w:rsidRPr="00356C83" w:rsidRDefault="00A677D0" w:rsidP="00A677D0">
      <w:pPr>
        <w:pStyle w:val="NoSpacing"/>
        <w:spacing w:line="288" w:lineRule="auto"/>
        <w:jc w:val="center"/>
        <w:rPr>
          <w:b/>
          <w:sz w:val="25"/>
          <w:szCs w:val="25"/>
          <w:u w:val="single"/>
        </w:rPr>
      </w:pPr>
      <w:r w:rsidRPr="00356C83">
        <w:rPr>
          <w:b/>
          <w:sz w:val="25"/>
          <w:szCs w:val="25"/>
          <w:u w:val="single"/>
        </w:rPr>
        <w:t>ORDER</w:t>
      </w:r>
    </w:p>
    <w:p w:rsidR="00A677D0" w:rsidRPr="00C025F2" w:rsidRDefault="00A677D0" w:rsidP="00A677D0">
      <w:pPr>
        <w:pStyle w:val="NoSpacing"/>
        <w:spacing w:line="288" w:lineRule="auto"/>
        <w:rPr>
          <w:sz w:val="25"/>
          <w:szCs w:val="25"/>
        </w:rPr>
      </w:pPr>
    </w:p>
    <w:p w:rsidR="004059E6" w:rsidRPr="00991C7D" w:rsidRDefault="00A677D0" w:rsidP="00420DE0">
      <w:pPr>
        <w:numPr>
          <w:ilvl w:val="0"/>
          <w:numId w:val="2"/>
        </w:numPr>
        <w:spacing w:line="288" w:lineRule="auto"/>
        <w:rPr>
          <w:sz w:val="25"/>
          <w:szCs w:val="25"/>
        </w:rPr>
      </w:pPr>
      <w:r w:rsidRPr="00C025F2">
        <w:rPr>
          <w:sz w:val="25"/>
          <w:szCs w:val="25"/>
        </w:rPr>
        <w:t>THE COMMISSION ORDERS</w:t>
      </w:r>
      <w:r w:rsidR="00201076">
        <w:rPr>
          <w:sz w:val="25"/>
          <w:szCs w:val="25"/>
        </w:rPr>
        <w:t xml:space="preserve"> </w:t>
      </w:r>
      <w:r w:rsidR="00DC310C">
        <w:rPr>
          <w:sz w:val="25"/>
          <w:szCs w:val="25"/>
        </w:rPr>
        <w:t>that</w:t>
      </w:r>
      <w:r w:rsidR="00201076">
        <w:rPr>
          <w:sz w:val="25"/>
          <w:szCs w:val="25"/>
        </w:rPr>
        <w:t xml:space="preserve"> </w:t>
      </w:r>
      <w:r w:rsidR="00201076">
        <w:rPr>
          <w:bCs/>
          <w:sz w:val="25"/>
          <w:szCs w:val="25"/>
        </w:rPr>
        <w:t>t</w:t>
      </w:r>
      <w:r w:rsidR="00991C7D">
        <w:rPr>
          <w:bCs/>
          <w:sz w:val="25"/>
          <w:szCs w:val="25"/>
        </w:rPr>
        <w:t>h</w:t>
      </w:r>
      <w:r w:rsidR="00A02CBB">
        <w:rPr>
          <w:bCs/>
          <w:sz w:val="25"/>
          <w:szCs w:val="25"/>
        </w:rPr>
        <w:t>is</w:t>
      </w:r>
      <w:r w:rsidR="00991C7D">
        <w:rPr>
          <w:bCs/>
          <w:sz w:val="25"/>
          <w:szCs w:val="25"/>
        </w:rPr>
        <w:t xml:space="preserve"> proce</w:t>
      </w:r>
      <w:r w:rsidR="00A02CBB">
        <w:rPr>
          <w:bCs/>
          <w:sz w:val="25"/>
          <w:szCs w:val="25"/>
        </w:rPr>
        <w:t>e</w:t>
      </w:r>
      <w:r w:rsidR="00991C7D">
        <w:rPr>
          <w:bCs/>
          <w:sz w:val="25"/>
          <w:szCs w:val="25"/>
        </w:rPr>
        <w:t>d</w:t>
      </w:r>
      <w:r w:rsidR="00A02CBB">
        <w:rPr>
          <w:bCs/>
          <w:sz w:val="25"/>
          <w:szCs w:val="25"/>
        </w:rPr>
        <w:t>ing</w:t>
      </w:r>
      <w:r w:rsidR="00991C7D">
        <w:rPr>
          <w:bCs/>
          <w:sz w:val="25"/>
          <w:szCs w:val="25"/>
        </w:rPr>
        <w:t xml:space="preserve"> is </w:t>
      </w:r>
      <w:r w:rsidR="00A02CBB">
        <w:rPr>
          <w:bCs/>
          <w:sz w:val="25"/>
          <w:szCs w:val="25"/>
        </w:rPr>
        <w:t>dismissed without prejudice</w:t>
      </w:r>
      <w:r w:rsidR="00DA08E2">
        <w:rPr>
          <w:bCs/>
          <w:sz w:val="25"/>
          <w:szCs w:val="25"/>
        </w:rPr>
        <w:t>.</w:t>
      </w:r>
    </w:p>
    <w:p w:rsidR="004059E6" w:rsidRPr="00DA5DBB" w:rsidRDefault="004059E6" w:rsidP="004059E6">
      <w:pPr>
        <w:pStyle w:val="Header"/>
        <w:tabs>
          <w:tab w:val="clear" w:pos="4320"/>
          <w:tab w:val="clear" w:pos="8640"/>
        </w:tabs>
        <w:spacing w:line="264" w:lineRule="auto"/>
        <w:rPr>
          <w:sz w:val="25"/>
          <w:szCs w:val="25"/>
        </w:rPr>
      </w:pPr>
    </w:p>
    <w:p w:rsidR="004059E6" w:rsidRPr="00DA5DBB" w:rsidRDefault="004059E6" w:rsidP="004059E6">
      <w:pPr>
        <w:spacing w:line="288" w:lineRule="auto"/>
        <w:rPr>
          <w:sz w:val="25"/>
          <w:szCs w:val="25"/>
        </w:rPr>
      </w:pPr>
      <w:r w:rsidRPr="00DA5DBB">
        <w:rPr>
          <w:sz w:val="25"/>
          <w:szCs w:val="25"/>
        </w:rPr>
        <w:t xml:space="preserve">Dated at Olympia, Washington, and effective </w:t>
      </w:r>
      <w:r w:rsidR="00201076">
        <w:rPr>
          <w:sz w:val="25"/>
          <w:szCs w:val="25"/>
        </w:rPr>
        <w:t xml:space="preserve">June </w:t>
      </w:r>
      <w:r w:rsidR="00420DE0">
        <w:rPr>
          <w:sz w:val="25"/>
          <w:szCs w:val="25"/>
        </w:rPr>
        <w:t>6</w:t>
      </w:r>
      <w:r w:rsidR="007E33EA">
        <w:rPr>
          <w:sz w:val="25"/>
          <w:szCs w:val="25"/>
        </w:rPr>
        <w:t>, 2013</w:t>
      </w:r>
      <w:r w:rsidRPr="00DA5DBB">
        <w:rPr>
          <w:sz w:val="25"/>
          <w:szCs w:val="25"/>
        </w:rPr>
        <w:t>.</w:t>
      </w:r>
    </w:p>
    <w:p w:rsidR="004059E6" w:rsidRPr="00DA5DBB" w:rsidRDefault="004059E6" w:rsidP="004059E6">
      <w:pPr>
        <w:pStyle w:val="Header"/>
        <w:tabs>
          <w:tab w:val="clear" w:pos="4320"/>
          <w:tab w:val="clear" w:pos="8640"/>
        </w:tabs>
        <w:spacing w:line="288" w:lineRule="auto"/>
        <w:rPr>
          <w:sz w:val="25"/>
          <w:szCs w:val="25"/>
        </w:rPr>
      </w:pPr>
    </w:p>
    <w:p w:rsidR="004059E6" w:rsidRPr="00DA5DBB" w:rsidRDefault="004059E6" w:rsidP="004059E6">
      <w:pPr>
        <w:spacing w:line="288" w:lineRule="auto"/>
        <w:jc w:val="center"/>
        <w:rPr>
          <w:sz w:val="25"/>
          <w:szCs w:val="25"/>
        </w:rPr>
      </w:pPr>
      <w:r w:rsidRPr="00DA5DBB">
        <w:rPr>
          <w:sz w:val="25"/>
          <w:szCs w:val="25"/>
        </w:rPr>
        <w:t>WASHINGTON UTILITIES AND TRANSPORTATION COMMISSION</w:t>
      </w:r>
    </w:p>
    <w:p w:rsidR="004059E6" w:rsidRPr="00DA5DBB" w:rsidRDefault="004059E6" w:rsidP="004059E6">
      <w:pPr>
        <w:spacing w:line="288" w:lineRule="auto"/>
        <w:rPr>
          <w:sz w:val="25"/>
          <w:szCs w:val="25"/>
        </w:rPr>
      </w:pPr>
    </w:p>
    <w:p w:rsidR="004059E6" w:rsidRDefault="004059E6" w:rsidP="004059E6">
      <w:pPr>
        <w:spacing w:line="288" w:lineRule="auto"/>
        <w:rPr>
          <w:sz w:val="25"/>
          <w:szCs w:val="25"/>
        </w:rPr>
      </w:pPr>
    </w:p>
    <w:p w:rsidR="00024CD1" w:rsidRDefault="00024CD1" w:rsidP="004059E6">
      <w:pPr>
        <w:spacing w:line="288" w:lineRule="auto"/>
        <w:rPr>
          <w:sz w:val="25"/>
          <w:szCs w:val="25"/>
        </w:rPr>
      </w:pPr>
    </w:p>
    <w:p w:rsidR="00024CD1" w:rsidRPr="00024CD1" w:rsidRDefault="00024CD1" w:rsidP="00024CD1">
      <w:pPr>
        <w:spacing w:line="288" w:lineRule="auto"/>
        <w:ind w:left="3600" w:firstLine="720"/>
        <w:rPr>
          <w:sz w:val="25"/>
          <w:szCs w:val="25"/>
        </w:rPr>
      </w:pPr>
      <w:r w:rsidRPr="00024CD1">
        <w:rPr>
          <w:sz w:val="25"/>
          <w:szCs w:val="25"/>
        </w:rPr>
        <w:t>STEPHANY A. WATSON</w:t>
      </w:r>
    </w:p>
    <w:p w:rsidR="00024CD1" w:rsidRDefault="00024CD1" w:rsidP="00024CD1">
      <w:pPr>
        <w:spacing w:line="288" w:lineRule="auto"/>
        <w:rPr>
          <w:sz w:val="25"/>
          <w:szCs w:val="25"/>
        </w:rPr>
      </w:pPr>
      <w:r w:rsidRPr="00024CD1">
        <w:rPr>
          <w:sz w:val="25"/>
          <w:szCs w:val="25"/>
        </w:rPr>
        <w:tab/>
      </w:r>
      <w:r w:rsidRPr="00024CD1">
        <w:rPr>
          <w:sz w:val="25"/>
          <w:szCs w:val="25"/>
        </w:rPr>
        <w:tab/>
      </w:r>
      <w:r w:rsidRPr="00024CD1">
        <w:rPr>
          <w:sz w:val="25"/>
          <w:szCs w:val="25"/>
        </w:rPr>
        <w:tab/>
      </w:r>
      <w:r w:rsidRPr="00024CD1">
        <w:rPr>
          <w:sz w:val="25"/>
          <w:szCs w:val="25"/>
        </w:rPr>
        <w:tab/>
      </w:r>
      <w:r w:rsidRPr="00024CD1">
        <w:rPr>
          <w:sz w:val="25"/>
          <w:szCs w:val="25"/>
        </w:rPr>
        <w:tab/>
      </w:r>
      <w:r w:rsidRPr="00024CD1">
        <w:rPr>
          <w:sz w:val="25"/>
          <w:szCs w:val="25"/>
        </w:rPr>
        <w:tab/>
        <w:t>Administrative Law Judge</w:t>
      </w:r>
    </w:p>
    <w:p w:rsidR="00420DE0" w:rsidRDefault="00420DE0">
      <w:pPr>
        <w:rPr>
          <w:sz w:val="25"/>
          <w:szCs w:val="25"/>
        </w:rPr>
      </w:pPr>
      <w:r>
        <w:rPr>
          <w:sz w:val="25"/>
          <w:szCs w:val="25"/>
        </w:rPr>
        <w:br w:type="page"/>
      </w:r>
    </w:p>
    <w:p w:rsidR="00CD35FF" w:rsidRDefault="00CD35FF" w:rsidP="00024CD1">
      <w:pPr>
        <w:spacing w:line="288" w:lineRule="auto"/>
        <w:rPr>
          <w:sz w:val="25"/>
          <w:szCs w:val="25"/>
        </w:rPr>
      </w:pPr>
    </w:p>
    <w:p w:rsidR="00CD35FF" w:rsidRPr="00C025F2" w:rsidRDefault="00CD35FF" w:rsidP="00420DE0">
      <w:pPr>
        <w:tabs>
          <w:tab w:val="left" w:pos="385"/>
        </w:tabs>
        <w:spacing w:line="264" w:lineRule="auto"/>
        <w:rPr>
          <w:sz w:val="25"/>
          <w:szCs w:val="25"/>
        </w:rPr>
      </w:pPr>
      <w:r w:rsidRPr="00C025F2">
        <w:rPr>
          <w:b/>
          <w:sz w:val="25"/>
          <w:szCs w:val="25"/>
        </w:rPr>
        <w:t>NOTICE TO THE PARTIES</w:t>
      </w:r>
    </w:p>
    <w:p w:rsidR="00CD35FF" w:rsidRPr="00C025F2" w:rsidRDefault="00CD35FF" w:rsidP="00CD35FF">
      <w:pPr>
        <w:spacing w:line="264" w:lineRule="auto"/>
        <w:rPr>
          <w:sz w:val="25"/>
          <w:szCs w:val="25"/>
        </w:rPr>
      </w:pPr>
    </w:p>
    <w:p w:rsidR="00CD35FF" w:rsidRPr="00C025F2" w:rsidRDefault="00CD35FF" w:rsidP="00CD35FF">
      <w:pPr>
        <w:spacing w:line="264" w:lineRule="auto"/>
        <w:rPr>
          <w:sz w:val="25"/>
          <w:szCs w:val="25"/>
        </w:rPr>
      </w:pPr>
      <w:r w:rsidRPr="00C025F2">
        <w:rPr>
          <w:sz w:val="25"/>
          <w:szCs w:val="25"/>
        </w:rPr>
        <w:t xml:space="preserve">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w:t>
      </w:r>
      <w:r>
        <w:rPr>
          <w:sz w:val="25"/>
          <w:szCs w:val="25"/>
        </w:rPr>
        <w:t>o</w:t>
      </w:r>
      <w:r w:rsidRPr="00A445FD">
        <w:rPr>
          <w:sz w:val="25"/>
          <w:szCs w:val="25"/>
        </w:rPr>
        <w:t>rder</w:t>
      </w:r>
      <w:r w:rsidRPr="00C025F2">
        <w:rPr>
          <w:sz w:val="25"/>
          <w:szCs w:val="25"/>
        </w:rPr>
        <w:t xml:space="preserve"> to become final before the time limits expire, you may send a letter to the Commission, waiving your right to petition for administrative review.</w:t>
      </w:r>
    </w:p>
    <w:p w:rsidR="00CD35FF" w:rsidRPr="00C025F2" w:rsidRDefault="00CD35FF" w:rsidP="00CD35FF">
      <w:pPr>
        <w:spacing w:line="264" w:lineRule="auto"/>
        <w:rPr>
          <w:sz w:val="25"/>
          <w:szCs w:val="25"/>
        </w:rPr>
      </w:pPr>
    </w:p>
    <w:p w:rsidR="00CD35FF" w:rsidRPr="00C025F2" w:rsidRDefault="00CD35FF" w:rsidP="00CD35FF">
      <w:pPr>
        <w:spacing w:line="264" w:lineRule="auto"/>
        <w:rPr>
          <w:sz w:val="25"/>
          <w:szCs w:val="25"/>
        </w:rPr>
      </w:pPr>
      <w:r w:rsidRPr="00C025F2">
        <w:rPr>
          <w:sz w:val="25"/>
          <w:szCs w:val="25"/>
        </w:rPr>
        <w:t xml:space="preserve">WAC 480-07-825(2) provides that any party to this proceeding has 20 days after the entry of this initial order to file a </w:t>
      </w:r>
      <w:r>
        <w:rPr>
          <w:sz w:val="25"/>
          <w:szCs w:val="25"/>
        </w:rPr>
        <w:t>p</w:t>
      </w:r>
      <w:r w:rsidRPr="00A445FD">
        <w:rPr>
          <w:sz w:val="25"/>
          <w:szCs w:val="25"/>
        </w:rPr>
        <w:t xml:space="preserve">etition for </w:t>
      </w:r>
      <w:r>
        <w:rPr>
          <w:sz w:val="25"/>
          <w:szCs w:val="25"/>
        </w:rPr>
        <w:t>a</w:t>
      </w:r>
      <w:r w:rsidRPr="00A445FD">
        <w:rPr>
          <w:sz w:val="25"/>
          <w:szCs w:val="25"/>
        </w:rPr>
        <w:t xml:space="preserve">dministrative </w:t>
      </w:r>
      <w:r>
        <w:rPr>
          <w:sz w:val="25"/>
          <w:szCs w:val="25"/>
        </w:rPr>
        <w:t>r</w:t>
      </w:r>
      <w:r w:rsidRPr="00A445FD">
        <w:rPr>
          <w:sz w:val="25"/>
          <w:szCs w:val="25"/>
        </w:rPr>
        <w:t>eview</w:t>
      </w:r>
      <w:r>
        <w:rPr>
          <w:sz w:val="25"/>
          <w:szCs w:val="25"/>
        </w:rPr>
        <w:t xml:space="preserve"> (Petition)</w:t>
      </w:r>
      <w:r w:rsidRPr="00C025F2">
        <w:rPr>
          <w:sz w:val="25"/>
          <w:szCs w:val="25"/>
        </w:rPr>
        <w:t xml:space="preserve">.  Section (3) of the rule identifies what you must include in any </w:t>
      </w:r>
      <w:r>
        <w:rPr>
          <w:sz w:val="25"/>
          <w:szCs w:val="25"/>
        </w:rPr>
        <w:t>P</w:t>
      </w:r>
      <w:r w:rsidRPr="00C025F2">
        <w:rPr>
          <w:sz w:val="25"/>
          <w:szCs w:val="25"/>
        </w:rPr>
        <w:t>etition as well as other requirements for</w:t>
      </w:r>
      <w:r>
        <w:rPr>
          <w:sz w:val="25"/>
          <w:szCs w:val="25"/>
        </w:rPr>
        <w:t xml:space="preserve"> a P</w:t>
      </w:r>
      <w:r w:rsidRPr="00C025F2">
        <w:rPr>
          <w:sz w:val="25"/>
          <w:szCs w:val="25"/>
        </w:rPr>
        <w:t xml:space="preserve">etition.  WAC 480-07-825(4) states that any party may file an </w:t>
      </w:r>
      <w:r>
        <w:rPr>
          <w:sz w:val="25"/>
          <w:szCs w:val="25"/>
        </w:rPr>
        <w:t>a</w:t>
      </w:r>
      <w:r w:rsidRPr="00A445FD">
        <w:rPr>
          <w:sz w:val="25"/>
          <w:szCs w:val="25"/>
        </w:rPr>
        <w:t>nswer</w:t>
      </w:r>
      <w:r w:rsidRPr="00D11CC7">
        <w:rPr>
          <w:sz w:val="25"/>
          <w:szCs w:val="25"/>
        </w:rPr>
        <w:t xml:space="preserve"> </w:t>
      </w:r>
      <w:r>
        <w:rPr>
          <w:sz w:val="25"/>
          <w:szCs w:val="25"/>
        </w:rPr>
        <w:t xml:space="preserve">(Answer) </w:t>
      </w:r>
      <w:r w:rsidRPr="00C025F2">
        <w:rPr>
          <w:sz w:val="25"/>
          <w:szCs w:val="25"/>
        </w:rPr>
        <w:t>to a</w:t>
      </w:r>
      <w:r>
        <w:rPr>
          <w:sz w:val="25"/>
          <w:szCs w:val="25"/>
        </w:rPr>
        <w:t xml:space="preserve"> P</w:t>
      </w:r>
      <w:r w:rsidRPr="00A445FD">
        <w:rPr>
          <w:sz w:val="25"/>
          <w:szCs w:val="25"/>
        </w:rPr>
        <w:t>etition</w:t>
      </w:r>
      <w:r w:rsidR="00CA5C87">
        <w:rPr>
          <w:sz w:val="25"/>
          <w:szCs w:val="25"/>
        </w:rPr>
        <w:t xml:space="preserve"> within 10</w:t>
      </w:r>
      <w:r w:rsidRPr="00C025F2">
        <w:rPr>
          <w:sz w:val="25"/>
          <w:szCs w:val="25"/>
        </w:rPr>
        <w:t xml:space="preserve"> days after service of the </w:t>
      </w:r>
      <w:r>
        <w:rPr>
          <w:sz w:val="25"/>
          <w:szCs w:val="25"/>
        </w:rPr>
        <w:t>P</w:t>
      </w:r>
      <w:r w:rsidRPr="00C025F2">
        <w:rPr>
          <w:sz w:val="25"/>
          <w:szCs w:val="25"/>
        </w:rPr>
        <w:t>etition.</w:t>
      </w:r>
    </w:p>
    <w:p w:rsidR="00CD35FF" w:rsidRPr="00C025F2" w:rsidRDefault="00CD35FF" w:rsidP="00CD35FF">
      <w:pPr>
        <w:spacing w:line="264" w:lineRule="auto"/>
        <w:rPr>
          <w:sz w:val="25"/>
          <w:szCs w:val="25"/>
        </w:rPr>
      </w:pPr>
    </w:p>
    <w:p w:rsidR="00CD35FF" w:rsidRPr="00C025F2" w:rsidRDefault="00CD35FF" w:rsidP="00CD35FF">
      <w:pPr>
        <w:spacing w:line="264" w:lineRule="auto"/>
        <w:rPr>
          <w:sz w:val="25"/>
          <w:szCs w:val="25"/>
        </w:rPr>
      </w:pPr>
      <w:r w:rsidRPr="00C025F2">
        <w:rPr>
          <w:sz w:val="25"/>
          <w:szCs w:val="25"/>
        </w:rPr>
        <w:t>WAC 480-07-830 provides that before the Commission enters a final order</w:t>
      </w:r>
      <w:r>
        <w:rPr>
          <w:sz w:val="25"/>
          <w:szCs w:val="25"/>
        </w:rPr>
        <w:t>,</w:t>
      </w:r>
      <w:r w:rsidRPr="00C025F2">
        <w:rPr>
          <w:sz w:val="25"/>
          <w:szCs w:val="25"/>
        </w:rPr>
        <w:t xml:space="preserve"> any party may file a petition to reopen a contested proceeding to permit receipt of evidence essential to a decision, but unavailable and not reasonably discoverable at the time of hearing, or for other good and sufficient cause.  The Commission will not accept answers to a petition to reopen unless the Commission requests answers by written notice.</w:t>
      </w:r>
    </w:p>
    <w:p w:rsidR="00CD35FF" w:rsidRPr="00C025F2" w:rsidRDefault="00CD35FF" w:rsidP="00CD35FF">
      <w:pPr>
        <w:spacing w:line="264" w:lineRule="auto"/>
        <w:rPr>
          <w:sz w:val="25"/>
          <w:szCs w:val="25"/>
        </w:rPr>
      </w:pPr>
    </w:p>
    <w:p w:rsidR="00CD35FF" w:rsidRPr="00C025F2" w:rsidRDefault="00CD35FF" w:rsidP="00CD35FF">
      <w:pPr>
        <w:spacing w:line="264" w:lineRule="auto"/>
        <w:rPr>
          <w:sz w:val="25"/>
          <w:szCs w:val="25"/>
        </w:rPr>
      </w:pPr>
      <w:r w:rsidRPr="00C025F2">
        <w:rPr>
          <w:sz w:val="25"/>
          <w:szCs w:val="25"/>
        </w:rPr>
        <w:t>RCW 80.01.060(3), as amended in the 2006 legislative session, provides that an initial order will become final without further Commission action if no party seeks administrative review of the initial order and if the Commission fails to exercise administrative review on its own motion.  You will be notified if this order becomes final either by operation of law or on administrative review.</w:t>
      </w:r>
    </w:p>
    <w:p w:rsidR="00CD35FF" w:rsidRPr="00C025F2" w:rsidRDefault="00CD35FF" w:rsidP="00CD35FF">
      <w:pPr>
        <w:spacing w:line="264" w:lineRule="auto"/>
        <w:rPr>
          <w:sz w:val="25"/>
          <w:szCs w:val="25"/>
        </w:rPr>
      </w:pPr>
    </w:p>
    <w:p w:rsidR="00CD35FF" w:rsidRPr="00C025F2" w:rsidRDefault="00CD35FF" w:rsidP="00CD35FF">
      <w:pPr>
        <w:spacing w:line="264" w:lineRule="auto"/>
        <w:rPr>
          <w:sz w:val="25"/>
          <w:szCs w:val="25"/>
        </w:rPr>
      </w:pPr>
      <w:r w:rsidRPr="00C025F2">
        <w:rPr>
          <w:sz w:val="25"/>
          <w:szCs w:val="25"/>
        </w:rPr>
        <w:t xml:space="preserve">You must serve on each </w:t>
      </w:r>
      <w:r>
        <w:rPr>
          <w:sz w:val="25"/>
          <w:szCs w:val="25"/>
        </w:rPr>
        <w:t>party of record one copy of any P</w:t>
      </w:r>
      <w:r w:rsidRPr="00A445FD">
        <w:rPr>
          <w:sz w:val="25"/>
          <w:szCs w:val="25"/>
        </w:rPr>
        <w:t>etition</w:t>
      </w:r>
      <w:r>
        <w:rPr>
          <w:i/>
          <w:sz w:val="25"/>
          <w:szCs w:val="25"/>
        </w:rPr>
        <w:t xml:space="preserve"> </w:t>
      </w:r>
      <w:r w:rsidRPr="00C025F2">
        <w:rPr>
          <w:sz w:val="25"/>
          <w:szCs w:val="25"/>
        </w:rPr>
        <w:t xml:space="preserve">or </w:t>
      </w:r>
      <w:r>
        <w:rPr>
          <w:sz w:val="25"/>
          <w:szCs w:val="25"/>
        </w:rPr>
        <w:t>A</w:t>
      </w:r>
      <w:r w:rsidRPr="00A445FD">
        <w:rPr>
          <w:sz w:val="25"/>
          <w:szCs w:val="25"/>
        </w:rPr>
        <w:t>nswer</w:t>
      </w:r>
      <w:r>
        <w:rPr>
          <w:sz w:val="25"/>
          <w:szCs w:val="25"/>
        </w:rPr>
        <w:t xml:space="preserve"> filed with the C</w:t>
      </w:r>
      <w:r w:rsidRPr="00C025F2">
        <w:rPr>
          <w:sz w:val="25"/>
          <w:szCs w:val="25"/>
        </w:rPr>
        <w:t xml:space="preserve">ommission, including proof of service as required by WAC 480-07-150(8) and (9).  To file a </w:t>
      </w:r>
      <w:r>
        <w:rPr>
          <w:sz w:val="25"/>
          <w:szCs w:val="25"/>
        </w:rPr>
        <w:t>P</w:t>
      </w:r>
      <w:r w:rsidRPr="00A445FD">
        <w:rPr>
          <w:sz w:val="25"/>
          <w:szCs w:val="25"/>
        </w:rPr>
        <w:t>etition</w:t>
      </w:r>
      <w:r w:rsidRPr="00C025F2">
        <w:rPr>
          <w:sz w:val="25"/>
          <w:szCs w:val="25"/>
        </w:rPr>
        <w:t xml:space="preserve"> or </w:t>
      </w:r>
      <w:r>
        <w:rPr>
          <w:sz w:val="25"/>
          <w:szCs w:val="25"/>
        </w:rPr>
        <w:t>A</w:t>
      </w:r>
      <w:r w:rsidRPr="00A445FD">
        <w:rPr>
          <w:sz w:val="25"/>
          <w:szCs w:val="25"/>
        </w:rPr>
        <w:t>nswer</w:t>
      </w:r>
      <w:r w:rsidRPr="00C025F2">
        <w:rPr>
          <w:sz w:val="25"/>
          <w:szCs w:val="25"/>
        </w:rPr>
        <w:t xml:space="preserve"> with the Commission, you must file an original and </w:t>
      </w:r>
      <w:r w:rsidRPr="00A445FD">
        <w:rPr>
          <w:sz w:val="25"/>
          <w:szCs w:val="25"/>
        </w:rPr>
        <w:t>three</w:t>
      </w:r>
      <w:r w:rsidRPr="00C025F2">
        <w:rPr>
          <w:b/>
          <w:sz w:val="25"/>
          <w:szCs w:val="25"/>
        </w:rPr>
        <w:t xml:space="preserve"> </w:t>
      </w:r>
      <w:r w:rsidRPr="00C025F2">
        <w:rPr>
          <w:sz w:val="25"/>
          <w:szCs w:val="25"/>
        </w:rPr>
        <w:t xml:space="preserve">copies of your </w:t>
      </w:r>
      <w:r>
        <w:rPr>
          <w:sz w:val="25"/>
          <w:szCs w:val="25"/>
        </w:rPr>
        <w:t>P</w:t>
      </w:r>
      <w:r w:rsidRPr="00A445FD">
        <w:rPr>
          <w:sz w:val="25"/>
          <w:szCs w:val="25"/>
        </w:rPr>
        <w:t>etition</w:t>
      </w:r>
      <w:r w:rsidRPr="00C025F2">
        <w:rPr>
          <w:sz w:val="25"/>
          <w:szCs w:val="25"/>
        </w:rPr>
        <w:t xml:space="preserve"> or </w:t>
      </w:r>
      <w:r>
        <w:rPr>
          <w:sz w:val="25"/>
          <w:szCs w:val="25"/>
        </w:rPr>
        <w:t>A</w:t>
      </w:r>
      <w:r w:rsidRPr="00A445FD">
        <w:rPr>
          <w:sz w:val="25"/>
          <w:szCs w:val="25"/>
        </w:rPr>
        <w:t>nswer</w:t>
      </w:r>
      <w:r w:rsidRPr="00C025F2">
        <w:rPr>
          <w:sz w:val="25"/>
          <w:szCs w:val="25"/>
        </w:rPr>
        <w:t xml:space="preserve"> by mail delivery to:</w:t>
      </w:r>
    </w:p>
    <w:p w:rsidR="00CD35FF" w:rsidRPr="00C025F2" w:rsidRDefault="00CD35FF" w:rsidP="00CD35FF">
      <w:pPr>
        <w:spacing w:line="264" w:lineRule="auto"/>
        <w:rPr>
          <w:sz w:val="25"/>
          <w:szCs w:val="25"/>
        </w:rPr>
      </w:pPr>
    </w:p>
    <w:p w:rsidR="00CD35FF" w:rsidRPr="00C025F2" w:rsidRDefault="00CD35FF" w:rsidP="00CD35FF">
      <w:pPr>
        <w:spacing w:line="264" w:lineRule="auto"/>
        <w:rPr>
          <w:sz w:val="25"/>
          <w:szCs w:val="25"/>
        </w:rPr>
      </w:pPr>
      <w:r>
        <w:rPr>
          <w:sz w:val="25"/>
          <w:szCs w:val="25"/>
        </w:rPr>
        <w:t xml:space="preserve">Attn:  Steven V. King, Acting </w:t>
      </w:r>
      <w:r w:rsidRPr="00C025F2">
        <w:rPr>
          <w:sz w:val="25"/>
          <w:szCs w:val="25"/>
        </w:rPr>
        <w:t>Executive Director and Secretary</w:t>
      </w:r>
    </w:p>
    <w:p w:rsidR="00CD35FF" w:rsidRPr="00C025F2" w:rsidRDefault="00CD35FF" w:rsidP="00CD35FF">
      <w:pPr>
        <w:spacing w:line="264" w:lineRule="auto"/>
        <w:rPr>
          <w:sz w:val="25"/>
          <w:szCs w:val="25"/>
        </w:rPr>
      </w:pPr>
      <w:r w:rsidRPr="00C025F2">
        <w:rPr>
          <w:sz w:val="25"/>
          <w:szCs w:val="25"/>
        </w:rPr>
        <w:t xml:space="preserve">Washington Utilities and Transportation Commission </w:t>
      </w:r>
    </w:p>
    <w:p w:rsidR="00CD35FF" w:rsidRPr="00C025F2" w:rsidRDefault="00CD35FF" w:rsidP="00CD35FF">
      <w:pPr>
        <w:spacing w:line="264" w:lineRule="auto"/>
        <w:rPr>
          <w:sz w:val="25"/>
          <w:szCs w:val="25"/>
        </w:rPr>
      </w:pPr>
      <w:r w:rsidRPr="00C025F2">
        <w:rPr>
          <w:sz w:val="25"/>
          <w:szCs w:val="25"/>
        </w:rPr>
        <w:t>P.O. Box 47250</w:t>
      </w:r>
    </w:p>
    <w:p w:rsidR="00024CD1" w:rsidRPr="00024CD1" w:rsidRDefault="00CD35FF" w:rsidP="00201076">
      <w:pPr>
        <w:spacing w:line="288" w:lineRule="auto"/>
        <w:rPr>
          <w:sz w:val="25"/>
          <w:szCs w:val="25"/>
        </w:rPr>
      </w:pPr>
      <w:r w:rsidRPr="00C025F2">
        <w:rPr>
          <w:sz w:val="25"/>
          <w:szCs w:val="25"/>
        </w:rPr>
        <w:t>Olympia, Washington  98504-7250</w:t>
      </w:r>
    </w:p>
    <w:sectPr w:rsidR="00024CD1" w:rsidRPr="00024CD1" w:rsidSect="00CC64FE">
      <w:headerReference w:type="default" r:id="rId11"/>
      <w:type w:val="continuous"/>
      <w:pgSz w:w="12240" w:h="15840"/>
      <w:pgMar w:top="1440" w:right="1440" w:bottom="1440" w:left="2160" w:header="1440" w:footer="720" w:gutter="0"/>
      <w:cols w:space="0" w:equalWidth="0">
        <w:col w:w="9000" w:space="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D5D" w:rsidRDefault="00776D5D">
      <w:r>
        <w:separator/>
      </w:r>
    </w:p>
  </w:endnote>
  <w:endnote w:type="continuationSeparator" w:id="0">
    <w:p w:rsidR="00776D5D" w:rsidRDefault="00776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D5D" w:rsidRDefault="00776D5D">
      <w:r>
        <w:separator/>
      </w:r>
    </w:p>
  </w:footnote>
  <w:footnote w:type="continuationSeparator" w:id="0">
    <w:p w:rsidR="00776D5D" w:rsidRDefault="00776D5D">
      <w:r>
        <w:continuationSeparator/>
      </w:r>
    </w:p>
  </w:footnote>
  <w:footnote w:id="1">
    <w:p w:rsidR="00EF435A" w:rsidRPr="00E954A2" w:rsidRDefault="00EF435A" w:rsidP="00EF435A">
      <w:pPr>
        <w:pStyle w:val="FootnoteText"/>
        <w:rPr>
          <w:sz w:val="22"/>
          <w:szCs w:val="22"/>
        </w:rPr>
      </w:pPr>
      <w:r>
        <w:rPr>
          <w:rStyle w:val="FootnoteReference"/>
        </w:rPr>
        <w:footnoteRef/>
      </w:r>
      <w:r>
        <w:t xml:space="preserve"> </w:t>
      </w:r>
      <w:r w:rsidRPr="00E954A2">
        <w:rPr>
          <w:sz w:val="22"/>
          <w:szCs w:val="22"/>
        </w:rPr>
        <w:t xml:space="preserve">In a </w:t>
      </w:r>
      <w:r w:rsidRPr="00E954A2">
        <w:rPr>
          <w:iCs/>
          <w:sz w:val="22"/>
          <w:szCs w:val="22"/>
        </w:rPr>
        <w:t xml:space="preserve">formal proceeding,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E954A2">
        <w:rPr>
          <w:i/>
          <w:iCs/>
          <w:sz w:val="22"/>
          <w:szCs w:val="22"/>
        </w:rPr>
        <w:t>See</w:t>
      </w:r>
      <w:r w:rsidRPr="00E954A2">
        <w:rPr>
          <w:iCs/>
          <w:sz w:val="22"/>
          <w:szCs w:val="22"/>
        </w:rPr>
        <w:t xml:space="preserve"> RCW 34.05.455.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506" w:rsidRDefault="00E92506">
    <w:pPr>
      <w:pStyle w:val="Header"/>
    </w:pPr>
    <w:r>
      <w:t>DOCKET NO</w:t>
    </w:r>
    <w:r>
      <w:rPr>
        <w:b/>
        <w:bCs/>
      </w:rPr>
      <w:t xml:space="preserve">. </w:t>
    </w:r>
    <w:r>
      <w:t>UW-</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506" w:rsidRPr="00EB1BA2" w:rsidRDefault="005819DD" w:rsidP="00420DE0">
    <w:pPr>
      <w:pStyle w:val="Header"/>
      <w:rPr>
        <w:b/>
        <w:bCs/>
        <w:sz w:val="20"/>
        <w:szCs w:val="20"/>
      </w:rPr>
    </w:pPr>
    <w:r>
      <w:tab/>
    </w:r>
    <w:r>
      <w:tab/>
    </w:r>
    <w:r w:rsidR="00EB1BA2" w:rsidRPr="00EB1BA2">
      <w:rPr>
        <w:b/>
        <w:sz w:val="20"/>
        <w:szCs w:val="20"/>
      </w:rPr>
      <w:t>[Service Date June 6, 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506" w:rsidRPr="00F523EC" w:rsidRDefault="00E92506">
    <w:pPr>
      <w:pStyle w:val="Header"/>
      <w:rPr>
        <w:rStyle w:val="PageNumber"/>
        <w:b/>
        <w:bCs/>
        <w:sz w:val="20"/>
      </w:rPr>
    </w:pPr>
    <w:r w:rsidRPr="00F523EC">
      <w:rPr>
        <w:b/>
        <w:bCs/>
        <w:sz w:val="20"/>
      </w:rPr>
      <w:t>DOCKET UW-121408</w:t>
    </w:r>
    <w:r w:rsidRPr="00F523EC">
      <w:rPr>
        <w:b/>
        <w:bCs/>
        <w:sz w:val="20"/>
      </w:rPr>
      <w:tab/>
    </w:r>
    <w:r w:rsidRPr="00F523EC">
      <w:rPr>
        <w:b/>
        <w:bCs/>
        <w:sz w:val="20"/>
      </w:rPr>
      <w:tab/>
      <w:t xml:space="preserve">PAGE </w:t>
    </w:r>
    <w:r w:rsidRPr="00F523EC">
      <w:rPr>
        <w:rStyle w:val="PageNumber"/>
        <w:b/>
        <w:bCs/>
        <w:sz w:val="20"/>
      </w:rPr>
      <w:fldChar w:fldCharType="begin"/>
    </w:r>
    <w:r w:rsidRPr="00F523EC">
      <w:rPr>
        <w:rStyle w:val="PageNumber"/>
        <w:b/>
        <w:bCs/>
        <w:sz w:val="20"/>
      </w:rPr>
      <w:instrText xml:space="preserve"> PAGE </w:instrText>
    </w:r>
    <w:r w:rsidRPr="00F523EC">
      <w:rPr>
        <w:rStyle w:val="PageNumber"/>
        <w:b/>
        <w:bCs/>
        <w:sz w:val="20"/>
      </w:rPr>
      <w:fldChar w:fldCharType="separate"/>
    </w:r>
    <w:r w:rsidR="00EB1BA2">
      <w:rPr>
        <w:rStyle w:val="PageNumber"/>
        <w:b/>
        <w:bCs/>
        <w:noProof/>
        <w:sz w:val="20"/>
      </w:rPr>
      <w:t>3</w:t>
    </w:r>
    <w:r w:rsidRPr="00F523EC">
      <w:rPr>
        <w:rStyle w:val="PageNumber"/>
        <w:b/>
        <w:bCs/>
        <w:sz w:val="20"/>
      </w:rPr>
      <w:fldChar w:fldCharType="end"/>
    </w:r>
  </w:p>
  <w:p w:rsidR="00E92506" w:rsidRPr="00F523EC" w:rsidRDefault="00E92506">
    <w:pPr>
      <w:pStyle w:val="Header"/>
      <w:rPr>
        <w:rStyle w:val="PageNumber"/>
        <w:b/>
        <w:bCs/>
        <w:sz w:val="20"/>
      </w:rPr>
    </w:pPr>
    <w:r w:rsidRPr="00F523EC">
      <w:rPr>
        <w:rStyle w:val="PageNumber"/>
        <w:b/>
        <w:bCs/>
        <w:sz w:val="20"/>
      </w:rPr>
      <w:t>ORDER 0</w:t>
    </w:r>
    <w:r w:rsidR="005819DD">
      <w:rPr>
        <w:rStyle w:val="PageNumber"/>
        <w:b/>
        <w:bCs/>
        <w:sz w:val="20"/>
      </w:rPr>
      <w:t>5</w:t>
    </w:r>
  </w:p>
  <w:p w:rsidR="00E92506" w:rsidRPr="00F523EC" w:rsidRDefault="00E92506">
    <w:pPr>
      <w:pStyle w:val="Header"/>
      <w:rPr>
        <w:b/>
        <w:bC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B15"/>
    <w:multiLevelType w:val="hybridMultilevel"/>
    <w:tmpl w:val="7DA8F474"/>
    <w:lvl w:ilvl="0" w:tplc="0E2E59A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E063A0"/>
    <w:multiLevelType w:val="hybridMultilevel"/>
    <w:tmpl w:val="9B72CAE0"/>
    <w:lvl w:ilvl="0" w:tplc="A51478C6">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1280986"/>
    <w:multiLevelType w:val="hybridMultilevel"/>
    <w:tmpl w:val="88747476"/>
    <w:lvl w:ilvl="0" w:tplc="8E1080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AA32DC"/>
    <w:multiLevelType w:val="hybridMultilevel"/>
    <w:tmpl w:val="08B429A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450"/>
        </w:tabs>
        <w:ind w:left="450" w:hanging="360"/>
      </w:pPr>
      <w:rPr>
        <w:rFonts w:ascii="Times New Roman" w:eastAsia="Times New Roman" w:hAnsi="Times New Roman" w:cs="Times New Roman"/>
      </w:rPr>
    </w:lvl>
    <w:lvl w:ilvl="2" w:tplc="39640320">
      <w:start w:val="1"/>
      <w:numFmt w:val="decimal"/>
      <w:lvlText w:val="%3."/>
      <w:lvlJc w:val="right"/>
      <w:pPr>
        <w:tabs>
          <w:tab w:val="num" w:pos="180"/>
        </w:tabs>
        <w:ind w:left="18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0F">
      <w:start w:val="1"/>
      <w:numFmt w:val="decimal"/>
      <w:lvlText w:val="%6."/>
      <w:lvlJc w:val="left"/>
      <w:pPr>
        <w:tabs>
          <w:tab w:val="num" w:pos="4500"/>
        </w:tabs>
        <w:ind w:left="4500" w:hanging="360"/>
      </w:pPr>
      <w:rPr>
        <w:rFonts w:hint="default"/>
        <w:i w:val="0"/>
      </w:rPr>
    </w:lvl>
    <w:lvl w:ilvl="6" w:tplc="9A8A3250">
      <w:start w:val="2"/>
      <w:numFmt w:val="lowerLetter"/>
      <w:lvlText w:val="%7."/>
      <w:lvlJc w:val="left"/>
      <w:pPr>
        <w:ind w:left="5040" w:hanging="360"/>
      </w:pPr>
      <w:rPr>
        <w:rFonts w:hint="default"/>
      </w:rPr>
    </w:lvl>
    <w:lvl w:ilvl="7" w:tplc="59E6484E">
      <w:start w:val="7"/>
      <w:numFmt w:val="bullet"/>
      <w:lvlText w:val=""/>
      <w:lvlJc w:val="left"/>
      <w:pPr>
        <w:ind w:left="5760" w:hanging="360"/>
      </w:pPr>
      <w:rPr>
        <w:rFonts w:ascii="Symbol" w:eastAsia="Times New Roman" w:hAnsi="Symbol" w:cs="Times New Roman" w:hint="default"/>
      </w:r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Moves/>
  <w:defaultTabStop w:val="720"/>
  <w:drawingGridHorizontalSpacing w:val="55"/>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A1B"/>
    <w:rsid w:val="00024CD1"/>
    <w:rsid w:val="0004088B"/>
    <w:rsid w:val="000477A6"/>
    <w:rsid w:val="00077947"/>
    <w:rsid w:val="00083556"/>
    <w:rsid w:val="00090B35"/>
    <w:rsid w:val="000A30D2"/>
    <w:rsid w:val="000A5CAE"/>
    <w:rsid w:val="000B23C9"/>
    <w:rsid w:val="000C200E"/>
    <w:rsid w:val="000C468E"/>
    <w:rsid w:val="000D5F40"/>
    <w:rsid w:val="000D6A1B"/>
    <w:rsid w:val="000E75B5"/>
    <w:rsid w:val="000F1D22"/>
    <w:rsid w:val="000F45EC"/>
    <w:rsid w:val="0012336B"/>
    <w:rsid w:val="00152442"/>
    <w:rsid w:val="00161DE2"/>
    <w:rsid w:val="001726DB"/>
    <w:rsid w:val="0017428F"/>
    <w:rsid w:val="001779A3"/>
    <w:rsid w:val="00177BFE"/>
    <w:rsid w:val="001851E1"/>
    <w:rsid w:val="001922AE"/>
    <w:rsid w:val="00194C9F"/>
    <w:rsid w:val="001C5C92"/>
    <w:rsid w:val="001F3019"/>
    <w:rsid w:val="00201076"/>
    <w:rsid w:val="002458F0"/>
    <w:rsid w:val="00245E9C"/>
    <w:rsid w:val="0026515A"/>
    <w:rsid w:val="002959A2"/>
    <w:rsid w:val="003115DC"/>
    <w:rsid w:val="00326D75"/>
    <w:rsid w:val="00343481"/>
    <w:rsid w:val="00383B4D"/>
    <w:rsid w:val="003E7566"/>
    <w:rsid w:val="003F14F6"/>
    <w:rsid w:val="004059E6"/>
    <w:rsid w:val="00420DE0"/>
    <w:rsid w:val="00427395"/>
    <w:rsid w:val="00434B19"/>
    <w:rsid w:val="004B7A43"/>
    <w:rsid w:val="004F0ABB"/>
    <w:rsid w:val="00513695"/>
    <w:rsid w:val="0052470A"/>
    <w:rsid w:val="00533D33"/>
    <w:rsid w:val="00535C63"/>
    <w:rsid w:val="005451EF"/>
    <w:rsid w:val="005711E5"/>
    <w:rsid w:val="00576CE9"/>
    <w:rsid w:val="005819DD"/>
    <w:rsid w:val="00585DDF"/>
    <w:rsid w:val="005872A3"/>
    <w:rsid w:val="00590813"/>
    <w:rsid w:val="00624601"/>
    <w:rsid w:val="0067482D"/>
    <w:rsid w:val="00687C38"/>
    <w:rsid w:val="006B008C"/>
    <w:rsid w:val="006B533D"/>
    <w:rsid w:val="006C018B"/>
    <w:rsid w:val="006C3612"/>
    <w:rsid w:val="006D2993"/>
    <w:rsid w:val="006F0518"/>
    <w:rsid w:val="00702E6D"/>
    <w:rsid w:val="00771DC4"/>
    <w:rsid w:val="00776D5D"/>
    <w:rsid w:val="007D7D1C"/>
    <w:rsid w:val="007E33EA"/>
    <w:rsid w:val="008001B2"/>
    <w:rsid w:val="00816FD8"/>
    <w:rsid w:val="00820DF4"/>
    <w:rsid w:val="00841C4C"/>
    <w:rsid w:val="00862CF1"/>
    <w:rsid w:val="00871AF0"/>
    <w:rsid w:val="00892A0D"/>
    <w:rsid w:val="008B0AC8"/>
    <w:rsid w:val="008C3602"/>
    <w:rsid w:val="00923999"/>
    <w:rsid w:val="0092713B"/>
    <w:rsid w:val="00965F84"/>
    <w:rsid w:val="00972457"/>
    <w:rsid w:val="00973B3C"/>
    <w:rsid w:val="009766F2"/>
    <w:rsid w:val="00977B44"/>
    <w:rsid w:val="00991C7D"/>
    <w:rsid w:val="009B0D06"/>
    <w:rsid w:val="009C5538"/>
    <w:rsid w:val="009F53BE"/>
    <w:rsid w:val="00A02CBB"/>
    <w:rsid w:val="00A11DD7"/>
    <w:rsid w:val="00A1514B"/>
    <w:rsid w:val="00A3253B"/>
    <w:rsid w:val="00A54540"/>
    <w:rsid w:val="00A64AED"/>
    <w:rsid w:val="00A677D0"/>
    <w:rsid w:val="00A81DE4"/>
    <w:rsid w:val="00A84830"/>
    <w:rsid w:val="00A8530D"/>
    <w:rsid w:val="00A912B3"/>
    <w:rsid w:val="00A94DE6"/>
    <w:rsid w:val="00AE1F2C"/>
    <w:rsid w:val="00AE2198"/>
    <w:rsid w:val="00AF6C67"/>
    <w:rsid w:val="00B132CB"/>
    <w:rsid w:val="00B154B4"/>
    <w:rsid w:val="00B42B7C"/>
    <w:rsid w:val="00B879F0"/>
    <w:rsid w:val="00B9077F"/>
    <w:rsid w:val="00BA4E78"/>
    <w:rsid w:val="00BA6B58"/>
    <w:rsid w:val="00BC1B21"/>
    <w:rsid w:val="00BF481F"/>
    <w:rsid w:val="00C27E41"/>
    <w:rsid w:val="00C35593"/>
    <w:rsid w:val="00C5638B"/>
    <w:rsid w:val="00C6151D"/>
    <w:rsid w:val="00C81123"/>
    <w:rsid w:val="00CA5C87"/>
    <w:rsid w:val="00CB6A51"/>
    <w:rsid w:val="00CC5452"/>
    <w:rsid w:val="00CC5E6B"/>
    <w:rsid w:val="00CC64FE"/>
    <w:rsid w:val="00CD3241"/>
    <w:rsid w:val="00CD35FF"/>
    <w:rsid w:val="00CE551A"/>
    <w:rsid w:val="00D05E08"/>
    <w:rsid w:val="00D224B3"/>
    <w:rsid w:val="00D22D09"/>
    <w:rsid w:val="00D43607"/>
    <w:rsid w:val="00D47014"/>
    <w:rsid w:val="00D55305"/>
    <w:rsid w:val="00DA08E2"/>
    <w:rsid w:val="00DC310C"/>
    <w:rsid w:val="00DC39A1"/>
    <w:rsid w:val="00DC5382"/>
    <w:rsid w:val="00DD0DE6"/>
    <w:rsid w:val="00DF5A05"/>
    <w:rsid w:val="00E50DC4"/>
    <w:rsid w:val="00E61EF1"/>
    <w:rsid w:val="00E6570A"/>
    <w:rsid w:val="00E720B0"/>
    <w:rsid w:val="00E904B1"/>
    <w:rsid w:val="00E92506"/>
    <w:rsid w:val="00E93208"/>
    <w:rsid w:val="00E954A2"/>
    <w:rsid w:val="00EB1BA2"/>
    <w:rsid w:val="00EE31EA"/>
    <w:rsid w:val="00EE5CE7"/>
    <w:rsid w:val="00EE65CF"/>
    <w:rsid w:val="00EF435A"/>
    <w:rsid w:val="00EF45DF"/>
    <w:rsid w:val="00F01266"/>
    <w:rsid w:val="00F24673"/>
    <w:rsid w:val="00F342D5"/>
    <w:rsid w:val="00F523EC"/>
    <w:rsid w:val="00F7532D"/>
    <w:rsid w:val="00FC630D"/>
    <w:rsid w:val="00FE4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jc w:val="center"/>
      <w:outlineLvl w:val="0"/>
    </w:pPr>
    <w:rPr>
      <w:rFonts w:ascii="Arial" w:hAnsi="Arial" w:cs="Arial"/>
    </w:rPr>
  </w:style>
  <w:style w:type="paragraph" w:styleId="Heading2">
    <w:name w:val="heading 2"/>
    <w:basedOn w:val="Normal"/>
    <w:next w:val="Normal"/>
    <w:qFormat/>
    <w:pPr>
      <w:keepNext/>
      <w:jc w:val="center"/>
      <w:outlineLvl w:val="1"/>
    </w:pPr>
    <w:rPr>
      <w:rFonts w:ascii="Palatino Linotype" w:hAnsi="Palatino Linotype"/>
      <w:b/>
      <w:bCs/>
    </w:rPr>
  </w:style>
  <w:style w:type="paragraph" w:styleId="Heading3">
    <w:name w:val="heading 3"/>
    <w:basedOn w:val="Normal"/>
    <w:next w:val="Normal"/>
    <w:link w:val="Heading3Char"/>
    <w:uiPriority w:val="9"/>
    <w:semiHidden/>
    <w:unhideWhenUsed/>
    <w:qFormat/>
    <w:rsid w:val="00024C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5040" w:firstLine="8640"/>
    </w:pPr>
    <w:rPr>
      <w:rFonts w:ascii="Palatino Linotype" w:hAnsi="Palatino Linotype" w:cs="Arial"/>
    </w:rPr>
  </w:style>
  <w:style w:type="paragraph" w:styleId="BodyTextIndent2">
    <w:name w:val="Body Text Indent 2"/>
    <w:basedOn w:val="Normal"/>
    <w:semiHidden/>
    <w:pPr>
      <w:ind w:left="385"/>
    </w:pPr>
    <w:rPr>
      <w:rFonts w:ascii="Palatino Linotype" w:hAnsi="Palatino Linotype"/>
    </w:rPr>
  </w:style>
  <w:style w:type="character" w:styleId="CommentReference">
    <w:name w:val="annotation reference"/>
    <w:uiPriority w:val="99"/>
    <w:semiHidden/>
    <w:unhideWhenUsed/>
    <w:rsid w:val="00A1514B"/>
    <w:rPr>
      <w:sz w:val="16"/>
      <w:szCs w:val="16"/>
    </w:rPr>
  </w:style>
  <w:style w:type="paragraph" w:styleId="CommentText">
    <w:name w:val="annotation text"/>
    <w:basedOn w:val="Normal"/>
    <w:link w:val="CommentTextChar"/>
    <w:uiPriority w:val="99"/>
    <w:semiHidden/>
    <w:unhideWhenUsed/>
    <w:rsid w:val="00A1514B"/>
    <w:rPr>
      <w:sz w:val="20"/>
      <w:szCs w:val="20"/>
    </w:rPr>
  </w:style>
  <w:style w:type="character" w:customStyle="1" w:styleId="CommentTextChar">
    <w:name w:val="Comment Text Char"/>
    <w:basedOn w:val="DefaultParagraphFont"/>
    <w:link w:val="CommentText"/>
    <w:uiPriority w:val="99"/>
    <w:semiHidden/>
    <w:rsid w:val="00A1514B"/>
  </w:style>
  <w:style w:type="paragraph" w:styleId="CommentSubject">
    <w:name w:val="annotation subject"/>
    <w:basedOn w:val="CommentText"/>
    <w:next w:val="CommentText"/>
    <w:link w:val="CommentSubjectChar"/>
    <w:uiPriority w:val="99"/>
    <w:semiHidden/>
    <w:unhideWhenUsed/>
    <w:rsid w:val="00A1514B"/>
    <w:rPr>
      <w:b/>
      <w:bCs/>
    </w:rPr>
  </w:style>
  <w:style w:type="character" w:customStyle="1" w:styleId="CommentSubjectChar">
    <w:name w:val="Comment Subject Char"/>
    <w:link w:val="CommentSubject"/>
    <w:uiPriority w:val="99"/>
    <w:semiHidden/>
    <w:rsid w:val="00A1514B"/>
    <w:rPr>
      <w:b/>
      <w:bCs/>
    </w:rPr>
  </w:style>
  <w:style w:type="paragraph" w:styleId="BalloonText">
    <w:name w:val="Balloon Text"/>
    <w:basedOn w:val="Normal"/>
    <w:link w:val="BalloonTextChar"/>
    <w:uiPriority w:val="99"/>
    <w:semiHidden/>
    <w:unhideWhenUsed/>
    <w:rsid w:val="00A1514B"/>
    <w:rPr>
      <w:rFonts w:ascii="Tahoma" w:hAnsi="Tahoma" w:cs="Tahoma"/>
      <w:sz w:val="16"/>
      <w:szCs w:val="16"/>
    </w:rPr>
  </w:style>
  <w:style w:type="character" w:customStyle="1" w:styleId="BalloonTextChar">
    <w:name w:val="Balloon Text Char"/>
    <w:link w:val="BalloonText"/>
    <w:uiPriority w:val="99"/>
    <w:semiHidden/>
    <w:rsid w:val="00A1514B"/>
    <w:rPr>
      <w:rFonts w:ascii="Tahoma" w:hAnsi="Tahoma" w:cs="Tahoma"/>
      <w:sz w:val="16"/>
      <w:szCs w:val="16"/>
    </w:rPr>
  </w:style>
  <w:style w:type="table" w:styleId="TableGrid">
    <w:name w:val="Table Grid"/>
    <w:basedOn w:val="TableNormal"/>
    <w:uiPriority w:val="59"/>
    <w:rsid w:val="00892A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5C92"/>
    <w:pPr>
      <w:ind w:left="720"/>
      <w:contextualSpacing/>
    </w:pPr>
  </w:style>
  <w:style w:type="character" w:styleId="Hyperlink">
    <w:name w:val="Hyperlink"/>
    <w:uiPriority w:val="99"/>
    <w:rsid w:val="004059E6"/>
    <w:rPr>
      <w:color w:val="0000FF"/>
      <w:u w:val="single"/>
    </w:rPr>
  </w:style>
  <w:style w:type="character" w:customStyle="1" w:styleId="HeaderChar">
    <w:name w:val="Header Char"/>
    <w:link w:val="Header"/>
    <w:uiPriority w:val="99"/>
    <w:rsid w:val="004059E6"/>
    <w:rPr>
      <w:sz w:val="24"/>
      <w:szCs w:val="24"/>
    </w:rPr>
  </w:style>
  <w:style w:type="character" w:customStyle="1" w:styleId="Heading3Char">
    <w:name w:val="Heading 3 Char"/>
    <w:basedOn w:val="DefaultParagraphFont"/>
    <w:link w:val="Heading3"/>
    <w:uiPriority w:val="9"/>
    <w:semiHidden/>
    <w:rsid w:val="00024CD1"/>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6D2993"/>
    <w:rPr>
      <w:sz w:val="20"/>
      <w:szCs w:val="20"/>
    </w:rPr>
  </w:style>
  <w:style w:type="character" w:customStyle="1" w:styleId="FootnoteTextChar">
    <w:name w:val="Footnote Text Char"/>
    <w:basedOn w:val="DefaultParagraphFont"/>
    <w:link w:val="FootnoteText"/>
    <w:uiPriority w:val="99"/>
    <w:semiHidden/>
    <w:rsid w:val="006D2993"/>
  </w:style>
  <w:style w:type="character" w:styleId="FootnoteReference">
    <w:name w:val="footnote reference"/>
    <w:basedOn w:val="DefaultParagraphFont"/>
    <w:uiPriority w:val="99"/>
    <w:semiHidden/>
    <w:unhideWhenUsed/>
    <w:rsid w:val="006D2993"/>
    <w:rPr>
      <w:vertAlign w:val="superscript"/>
    </w:rPr>
  </w:style>
  <w:style w:type="paragraph" w:styleId="Revision">
    <w:name w:val="Revision"/>
    <w:hidden/>
    <w:uiPriority w:val="99"/>
    <w:semiHidden/>
    <w:rsid w:val="000E75B5"/>
    <w:rPr>
      <w:sz w:val="24"/>
      <w:szCs w:val="24"/>
    </w:rPr>
  </w:style>
  <w:style w:type="paragraph" w:styleId="NoSpacing">
    <w:name w:val="No Spacing"/>
    <w:uiPriority w:val="1"/>
    <w:qFormat/>
    <w:rsid w:val="00A677D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jc w:val="center"/>
      <w:outlineLvl w:val="0"/>
    </w:pPr>
    <w:rPr>
      <w:rFonts w:ascii="Arial" w:hAnsi="Arial" w:cs="Arial"/>
    </w:rPr>
  </w:style>
  <w:style w:type="paragraph" w:styleId="Heading2">
    <w:name w:val="heading 2"/>
    <w:basedOn w:val="Normal"/>
    <w:next w:val="Normal"/>
    <w:qFormat/>
    <w:pPr>
      <w:keepNext/>
      <w:jc w:val="center"/>
      <w:outlineLvl w:val="1"/>
    </w:pPr>
    <w:rPr>
      <w:rFonts w:ascii="Palatino Linotype" w:hAnsi="Palatino Linotype"/>
      <w:b/>
      <w:bCs/>
    </w:rPr>
  </w:style>
  <w:style w:type="paragraph" w:styleId="Heading3">
    <w:name w:val="heading 3"/>
    <w:basedOn w:val="Normal"/>
    <w:next w:val="Normal"/>
    <w:link w:val="Heading3Char"/>
    <w:uiPriority w:val="9"/>
    <w:semiHidden/>
    <w:unhideWhenUsed/>
    <w:qFormat/>
    <w:rsid w:val="00024C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5040" w:firstLine="8640"/>
    </w:pPr>
    <w:rPr>
      <w:rFonts w:ascii="Palatino Linotype" w:hAnsi="Palatino Linotype" w:cs="Arial"/>
    </w:rPr>
  </w:style>
  <w:style w:type="paragraph" w:styleId="BodyTextIndent2">
    <w:name w:val="Body Text Indent 2"/>
    <w:basedOn w:val="Normal"/>
    <w:semiHidden/>
    <w:pPr>
      <w:ind w:left="385"/>
    </w:pPr>
    <w:rPr>
      <w:rFonts w:ascii="Palatino Linotype" w:hAnsi="Palatino Linotype"/>
    </w:rPr>
  </w:style>
  <w:style w:type="character" w:styleId="CommentReference">
    <w:name w:val="annotation reference"/>
    <w:uiPriority w:val="99"/>
    <w:semiHidden/>
    <w:unhideWhenUsed/>
    <w:rsid w:val="00A1514B"/>
    <w:rPr>
      <w:sz w:val="16"/>
      <w:szCs w:val="16"/>
    </w:rPr>
  </w:style>
  <w:style w:type="paragraph" w:styleId="CommentText">
    <w:name w:val="annotation text"/>
    <w:basedOn w:val="Normal"/>
    <w:link w:val="CommentTextChar"/>
    <w:uiPriority w:val="99"/>
    <w:semiHidden/>
    <w:unhideWhenUsed/>
    <w:rsid w:val="00A1514B"/>
    <w:rPr>
      <w:sz w:val="20"/>
      <w:szCs w:val="20"/>
    </w:rPr>
  </w:style>
  <w:style w:type="character" w:customStyle="1" w:styleId="CommentTextChar">
    <w:name w:val="Comment Text Char"/>
    <w:basedOn w:val="DefaultParagraphFont"/>
    <w:link w:val="CommentText"/>
    <w:uiPriority w:val="99"/>
    <w:semiHidden/>
    <w:rsid w:val="00A1514B"/>
  </w:style>
  <w:style w:type="paragraph" w:styleId="CommentSubject">
    <w:name w:val="annotation subject"/>
    <w:basedOn w:val="CommentText"/>
    <w:next w:val="CommentText"/>
    <w:link w:val="CommentSubjectChar"/>
    <w:uiPriority w:val="99"/>
    <w:semiHidden/>
    <w:unhideWhenUsed/>
    <w:rsid w:val="00A1514B"/>
    <w:rPr>
      <w:b/>
      <w:bCs/>
    </w:rPr>
  </w:style>
  <w:style w:type="character" w:customStyle="1" w:styleId="CommentSubjectChar">
    <w:name w:val="Comment Subject Char"/>
    <w:link w:val="CommentSubject"/>
    <w:uiPriority w:val="99"/>
    <w:semiHidden/>
    <w:rsid w:val="00A1514B"/>
    <w:rPr>
      <w:b/>
      <w:bCs/>
    </w:rPr>
  </w:style>
  <w:style w:type="paragraph" w:styleId="BalloonText">
    <w:name w:val="Balloon Text"/>
    <w:basedOn w:val="Normal"/>
    <w:link w:val="BalloonTextChar"/>
    <w:uiPriority w:val="99"/>
    <w:semiHidden/>
    <w:unhideWhenUsed/>
    <w:rsid w:val="00A1514B"/>
    <w:rPr>
      <w:rFonts w:ascii="Tahoma" w:hAnsi="Tahoma" w:cs="Tahoma"/>
      <w:sz w:val="16"/>
      <w:szCs w:val="16"/>
    </w:rPr>
  </w:style>
  <w:style w:type="character" w:customStyle="1" w:styleId="BalloonTextChar">
    <w:name w:val="Balloon Text Char"/>
    <w:link w:val="BalloonText"/>
    <w:uiPriority w:val="99"/>
    <w:semiHidden/>
    <w:rsid w:val="00A1514B"/>
    <w:rPr>
      <w:rFonts w:ascii="Tahoma" w:hAnsi="Tahoma" w:cs="Tahoma"/>
      <w:sz w:val="16"/>
      <w:szCs w:val="16"/>
    </w:rPr>
  </w:style>
  <w:style w:type="table" w:styleId="TableGrid">
    <w:name w:val="Table Grid"/>
    <w:basedOn w:val="TableNormal"/>
    <w:uiPriority w:val="59"/>
    <w:rsid w:val="00892A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5C92"/>
    <w:pPr>
      <w:ind w:left="720"/>
      <w:contextualSpacing/>
    </w:pPr>
  </w:style>
  <w:style w:type="character" w:styleId="Hyperlink">
    <w:name w:val="Hyperlink"/>
    <w:uiPriority w:val="99"/>
    <w:rsid w:val="004059E6"/>
    <w:rPr>
      <w:color w:val="0000FF"/>
      <w:u w:val="single"/>
    </w:rPr>
  </w:style>
  <w:style w:type="character" w:customStyle="1" w:styleId="HeaderChar">
    <w:name w:val="Header Char"/>
    <w:link w:val="Header"/>
    <w:uiPriority w:val="99"/>
    <w:rsid w:val="004059E6"/>
    <w:rPr>
      <w:sz w:val="24"/>
      <w:szCs w:val="24"/>
    </w:rPr>
  </w:style>
  <w:style w:type="character" w:customStyle="1" w:styleId="Heading3Char">
    <w:name w:val="Heading 3 Char"/>
    <w:basedOn w:val="DefaultParagraphFont"/>
    <w:link w:val="Heading3"/>
    <w:uiPriority w:val="9"/>
    <w:semiHidden/>
    <w:rsid w:val="00024CD1"/>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6D2993"/>
    <w:rPr>
      <w:sz w:val="20"/>
      <w:szCs w:val="20"/>
    </w:rPr>
  </w:style>
  <w:style w:type="character" w:customStyle="1" w:styleId="FootnoteTextChar">
    <w:name w:val="Footnote Text Char"/>
    <w:basedOn w:val="DefaultParagraphFont"/>
    <w:link w:val="FootnoteText"/>
    <w:uiPriority w:val="99"/>
    <w:semiHidden/>
    <w:rsid w:val="006D2993"/>
  </w:style>
  <w:style w:type="character" w:styleId="FootnoteReference">
    <w:name w:val="footnote reference"/>
    <w:basedOn w:val="DefaultParagraphFont"/>
    <w:uiPriority w:val="99"/>
    <w:semiHidden/>
    <w:unhideWhenUsed/>
    <w:rsid w:val="006D2993"/>
    <w:rPr>
      <w:vertAlign w:val="superscript"/>
    </w:rPr>
  </w:style>
  <w:style w:type="paragraph" w:styleId="Revision">
    <w:name w:val="Revision"/>
    <w:hidden/>
    <w:uiPriority w:val="99"/>
    <w:semiHidden/>
    <w:rsid w:val="000E75B5"/>
    <w:rPr>
      <w:sz w:val="24"/>
      <w:szCs w:val="24"/>
    </w:rPr>
  </w:style>
  <w:style w:type="paragraph" w:styleId="NoSpacing">
    <w:name w:val="No Spacing"/>
    <w:uiPriority w:val="1"/>
    <w:qFormat/>
    <w:rsid w:val="00A677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E77078EBEA22A4783D04DECA4775E3A" ma:contentTypeVersion="139" ma:contentTypeDescription="" ma:contentTypeScope="" ma:versionID="1d9a8c01d8d13f56086b67bd9aec7f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Initial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2012-08-28T07:00:00+00:00</OpenedDate>
    <Date1 xmlns="dc463f71-b30c-4ab2-9473-d307f9d35888">2013-06-06T07:00:00+00:00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121408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98740F5-5E63-4EB7-B548-E5CAAFA795A1}"/>
</file>

<file path=customXml/itemProps2.xml><?xml version="1.0" encoding="utf-8"?>
<ds:datastoreItem xmlns:ds="http://schemas.openxmlformats.org/officeDocument/2006/customXml" ds:itemID="{C1E7CC55-B146-45FB-970E-04ADFEEAE128}"/>
</file>

<file path=customXml/itemProps3.xml><?xml version="1.0" encoding="utf-8"?>
<ds:datastoreItem xmlns:ds="http://schemas.openxmlformats.org/officeDocument/2006/customXml" ds:itemID="{7ABCE480-2CCB-47E2-8F5F-B541C1589ADF}"/>
</file>

<file path=customXml/itemProps4.xml><?xml version="1.0" encoding="utf-8"?>
<ds:datastoreItem xmlns:ds="http://schemas.openxmlformats.org/officeDocument/2006/customXml" ds:itemID="{45516A34-6960-474E-A760-4BEEEF9D8FAE}"/>
</file>

<file path=customXml/itemProps5.xml><?xml version="1.0" encoding="utf-8"?>
<ds:datastoreItem xmlns:ds="http://schemas.openxmlformats.org/officeDocument/2006/customXml" ds:itemID="{696360D2-B2F2-4FC3-8E17-650063DB2FE3}"/>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2013-06-06T20:37:00Z</dcterms:created>
  <dcterms:modified xsi:type="dcterms:W3CDTF">2013-06-06T20:38:00Z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0x0101006E56B4D1795A2E4DB2F0B01679ED314A00EE77078EBEA22A4783D04DECA4775E3A</vt:lpwstr>
  </property>
  <property fmtid="{D5CDD505-2E9C-101B-9397-08002B2CF9AE}" pid="3" name="_docset_NoMedatataSyncRequired">
    <vt:lpwstr>False</vt:lpwstr>
  </property>
</Properties>
</file>