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01" w:rsidRPr="00A62205" w:rsidRDefault="00710501" w:rsidP="00710501">
      <w:pPr>
        <w:rPr>
          <w:sz w:val="24"/>
        </w:rPr>
      </w:pPr>
      <w:r w:rsidRPr="00A62205">
        <w:rPr>
          <w:b/>
          <w:sz w:val="24"/>
          <w:u w:val="single"/>
        </w:rPr>
        <w:t>PSE Data Request No. 004 to WUTC Staff</w:t>
      </w:r>
      <w:proofErr w:type="gramStart"/>
      <w:r w:rsidRPr="00A62205">
        <w:rPr>
          <w:b/>
          <w:sz w:val="24"/>
          <w:u w:val="single"/>
        </w:rPr>
        <w:t>:</w:t>
      </w:r>
      <w:proofErr w:type="gramEnd"/>
      <w:r w:rsidRPr="00A62205">
        <w:rPr>
          <w:b/>
          <w:sz w:val="24"/>
          <w:u w:val="single"/>
        </w:rPr>
        <w:br/>
      </w:r>
      <w:r w:rsidRPr="00A62205">
        <w:rPr>
          <w:sz w:val="24"/>
        </w:rPr>
        <w:t>RE:</w:t>
      </w:r>
      <w:r w:rsidRPr="00A62205">
        <w:rPr>
          <w:sz w:val="24"/>
        </w:rPr>
        <w:tab/>
        <w:t xml:space="preserve">Keating, </w:t>
      </w:r>
      <w:proofErr w:type="spellStart"/>
      <w:r w:rsidRPr="00A62205">
        <w:rPr>
          <w:sz w:val="24"/>
        </w:rPr>
        <w:t>Exh</w:t>
      </w:r>
      <w:proofErr w:type="spellEnd"/>
      <w:r w:rsidRPr="00A62205">
        <w:rPr>
          <w:sz w:val="24"/>
        </w:rPr>
        <w:t>. No. EJK-1T, 3:23-25</w:t>
      </w:r>
    </w:p>
    <w:p w:rsidR="00710501" w:rsidRDefault="00710501" w:rsidP="00710501">
      <w:pPr>
        <w:rPr>
          <w:sz w:val="24"/>
        </w:rPr>
      </w:pPr>
    </w:p>
    <w:p w:rsidR="00710501" w:rsidRDefault="00710501" w:rsidP="00710501">
      <w:pPr>
        <w:rPr>
          <w:sz w:val="24"/>
        </w:rPr>
      </w:pPr>
      <w:r>
        <w:rPr>
          <w:sz w:val="24"/>
        </w:rPr>
        <w:t>Please provide the following</w:t>
      </w:r>
      <w:r w:rsidRPr="00A62205">
        <w:rPr>
          <w:sz w:val="24"/>
        </w:rPr>
        <w:t>:</w:t>
      </w:r>
    </w:p>
    <w:p w:rsidR="00710501" w:rsidRPr="00A62205" w:rsidRDefault="00710501" w:rsidP="00710501">
      <w:pPr>
        <w:rPr>
          <w:sz w:val="24"/>
        </w:rPr>
      </w:pPr>
    </w:p>
    <w:p w:rsidR="00710501" w:rsidRPr="00A62205" w:rsidRDefault="00710501" w:rsidP="00710501">
      <w:pPr>
        <w:widowControl/>
        <w:numPr>
          <w:ilvl w:val="0"/>
          <w:numId w:val="1"/>
        </w:numPr>
        <w:autoSpaceDE/>
        <w:autoSpaceDN/>
        <w:adjustRightInd/>
        <w:rPr>
          <w:sz w:val="24"/>
        </w:rPr>
      </w:pPr>
      <w:r w:rsidRPr="00A62205">
        <w:rPr>
          <w:sz w:val="24"/>
        </w:rPr>
        <w:t>All analyses undertaken by or on behalf of WUTC Staff, or relied on by WUTC Staff, relating to how much of the accumulated depreciation associated with facilities located inside Jefferson County was paid by PSE customers located outside of Jefferson County.</w:t>
      </w:r>
    </w:p>
    <w:p w:rsidR="00710501" w:rsidRPr="00A62205" w:rsidRDefault="00710501" w:rsidP="00710501">
      <w:pPr>
        <w:widowControl/>
        <w:numPr>
          <w:ilvl w:val="0"/>
          <w:numId w:val="1"/>
        </w:numPr>
        <w:autoSpaceDE/>
        <w:autoSpaceDN/>
        <w:adjustRightInd/>
        <w:rPr>
          <w:sz w:val="24"/>
        </w:rPr>
      </w:pPr>
      <w:bookmarkStart w:id="0" w:name="_GoBack"/>
      <w:bookmarkEnd w:id="0"/>
      <w:r w:rsidRPr="00A62205">
        <w:rPr>
          <w:sz w:val="24"/>
        </w:rPr>
        <w:t>All analyses undertaken by or on behalf of WUTC Staff, or relied on by WUTC Staff, relating to how much accumulated depreciation associated with facilities located outside of Jefferson County was paid by PSE customers located inside of Jefferson County.</w:t>
      </w:r>
    </w:p>
    <w:p w:rsidR="00710501" w:rsidRPr="00A62205" w:rsidRDefault="00710501" w:rsidP="00710501">
      <w:pPr>
        <w:widowControl/>
        <w:numPr>
          <w:ilvl w:val="0"/>
          <w:numId w:val="1"/>
        </w:numPr>
        <w:autoSpaceDE/>
        <w:autoSpaceDN/>
        <w:adjustRightInd/>
        <w:rPr>
          <w:sz w:val="24"/>
        </w:rPr>
      </w:pPr>
      <w:r w:rsidRPr="00A62205">
        <w:rPr>
          <w:sz w:val="24"/>
        </w:rPr>
        <w:t>Where in its case does WUTC Staff reflect the amount in part (b) of this request?</w:t>
      </w:r>
    </w:p>
    <w:p w:rsidR="00710501" w:rsidRDefault="00710501" w:rsidP="00710501">
      <w:pPr>
        <w:ind w:left="360"/>
        <w:rPr>
          <w:b/>
          <w:bCs/>
          <w:sz w:val="24"/>
        </w:rPr>
      </w:pPr>
    </w:p>
    <w:p w:rsidR="00710501" w:rsidRDefault="00710501" w:rsidP="00710501">
      <w:pPr>
        <w:tabs>
          <w:tab w:val="center" w:pos="4680"/>
        </w:tabs>
        <w:rPr>
          <w:b/>
          <w:bCs/>
          <w:sz w:val="24"/>
        </w:rPr>
      </w:pPr>
      <w:r w:rsidRPr="00A62205">
        <w:rPr>
          <w:b/>
          <w:bCs/>
          <w:sz w:val="24"/>
        </w:rPr>
        <w:t xml:space="preserve">RESPONSE:  </w:t>
      </w:r>
      <w:r>
        <w:rPr>
          <w:b/>
          <w:bCs/>
          <w:sz w:val="24"/>
        </w:rPr>
        <w:tab/>
      </w:r>
    </w:p>
    <w:p w:rsidR="00710501" w:rsidRDefault="00710501" w:rsidP="00710501">
      <w:pPr>
        <w:rPr>
          <w:sz w:val="24"/>
        </w:rPr>
      </w:pPr>
    </w:p>
    <w:p w:rsidR="00710501" w:rsidRDefault="00710501" w:rsidP="00710501">
      <w:pPr>
        <w:numPr>
          <w:ilvl w:val="0"/>
          <w:numId w:val="2"/>
        </w:numPr>
        <w:rPr>
          <w:sz w:val="24"/>
        </w:rPr>
      </w:pPr>
      <w:r>
        <w:rPr>
          <w:sz w:val="24"/>
        </w:rPr>
        <w:t xml:space="preserve">Staff relied on the direct testimony of Company witness Jon Piliaris at page 14, lines 13-17, stating: “The Company’s rates are uniform throughout its service area.  As such, all customers </w:t>
      </w:r>
      <w:r w:rsidRPr="008579D1">
        <w:rPr>
          <w:sz w:val="24"/>
        </w:rPr>
        <w:t>share in the recovery of PSE’s overall depreciation expense</w:t>
      </w:r>
      <w:r w:rsidRPr="00A91132">
        <w:rPr>
          <w:sz w:val="24"/>
        </w:rPr>
        <w:t>.</w:t>
      </w:r>
      <w:r>
        <w:rPr>
          <w:sz w:val="24"/>
        </w:rPr>
        <w:t xml:space="preserve">  The amount paid by any given customer or group of customers is not tied to specific assets used to provide service within any particular city or county within PSE’s service area.”  See also Mr. </w:t>
      </w:r>
      <w:proofErr w:type="spellStart"/>
      <w:r>
        <w:rPr>
          <w:sz w:val="24"/>
        </w:rPr>
        <w:t>Piliaris’s</w:t>
      </w:r>
      <w:proofErr w:type="spellEnd"/>
      <w:r>
        <w:rPr>
          <w:sz w:val="24"/>
        </w:rPr>
        <w:t xml:space="preserve"> direct testimony at page 14, lines 21-22, stating that “The data required to calculate a precise allocation of accumulated depreciation over the entire life of the depreciable assets is not available.”</w:t>
      </w:r>
    </w:p>
    <w:p w:rsidR="00710501" w:rsidRDefault="00710501" w:rsidP="00710501">
      <w:pPr>
        <w:ind w:left="360"/>
        <w:rPr>
          <w:sz w:val="24"/>
        </w:rPr>
      </w:pPr>
    </w:p>
    <w:p w:rsidR="00710501" w:rsidRDefault="00710501">
      <w:pPr>
        <w:widowControl/>
        <w:autoSpaceDE/>
        <w:autoSpaceDN/>
        <w:adjustRightInd/>
        <w:spacing w:after="200" w:line="276" w:lineRule="auto"/>
        <w:rPr>
          <w:sz w:val="24"/>
        </w:rPr>
      </w:pPr>
      <w:r>
        <w:rPr>
          <w:sz w:val="24"/>
        </w:rPr>
        <w:br w:type="page"/>
      </w:r>
    </w:p>
    <w:p w:rsidR="00F643F9" w:rsidRPr="00A62205" w:rsidRDefault="00F643F9" w:rsidP="00F643F9">
      <w:pPr>
        <w:rPr>
          <w:sz w:val="24"/>
        </w:rPr>
      </w:pPr>
    </w:p>
    <w:p w:rsidR="00710501" w:rsidRPr="00710501" w:rsidRDefault="00710501" w:rsidP="00710501">
      <w:pPr>
        <w:spacing w:line="480" w:lineRule="auto"/>
        <w:rPr>
          <w:b/>
          <w:sz w:val="24"/>
          <w:u w:val="single"/>
        </w:rPr>
      </w:pPr>
      <w:r w:rsidRPr="00710501">
        <w:rPr>
          <w:b/>
          <w:sz w:val="24"/>
          <w:u w:val="single"/>
        </w:rPr>
        <w:t>PSE’s DATA REQUEST NO. 001 to ICNU:</w:t>
      </w:r>
    </w:p>
    <w:p w:rsidR="00710501" w:rsidRPr="00710501" w:rsidRDefault="00710501" w:rsidP="00710501">
      <w:pPr>
        <w:pStyle w:val="BodyText"/>
        <w:rPr>
          <w:szCs w:val="24"/>
          <w:lang w:val="en-US"/>
        </w:rPr>
      </w:pPr>
      <w:r w:rsidRPr="00710501">
        <w:rPr>
          <w:szCs w:val="24"/>
        </w:rPr>
        <w:t>RE:</w:t>
      </w:r>
      <w:r w:rsidRPr="00710501">
        <w:rPr>
          <w:szCs w:val="24"/>
        </w:rPr>
        <w:tab/>
        <w:t xml:space="preserve">Gorman, </w:t>
      </w:r>
      <w:proofErr w:type="spellStart"/>
      <w:r w:rsidRPr="00710501">
        <w:rPr>
          <w:szCs w:val="24"/>
        </w:rPr>
        <w:t>Exh</w:t>
      </w:r>
      <w:proofErr w:type="spellEnd"/>
      <w:r w:rsidRPr="00710501">
        <w:rPr>
          <w:szCs w:val="24"/>
        </w:rPr>
        <w:t>. No. MPG-1T 3.</w:t>
      </w:r>
    </w:p>
    <w:p w:rsidR="00710501" w:rsidRPr="00710501" w:rsidRDefault="00710501" w:rsidP="00710501">
      <w:pPr>
        <w:pStyle w:val="BodyText"/>
        <w:rPr>
          <w:szCs w:val="24"/>
          <w:lang w:val="en-US"/>
        </w:rPr>
      </w:pPr>
    </w:p>
    <w:p w:rsidR="00710501" w:rsidRPr="00710501" w:rsidRDefault="00710501" w:rsidP="00710501">
      <w:pPr>
        <w:pStyle w:val="BodyText"/>
        <w:rPr>
          <w:szCs w:val="24"/>
        </w:rPr>
      </w:pPr>
      <w:r w:rsidRPr="00710501">
        <w:rPr>
          <w:szCs w:val="24"/>
        </w:rPr>
        <w:t>Please provide all analyses undertaken by or on behalf of ICNU, or relied on by ICNU, relating to determining or quantifying the amount of accumulated depreciation paid by PSE’s former Jefferson County customers.</w:t>
      </w:r>
    </w:p>
    <w:p w:rsidR="00710501" w:rsidRPr="00710501" w:rsidRDefault="00710501" w:rsidP="00710501">
      <w:pPr>
        <w:rPr>
          <w:sz w:val="24"/>
        </w:rPr>
      </w:pPr>
    </w:p>
    <w:p w:rsidR="00710501" w:rsidRPr="00710501" w:rsidRDefault="00710501" w:rsidP="00710501">
      <w:pPr>
        <w:rPr>
          <w:b/>
          <w:sz w:val="24"/>
        </w:rPr>
      </w:pPr>
      <w:r w:rsidRPr="00710501">
        <w:rPr>
          <w:b/>
          <w:sz w:val="24"/>
        </w:rPr>
        <w:t>RESPONSE TO PSE’s DATA REQUEST 001 to ICNU:</w:t>
      </w:r>
    </w:p>
    <w:p w:rsidR="00710501" w:rsidRPr="00710501" w:rsidRDefault="00710501" w:rsidP="00710501">
      <w:pPr>
        <w:rPr>
          <w:b/>
          <w:sz w:val="24"/>
        </w:rPr>
      </w:pPr>
    </w:p>
    <w:p w:rsidR="00710501" w:rsidRPr="00710501" w:rsidRDefault="00710501" w:rsidP="00710501">
      <w:pPr>
        <w:rPr>
          <w:sz w:val="24"/>
        </w:rPr>
      </w:pPr>
      <w:r w:rsidRPr="00710501">
        <w:rPr>
          <w:sz w:val="24"/>
        </w:rPr>
        <w:t>Mr. Gorman has not attempted to estimate the amount of depreciation expense paid directly by Jefferson County customers.  Nor does he believe this to be a useful exercise, given that PSE’s customers pay depreciation expense on a total-company basis.  Rather, Mr. Gorman’s analysis instead reflects the amount of accumulated depreciation recovered and recorded by PSE on its audited books and records.  PSE’s recovery of annual depreciation expense and accumulation of depreciation reserves was considered by Mr. Gorman in recommending his proposed allocation of the gross sale proceeds.</w:t>
      </w: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rsidP="00710501">
      <w:pPr>
        <w:pStyle w:val="Footer"/>
        <w:rPr>
          <w:sz w:val="24"/>
          <w:szCs w:val="24"/>
        </w:rPr>
      </w:pPr>
      <w:r w:rsidRPr="00710501">
        <w:rPr>
          <w:sz w:val="24"/>
          <w:szCs w:val="24"/>
        </w:rPr>
        <w:t>Date:               April 14, 2014</w:t>
      </w:r>
    </w:p>
    <w:p w:rsidR="00710501" w:rsidRPr="00710501" w:rsidRDefault="00710501" w:rsidP="00710501">
      <w:pPr>
        <w:pStyle w:val="Footer"/>
        <w:rPr>
          <w:sz w:val="24"/>
          <w:szCs w:val="24"/>
        </w:rPr>
      </w:pPr>
      <w:r w:rsidRPr="00710501">
        <w:rPr>
          <w:sz w:val="24"/>
          <w:szCs w:val="24"/>
        </w:rPr>
        <w:t>Respondent:    Michael P. Gorman (636-898-6725)</w:t>
      </w:r>
    </w:p>
    <w:p w:rsidR="00710501" w:rsidRPr="00710501" w:rsidRDefault="00710501" w:rsidP="00710501">
      <w:pPr>
        <w:pStyle w:val="Footer"/>
        <w:rPr>
          <w:sz w:val="24"/>
          <w:szCs w:val="24"/>
        </w:rPr>
      </w:pPr>
      <w:r w:rsidRPr="00710501">
        <w:rPr>
          <w:sz w:val="24"/>
          <w:szCs w:val="24"/>
        </w:rPr>
        <w:t>Witness:          Michael P. Gorman</w:t>
      </w:r>
      <w:r w:rsidRPr="00710501">
        <w:rPr>
          <w:sz w:val="24"/>
          <w:szCs w:val="24"/>
        </w:rPr>
        <w:tab/>
      </w:r>
    </w:p>
    <w:p w:rsidR="00710501" w:rsidRDefault="00710501">
      <w:pPr>
        <w:widowControl/>
        <w:autoSpaceDE/>
        <w:autoSpaceDN/>
        <w:adjustRightInd/>
        <w:spacing w:after="200" w:line="276" w:lineRule="auto"/>
      </w:pPr>
      <w:r>
        <w:br w:type="page"/>
      </w:r>
    </w:p>
    <w:p w:rsidR="00710501" w:rsidRPr="00710501" w:rsidRDefault="00710501" w:rsidP="00710501">
      <w:pPr>
        <w:spacing w:line="480" w:lineRule="auto"/>
        <w:rPr>
          <w:b/>
          <w:sz w:val="24"/>
          <w:u w:val="single"/>
        </w:rPr>
      </w:pPr>
      <w:r w:rsidRPr="00710501">
        <w:rPr>
          <w:b/>
          <w:sz w:val="24"/>
          <w:u w:val="single"/>
        </w:rPr>
        <w:lastRenderedPageBreak/>
        <w:t>PSE’s DATA REQUEST NO. 003 to ICNU:</w:t>
      </w:r>
    </w:p>
    <w:p w:rsidR="00710501" w:rsidRPr="00710501" w:rsidRDefault="00710501" w:rsidP="00710501">
      <w:pPr>
        <w:pStyle w:val="BodyText"/>
        <w:rPr>
          <w:szCs w:val="24"/>
          <w:lang w:val="en-US"/>
        </w:rPr>
      </w:pPr>
      <w:r w:rsidRPr="00710501">
        <w:rPr>
          <w:szCs w:val="24"/>
        </w:rPr>
        <w:t>RE:</w:t>
      </w:r>
      <w:r w:rsidRPr="00710501">
        <w:rPr>
          <w:szCs w:val="24"/>
        </w:rPr>
        <w:tab/>
        <w:t xml:space="preserve">Gorman, </w:t>
      </w:r>
      <w:proofErr w:type="spellStart"/>
      <w:r w:rsidRPr="00710501">
        <w:rPr>
          <w:szCs w:val="24"/>
        </w:rPr>
        <w:t>Exh</w:t>
      </w:r>
      <w:proofErr w:type="spellEnd"/>
      <w:r w:rsidRPr="00710501">
        <w:rPr>
          <w:szCs w:val="24"/>
        </w:rPr>
        <w:t>. No. MPG-1T 4.</w:t>
      </w:r>
    </w:p>
    <w:p w:rsidR="00710501" w:rsidRPr="00710501" w:rsidRDefault="00710501" w:rsidP="00710501">
      <w:pPr>
        <w:pStyle w:val="BodyText"/>
        <w:rPr>
          <w:szCs w:val="24"/>
          <w:lang w:val="en-US"/>
        </w:rPr>
      </w:pPr>
    </w:p>
    <w:p w:rsidR="00710501" w:rsidRPr="00710501" w:rsidRDefault="00710501" w:rsidP="00710501">
      <w:pPr>
        <w:pStyle w:val="BodyText"/>
        <w:rPr>
          <w:szCs w:val="24"/>
          <w:lang w:val="en-US"/>
        </w:rPr>
      </w:pPr>
      <w:r w:rsidRPr="00710501">
        <w:rPr>
          <w:szCs w:val="24"/>
        </w:rPr>
        <w:t>Please provide all analyses undertaken by or on behalf of ICNU, or relied on by ICNU, relating to determining or quantifying:</w:t>
      </w:r>
    </w:p>
    <w:p w:rsidR="00710501" w:rsidRPr="00710501" w:rsidRDefault="00710501" w:rsidP="00710501">
      <w:pPr>
        <w:pStyle w:val="BodyText"/>
        <w:rPr>
          <w:szCs w:val="24"/>
          <w:lang w:val="en-US"/>
        </w:rPr>
      </w:pPr>
    </w:p>
    <w:p w:rsidR="00710501" w:rsidRPr="00710501" w:rsidRDefault="00710501" w:rsidP="00710501">
      <w:pPr>
        <w:pStyle w:val="BodyText"/>
        <w:numPr>
          <w:ilvl w:val="0"/>
          <w:numId w:val="3"/>
        </w:numPr>
        <w:spacing w:after="240"/>
        <w:rPr>
          <w:szCs w:val="24"/>
        </w:rPr>
      </w:pPr>
      <w:r w:rsidRPr="00710501">
        <w:rPr>
          <w:szCs w:val="24"/>
        </w:rPr>
        <w:t>costs (if any) incurred to provide electrical service to PSE’s former Jefferson County customers that were not recovered from PSE’s former Jefferson County customers.</w:t>
      </w:r>
    </w:p>
    <w:p w:rsidR="00710501" w:rsidRPr="00710501" w:rsidRDefault="00710501" w:rsidP="00710501">
      <w:pPr>
        <w:pStyle w:val="BodyText"/>
        <w:numPr>
          <w:ilvl w:val="0"/>
          <w:numId w:val="3"/>
        </w:numPr>
        <w:spacing w:after="240"/>
        <w:rPr>
          <w:szCs w:val="24"/>
        </w:rPr>
      </w:pPr>
      <w:r w:rsidRPr="00710501">
        <w:rPr>
          <w:szCs w:val="24"/>
        </w:rPr>
        <w:t>revenues received from customers (other than PSE’s former Jefferson County customers) used to pay for costs incurred to provide electrical serve to PSE’s former Jefferson County customers.</w:t>
      </w:r>
    </w:p>
    <w:p w:rsidR="00710501" w:rsidRPr="00710501" w:rsidRDefault="00710501" w:rsidP="00710501">
      <w:pPr>
        <w:rPr>
          <w:b/>
          <w:sz w:val="24"/>
        </w:rPr>
      </w:pPr>
      <w:r w:rsidRPr="00710501">
        <w:rPr>
          <w:b/>
          <w:sz w:val="24"/>
        </w:rPr>
        <w:t>RESPONSE TO PSE’s DATA REQUEST 003 to ICNU:</w:t>
      </w:r>
    </w:p>
    <w:p w:rsidR="00710501" w:rsidRPr="00710501" w:rsidRDefault="00710501" w:rsidP="00710501">
      <w:pPr>
        <w:rPr>
          <w:b/>
          <w:sz w:val="24"/>
        </w:rPr>
      </w:pPr>
    </w:p>
    <w:p w:rsidR="00710501" w:rsidRPr="00710501" w:rsidRDefault="00710501" w:rsidP="00710501">
      <w:pPr>
        <w:rPr>
          <w:sz w:val="24"/>
        </w:rPr>
      </w:pPr>
      <w:r w:rsidRPr="00710501">
        <w:rPr>
          <w:sz w:val="24"/>
        </w:rPr>
        <w:t>ICNU objects to this data request on the basis that it is vague and ambiguous.  Notwithstanding this objection, ICNU responds as follows:</w:t>
      </w:r>
    </w:p>
    <w:p w:rsidR="00710501" w:rsidRPr="00710501" w:rsidRDefault="00710501" w:rsidP="00710501">
      <w:pPr>
        <w:ind w:left="720"/>
        <w:rPr>
          <w:sz w:val="24"/>
        </w:rPr>
      </w:pPr>
    </w:p>
    <w:p w:rsidR="00710501" w:rsidRPr="00710501" w:rsidRDefault="00710501" w:rsidP="00710501">
      <w:pPr>
        <w:widowControl/>
        <w:numPr>
          <w:ilvl w:val="0"/>
          <w:numId w:val="4"/>
        </w:numPr>
        <w:autoSpaceDE/>
        <w:autoSpaceDN/>
        <w:adjustRightInd/>
        <w:rPr>
          <w:sz w:val="24"/>
        </w:rPr>
      </w:pPr>
      <w:r w:rsidRPr="00710501">
        <w:rPr>
          <w:sz w:val="24"/>
        </w:rPr>
        <w:t>Mr. Gorman has not performed the requested analysis, nor does he believe it to be a useful exercise.  Please also see ICNU’s response to PSE’s Data Request No. 001.</w:t>
      </w:r>
    </w:p>
    <w:p w:rsidR="00710501" w:rsidRPr="00710501" w:rsidRDefault="00710501" w:rsidP="00710501">
      <w:pPr>
        <w:ind w:left="720"/>
        <w:rPr>
          <w:sz w:val="24"/>
        </w:rPr>
      </w:pPr>
    </w:p>
    <w:p w:rsidR="00710501" w:rsidRPr="00710501" w:rsidRDefault="00710501" w:rsidP="00710501">
      <w:pPr>
        <w:widowControl/>
        <w:numPr>
          <w:ilvl w:val="0"/>
          <w:numId w:val="4"/>
        </w:numPr>
        <w:autoSpaceDE/>
        <w:autoSpaceDN/>
        <w:adjustRightInd/>
        <w:rPr>
          <w:sz w:val="24"/>
        </w:rPr>
      </w:pPr>
      <w:r w:rsidRPr="00710501">
        <w:rPr>
          <w:sz w:val="24"/>
        </w:rPr>
        <w:t>Mr. Gorman has not performed the requested analysis, nor does he believe it to be a useful exercise.  Please also see ICNU’s response to PSE’s Data Request No. 001.</w:t>
      </w: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pPr>
        <w:widowControl/>
        <w:autoSpaceDE/>
        <w:autoSpaceDN/>
        <w:adjustRightInd/>
        <w:spacing w:after="200" w:line="276" w:lineRule="auto"/>
        <w:rPr>
          <w:sz w:val="24"/>
        </w:rPr>
      </w:pPr>
    </w:p>
    <w:p w:rsidR="00710501" w:rsidRPr="00710501" w:rsidRDefault="00710501" w:rsidP="00710501">
      <w:pPr>
        <w:pStyle w:val="Footer"/>
        <w:rPr>
          <w:sz w:val="24"/>
          <w:szCs w:val="24"/>
        </w:rPr>
      </w:pPr>
    </w:p>
    <w:p w:rsidR="00710501" w:rsidRPr="00710501" w:rsidRDefault="00710501" w:rsidP="00710501">
      <w:pPr>
        <w:pStyle w:val="Footer"/>
        <w:rPr>
          <w:sz w:val="24"/>
          <w:szCs w:val="24"/>
        </w:rPr>
      </w:pPr>
    </w:p>
    <w:p w:rsidR="00710501" w:rsidRPr="00710501" w:rsidRDefault="00710501" w:rsidP="00710501">
      <w:pPr>
        <w:pStyle w:val="Footer"/>
        <w:rPr>
          <w:sz w:val="24"/>
          <w:szCs w:val="24"/>
        </w:rPr>
      </w:pPr>
      <w:r w:rsidRPr="00710501">
        <w:rPr>
          <w:sz w:val="24"/>
          <w:szCs w:val="24"/>
        </w:rPr>
        <w:t>Date:               April 14, 2014</w:t>
      </w:r>
    </w:p>
    <w:p w:rsidR="00710501" w:rsidRPr="00710501" w:rsidRDefault="00710501" w:rsidP="00710501">
      <w:pPr>
        <w:pStyle w:val="Footer"/>
        <w:rPr>
          <w:sz w:val="24"/>
          <w:szCs w:val="24"/>
        </w:rPr>
      </w:pPr>
      <w:r w:rsidRPr="00710501">
        <w:rPr>
          <w:sz w:val="24"/>
          <w:szCs w:val="24"/>
        </w:rPr>
        <w:t>Respondent:    Michael P. Gorman (636-898-6725)</w:t>
      </w:r>
    </w:p>
    <w:p w:rsidR="00710501" w:rsidRPr="00710501" w:rsidRDefault="00710501" w:rsidP="00710501">
      <w:pPr>
        <w:pStyle w:val="Footer"/>
        <w:rPr>
          <w:sz w:val="24"/>
          <w:szCs w:val="24"/>
        </w:rPr>
      </w:pPr>
      <w:r w:rsidRPr="00710501">
        <w:rPr>
          <w:sz w:val="24"/>
          <w:szCs w:val="24"/>
        </w:rPr>
        <w:t>Witness:          Michael P. Gorman</w:t>
      </w:r>
      <w:r w:rsidRPr="00710501">
        <w:rPr>
          <w:sz w:val="24"/>
          <w:szCs w:val="24"/>
        </w:rPr>
        <w:tab/>
      </w:r>
    </w:p>
    <w:p w:rsidR="00710501" w:rsidRDefault="00710501">
      <w:pPr>
        <w:widowControl/>
        <w:autoSpaceDE/>
        <w:autoSpaceDN/>
        <w:adjustRightInd/>
        <w:spacing w:after="200" w:line="276" w:lineRule="auto"/>
        <w:rPr>
          <w:rFonts w:asciiTheme="minorHAnsi" w:eastAsiaTheme="minorHAnsi" w:hAnsiTheme="minorHAnsi" w:cstheme="minorBidi"/>
          <w:sz w:val="22"/>
          <w:szCs w:val="22"/>
        </w:rPr>
      </w:pPr>
      <w:r>
        <w:br w:type="page"/>
      </w:r>
    </w:p>
    <w:p w:rsidR="00710501" w:rsidRPr="00710501" w:rsidRDefault="00710501" w:rsidP="00710501">
      <w:pPr>
        <w:jc w:val="center"/>
        <w:rPr>
          <w:b/>
          <w:sz w:val="24"/>
        </w:rPr>
      </w:pPr>
      <w:r w:rsidRPr="00710501">
        <w:rPr>
          <w:b/>
          <w:sz w:val="24"/>
        </w:rPr>
        <w:lastRenderedPageBreak/>
        <w:t xml:space="preserve">BEFORE THE WASHINGTON </w:t>
      </w:r>
    </w:p>
    <w:p w:rsidR="00710501" w:rsidRPr="00710501" w:rsidRDefault="00710501" w:rsidP="00710501">
      <w:pPr>
        <w:jc w:val="center"/>
        <w:rPr>
          <w:b/>
          <w:sz w:val="24"/>
        </w:rPr>
      </w:pPr>
      <w:r w:rsidRPr="00710501">
        <w:rPr>
          <w:b/>
          <w:sz w:val="24"/>
        </w:rPr>
        <w:t>UTILITIES AND TRANSPORTATION COMMISSION</w:t>
      </w:r>
    </w:p>
    <w:p w:rsidR="00710501" w:rsidRPr="00710501" w:rsidRDefault="00710501" w:rsidP="00710501">
      <w:pPr>
        <w:jc w:val="center"/>
        <w:rPr>
          <w:b/>
          <w:sz w:val="24"/>
        </w:rPr>
      </w:pPr>
    </w:p>
    <w:p w:rsidR="00710501" w:rsidRPr="00710501" w:rsidRDefault="00710501" w:rsidP="00710501">
      <w:pPr>
        <w:autoSpaceDE/>
        <w:autoSpaceDN/>
        <w:adjustRightInd/>
        <w:spacing w:line="240" w:lineRule="exact"/>
        <w:ind w:left="720" w:hanging="720"/>
        <w:jc w:val="center"/>
        <w:rPr>
          <w:b/>
          <w:sz w:val="24"/>
        </w:rPr>
      </w:pPr>
      <w:r w:rsidRPr="00710501">
        <w:rPr>
          <w:b/>
          <w:sz w:val="24"/>
        </w:rPr>
        <w:t>Petition of Puget Sound Energy, Inc. for an Accounting Order Approving the Allocation of Proceeds of the Sale of Certain Assets to</w:t>
      </w:r>
    </w:p>
    <w:p w:rsidR="00710501" w:rsidRPr="00710501" w:rsidRDefault="00710501" w:rsidP="00710501">
      <w:pPr>
        <w:autoSpaceDE/>
        <w:autoSpaceDN/>
        <w:adjustRightInd/>
        <w:spacing w:line="240" w:lineRule="exact"/>
        <w:ind w:left="720" w:hanging="720"/>
        <w:jc w:val="center"/>
        <w:rPr>
          <w:b/>
          <w:sz w:val="24"/>
        </w:rPr>
      </w:pPr>
      <w:r w:rsidRPr="00710501">
        <w:rPr>
          <w:b/>
          <w:sz w:val="24"/>
        </w:rPr>
        <w:t>Public Utility District #1 of Jefferson County</w:t>
      </w:r>
    </w:p>
    <w:p w:rsidR="00710501" w:rsidRPr="00710501" w:rsidRDefault="00710501" w:rsidP="00710501">
      <w:pPr>
        <w:jc w:val="center"/>
        <w:rPr>
          <w:b/>
          <w:sz w:val="24"/>
          <w:lang w:val="fr-FR"/>
        </w:rPr>
      </w:pPr>
      <w:proofErr w:type="spellStart"/>
      <w:r w:rsidRPr="00710501">
        <w:rPr>
          <w:b/>
          <w:sz w:val="24"/>
          <w:lang w:val="fr-FR"/>
        </w:rPr>
        <w:t>Docket</w:t>
      </w:r>
      <w:proofErr w:type="spellEnd"/>
      <w:r w:rsidRPr="00710501">
        <w:rPr>
          <w:b/>
          <w:sz w:val="24"/>
          <w:lang w:val="fr-FR"/>
        </w:rPr>
        <w:t xml:space="preserve"> UE-132027</w:t>
      </w:r>
    </w:p>
    <w:p w:rsidR="00710501" w:rsidRPr="00710501" w:rsidRDefault="00710501" w:rsidP="00710501">
      <w:pPr>
        <w:pStyle w:val="Heading1"/>
      </w:pPr>
    </w:p>
    <w:p w:rsidR="00710501" w:rsidRPr="00710501" w:rsidRDefault="00710501" w:rsidP="00710501">
      <w:pPr>
        <w:jc w:val="center"/>
        <w:rPr>
          <w:b/>
          <w:sz w:val="24"/>
        </w:rPr>
      </w:pPr>
      <w:proofErr w:type="gramStart"/>
      <w:r w:rsidRPr="00710501">
        <w:rPr>
          <w:b/>
          <w:sz w:val="24"/>
        </w:rPr>
        <w:t>RESPONSE OF PUBLIC COUNSEL TO PSE DATA REQUEST NO.</w:t>
      </w:r>
      <w:proofErr w:type="gramEnd"/>
      <w:r w:rsidRPr="00710501">
        <w:rPr>
          <w:b/>
          <w:sz w:val="24"/>
        </w:rPr>
        <w:t xml:space="preserve"> 5</w:t>
      </w:r>
    </w:p>
    <w:p w:rsidR="00710501" w:rsidRPr="00710501" w:rsidRDefault="00710501" w:rsidP="00710501">
      <w:pPr>
        <w:jc w:val="center"/>
        <w:rPr>
          <w:b/>
          <w:sz w:val="24"/>
        </w:rPr>
      </w:pPr>
    </w:p>
    <w:p w:rsidR="00710501" w:rsidRPr="00710501" w:rsidRDefault="00710501" w:rsidP="00710501">
      <w:pPr>
        <w:tabs>
          <w:tab w:val="left" w:pos="1440"/>
          <w:tab w:val="left" w:pos="2160"/>
        </w:tabs>
        <w:ind w:left="2160" w:hanging="2160"/>
        <w:rPr>
          <w:sz w:val="24"/>
        </w:rPr>
      </w:pPr>
      <w:r w:rsidRPr="00710501">
        <w:rPr>
          <w:sz w:val="24"/>
        </w:rPr>
        <w:t>Request No:</w:t>
      </w:r>
      <w:r w:rsidRPr="00710501">
        <w:rPr>
          <w:sz w:val="24"/>
        </w:rPr>
        <w:tab/>
      </w:r>
      <w:r w:rsidRPr="00710501">
        <w:rPr>
          <w:sz w:val="24"/>
        </w:rPr>
        <w:tab/>
        <w:t>5</w:t>
      </w:r>
    </w:p>
    <w:p w:rsidR="00710501" w:rsidRPr="00710501" w:rsidRDefault="00710501" w:rsidP="00710501">
      <w:pPr>
        <w:tabs>
          <w:tab w:val="left" w:pos="1440"/>
          <w:tab w:val="left" w:pos="2160"/>
        </w:tabs>
        <w:ind w:left="2160" w:hanging="2160"/>
        <w:rPr>
          <w:sz w:val="24"/>
        </w:rPr>
      </w:pPr>
      <w:r w:rsidRPr="00710501">
        <w:rPr>
          <w:sz w:val="24"/>
        </w:rPr>
        <w:t>Directed to:</w:t>
      </w:r>
      <w:r w:rsidRPr="00710501">
        <w:rPr>
          <w:sz w:val="24"/>
        </w:rPr>
        <w:tab/>
      </w:r>
      <w:r w:rsidRPr="00710501">
        <w:rPr>
          <w:sz w:val="24"/>
        </w:rPr>
        <w:tab/>
        <w:t xml:space="preserve">Lisa W. </w:t>
      </w:r>
      <w:proofErr w:type="spellStart"/>
      <w:r w:rsidRPr="00710501">
        <w:rPr>
          <w:sz w:val="24"/>
        </w:rPr>
        <w:t>Gafken</w:t>
      </w:r>
      <w:proofErr w:type="spellEnd"/>
      <w:r w:rsidRPr="00710501">
        <w:rPr>
          <w:sz w:val="24"/>
        </w:rPr>
        <w:t>, Assistant Attorney General</w:t>
      </w:r>
    </w:p>
    <w:p w:rsidR="00710501" w:rsidRPr="00710501" w:rsidRDefault="00710501" w:rsidP="00710501">
      <w:pPr>
        <w:tabs>
          <w:tab w:val="left" w:pos="2160"/>
        </w:tabs>
        <w:ind w:left="2160" w:hanging="2160"/>
        <w:rPr>
          <w:sz w:val="24"/>
        </w:rPr>
      </w:pPr>
      <w:r w:rsidRPr="00710501">
        <w:rPr>
          <w:sz w:val="24"/>
        </w:rPr>
        <w:t>Date Received:</w:t>
      </w:r>
      <w:r w:rsidRPr="00710501">
        <w:rPr>
          <w:sz w:val="24"/>
        </w:rPr>
        <w:tab/>
        <w:t>April 4, 2014</w:t>
      </w:r>
    </w:p>
    <w:p w:rsidR="00710501" w:rsidRPr="00710501" w:rsidRDefault="00710501" w:rsidP="00710501">
      <w:pPr>
        <w:tabs>
          <w:tab w:val="left" w:pos="2160"/>
        </w:tabs>
        <w:ind w:left="2160" w:hanging="2160"/>
        <w:rPr>
          <w:sz w:val="24"/>
        </w:rPr>
      </w:pPr>
      <w:r w:rsidRPr="00710501">
        <w:rPr>
          <w:sz w:val="24"/>
        </w:rPr>
        <w:t>Date Produced:</w:t>
      </w:r>
      <w:r w:rsidRPr="00710501">
        <w:rPr>
          <w:sz w:val="24"/>
        </w:rPr>
        <w:tab/>
        <w:t>April 14, 2014</w:t>
      </w:r>
    </w:p>
    <w:p w:rsidR="00710501" w:rsidRPr="00710501" w:rsidRDefault="00710501" w:rsidP="00710501">
      <w:pPr>
        <w:tabs>
          <w:tab w:val="left" w:pos="1440"/>
          <w:tab w:val="left" w:pos="2160"/>
        </w:tabs>
        <w:ind w:left="2160" w:hanging="2160"/>
        <w:rPr>
          <w:sz w:val="24"/>
        </w:rPr>
      </w:pPr>
      <w:r w:rsidRPr="00710501">
        <w:rPr>
          <w:sz w:val="24"/>
        </w:rPr>
        <w:t>Prepared by:</w:t>
      </w:r>
      <w:r w:rsidRPr="00710501">
        <w:rPr>
          <w:sz w:val="24"/>
        </w:rPr>
        <w:tab/>
      </w:r>
      <w:r w:rsidRPr="00710501">
        <w:rPr>
          <w:sz w:val="24"/>
        </w:rPr>
        <w:tab/>
        <w:t>James Dittmer</w:t>
      </w:r>
    </w:p>
    <w:p w:rsidR="00710501" w:rsidRPr="00710501" w:rsidRDefault="00710501" w:rsidP="00710501">
      <w:pPr>
        <w:rPr>
          <w:b/>
          <w:caps/>
          <w:sz w:val="24"/>
        </w:rPr>
      </w:pPr>
    </w:p>
    <w:p w:rsidR="00710501" w:rsidRPr="00710501" w:rsidRDefault="00710501" w:rsidP="00710501">
      <w:pPr>
        <w:rPr>
          <w:b/>
          <w:caps/>
          <w:sz w:val="24"/>
        </w:rPr>
      </w:pPr>
    </w:p>
    <w:p w:rsidR="00710501" w:rsidRPr="00710501" w:rsidRDefault="00710501" w:rsidP="00710501">
      <w:pPr>
        <w:rPr>
          <w:b/>
          <w:caps/>
          <w:sz w:val="24"/>
        </w:rPr>
      </w:pPr>
      <w:proofErr w:type="gramStart"/>
      <w:r w:rsidRPr="00710501">
        <w:rPr>
          <w:b/>
          <w:caps/>
          <w:sz w:val="24"/>
        </w:rPr>
        <w:t>PSE Data Request No.</w:t>
      </w:r>
      <w:proofErr w:type="gramEnd"/>
      <w:r w:rsidRPr="00710501">
        <w:rPr>
          <w:b/>
          <w:caps/>
          <w:sz w:val="24"/>
        </w:rPr>
        <w:t xml:space="preserve">  5 to public counsel:</w:t>
      </w:r>
    </w:p>
    <w:p w:rsidR="00710501" w:rsidRPr="00710501" w:rsidRDefault="00710501" w:rsidP="00710501">
      <w:pPr>
        <w:rPr>
          <w:sz w:val="24"/>
        </w:rPr>
      </w:pPr>
      <w:r w:rsidRPr="00710501">
        <w:rPr>
          <w:sz w:val="24"/>
        </w:rPr>
        <w:t xml:space="preserve">Re: Dittmer, </w:t>
      </w:r>
      <w:proofErr w:type="spellStart"/>
      <w:r w:rsidRPr="00710501">
        <w:rPr>
          <w:sz w:val="24"/>
        </w:rPr>
        <w:t>Exh</w:t>
      </w:r>
      <w:proofErr w:type="spellEnd"/>
      <w:r w:rsidRPr="00710501">
        <w:rPr>
          <w:sz w:val="24"/>
        </w:rPr>
        <w:t>. No. JRD-1T, 15-19</w:t>
      </w:r>
    </w:p>
    <w:p w:rsidR="00710501" w:rsidRPr="00710501" w:rsidRDefault="00710501" w:rsidP="00710501">
      <w:pPr>
        <w:rPr>
          <w:sz w:val="24"/>
        </w:rPr>
      </w:pPr>
      <w:r w:rsidRPr="00710501">
        <w:rPr>
          <w:sz w:val="24"/>
        </w:rPr>
        <w:t>Please provide all analyses undertaken by or on behalf of Public Counsel, or relied on by Public Counsel, relating to the following:</w:t>
      </w:r>
    </w:p>
    <w:p w:rsidR="00710501" w:rsidRPr="00710501" w:rsidRDefault="00710501" w:rsidP="00710501">
      <w:pPr>
        <w:pStyle w:val="recordingL2"/>
        <w:numPr>
          <w:ilvl w:val="0"/>
          <w:numId w:val="6"/>
        </w:numPr>
        <w:tabs>
          <w:tab w:val="left" w:pos="720"/>
        </w:tabs>
      </w:pPr>
      <w:r w:rsidRPr="00710501">
        <w:t>The cost of service of PSE’s prior service territory in Jefferson County.</w:t>
      </w:r>
    </w:p>
    <w:p w:rsidR="00710501" w:rsidRPr="00710501" w:rsidRDefault="00710501" w:rsidP="00710501">
      <w:pPr>
        <w:pStyle w:val="recordingL2"/>
        <w:numPr>
          <w:ilvl w:val="0"/>
          <w:numId w:val="6"/>
        </w:numPr>
        <w:tabs>
          <w:tab w:val="left" w:pos="720"/>
        </w:tabs>
      </w:pPr>
      <w:r w:rsidRPr="00710501">
        <w:t>The revenue requirements for serving PSE’s prior service territory in Jefferson County.</w:t>
      </w:r>
    </w:p>
    <w:p w:rsidR="00710501" w:rsidRPr="00710501" w:rsidRDefault="00710501" w:rsidP="00710501">
      <w:pPr>
        <w:pStyle w:val="BodyText"/>
        <w:numPr>
          <w:ilvl w:val="0"/>
          <w:numId w:val="6"/>
        </w:numPr>
        <w:spacing w:after="240"/>
        <w:rPr>
          <w:szCs w:val="24"/>
        </w:rPr>
      </w:pPr>
      <w:r w:rsidRPr="00710501">
        <w:rPr>
          <w:szCs w:val="24"/>
        </w:rPr>
        <w:t>Revenues collected from PSE’s former customers in Jefferson County.</w:t>
      </w:r>
    </w:p>
    <w:p w:rsidR="00710501" w:rsidRPr="00710501" w:rsidRDefault="00710501" w:rsidP="00710501">
      <w:pPr>
        <w:pStyle w:val="recordingL2"/>
        <w:numPr>
          <w:ilvl w:val="0"/>
          <w:numId w:val="6"/>
        </w:numPr>
        <w:tabs>
          <w:tab w:val="left" w:pos="720"/>
        </w:tabs>
      </w:pPr>
      <w:r w:rsidRPr="00710501">
        <w:t>“Stranded costs” (of the nature referred to at p. 16, line 3 of Mr. Dittmer's testimony) incurred as a result of the sale of the Jefferson County service area to JPUD.</w:t>
      </w:r>
    </w:p>
    <w:p w:rsidR="00710501" w:rsidRPr="00710501" w:rsidRDefault="00710501" w:rsidP="00710501">
      <w:pPr>
        <w:pStyle w:val="recordingL2"/>
        <w:numPr>
          <w:ilvl w:val="0"/>
          <w:numId w:val="6"/>
        </w:numPr>
        <w:tabs>
          <w:tab w:val="left" w:pos="720"/>
        </w:tabs>
      </w:pPr>
      <w:r w:rsidRPr="00710501">
        <w:t>Differences in the cost of service among subsets of regions of customers within PSE's service area, of the nature referred to at p. 17, 6-9, within PSE’s service area (including, but not limited to, PSE’s former Jefferson County Service Area).</w:t>
      </w:r>
    </w:p>
    <w:p w:rsidR="00710501" w:rsidRPr="00710501" w:rsidRDefault="00710501" w:rsidP="00710501">
      <w:pPr>
        <w:rPr>
          <w:b/>
          <w:sz w:val="24"/>
        </w:rPr>
      </w:pPr>
      <w:r w:rsidRPr="00710501">
        <w:rPr>
          <w:b/>
          <w:sz w:val="24"/>
        </w:rPr>
        <w:t>OBJECTION AND RESPONSE:</w:t>
      </w:r>
      <w:r w:rsidRPr="00710501">
        <w:rPr>
          <w:b/>
          <w:sz w:val="24"/>
        </w:rPr>
        <w:tab/>
      </w:r>
    </w:p>
    <w:p w:rsidR="00710501" w:rsidRPr="00710501" w:rsidRDefault="00710501" w:rsidP="00710501">
      <w:pPr>
        <w:rPr>
          <w:sz w:val="24"/>
        </w:rPr>
      </w:pPr>
      <w:r w:rsidRPr="00710501">
        <w:rPr>
          <w:sz w:val="24"/>
        </w:rPr>
        <w:t>Public Counsel objects to PSE Data Request No. 5 to the extent it seeks information that would reveal information protected by the attorney work product doctrine or any other privilege.  Without waiving the objection and subject thereto, Public Counsel responds as follows:</w:t>
      </w:r>
    </w:p>
    <w:p w:rsidR="00710501" w:rsidRPr="00710501" w:rsidRDefault="00710501" w:rsidP="00710501">
      <w:pPr>
        <w:autoSpaceDE/>
        <w:autoSpaceDN/>
        <w:adjustRightInd/>
        <w:spacing w:after="240"/>
        <w:ind w:left="720" w:hanging="720"/>
        <w:rPr>
          <w:sz w:val="24"/>
        </w:rPr>
      </w:pPr>
    </w:p>
    <w:p w:rsidR="00710501" w:rsidRPr="00710501" w:rsidRDefault="00710501" w:rsidP="00710501">
      <w:pPr>
        <w:autoSpaceDE/>
        <w:autoSpaceDN/>
        <w:adjustRightInd/>
        <w:spacing w:after="240"/>
        <w:ind w:left="720" w:hanging="720"/>
        <w:rPr>
          <w:sz w:val="24"/>
        </w:rPr>
      </w:pPr>
      <w:r w:rsidRPr="00710501">
        <w:rPr>
          <w:sz w:val="24"/>
        </w:rPr>
        <w:t>a – c)</w:t>
      </w:r>
      <w:r w:rsidRPr="00710501">
        <w:rPr>
          <w:sz w:val="24"/>
        </w:rPr>
        <w:tab/>
        <w:t xml:space="preserve">In preparing the testimony that was filed on March 28, 2014, Public Counsel and Mr. Dittmer reviewed the data, work papers and exhibits provided by PSE through the testimony and exhibits of Mr. Jon Piliaris, as well as various data request responses provided by PSE regarding Mr. Piliaris’ analysis with respect to the cost of service, revenue requirement, and revenues collected from the former customers in Jefferson County.  </w:t>
      </w:r>
    </w:p>
    <w:p w:rsidR="00710501" w:rsidRPr="00710501" w:rsidRDefault="00710501" w:rsidP="00710501">
      <w:pPr>
        <w:autoSpaceDE/>
        <w:autoSpaceDN/>
        <w:adjustRightInd/>
        <w:spacing w:after="240"/>
        <w:ind w:left="720" w:hanging="720"/>
        <w:rPr>
          <w:sz w:val="24"/>
        </w:rPr>
      </w:pPr>
      <w:r w:rsidRPr="00710501">
        <w:rPr>
          <w:sz w:val="24"/>
        </w:rPr>
        <w:lastRenderedPageBreak/>
        <w:t>d)</w:t>
      </w:r>
      <w:r w:rsidRPr="00710501">
        <w:rPr>
          <w:sz w:val="24"/>
        </w:rPr>
        <w:tab/>
        <w:t>With regard to non-power supply costs, Mr. Dittmer did no additional or incremental analysis to quantify what level of stranded costs existed on PSE’s system following Jefferson County’s departure, beyond that identified and quantified by PSE.  Specifically, Mr. Dittmer does not take exception to the $3.2 million of non-power supply stranded costs that existed on PSE’s following Jefferson County’s departure.  He has accepted, as PSE pointed out in response to Public Counsel Data Request No. 34, that PSE’s shareholders are currently absorbing the $3.2 million of contributions toward common fixed costs previously paid by Jefferson County electric customers.</w:t>
      </w:r>
    </w:p>
    <w:p w:rsidR="00710501" w:rsidRPr="00710501" w:rsidRDefault="00710501" w:rsidP="00710501">
      <w:pPr>
        <w:autoSpaceDE/>
        <w:autoSpaceDN/>
        <w:adjustRightInd/>
        <w:spacing w:after="240"/>
        <w:ind w:left="720" w:hanging="720"/>
        <w:rPr>
          <w:sz w:val="24"/>
        </w:rPr>
      </w:pPr>
      <w:r w:rsidRPr="00710501">
        <w:rPr>
          <w:sz w:val="24"/>
        </w:rPr>
        <w:tab/>
        <w:t xml:space="preserve">Regarding stranded power supply costs, Mr. Dittmer largely relies upon the early years of the 20 year power supply study sponsored by Mr. Piliaris within Exhibit No. </w:t>
      </w:r>
      <w:proofErr w:type="gramStart"/>
      <w:r w:rsidRPr="00710501">
        <w:rPr>
          <w:sz w:val="24"/>
        </w:rPr>
        <w:t>JAP-7.</w:t>
      </w:r>
      <w:proofErr w:type="gramEnd"/>
      <w:r w:rsidRPr="00710501">
        <w:rPr>
          <w:sz w:val="24"/>
        </w:rPr>
        <w:t xml:space="preserve">  As discussed within pages 31 – 33 of Mr. Dittmer’s testimony, the stranded cost values set forth in the early years of Mr. Piliaris’ study were incorrect inasmuch as foregone PCA revenues were not properly calculated and synchronized with forecasted increases in production costs.  That mismatch has been corrected and revised results can be observed within Exhibit No. JRD-4 affixed to Mr. Dittmer’s testimony.</w:t>
      </w:r>
    </w:p>
    <w:p w:rsidR="00710501" w:rsidRPr="00710501" w:rsidRDefault="00710501" w:rsidP="00710501">
      <w:pPr>
        <w:autoSpaceDE/>
        <w:autoSpaceDN/>
        <w:adjustRightInd/>
        <w:spacing w:after="240"/>
        <w:ind w:left="720" w:hanging="720"/>
        <w:rPr>
          <w:rFonts w:eastAsia="Calibri"/>
          <w:sz w:val="24"/>
        </w:rPr>
      </w:pPr>
      <w:r w:rsidRPr="00710501">
        <w:rPr>
          <w:sz w:val="24"/>
        </w:rPr>
        <w:t>e)</w:t>
      </w:r>
      <w:r w:rsidRPr="00710501">
        <w:rPr>
          <w:sz w:val="24"/>
        </w:rPr>
        <w:tab/>
      </w:r>
      <w:r w:rsidRPr="00710501">
        <w:rPr>
          <w:rFonts w:eastAsia="Calibri"/>
          <w:sz w:val="24"/>
        </w:rPr>
        <w:t>No other analysis of the cost of providing service to other regions of PSE’s service territory have been undertaken as no such analysis was necessary.</w:t>
      </w:r>
    </w:p>
    <w:p w:rsidR="00710501" w:rsidRPr="00710501" w:rsidRDefault="00710501" w:rsidP="00710501">
      <w:pPr>
        <w:pStyle w:val="Footer"/>
        <w:rPr>
          <w:sz w:val="24"/>
          <w:szCs w:val="24"/>
        </w:rPr>
      </w:pPr>
    </w:p>
    <w:sectPr w:rsidR="00710501" w:rsidRPr="00710501" w:rsidSect="0071050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F9" w:rsidRDefault="00F643F9" w:rsidP="00F643F9">
      <w:r>
        <w:separator/>
      </w:r>
    </w:p>
  </w:endnote>
  <w:endnote w:type="continuationSeparator" w:id="0">
    <w:p w:rsidR="00F643F9" w:rsidRDefault="00F643F9" w:rsidP="00F6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F9" w:rsidRDefault="00F643F9" w:rsidP="00F643F9">
      <w:r>
        <w:separator/>
      </w:r>
    </w:p>
  </w:footnote>
  <w:footnote w:type="continuationSeparator" w:id="0">
    <w:p w:rsidR="00F643F9" w:rsidRDefault="00F643F9" w:rsidP="00F6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F9" w:rsidRDefault="00F643F9" w:rsidP="00F643F9">
    <w:pPr>
      <w:spacing w:line="240" w:lineRule="exac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01" w:rsidRPr="00F643F9" w:rsidRDefault="00710501" w:rsidP="00710501">
    <w:pPr>
      <w:tabs>
        <w:tab w:val="center" w:pos="4320"/>
      </w:tabs>
      <w:jc w:val="center"/>
      <w:rPr>
        <w:sz w:val="24"/>
      </w:rPr>
    </w:pPr>
    <w:smartTag w:uri="urn:schemas-microsoft-com:office:smarttags" w:element="State">
      <w:smartTag w:uri="urn:schemas-microsoft-com:office:smarttags" w:element="place">
        <w:r w:rsidRPr="00F643F9">
          <w:rPr>
            <w:sz w:val="24"/>
          </w:rPr>
          <w:t>WASHINGTON</w:t>
        </w:r>
      </w:smartTag>
    </w:smartTag>
    <w:r w:rsidRPr="00F643F9">
      <w:rPr>
        <w:sz w:val="24"/>
      </w:rPr>
      <w:t xml:space="preserve"> UTILITIES AND TRANSPORTATION COMMISSION STAFF</w:t>
    </w:r>
  </w:p>
  <w:p w:rsidR="00710501" w:rsidRPr="00F643F9" w:rsidRDefault="00710501" w:rsidP="00710501">
    <w:pPr>
      <w:tabs>
        <w:tab w:val="center" w:pos="4680"/>
      </w:tabs>
      <w:jc w:val="center"/>
      <w:rPr>
        <w:sz w:val="24"/>
      </w:rPr>
    </w:pPr>
    <w:r w:rsidRPr="00F643F9">
      <w:rPr>
        <w:sz w:val="24"/>
      </w:rPr>
      <w:t>RESPONSE TO DATA REQUEST</w:t>
    </w:r>
  </w:p>
  <w:p w:rsidR="00710501" w:rsidRPr="00F643F9" w:rsidRDefault="00710501" w:rsidP="00710501">
    <w:pPr>
      <w:tabs>
        <w:tab w:val="center" w:pos="4680"/>
      </w:tabs>
      <w:jc w:val="cente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710501" w:rsidRPr="00F643F9" w:rsidTr="00DF008E">
      <w:tc>
        <w:tcPr>
          <w:tcW w:w="4320" w:type="dxa"/>
          <w:tcBorders>
            <w:top w:val="nil"/>
            <w:left w:val="nil"/>
            <w:bottom w:val="nil"/>
            <w:right w:val="nil"/>
          </w:tcBorders>
        </w:tcPr>
        <w:p w:rsidR="00710501" w:rsidRPr="00F643F9" w:rsidRDefault="00710501" w:rsidP="00DF008E">
          <w:pPr>
            <w:tabs>
              <w:tab w:val="center" w:pos="3870"/>
            </w:tabs>
            <w:jc w:val="center"/>
            <w:rPr>
              <w:sz w:val="24"/>
            </w:rPr>
          </w:pPr>
          <w:r w:rsidRPr="00F643F9">
            <w:rPr>
              <w:sz w:val="24"/>
            </w:rPr>
            <w:t>DATE PREPARED:</w:t>
          </w:r>
          <w:r w:rsidRPr="00F643F9">
            <w:rPr>
              <w:sz w:val="24"/>
            </w:rPr>
            <w:tab/>
            <w:t>April 14, 2014</w:t>
          </w:r>
        </w:p>
        <w:p w:rsidR="00710501" w:rsidRPr="00F643F9" w:rsidRDefault="00710501" w:rsidP="00DF008E">
          <w:pPr>
            <w:tabs>
              <w:tab w:val="center" w:pos="4230"/>
            </w:tabs>
            <w:jc w:val="center"/>
            <w:rPr>
              <w:sz w:val="24"/>
            </w:rPr>
          </w:pPr>
          <w:r>
            <w:rPr>
              <w:sz w:val="24"/>
            </w:rPr>
            <w:t>DOCKET:</w:t>
          </w:r>
          <w:r w:rsidRPr="00F643F9">
            <w:rPr>
              <w:sz w:val="24"/>
            </w:rPr>
            <w:tab/>
            <w:t>UE-132027</w:t>
          </w:r>
        </w:p>
        <w:p w:rsidR="00710501" w:rsidRPr="00F643F9" w:rsidRDefault="00710501" w:rsidP="00DF008E">
          <w:pPr>
            <w:tabs>
              <w:tab w:val="center" w:pos="4140"/>
            </w:tabs>
            <w:jc w:val="center"/>
            <w:rPr>
              <w:sz w:val="24"/>
            </w:rPr>
          </w:pPr>
          <w:r w:rsidRPr="00F643F9">
            <w:rPr>
              <w:sz w:val="24"/>
            </w:rPr>
            <w:t>REQUESTER:</w:t>
          </w:r>
          <w:r w:rsidRPr="00F643F9">
            <w:rPr>
              <w:sz w:val="24"/>
            </w:rPr>
            <w:tab/>
            <w:t>PSE</w:t>
          </w:r>
        </w:p>
        <w:p w:rsidR="00710501" w:rsidRPr="00F643F9" w:rsidRDefault="00710501" w:rsidP="00DF008E">
          <w:pPr>
            <w:tabs>
              <w:tab w:val="center" w:pos="4680"/>
            </w:tabs>
            <w:jc w:val="center"/>
            <w:rPr>
              <w:sz w:val="24"/>
            </w:rPr>
          </w:pPr>
        </w:p>
      </w:tc>
      <w:tc>
        <w:tcPr>
          <w:tcW w:w="720" w:type="dxa"/>
          <w:tcBorders>
            <w:top w:val="nil"/>
            <w:left w:val="nil"/>
            <w:bottom w:val="nil"/>
            <w:right w:val="nil"/>
          </w:tcBorders>
        </w:tcPr>
        <w:p w:rsidR="00710501" w:rsidRPr="00F643F9" w:rsidRDefault="00710501" w:rsidP="00DF008E">
          <w:pPr>
            <w:tabs>
              <w:tab w:val="center" w:pos="4680"/>
            </w:tabs>
            <w:jc w:val="center"/>
            <w:rPr>
              <w:sz w:val="24"/>
            </w:rPr>
          </w:pPr>
        </w:p>
      </w:tc>
      <w:tc>
        <w:tcPr>
          <w:tcW w:w="4320" w:type="dxa"/>
          <w:tcBorders>
            <w:top w:val="nil"/>
            <w:left w:val="nil"/>
            <w:bottom w:val="nil"/>
            <w:right w:val="nil"/>
          </w:tcBorders>
        </w:tcPr>
        <w:p w:rsidR="00710501" w:rsidRPr="00F643F9" w:rsidRDefault="00710501" w:rsidP="00DF008E">
          <w:pPr>
            <w:tabs>
              <w:tab w:val="center" w:pos="3780"/>
            </w:tabs>
            <w:jc w:val="center"/>
            <w:rPr>
              <w:sz w:val="24"/>
            </w:rPr>
          </w:pPr>
          <w:r>
            <w:rPr>
              <w:sz w:val="24"/>
            </w:rPr>
            <w:t>WITNESS:</w:t>
          </w:r>
          <w:r w:rsidRPr="00F643F9">
            <w:rPr>
              <w:sz w:val="24"/>
            </w:rPr>
            <w:tab/>
            <w:t xml:space="preserve">EJ Keating </w:t>
          </w:r>
        </w:p>
        <w:p w:rsidR="00710501" w:rsidRPr="00F643F9" w:rsidRDefault="00710501" w:rsidP="00DF008E">
          <w:pPr>
            <w:tabs>
              <w:tab w:val="center" w:pos="3780"/>
            </w:tabs>
            <w:jc w:val="center"/>
            <w:rPr>
              <w:sz w:val="24"/>
            </w:rPr>
          </w:pPr>
          <w:r w:rsidRPr="00F643F9">
            <w:rPr>
              <w:sz w:val="24"/>
            </w:rPr>
            <w:t xml:space="preserve">RESPONDER:  </w:t>
          </w:r>
          <w:r w:rsidRPr="00F643F9">
            <w:rPr>
              <w:sz w:val="24"/>
            </w:rPr>
            <w:tab/>
            <w:t>EJ Keating</w:t>
          </w:r>
        </w:p>
        <w:p w:rsidR="00710501" w:rsidRPr="00F643F9" w:rsidRDefault="00710501" w:rsidP="00DF008E">
          <w:pPr>
            <w:tabs>
              <w:tab w:val="center" w:pos="3690"/>
            </w:tabs>
            <w:jc w:val="center"/>
            <w:rPr>
              <w:sz w:val="24"/>
            </w:rPr>
          </w:pPr>
          <w:r w:rsidRPr="00F643F9">
            <w:rPr>
              <w:sz w:val="24"/>
            </w:rPr>
            <w:t xml:space="preserve">TELEPHONE:  </w:t>
          </w:r>
          <w:r w:rsidRPr="00F643F9">
            <w:rPr>
              <w:sz w:val="24"/>
            </w:rPr>
            <w:tab/>
            <w:t>(360) 664-1312</w:t>
          </w:r>
        </w:p>
        <w:p w:rsidR="00710501" w:rsidRPr="00F643F9" w:rsidRDefault="00710501" w:rsidP="00DF008E">
          <w:pPr>
            <w:tabs>
              <w:tab w:val="center" w:pos="4680"/>
            </w:tabs>
            <w:jc w:val="center"/>
            <w:rPr>
              <w:sz w:val="24"/>
            </w:rPr>
          </w:pPr>
        </w:p>
      </w:tc>
    </w:tr>
  </w:tbl>
  <w:p w:rsidR="00710501" w:rsidRDefault="00710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36DB"/>
    <w:multiLevelType w:val="hybridMultilevel"/>
    <w:tmpl w:val="6E96F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65505"/>
    <w:multiLevelType w:val="hybridMultilevel"/>
    <w:tmpl w:val="DEC6080E"/>
    <w:lvl w:ilvl="0" w:tplc="929614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AF7569"/>
    <w:multiLevelType w:val="hybridMultilevel"/>
    <w:tmpl w:val="275E9F9E"/>
    <w:lvl w:ilvl="0" w:tplc="6E821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E0620"/>
    <w:multiLevelType w:val="hybridMultilevel"/>
    <w:tmpl w:val="30A0D804"/>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547435B2"/>
    <w:multiLevelType w:val="hybridMultilevel"/>
    <w:tmpl w:val="10F4E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A076B"/>
    <w:multiLevelType w:val="multilevel"/>
    <w:tmpl w:val="52C25F62"/>
    <w:name w:val="zzmprecording||Recordable|2|3|1|1|12|0||2|12|0||1|12|1||1|12|1||mpNA||mpNA||mpNA||mpNA||mpNA||"/>
    <w:lvl w:ilvl="0">
      <w:start w:val="1"/>
      <w:numFmt w:val="decimal"/>
      <w:pStyle w:val="recordingL1"/>
      <w:lvlText w:val="%1."/>
      <w:lvlJc w:val="left"/>
      <w:pPr>
        <w:tabs>
          <w:tab w:val="num" w:pos="720"/>
        </w:tabs>
        <w:ind w:left="720" w:hanging="720"/>
      </w:pPr>
      <w:rPr>
        <w:b w:val="0"/>
        <w:i w:val="0"/>
        <w:caps w:val="0"/>
        <w:strike w:val="0"/>
        <w:dstrike w:val="0"/>
        <w:u w:val="none"/>
        <w:effect w:val="none"/>
      </w:rPr>
    </w:lvl>
    <w:lvl w:ilvl="1">
      <w:start w:val="1"/>
      <w:numFmt w:val="lowerLetter"/>
      <w:pStyle w:val="recordingL2"/>
      <w:suff w:val="space"/>
      <w:lvlText w:val="%2)"/>
      <w:lvlJc w:val="left"/>
      <w:pPr>
        <w:tabs>
          <w:tab w:val="num" w:pos="1440"/>
        </w:tabs>
        <w:ind w:left="720" w:firstLine="0"/>
      </w:pPr>
      <w:rPr>
        <w:b w:val="0"/>
        <w:i w:val="0"/>
        <w:caps w:val="0"/>
        <w:strike w:val="0"/>
        <w:dstrike w:val="0"/>
        <w:u w:val="none"/>
        <w:effect w:val="none"/>
      </w:rPr>
    </w:lvl>
    <w:lvl w:ilvl="2">
      <w:start w:val="1"/>
      <w:numFmt w:val="decimal"/>
      <w:pStyle w:val="recordingL3"/>
      <w:lvlText w:val="%1.%2.%3"/>
      <w:lvlJc w:val="left"/>
      <w:pPr>
        <w:tabs>
          <w:tab w:val="num" w:pos="2304"/>
        </w:tabs>
        <w:ind w:left="2304" w:hanging="864"/>
      </w:pPr>
      <w:rPr>
        <w:b/>
        <w:i w:val="0"/>
        <w:caps w:val="0"/>
        <w:strike w:val="0"/>
        <w:dstrike w:val="0"/>
        <w:u w:val="none"/>
        <w:effect w:val="none"/>
      </w:rPr>
    </w:lvl>
    <w:lvl w:ilvl="3">
      <w:start w:val="1"/>
      <w:numFmt w:val="lowerLetter"/>
      <w:pStyle w:val="recordingL4"/>
      <w:lvlText w:val="(%4)"/>
      <w:lvlJc w:val="left"/>
      <w:pPr>
        <w:tabs>
          <w:tab w:val="num" w:pos="3024"/>
        </w:tabs>
        <w:ind w:left="3024" w:hanging="720"/>
      </w:pPr>
      <w:rPr>
        <w:b/>
        <w:i w:val="0"/>
        <w:caps w:val="0"/>
        <w:strike w:val="0"/>
        <w:dstrike w:val="0"/>
        <w:u w:val="none"/>
        <w:effect w:val="none"/>
      </w:rPr>
    </w:lvl>
    <w:lvl w:ilvl="4">
      <w:start w:val="1"/>
      <w:numFmt w:val="lowerRoman"/>
      <w:lvlText w:val="(%5)"/>
      <w:lvlJc w:val="left"/>
      <w:pPr>
        <w:tabs>
          <w:tab w:val="num" w:pos="3600"/>
        </w:tabs>
        <w:ind w:left="0" w:firstLine="2880"/>
      </w:pPr>
      <w:rPr>
        <w:b w:val="0"/>
        <w:i w:val="0"/>
        <w:caps w:val="0"/>
        <w:strike w:val="0"/>
        <w:dstrike w:val="0"/>
        <w:u w:val="none"/>
        <w:effect w:val="none"/>
      </w:rPr>
    </w:lvl>
    <w:lvl w:ilvl="5">
      <w:start w:val="1"/>
      <w:numFmt w:val="decimal"/>
      <w:lvlText w:val="(%6)"/>
      <w:lvlJc w:val="left"/>
      <w:pPr>
        <w:tabs>
          <w:tab w:val="num" w:pos="4320"/>
        </w:tabs>
        <w:ind w:left="0" w:firstLine="3600"/>
      </w:pPr>
      <w:rPr>
        <w:b w:val="0"/>
        <w:i w:val="0"/>
        <w:caps w:val="0"/>
        <w:strike w:val="0"/>
        <w:dstrike w:val="0"/>
        <w:u w:val="none"/>
        <w:effect w:val="none"/>
      </w:rPr>
    </w:lvl>
    <w:lvl w:ilvl="6">
      <w:start w:val="1"/>
      <w:numFmt w:val="lowerLetter"/>
      <w:lvlText w:val="%7."/>
      <w:lvlJc w:val="left"/>
      <w:pPr>
        <w:tabs>
          <w:tab w:val="num" w:pos="5040"/>
        </w:tabs>
        <w:ind w:left="0" w:firstLine="4320"/>
      </w:pPr>
      <w:rPr>
        <w:b w:val="0"/>
        <w:i w:val="0"/>
        <w:caps w:val="0"/>
        <w:strike w:val="0"/>
        <w:dstrike w:val="0"/>
        <w:u w:val="none"/>
        <w:effect w:val="none"/>
      </w:rPr>
    </w:lvl>
    <w:lvl w:ilvl="7">
      <w:start w:val="1"/>
      <w:numFmt w:val="lowerRoman"/>
      <w:lvlText w:val="%8."/>
      <w:lvlJc w:val="left"/>
      <w:pPr>
        <w:tabs>
          <w:tab w:val="num" w:pos="5760"/>
        </w:tabs>
        <w:ind w:left="0" w:firstLine="5040"/>
      </w:pPr>
      <w:rPr>
        <w:b w:val="0"/>
        <w:i w:val="0"/>
        <w:caps w:val="0"/>
        <w:strike w:val="0"/>
        <w:dstrike w:val="0"/>
        <w:u w:val="none"/>
        <w:effect w:val="none"/>
      </w:rPr>
    </w:lvl>
    <w:lvl w:ilvl="8">
      <w:start w:val="1"/>
      <w:numFmt w:val="decimal"/>
      <w:lvlText w:val="%9."/>
      <w:lvlJc w:val="left"/>
      <w:pPr>
        <w:tabs>
          <w:tab w:val="num" w:pos="6480"/>
        </w:tabs>
        <w:ind w:left="0" w:firstLine="5760"/>
      </w:pPr>
      <w:rPr>
        <w:b w:val="0"/>
        <w:i w:val="0"/>
        <w:caps w:val="0"/>
        <w:strike w:val="0"/>
        <w:dstrike w:val="0"/>
        <w:u w:val="none"/>
        <w:effect w:val="none"/>
      </w:rPr>
    </w:lvl>
  </w:abstractNum>
  <w:num w:numId="1">
    <w:abstractNumId w:val="1"/>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B9"/>
    <w:rsid w:val="00292610"/>
    <w:rsid w:val="00704FB9"/>
    <w:rsid w:val="00710501"/>
    <w:rsid w:val="00713B1B"/>
    <w:rsid w:val="00F6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10501"/>
    <w:pPr>
      <w:keepNext/>
      <w:widowControl/>
      <w:autoSpaceDE/>
      <w:autoSpaceDN/>
      <w:adjustRightInd/>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3F9"/>
  </w:style>
  <w:style w:type="paragraph" w:styleId="Footer">
    <w:name w:val="footer"/>
    <w:basedOn w:val="Normal"/>
    <w:link w:val="Foot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3F9"/>
  </w:style>
  <w:style w:type="paragraph" w:styleId="BodyText">
    <w:name w:val="Body Text"/>
    <w:basedOn w:val="Normal"/>
    <w:link w:val="BodyTextChar"/>
    <w:rsid w:val="00710501"/>
    <w:pPr>
      <w:widowControl/>
      <w:autoSpaceDE/>
      <w:autoSpaceDN/>
      <w:adjustRightInd/>
    </w:pPr>
    <w:rPr>
      <w:sz w:val="24"/>
      <w:szCs w:val="20"/>
      <w:lang w:val="x-none" w:eastAsia="x-none"/>
    </w:rPr>
  </w:style>
  <w:style w:type="character" w:customStyle="1" w:styleId="BodyTextChar">
    <w:name w:val="Body Text Char"/>
    <w:basedOn w:val="DefaultParagraphFont"/>
    <w:link w:val="BodyText"/>
    <w:rsid w:val="00710501"/>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710501"/>
    <w:rPr>
      <w:rFonts w:ascii="Times New Roman" w:eastAsia="Times New Roman" w:hAnsi="Times New Roman" w:cs="Times New Roman"/>
      <w:b/>
      <w:bCs/>
      <w:sz w:val="24"/>
      <w:szCs w:val="24"/>
    </w:rPr>
  </w:style>
  <w:style w:type="paragraph" w:styleId="NormalWeb">
    <w:name w:val="Normal (Web)"/>
    <w:basedOn w:val="Normal"/>
    <w:rsid w:val="00710501"/>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recordingL1">
    <w:name w:val="recording_L1"/>
    <w:basedOn w:val="Normal"/>
    <w:next w:val="BodyText"/>
    <w:rsid w:val="00710501"/>
    <w:pPr>
      <w:keepNext/>
      <w:keepLines/>
      <w:widowControl/>
      <w:numPr>
        <w:numId w:val="5"/>
      </w:numPr>
      <w:autoSpaceDE/>
      <w:autoSpaceDN/>
      <w:adjustRightInd/>
      <w:spacing w:after="240"/>
      <w:outlineLvl w:val="0"/>
    </w:pPr>
    <w:rPr>
      <w:sz w:val="24"/>
    </w:rPr>
  </w:style>
  <w:style w:type="character" w:customStyle="1" w:styleId="recordingL2Char">
    <w:name w:val="recording_L2 Char"/>
    <w:link w:val="recordingL2"/>
    <w:locked/>
    <w:rsid w:val="00710501"/>
    <w:rPr>
      <w:sz w:val="24"/>
      <w:szCs w:val="24"/>
    </w:rPr>
  </w:style>
  <w:style w:type="paragraph" w:customStyle="1" w:styleId="recordingL2">
    <w:name w:val="recording_L2"/>
    <w:basedOn w:val="recordingL1"/>
    <w:next w:val="BodyText"/>
    <w:link w:val="recordingL2Char"/>
    <w:rsid w:val="00710501"/>
    <w:pPr>
      <w:keepNext w:val="0"/>
      <w:keepLines w:val="0"/>
      <w:numPr>
        <w:ilvl w:val="1"/>
      </w:numPr>
      <w:outlineLvl w:val="1"/>
    </w:pPr>
    <w:rPr>
      <w:rFonts w:asciiTheme="minorHAnsi" w:eastAsiaTheme="minorHAnsi" w:hAnsiTheme="minorHAnsi" w:cstheme="minorBidi"/>
    </w:rPr>
  </w:style>
  <w:style w:type="paragraph" w:customStyle="1" w:styleId="recordingL3">
    <w:name w:val="recording_L3"/>
    <w:basedOn w:val="recordingL2"/>
    <w:next w:val="BodyText"/>
    <w:rsid w:val="00710501"/>
    <w:pPr>
      <w:keepNext/>
      <w:keepLines/>
      <w:numPr>
        <w:ilvl w:val="2"/>
      </w:numPr>
      <w:tabs>
        <w:tab w:val="clear" w:pos="2304"/>
        <w:tab w:val="num" w:pos="360"/>
        <w:tab w:val="num" w:pos="2160"/>
      </w:tabs>
      <w:ind w:left="2160" w:hanging="360"/>
      <w:outlineLvl w:val="2"/>
    </w:pPr>
    <w:rPr>
      <w:b/>
    </w:rPr>
  </w:style>
  <w:style w:type="paragraph" w:customStyle="1" w:styleId="recordingL4">
    <w:name w:val="recording_L4"/>
    <w:basedOn w:val="recordingL3"/>
    <w:next w:val="BodyText"/>
    <w:rsid w:val="00710501"/>
    <w:pPr>
      <w:numPr>
        <w:ilvl w:val="3"/>
      </w:numPr>
      <w:tabs>
        <w:tab w:val="clear" w:pos="3024"/>
        <w:tab w:val="num" w:pos="360"/>
        <w:tab w:val="num" w:pos="2880"/>
      </w:tabs>
      <w:ind w:left="2880" w:hanging="360"/>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10501"/>
    <w:pPr>
      <w:keepNext/>
      <w:widowControl/>
      <w:autoSpaceDE/>
      <w:autoSpaceDN/>
      <w:adjustRightInd/>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3F9"/>
  </w:style>
  <w:style w:type="paragraph" w:styleId="Footer">
    <w:name w:val="footer"/>
    <w:basedOn w:val="Normal"/>
    <w:link w:val="Foot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3F9"/>
  </w:style>
  <w:style w:type="paragraph" w:styleId="BodyText">
    <w:name w:val="Body Text"/>
    <w:basedOn w:val="Normal"/>
    <w:link w:val="BodyTextChar"/>
    <w:rsid w:val="00710501"/>
    <w:pPr>
      <w:widowControl/>
      <w:autoSpaceDE/>
      <w:autoSpaceDN/>
      <w:adjustRightInd/>
    </w:pPr>
    <w:rPr>
      <w:sz w:val="24"/>
      <w:szCs w:val="20"/>
      <w:lang w:val="x-none" w:eastAsia="x-none"/>
    </w:rPr>
  </w:style>
  <w:style w:type="character" w:customStyle="1" w:styleId="BodyTextChar">
    <w:name w:val="Body Text Char"/>
    <w:basedOn w:val="DefaultParagraphFont"/>
    <w:link w:val="BodyText"/>
    <w:rsid w:val="00710501"/>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710501"/>
    <w:rPr>
      <w:rFonts w:ascii="Times New Roman" w:eastAsia="Times New Roman" w:hAnsi="Times New Roman" w:cs="Times New Roman"/>
      <w:b/>
      <w:bCs/>
      <w:sz w:val="24"/>
      <w:szCs w:val="24"/>
    </w:rPr>
  </w:style>
  <w:style w:type="paragraph" w:styleId="NormalWeb">
    <w:name w:val="Normal (Web)"/>
    <w:basedOn w:val="Normal"/>
    <w:rsid w:val="00710501"/>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recordingL1">
    <w:name w:val="recording_L1"/>
    <w:basedOn w:val="Normal"/>
    <w:next w:val="BodyText"/>
    <w:rsid w:val="00710501"/>
    <w:pPr>
      <w:keepNext/>
      <w:keepLines/>
      <w:widowControl/>
      <w:numPr>
        <w:numId w:val="5"/>
      </w:numPr>
      <w:autoSpaceDE/>
      <w:autoSpaceDN/>
      <w:adjustRightInd/>
      <w:spacing w:after="240"/>
      <w:outlineLvl w:val="0"/>
    </w:pPr>
    <w:rPr>
      <w:sz w:val="24"/>
    </w:rPr>
  </w:style>
  <w:style w:type="character" w:customStyle="1" w:styleId="recordingL2Char">
    <w:name w:val="recording_L2 Char"/>
    <w:link w:val="recordingL2"/>
    <w:locked/>
    <w:rsid w:val="00710501"/>
    <w:rPr>
      <w:sz w:val="24"/>
      <w:szCs w:val="24"/>
    </w:rPr>
  </w:style>
  <w:style w:type="paragraph" w:customStyle="1" w:styleId="recordingL2">
    <w:name w:val="recording_L2"/>
    <w:basedOn w:val="recordingL1"/>
    <w:next w:val="BodyText"/>
    <w:link w:val="recordingL2Char"/>
    <w:rsid w:val="00710501"/>
    <w:pPr>
      <w:keepNext w:val="0"/>
      <w:keepLines w:val="0"/>
      <w:numPr>
        <w:ilvl w:val="1"/>
      </w:numPr>
      <w:outlineLvl w:val="1"/>
    </w:pPr>
    <w:rPr>
      <w:rFonts w:asciiTheme="minorHAnsi" w:eastAsiaTheme="minorHAnsi" w:hAnsiTheme="minorHAnsi" w:cstheme="minorBidi"/>
    </w:rPr>
  </w:style>
  <w:style w:type="paragraph" w:customStyle="1" w:styleId="recordingL3">
    <w:name w:val="recording_L3"/>
    <w:basedOn w:val="recordingL2"/>
    <w:next w:val="BodyText"/>
    <w:rsid w:val="00710501"/>
    <w:pPr>
      <w:keepNext/>
      <w:keepLines/>
      <w:numPr>
        <w:ilvl w:val="2"/>
      </w:numPr>
      <w:tabs>
        <w:tab w:val="clear" w:pos="2304"/>
        <w:tab w:val="num" w:pos="360"/>
        <w:tab w:val="num" w:pos="2160"/>
      </w:tabs>
      <w:ind w:left="2160" w:hanging="360"/>
      <w:outlineLvl w:val="2"/>
    </w:pPr>
    <w:rPr>
      <w:b/>
    </w:rPr>
  </w:style>
  <w:style w:type="paragraph" w:customStyle="1" w:styleId="recordingL4">
    <w:name w:val="recording_L4"/>
    <w:basedOn w:val="recordingL3"/>
    <w:next w:val="BodyText"/>
    <w:rsid w:val="00710501"/>
    <w:pPr>
      <w:numPr>
        <w:ilvl w:val="3"/>
      </w:numPr>
      <w:tabs>
        <w:tab w:val="clear" w:pos="3024"/>
        <w:tab w:val="num" w:pos="360"/>
        <w:tab w:val="num" w:pos="2880"/>
      </w:tabs>
      <w:ind w:left="2880" w:hanging="36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C3A24-8255-4CC9-95C6-DE186F232A70}"/>
</file>

<file path=customXml/itemProps2.xml><?xml version="1.0" encoding="utf-8"?>
<ds:datastoreItem xmlns:ds="http://schemas.openxmlformats.org/officeDocument/2006/customXml" ds:itemID="{6F0C66AC-03C4-45A6-B1FF-AF7EDEF93E95}"/>
</file>

<file path=customXml/itemProps3.xml><?xml version="1.0" encoding="utf-8"?>
<ds:datastoreItem xmlns:ds="http://schemas.openxmlformats.org/officeDocument/2006/customXml" ds:itemID="{A4AD5D63-3DEA-44AE-A039-C8D96089AA70}"/>
</file>

<file path=customXml/itemProps4.xml><?xml version="1.0" encoding="utf-8"?>
<ds:datastoreItem xmlns:ds="http://schemas.openxmlformats.org/officeDocument/2006/customXml" ds:itemID="{8F545548-6592-4DBB-B32C-9761AEFFCA8C}"/>
</file>

<file path=docProps/app.xml><?xml version="1.0" encoding="utf-8"?>
<Properties xmlns="http://schemas.openxmlformats.org/officeDocument/2006/extended-properties" xmlns:vt="http://schemas.openxmlformats.org/officeDocument/2006/docPropsVTypes">
  <Template>Normal.dotm</Template>
  <TotalTime>12</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3</cp:revision>
  <dcterms:created xsi:type="dcterms:W3CDTF">2014-04-17T15:46:00Z</dcterms:created>
  <dcterms:modified xsi:type="dcterms:W3CDTF">2014-04-17T21:34:00Z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gFAAsdpvfP9KDXJ60DZM6WsGkRYIkmqhcfiDPeu9dCTwQKn6LE1FAPmnXvsVB5zasEW4BjCUOVtegNkk
XGedJwDX9r5yuhDD5pmpBGrEhRCAnneX8Nh6liSKhE4WFmPT6FFX/hMxekj/EvIXrDgg8OAS/nyR
o24nQjc9PHF21sSrXpPH4ITJticMM0A1F3whsftspiGgbZjss1+Hd00ErR7osacfIFmCCkDezgVV
6eZjnIPJvoCgoz9ux</vt:lpwstr>
  </property>
  <property fmtid="{D5CDD505-2E9C-101B-9397-08002B2CF9AE}" pid="4" name="MAIL_MSG_ID2">
    <vt:lpwstr>hUzl2xlOUA+36jby9cwrj09YeenvmAAnsQ76j/OrOWCCrfaYXZkkekKhlRz
pBxfT1AB7MmQQkgEKo7fgBcRbFn4MG8UssatcQ==</vt:lpwstr>
  </property>
  <property fmtid="{D5CDD505-2E9C-101B-9397-08002B2CF9AE}" pid="5" name="RESPONSE_SENDER_NAME">
    <vt:lpwstr>sAAA4E8dREqJqIre+Csh2KcHtNjV/ujN4iopw9MigEfSPQc=</vt:lpwstr>
  </property>
  <property fmtid="{D5CDD505-2E9C-101B-9397-08002B2CF9AE}" pid="6" name="EMAIL_OWNER_ADDRESS">
    <vt:lpwstr>4AAA6DouqOs9baE00g2yxD/LIbIUlPem8n7L0nUpm8pi8A2+Z2ihja9DxQ==</vt:lpwstr>
  </property>
  <property fmtid="{D5CDD505-2E9C-101B-9397-08002B2CF9AE}" pid="7" name="ContentTypeId">
    <vt:lpwstr>0x0101006E56B4D1795A2E4DB2F0B01679ED314A00C87A0A5D7D9C4E4DAB7922844D35C890</vt:lpwstr>
  </property>
  <property fmtid="{D5CDD505-2E9C-101B-9397-08002B2CF9AE}" pid="8" name="_docset_NoMedatataSyncRequired">
    <vt:lpwstr>False</vt:lpwstr>
  </property>
</Properties>
</file>