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9576" w:type="dxa"/>
        <w:tblBorders>
          <w:insideH w:val="single" w:sz="4" w:space="0" w:color="auto"/>
        </w:tblBorders>
        <w:tblLayout w:type="fixed"/>
        <w:tblLook w:val="0000" w:firstRow="0" w:lastRow="0" w:firstColumn="0" w:lastColumn="0" w:noHBand="0" w:noVBand="0"/>
      </w:tblPr>
      <w:tblGrid>
        <w:gridCol w:w="4788"/>
        <w:gridCol w:w="4788"/>
      </w:tblGrid>
      <w:tr w:rsidR="00107566" w:rsidRPr="001E7615" w:rsidTr="00B904C5">
        <w:tc>
          <w:tcPr>
            <w:tcW w:w="4788" w:type="dxa"/>
          </w:tcPr>
          <w:p w:rsidR="00107566" w:rsidRPr="003749A4" w:rsidRDefault="00107566" w:rsidP="00B904C5">
            <w:pPr>
              <w:pStyle w:val="Header"/>
              <w:rPr>
                <w:b/>
                <w:bCs/>
                <w:szCs w:val="24"/>
              </w:rPr>
            </w:pPr>
            <w:r w:rsidRPr="003749A4">
              <w:rPr>
                <w:b/>
                <w:bCs/>
                <w:szCs w:val="24"/>
              </w:rPr>
              <w:t>Avista Corp.</w:t>
            </w:r>
          </w:p>
          <w:p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rsidR="00107566" w:rsidRPr="003749A4" w:rsidRDefault="00107566" w:rsidP="00B904C5">
            <w:pPr>
              <w:pStyle w:val="Header"/>
              <w:rPr>
                <w:szCs w:val="24"/>
              </w:rPr>
            </w:pPr>
            <w:r w:rsidRPr="003749A4">
              <w:rPr>
                <w:szCs w:val="24"/>
              </w:rPr>
              <w:t>Telephone 509-489-0500</w:t>
            </w:r>
          </w:p>
          <w:p w:rsidR="00107566" w:rsidRPr="003749A4" w:rsidRDefault="00107566" w:rsidP="00B904C5">
            <w:pPr>
              <w:pStyle w:val="Header"/>
              <w:rPr>
                <w:szCs w:val="24"/>
              </w:rPr>
            </w:pPr>
            <w:r w:rsidRPr="003749A4">
              <w:rPr>
                <w:szCs w:val="24"/>
              </w:rPr>
              <w:t>Toll Free   800-727-9170</w:t>
            </w:r>
          </w:p>
          <w:p w:rsidR="00107566" w:rsidRPr="001E7615" w:rsidRDefault="00107566" w:rsidP="00B904C5">
            <w:pPr>
              <w:pStyle w:val="Header"/>
              <w:rPr>
                <w:b/>
                <w:bCs/>
                <w:szCs w:val="24"/>
              </w:rPr>
            </w:pPr>
          </w:p>
        </w:tc>
        <w:tc>
          <w:tcPr>
            <w:tcW w:w="4788" w:type="dxa"/>
          </w:tcPr>
          <w:p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703C9" w:rsidRDefault="00E703C9" w:rsidP="00270A46">
      <w:pPr>
        <w:jc w:val="both"/>
        <w:rPr>
          <w:rFonts w:ascii="Times New Roman" w:hAnsi="Times New Roman"/>
        </w:rPr>
      </w:pPr>
    </w:p>
    <w:p w:rsidR="00A11CBC" w:rsidRDefault="007F00FB" w:rsidP="00A11CBC">
      <w:pPr>
        <w:rPr>
          <w:rFonts w:ascii="Times New Roman" w:hAnsi="Times New Roman"/>
        </w:rPr>
      </w:pPr>
      <w:r>
        <w:rPr>
          <w:rFonts w:ascii="Times New Roman" w:hAnsi="Times New Roman"/>
        </w:rPr>
        <w:t xml:space="preserve">August </w:t>
      </w:r>
      <w:r w:rsidR="00D45B93">
        <w:rPr>
          <w:rFonts w:ascii="Times New Roman" w:hAnsi="Times New Roman"/>
        </w:rPr>
        <w:t>31</w:t>
      </w:r>
      <w:r w:rsidR="00A11CBC">
        <w:rPr>
          <w:rFonts w:ascii="Times New Roman" w:hAnsi="Times New Roman"/>
        </w:rPr>
        <w:t>, 201</w:t>
      </w:r>
      <w:r w:rsidR="00D511AA">
        <w:rPr>
          <w:rFonts w:ascii="Times New Roman" w:hAnsi="Times New Roman"/>
        </w:rPr>
        <w:t>7</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Mr. Steven King, Executive Director and Secretary</w:t>
      </w:r>
    </w:p>
    <w:p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rsidR="00A11CBC" w:rsidRDefault="00A11CBC" w:rsidP="00A11CBC">
      <w:pPr>
        <w:rPr>
          <w:rFonts w:ascii="Times New Roman" w:hAnsi="Times New Roman"/>
        </w:rPr>
      </w:pPr>
      <w:smartTag w:uri="urn:schemas-microsoft-com:office:smarttags" w:element="place">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Re:</w:t>
      </w:r>
      <w:r>
        <w:rPr>
          <w:rFonts w:ascii="Times New Roman" w:hAnsi="Times New Roman"/>
        </w:rPr>
        <w:tab/>
        <w:t>Tariff WN U-2</w:t>
      </w:r>
      <w:r w:rsidR="00AE0F5A">
        <w:rPr>
          <w:rFonts w:ascii="Times New Roman" w:hAnsi="Times New Roman"/>
        </w:rPr>
        <w:t>9</w:t>
      </w:r>
      <w:r>
        <w:rPr>
          <w:rFonts w:ascii="Times New Roman" w:hAnsi="Times New Roman"/>
        </w:rPr>
        <w:t xml:space="preserve">, </w:t>
      </w:r>
      <w:r w:rsidR="00AE0F5A">
        <w:rPr>
          <w:rFonts w:ascii="Times New Roman" w:hAnsi="Times New Roman"/>
        </w:rPr>
        <w:t>Natural Gas</w:t>
      </w:r>
      <w:r>
        <w:rPr>
          <w:rFonts w:ascii="Times New Roman" w:hAnsi="Times New Roman"/>
        </w:rPr>
        <w:t xml:space="preserve"> Service</w:t>
      </w:r>
    </w:p>
    <w:p w:rsidR="00A11CBC" w:rsidRPr="00390E3A" w:rsidRDefault="00AE0F5A" w:rsidP="00A11CBC">
      <w:pPr>
        <w:ind w:firstLine="720"/>
        <w:rPr>
          <w:rFonts w:ascii="Times New Roman" w:hAnsi="Times New Roman"/>
        </w:rPr>
      </w:pPr>
      <w:r>
        <w:rPr>
          <w:rFonts w:ascii="Times New Roman" w:hAnsi="Times New Roman"/>
        </w:rPr>
        <w:t>Natural Gas</w:t>
      </w:r>
      <w:r w:rsidR="00D45B93">
        <w:rPr>
          <w:rFonts w:ascii="Times New Roman" w:hAnsi="Times New Roman"/>
        </w:rPr>
        <w:t xml:space="preserve"> Decoupling Rate</w:t>
      </w:r>
      <w:r w:rsidR="00A11CBC" w:rsidRPr="00390E3A">
        <w:rPr>
          <w:rFonts w:ascii="Times New Roman" w:hAnsi="Times New Roman"/>
        </w:rPr>
        <w:t xml:space="preserve"> Adjustment</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Dear Mr. King:</w:t>
      </w:r>
    </w:p>
    <w:p w:rsidR="00A11CBC" w:rsidRDefault="00A11CBC" w:rsidP="00A11CBC">
      <w:pPr>
        <w:rPr>
          <w:rFonts w:ascii="Times New Roman" w:hAnsi="Times New Roman"/>
        </w:rPr>
      </w:pPr>
    </w:p>
    <w:p w:rsidR="00A11CBC" w:rsidRDefault="00A11CBC" w:rsidP="00372185">
      <w:pPr>
        <w:jc w:val="both"/>
        <w:rPr>
          <w:rFonts w:ascii="Times New Roman" w:hAnsi="Times New Roman"/>
        </w:rPr>
      </w:pPr>
      <w:r>
        <w:rPr>
          <w:rFonts w:ascii="Times New Roman" w:hAnsi="Times New Roman"/>
        </w:rPr>
        <w:t xml:space="preserve">Attached for </w:t>
      </w:r>
      <w:r w:rsidR="007A4D71">
        <w:rPr>
          <w:rFonts w:ascii="Times New Roman" w:hAnsi="Times New Roman"/>
        </w:rPr>
        <w:t xml:space="preserve">electronic </w:t>
      </w:r>
      <w:r>
        <w:rPr>
          <w:rFonts w:ascii="Times New Roman" w:hAnsi="Times New Roman"/>
        </w:rPr>
        <w:t xml:space="preserve">filing with the Commission </w:t>
      </w:r>
      <w:r w:rsidR="006966B1">
        <w:rPr>
          <w:rFonts w:ascii="Times New Roman" w:hAnsi="Times New Roman"/>
        </w:rPr>
        <w:t>is</w:t>
      </w:r>
      <w:r>
        <w:rPr>
          <w:rFonts w:ascii="Times New Roman" w:hAnsi="Times New Roman"/>
        </w:rPr>
        <w:t xml:space="preserve"> the following tariff sheet proposed to be effective November 1, 201</w:t>
      </w:r>
      <w:r w:rsidR="00D511AA">
        <w:rPr>
          <w:rFonts w:ascii="Times New Roman" w:hAnsi="Times New Roman"/>
        </w:rPr>
        <w:t>7</w:t>
      </w:r>
      <w:r>
        <w:rPr>
          <w:rFonts w:ascii="Times New Roman" w:hAnsi="Times New Roman"/>
        </w:rPr>
        <w:t>:</w:t>
      </w:r>
    </w:p>
    <w:p w:rsidR="00A11CBC" w:rsidRDefault="00A11CBC" w:rsidP="000F468F">
      <w:pPr>
        <w:rPr>
          <w:rFonts w:ascii="Times New Roman" w:hAnsi="Times New Roman"/>
        </w:rPr>
      </w:pPr>
    </w:p>
    <w:p w:rsidR="00D45B93" w:rsidRDefault="00D511AA" w:rsidP="000F468F">
      <w:pPr>
        <w:tabs>
          <w:tab w:val="left" w:pos="4320"/>
        </w:tabs>
        <w:ind w:left="720"/>
        <w:rPr>
          <w:b/>
        </w:rPr>
      </w:pPr>
      <w:r>
        <w:rPr>
          <w:b/>
        </w:rPr>
        <w:t>Second</w:t>
      </w:r>
      <w:r w:rsidR="00D45B93">
        <w:rPr>
          <w:b/>
        </w:rPr>
        <w:t xml:space="preserve"> </w:t>
      </w:r>
      <w:r w:rsidR="00D45B93" w:rsidRPr="00FF0EC6">
        <w:rPr>
          <w:b/>
        </w:rPr>
        <w:t xml:space="preserve">Revision Sheet </w:t>
      </w:r>
      <w:r w:rsidR="00AE0F5A">
        <w:rPr>
          <w:b/>
        </w:rPr>
        <w:t>1</w:t>
      </w:r>
      <w:r w:rsidR="00D45B93">
        <w:rPr>
          <w:b/>
        </w:rPr>
        <w:t>75</w:t>
      </w:r>
      <w:r w:rsidR="00D45B93" w:rsidRPr="00FF0EC6">
        <w:rPr>
          <w:b/>
        </w:rPr>
        <w:tab/>
      </w:r>
      <w:r w:rsidR="00D45B93" w:rsidRPr="00FF0EC6">
        <w:t>Canceling</w:t>
      </w:r>
      <w:r w:rsidR="00D45B93" w:rsidRPr="00FF0EC6">
        <w:rPr>
          <w:b/>
        </w:rPr>
        <w:tab/>
      </w:r>
      <w:r>
        <w:rPr>
          <w:b/>
        </w:rPr>
        <w:t>First Revision</w:t>
      </w:r>
      <w:r w:rsidR="00D45B93" w:rsidRPr="00FF0EC6">
        <w:rPr>
          <w:b/>
        </w:rPr>
        <w:t xml:space="preserve"> Sheet </w:t>
      </w:r>
      <w:r w:rsidR="00AE0F5A">
        <w:rPr>
          <w:b/>
        </w:rPr>
        <w:t>1</w:t>
      </w:r>
      <w:r w:rsidR="00D45B93">
        <w:rPr>
          <w:b/>
        </w:rPr>
        <w:t>75</w:t>
      </w:r>
    </w:p>
    <w:p w:rsidR="00371B91" w:rsidRDefault="00371B91" w:rsidP="000F468F">
      <w:pPr>
        <w:jc w:val="both"/>
        <w:rPr>
          <w:rFonts w:ascii="Times New Roman" w:hAnsi="Times New Roman"/>
        </w:rPr>
      </w:pPr>
    </w:p>
    <w:p w:rsidR="00D45B93" w:rsidRDefault="00D45B93" w:rsidP="000F468F">
      <w:pPr>
        <w:pStyle w:val="BodyText2"/>
      </w:pPr>
      <w:r>
        <w:t>This filing is the “</w:t>
      </w:r>
      <w:r w:rsidR="00AE0F5A">
        <w:t>Natural Gas</w:t>
      </w:r>
      <w:r>
        <w:t xml:space="preserve"> Decoupling Rate Adjustment”, filed in compliance with the Commission’s Order No. 05 in Docket No. U</w:t>
      </w:r>
      <w:r w:rsidR="00AE0F5A">
        <w:t>G</w:t>
      </w:r>
      <w:r>
        <w:t>-14018</w:t>
      </w:r>
      <w:r w:rsidR="00AE0F5A">
        <w:t>9</w:t>
      </w:r>
      <w:r>
        <w:t xml:space="preserve">.  </w:t>
      </w:r>
      <w:r w:rsidR="007A4D71">
        <w:t>In t</w:t>
      </w:r>
      <w:r>
        <w:t xml:space="preserve">hat </w:t>
      </w:r>
      <w:r w:rsidR="00372185">
        <w:t>O</w:t>
      </w:r>
      <w:r>
        <w:t>rder</w:t>
      </w:r>
      <w:r w:rsidR="003D0501">
        <w:t>,</w:t>
      </w:r>
      <w:r>
        <w:t xml:space="preserve"> </w:t>
      </w:r>
      <w:r w:rsidR="007A4D71">
        <w:t xml:space="preserve">the Commission </w:t>
      </w:r>
      <w:r>
        <w:t xml:space="preserve">approved </w:t>
      </w:r>
      <w:r w:rsidR="00AE0F5A">
        <w:t>a natural gas</w:t>
      </w:r>
      <w:r>
        <w:t xml:space="preserve"> decoupling mechanism for Avista for a five-year period, with this filing reflecting the deferral balance for the </w:t>
      </w:r>
      <w:r w:rsidR="00D511AA">
        <w:t>second</w:t>
      </w:r>
      <w:r>
        <w:t xml:space="preserve"> year (calendar year 201</w:t>
      </w:r>
      <w:r w:rsidR="00D511AA">
        <w:t>6</w:t>
      </w:r>
      <w:r>
        <w:t>) to be amortized over the period November 1, 201</w:t>
      </w:r>
      <w:r w:rsidR="00D511AA">
        <w:t>7</w:t>
      </w:r>
      <w:r>
        <w:t xml:space="preserve"> – October 31, 201</w:t>
      </w:r>
      <w:r w:rsidR="00D511AA">
        <w:t>8</w:t>
      </w:r>
      <w:r>
        <w:t>.</w:t>
      </w:r>
    </w:p>
    <w:p w:rsidR="000F468F" w:rsidRDefault="000F468F" w:rsidP="000F468F">
      <w:pPr>
        <w:pStyle w:val="BodyText2"/>
      </w:pPr>
    </w:p>
    <w:p w:rsidR="00D45B93" w:rsidRDefault="00D45B93" w:rsidP="00372185">
      <w:pPr>
        <w:pStyle w:val="BodyText2"/>
      </w:pPr>
      <w:r w:rsidRPr="00265136">
        <w:t>The</w:t>
      </w:r>
      <w:r>
        <w:t xml:space="preserve"> purpose of the </w:t>
      </w:r>
      <w:r w:rsidR="00AE0F5A">
        <w:t>natural gas</w:t>
      </w:r>
      <w:r>
        <w:t xml:space="preserve"> decoupling mechanism is to decouple the Company’s Commission</w:t>
      </w:r>
      <w:r w:rsidR="00E844E1">
        <w:t>-</w:t>
      </w:r>
      <w:r>
        <w:t xml:space="preserve">authorized revenues from </w:t>
      </w:r>
      <w:r w:rsidR="00AE0F5A">
        <w:t>therm</w:t>
      </w:r>
      <w:r>
        <w:t xml:space="preserve"> sales</w:t>
      </w:r>
      <w:r w:rsidR="001910C3">
        <w:t>, such that the Company’s revenues will be recognized based on the number of</w:t>
      </w:r>
      <w:r>
        <w:t xml:space="preserve"> customers served under the applicable </w:t>
      </w:r>
      <w:r w:rsidR="00AE0F5A">
        <w:t>natural gas</w:t>
      </w:r>
      <w:r>
        <w:t xml:space="preserve"> service schedules.  </w:t>
      </w:r>
      <w:r w:rsidRPr="00E11DE3">
        <w:t xml:space="preserve">The decoupling mechanism allows the Company to:  1) defer </w:t>
      </w:r>
      <w:r>
        <w:t>the difference between actual decoup</w:t>
      </w:r>
      <w:r w:rsidR="00AE0F5A">
        <w:t>l</w:t>
      </w:r>
      <w:r w:rsidR="001910C3">
        <w:t>ing-related</w:t>
      </w:r>
      <w:r>
        <w:t xml:space="preserve"> revenue </w:t>
      </w:r>
      <w:r w:rsidR="001910C3">
        <w:t>received from</w:t>
      </w:r>
      <w:r>
        <w:t xml:space="preserve"> customers through volumetric rates</w:t>
      </w:r>
      <w:r w:rsidR="001910C3">
        <w:t>,</w:t>
      </w:r>
      <w:r>
        <w:t xml:space="preserve"> and the decoupl</w:t>
      </w:r>
      <w:r w:rsidR="001910C3">
        <w:t>ing-related</w:t>
      </w:r>
      <w:r>
        <w:t xml:space="preserve"> revenue approved for recovery in</w:t>
      </w:r>
      <w:r w:rsidRPr="00E11DE3">
        <w:t xml:space="preserve"> the Company’s last general </w:t>
      </w:r>
      <w:r>
        <w:t xml:space="preserve">rate </w:t>
      </w:r>
      <w:r w:rsidRPr="00E11DE3">
        <w:t>case</w:t>
      </w:r>
      <w:r w:rsidR="001910C3">
        <w:t>;</w:t>
      </w:r>
      <w:r w:rsidRPr="00E11DE3">
        <w:t xml:space="preserve"> and 2) file a tariff to </w:t>
      </w:r>
      <w:r>
        <w:t xml:space="preserve">surcharge or rebate, by rate group, </w:t>
      </w:r>
      <w:r w:rsidRPr="00E11DE3">
        <w:t xml:space="preserve">the total deferred amount </w:t>
      </w:r>
      <w:r>
        <w:t>accumulated in the deferred revenue accounts for the prior January through December time period</w:t>
      </w:r>
      <w:r w:rsidRPr="00E11DE3">
        <w:t xml:space="preserve">.  </w:t>
      </w:r>
    </w:p>
    <w:p w:rsidR="000F468F" w:rsidRDefault="000F468F" w:rsidP="000F468F">
      <w:pPr>
        <w:pStyle w:val="BodyText2"/>
        <w:ind w:firstLine="720"/>
      </w:pPr>
    </w:p>
    <w:p w:rsidR="003D0501" w:rsidRDefault="003D0501" w:rsidP="003D0501">
      <w:pPr>
        <w:pStyle w:val="BodyText2"/>
      </w:pPr>
      <w:r w:rsidRPr="00852BE9">
        <w:t xml:space="preserve">The proposed tariff reflects a surcharge of </w:t>
      </w:r>
      <w:r>
        <w:t>5.580</w:t>
      </w:r>
      <w:r w:rsidRPr="00852BE9">
        <w:t xml:space="preserve"> cents per</w:t>
      </w:r>
      <w:r>
        <w:t xml:space="preserve"> therm for the Residential Group served under Schedules 101 and 102, which is designed to recover approximately $</w:t>
      </w:r>
      <w:r w:rsidR="00CB4DE9">
        <w:t>6</w:t>
      </w:r>
      <w:r>
        <w:t xml:space="preserve">.9 million from the Residential Group.  The present surcharge rate of </w:t>
      </w:r>
      <w:r w:rsidR="00CB4DE9">
        <w:t>2.927</w:t>
      </w:r>
      <w:r>
        <w:t xml:space="preserve"> cents per </w:t>
      </w:r>
      <w:r w:rsidR="0098371D">
        <w:t>therm</w:t>
      </w:r>
      <w:r>
        <w:t xml:space="preserve"> is presently designed to recover approximately $</w:t>
      </w:r>
      <w:r w:rsidR="0098371D">
        <w:t>3.6</w:t>
      </w:r>
      <w:r>
        <w:t xml:space="preserve"> million.  Therefore, the net overall increase proposed for the Residential Group is a rate increase of </w:t>
      </w:r>
      <w:r w:rsidR="0098371D">
        <w:t>2.653</w:t>
      </w:r>
      <w:r>
        <w:t xml:space="preserve"> cents per </w:t>
      </w:r>
      <w:r w:rsidR="0098371D">
        <w:t>therm</w:t>
      </w:r>
      <w:r>
        <w:t>, or an increase of $</w:t>
      </w:r>
      <w:r w:rsidR="0098371D">
        <w:t>3.3</w:t>
      </w:r>
      <w:r>
        <w:t xml:space="preserve"> million or </w:t>
      </w:r>
      <w:r w:rsidR="0098371D">
        <w:t>3</w:t>
      </w:r>
      <w:r>
        <w:t xml:space="preserve">.0% for the Residential Group customers.  </w:t>
      </w:r>
    </w:p>
    <w:p w:rsidR="003D0501" w:rsidRDefault="003D0501" w:rsidP="003D0501">
      <w:pPr>
        <w:pStyle w:val="BodyText2"/>
        <w:ind w:firstLine="720"/>
      </w:pPr>
    </w:p>
    <w:p w:rsidR="003D0501" w:rsidRDefault="003D0501" w:rsidP="003D0501">
      <w:pPr>
        <w:pStyle w:val="BodyText2"/>
      </w:pPr>
      <w:r>
        <w:t>In addition, t</w:t>
      </w:r>
      <w:r w:rsidRPr="00852BE9">
        <w:t xml:space="preserve">he proposed tariff reflects a surcharge of </w:t>
      </w:r>
      <w:r w:rsidR="00B61540">
        <w:t>3.904</w:t>
      </w:r>
      <w:r w:rsidRPr="00852BE9">
        <w:t xml:space="preserve"> cents per </w:t>
      </w:r>
      <w:r w:rsidR="0098371D">
        <w:t>therm</w:t>
      </w:r>
      <w:r>
        <w:t xml:space="preserve"> for the Non-Residential Group served under </w:t>
      </w:r>
      <w:r w:rsidR="0098371D">
        <w:t>Schedules 111, 121, and 131</w:t>
      </w:r>
      <w:r>
        <w:t>, which is designed to recover approximately $</w:t>
      </w:r>
      <w:r w:rsidR="00B61540">
        <w:t>2.2</w:t>
      </w:r>
      <w:r>
        <w:t xml:space="preserve"> million from the </w:t>
      </w:r>
      <w:r w:rsidR="00B61540">
        <w:t>Non-</w:t>
      </w:r>
      <w:r>
        <w:t xml:space="preserve">Residential Group.  The present </w:t>
      </w:r>
      <w:r w:rsidR="00B61540">
        <w:t>surcharge</w:t>
      </w:r>
      <w:r>
        <w:t xml:space="preserve"> rate of </w:t>
      </w:r>
      <w:r w:rsidR="00B61540">
        <w:t>2.108</w:t>
      </w:r>
      <w:r>
        <w:t xml:space="preserve"> cents per </w:t>
      </w:r>
      <w:r w:rsidR="0098371D">
        <w:t>therm</w:t>
      </w:r>
      <w:r>
        <w:t xml:space="preserve"> </w:t>
      </w:r>
      <w:r w:rsidR="00B13735">
        <w:t>is presently designed to recover approximately $1.2 million</w:t>
      </w:r>
      <w:r>
        <w:t xml:space="preserve">.  Therefore, the net overall increase proposed for the Non-Residential Group is a rate increase of </w:t>
      </w:r>
      <w:r w:rsidR="00B13735">
        <w:t>1.796</w:t>
      </w:r>
      <w:r>
        <w:t xml:space="preserve"> cents per </w:t>
      </w:r>
      <w:r w:rsidR="0098371D">
        <w:t>therm</w:t>
      </w:r>
      <w:r>
        <w:t>, or an increase of approximately $</w:t>
      </w:r>
      <w:r w:rsidR="00B13735">
        <w:t>1</w:t>
      </w:r>
      <w:r>
        <w:t xml:space="preserve">.0 million or </w:t>
      </w:r>
      <w:r w:rsidR="00B13735">
        <w:t>2.9</w:t>
      </w:r>
      <w:r>
        <w:t xml:space="preserve">% for the Non-Residential Group customers.  </w:t>
      </w:r>
    </w:p>
    <w:p w:rsidR="003D0501" w:rsidRDefault="003D0501" w:rsidP="00372185">
      <w:pPr>
        <w:pStyle w:val="BodyText2"/>
      </w:pPr>
    </w:p>
    <w:p w:rsidR="00D45B93" w:rsidRPr="00C80CFC" w:rsidRDefault="00D45B93" w:rsidP="000F468F">
      <w:pPr>
        <w:pStyle w:val="BodyText2"/>
        <w:rPr>
          <w:b/>
          <w:u w:val="single"/>
        </w:rPr>
      </w:pPr>
      <w:r w:rsidRPr="00C80CFC">
        <w:rPr>
          <w:b/>
          <w:u w:val="single"/>
        </w:rPr>
        <w:t>Residential Group Rate Determination</w:t>
      </w:r>
    </w:p>
    <w:p w:rsidR="000F468F" w:rsidRDefault="000F468F" w:rsidP="000F468F">
      <w:pPr>
        <w:pStyle w:val="BodyText2"/>
        <w:ind w:firstLine="720"/>
      </w:pPr>
    </w:p>
    <w:p w:rsidR="00D45B93" w:rsidRDefault="00D45B93" w:rsidP="00372185">
      <w:pPr>
        <w:pStyle w:val="BodyText2"/>
      </w:pPr>
      <w:r>
        <w:t>The Company recorded $</w:t>
      </w:r>
      <w:r w:rsidR="00206C46">
        <w:t>7</w:t>
      </w:r>
      <w:r>
        <w:t>,</w:t>
      </w:r>
      <w:r w:rsidR="00206C46">
        <w:t>152</w:t>
      </w:r>
      <w:r>
        <w:t>,</w:t>
      </w:r>
      <w:r w:rsidR="00206C46">
        <w:t>977</w:t>
      </w:r>
      <w:r>
        <w:t xml:space="preserve"> </w:t>
      </w:r>
      <w:r w:rsidR="001910C3">
        <w:t xml:space="preserve">in the surcharge direction </w:t>
      </w:r>
      <w:r>
        <w:t xml:space="preserve">in deferred revenue for the </w:t>
      </w:r>
      <w:r w:rsidR="00AE0F5A">
        <w:t>natural gas</w:t>
      </w:r>
      <w:r>
        <w:t xml:space="preserve"> </w:t>
      </w:r>
      <w:r w:rsidR="00B46A8A">
        <w:t>Residential</w:t>
      </w:r>
      <w:r>
        <w:t xml:space="preserve"> </w:t>
      </w:r>
      <w:r w:rsidR="00B46A8A">
        <w:t>G</w:t>
      </w:r>
      <w:r>
        <w:t>roup in 201</w:t>
      </w:r>
      <w:r w:rsidR="007E2779">
        <w:t>6</w:t>
      </w:r>
      <w:r>
        <w:t>.</w:t>
      </w:r>
      <w:r w:rsidR="00A01E6C">
        <w:t xml:space="preserve">  </w:t>
      </w:r>
      <w:r w:rsidR="007E2779">
        <w:t>Both the earnings test and t</w:t>
      </w:r>
      <w:r>
        <w:t xml:space="preserve">he 3% incremental surcharge limitation, discussed </w:t>
      </w:r>
      <w:r w:rsidR="00802C5A">
        <w:t>later in this letter</w:t>
      </w:r>
      <w:r>
        <w:t>, affect</w:t>
      </w:r>
      <w:r w:rsidR="004424E4">
        <w:t>ed</w:t>
      </w:r>
      <w:r>
        <w:t xml:space="preserve"> the requested surcharge rate for this recovery period.  The proposed rate of </w:t>
      </w:r>
      <w:r w:rsidR="007E2779">
        <w:t>5</w:t>
      </w:r>
      <w:r>
        <w:t>.</w:t>
      </w:r>
      <w:r w:rsidR="007E2779">
        <w:t>580</w:t>
      </w:r>
      <w:r>
        <w:t xml:space="preserve"> cents per </w:t>
      </w:r>
      <w:r w:rsidR="00955E69">
        <w:t>therm</w:t>
      </w:r>
      <w:r>
        <w:t xml:space="preserve"> is designed to recover $</w:t>
      </w:r>
      <w:r w:rsidR="007E2779">
        <w:t>6</w:t>
      </w:r>
      <w:r>
        <w:t>,</w:t>
      </w:r>
      <w:r w:rsidR="007E2779">
        <w:t>951</w:t>
      </w:r>
      <w:r>
        <w:t>,</w:t>
      </w:r>
      <w:r w:rsidR="007E2779">
        <w:t>431</w:t>
      </w:r>
      <w:r>
        <w:t xml:space="preserve"> from the Company’s residential </w:t>
      </w:r>
      <w:r w:rsidR="00955E69">
        <w:t>natural gas</w:t>
      </w:r>
      <w:r>
        <w:t xml:space="preserve"> customers served under rate Schedules 1</w:t>
      </w:r>
      <w:r w:rsidR="00955E69">
        <w:t>01</w:t>
      </w:r>
      <w:r>
        <w:t xml:space="preserve"> and </w:t>
      </w:r>
      <w:r w:rsidR="00955E69">
        <w:t>10</w:t>
      </w:r>
      <w:r>
        <w:t>2.</w:t>
      </w:r>
      <w:r w:rsidRPr="00E41CFB">
        <w:t xml:space="preserve"> </w:t>
      </w:r>
      <w:r>
        <w:t xml:space="preserve"> The following table summarizes the components of the Company’s request for recovery:</w:t>
      </w:r>
    </w:p>
    <w:p w:rsidR="00D45B93" w:rsidRDefault="00D45B93" w:rsidP="000F468F">
      <w:pPr>
        <w:pStyle w:val="BodyText2"/>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1836"/>
      </w:tblGrid>
      <w:tr w:rsidR="00D45B93" w:rsidRPr="00E41CFB" w:rsidTr="000C22D9">
        <w:trPr>
          <w:trHeight w:val="288"/>
          <w:jc w:val="center"/>
        </w:trPr>
        <w:tc>
          <w:tcPr>
            <w:tcW w:w="4194" w:type="dxa"/>
            <w:shd w:val="clear" w:color="auto" w:fill="auto"/>
            <w:noWrap/>
            <w:vAlign w:val="bottom"/>
            <w:hideMark/>
          </w:tcPr>
          <w:p w:rsidR="00D45B93" w:rsidRPr="008F23BD" w:rsidRDefault="00D45B93" w:rsidP="00206C46">
            <w:pPr>
              <w:rPr>
                <w:color w:val="000000"/>
                <w:szCs w:val="24"/>
              </w:rPr>
            </w:pPr>
            <w:r w:rsidRPr="008F23BD">
              <w:rPr>
                <w:color w:val="000000"/>
                <w:szCs w:val="24"/>
              </w:rPr>
              <w:t>201</w:t>
            </w:r>
            <w:r w:rsidR="00206C46">
              <w:rPr>
                <w:color w:val="000000"/>
                <w:szCs w:val="24"/>
              </w:rPr>
              <w:t>6</w:t>
            </w:r>
            <w:r w:rsidRPr="008F23BD">
              <w:rPr>
                <w:color w:val="000000"/>
                <w:szCs w:val="24"/>
              </w:rPr>
              <w:t xml:space="preserve"> Deferred Revenue</w:t>
            </w:r>
          </w:p>
        </w:tc>
        <w:tc>
          <w:tcPr>
            <w:tcW w:w="1836" w:type="dxa"/>
            <w:shd w:val="clear" w:color="auto" w:fill="auto"/>
            <w:noWrap/>
            <w:vAlign w:val="bottom"/>
            <w:hideMark/>
          </w:tcPr>
          <w:p w:rsidR="00D45B93" w:rsidRPr="008F23BD" w:rsidRDefault="00D45B93" w:rsidP="00206C46">
            <w:pPr>
              <w:jc w:val="right"/>
              <w:rPr>
                <w:color w:val="000000"/>
                <w:szCs w:val="24"/>
              </w:rPr>
            </w:pPr>
            <w:r w:rsidRPr="008F23BD">
              <w:rPr>
                <w:color w:val="000000"/>
                <w:szCs w:val="24"/>
              </w:rPr>
              <w:t>$</w:t>
            </w:r>
            <w:r w:rsidR="00206C46">
              <w:rPr>
                <w:color w:val="000000"/>
                <w:szCs w:val="24"/>
              </w:rPr>
              <w:t>7</w:t>
            </w:r>
            <w:r w:rsidRPr="008F23BD">
              <w:rPr>
                <w:color w:val="000000"/>
                <w:szCs w:val="24"/>
              </w:rPr>
              <w:t>,</w:t>
            </w:r>
            <w:r w:rsidR="00206C46">
              <w:rPr>
                <w:color w:val="000000"/>
                <w:szCs w:val="24"/>
              </w:rPr>
              <w:t>152</w:t>
            </w:r>
            <w:r w:rsidRPr="008F23BD">
              <w:rPr>
                <w:color w:val="000000"/>
                <w:szCs w:val="24"/>
              </w:rPr>
              <w:t>,</w:t>
            </w:r>
            <w:r w:rsidR="00206C46">
              <w:rPr>
                <w:color w:val="000000"/>
                <w:szCs w:val="24"/>
              </w:rPr>
              <w:t>977</w:t>
            </w:r>
            <w:r w:rsidRPr="008F23BD">
              <w:rPr>
                <w:color w:val="000000"/>
                <w:szCs w:val="24"/>
              </w:rPr>
              <w:t xml:space="preserve"> </w:t>
            </w:r>
          </w:p>
        </w:tc>
      </w:tr>
      <w:tr w:rsidR="007E2779" w:rsidRPr="008F23BD" w:rsidTr="00CB7FBE">
        <w:trPr>
          <w:trHeight w:val="288"/>
          <w:jc w:val="center"/>
        </w:trPr>
        <w:tc>
          <w:tcPr>
            <w:tcW w:w="4194" w:type="dxa"/>
            <w:shd w:val="clear" w:color="auto" w:fill="auto"/>
            <w:noWrap/>
            <w:vAlign w:val="bottom"/>
            <w:hideMark/>
          </w:tcPr>
          <w:p w:rsidR="007E2779" w:rsidRPr="008F23BD" w:rsidRDefault="007E2779" w:rsidP="00CB7FBE">
            <w:pPr>
              <w:rPr>
                <w:color w:val="000000"/>
                <w:szCs w:val="24"/>
              </w:rPr>
            </w:pPr>
            <w:r w:rsidRPr="008F23BD">
              <w:rPr>
                <w:color w:val="000000"/>
                <w:szCs w:val="24"/>
              </w:rPr>
              <w:t>Less</w:t>
            </w:r>
            <w:r>
              <w:rPr>
                <w:color w:val="000000"/>
                <w:szCs w:val="24"/>
              </w:rPr>
              <w:t>:</w:t>
            </w:r>
            <w:r w:rsidRPr="008F23BD">
              <w:rPr>
                <w:color w:val="000000"/>
                <w:szCs w:val="24"/>
              </w:rPr>
              <w:t xml:space="preserve"> Earnings Sharing</w:t>
            </w:r>
          </w:p>
        </w:tc>
        <w:tc>
          <w:tcPr>
            <w:tcW w:w="1836" w:type="dxa"/>
            <w:shd w:val="clear" w:color="auto" w:fill="auto"/>
            <w:noWrap/>
            <w:vAlign w:val="bottom"/>
            <w:hideMark/>
          </w:tcPr>
          <w:p w:rsidR="007E2779" w:rsidRPr="008F23BD" w:rsidRDefault="007E2779" w:rsidP="00CB7FBE">
            <w:pPr>
              <w:jc w:val="right"/>
              <w:rPr>
                <w:color w:val="000000"/>
                <w:szCs w:val="24"/>
              </w:rPr>
            </w:pPr>
            <w:r w:rsidRPr="008F23BD">
              <w:rPr>
                <w:color w:val="000000"/>
                <w:szCs w:val="24"/>
              </w:rPr>
              <w:t>($</w:t>
            </w:r>
            <w:r>
              <w:rPr>
                <w:color w:val="000000"/>
                <w:szCs w:val="24"/>
              </w:rPr>
              <w:t>2,125,710</w:t>
            </w:r>
            <w:r w:rsidRPr="008F23BD">
              <w:rPr>
                <w:color w:val="000000"/>
                <w:szCs w:val="24"/>
              </w:rPr>
              <w:t>)</w:t>
            </w:r>
          </w:p>
        </w:tc>
      </w:tr>
      <w:tr w:rsidR="00A01E6C" w:rsidRPr="00E41CFB" w:rsidTr="000C22D9">
        <w:trPr>
          <w:trHeight w:val="288"/>
          <w:jc w:val="center"/>
        </w:trPr>
        <w:tc>
          <w:tcPr>
            <w:tcW w:w="4194" w:type="dxa"/>
            <w:shd w:val="clear" w:color="auto" w:fill="auto"/>
            <w:noWrap/>
            <w:vAlign w:val="bottom"/>
          </w:tcPr>
          <w:p w:rsidR="00A01E6C" w:rsidRPr="008F23BD" w:rsidRDefault="007E2779" w:rsidP="00A01E6C">
            <w:pPr>
              <w:rPr>
                <w:color w:val="000000"/>
                <w:szCs w:val="24"/>
              </w:rPr>
            </w:pPr>
            <w:r>
              <w:rPr>
                <w:color w:val="000000"/>
                <w:szCs w:val="24"/>
              </w:rPr>
              <w:t>Add: Prior Year Carryover Balance</w:t>
            </w:r>
          </w:p>
        </w:tc>
        <w:tc>
          <w:tcPr>
            <w:tcW w:w="1836" w:type="dxa"/>
            <w:shd w:val="clear" w:color="auto" w:fill="auto"/>
            <w:noWrap/>
            <w:vAlign w:val="bottom"/>
          </w:tcPr>
          <w:p w:rsidR="00A01E6C" w:rsidRPr="008F23BD" w:rsidRDefault="000C22D9" w:rsidP="007E2779">
            <w:pPr>
              <w:jc w:val="right"/>
              <w:rPr>
                <w:color w:val="000000"/>
                <w:szCs w:val="24"/>
              </w:rPr>
            </w:pPr>
            <w:r>
              <w:rPr>
                <w:color w:val="000000"/>
                <w:szCs w:val="24"/>
              </w:rPr>
              <w:t>$</w:t>
            </w:r>
            <w:r w:rsidR="007E2779">
              <w:rPr>
                <w:color w:val="000000"/>
                <w:szCs w:val="24"/>
              </w:rPr>
              <w:t>2,032,880</w:t>
            </w:r>
          </w:p>
        </w:tc>
      </w:tr>
      <w:tr w:rsidR="00D45B93" w:rsidRPr="00E41CFB" w:rsidTr="000C22D9">
        <w:trPr>
          <w:trHeight w:val="288"/>
          <w:jc w:val="center"/>
        </w:trPr>
        <w:tc>
          <w:tcPr>
            <w:tcW w:w="4194" w:type="dxa"/>
            <w:shd w:val="clear" w:color="auto" w:fill="auto"/>
            <w:noWrap/>
            <w:vAlign w:val="bottom"/>
            <w:hideMark/>
          </w:tcPr>
          <w:p w:rsidR="00D45B93" w:rsidRPr="008F23BD" w:rsidRDefault="00D45B93" w:rsidP="007E2779">
            <w:pPr>
              <w:rPr>
                <w:color w:val="000000"/>
                <w:szCs w:val="24"/>
              </w:rPr>
            </w:pPr>
            <w:r w:rsidRPr="008F23BD">
              <w:rPr>
                <w:color w:val="000000"/>
                <w:szCs w:val="24"/>
              </w:rPr>
              <w:t>Add</w:t>
            </w:r>
            <w:r w:rsidR="00802C5A">
              <w:rPr>
                <w:color w:val="000000"/>
                <w:szCs w:val="24"/>
              </w:rPr>
              <w:t>:</w:t>
            </w:r>
            <w:r w:rsidRPr="008F23BD">
              <w:rPr>
                <w:color w:val="000000"/>
                <w:szCs w:val="24"/>
              </w:rPr>
              <w:t xml:space="preserve"> Interest through 10/31/201</w:t>
            </w:r>
            <w:r w:rsidR="007E2779">
              <w:rPr>
                <w:color w:val="000000"/>
                <w:szCs w:val="24"/>
              </w:rPr>
              <w:t>8</w:t>
            </w:r>
          </w:p>
        </w:tc>
        <w:tc>
          <w:tcPr>
            <w:tcW w:w="1836" w:type="dxa"/>
            <w:shd w:val="clear" w:color="auto" w:fill="auto"/>
            <w:noWrap/>
            <w:vAlign w:val="bottom"/>
            <w:hideMark/>
          </w:tcPr>
          <w:p w:rsidR="00D45B93" w:rsidRPr="008F23BD" w:rsidRDefault="00D45B93" w:rsidP="007E2779">
            <w:pPr>
              <w:jc w:val="right"/>
              <w:rPr>
                <w:color w:val="000000"/>
                <w:szCs w:val="24"/>
              </w:rPr>
            </w:pPr>
            <w:r w:rsidRPr="008F23BD">
              <w:rPr>
                <w:color w:val="000000"/>
                <w:szCs w:val="24"/>
              </w:rPr>
              <w:t>$</w:t>
            </w:r>
            <w:r w:rsidR="00955E69">
              <w:rPr>
                <w:color w:val="000000"/>
                <w:szCs w:val="24"/>
              </w:rPr>
              <w:t>26</w:t>
            </w:r>
            <w:r w:rsidR="007E2779">
              <w:rPr>
                <w:color w:val="000000"/>
                <w:szCs w:val="24"/>
              </w:rPr>
              <w:t>9</w:t>
            </w:r>
            <w:r w:rsidRPr="008F23BD">
              <w:rPr>
                <w:color w:val="000000"/>
                <w:szCs w:val="24"/>
              </w:rPr>
              <w:t>,</w:t>
            </w:r>
            <w:r w:rsidR="007E2779">
              <w:rPr>
                <w:color w:val="000000"/>
                <w:szCs w:val="24"/>
              </w:rPr>
              <w:t>566</w:t>
            </w:r>
            <w:r w:rsidRPr="008F23BD">
              <w:rPr>
                <w:color w:val="000000"/>
                <w:szCs w:val="24"/>
              </w:rPr>
              <w:t xml:space="preserve"> </w:t>
            </w:r>
          </w:p>
        </w:tc>
      </w:tr>
      <w:tr w:rsidR="00D45B93" w:rsidRPr="00E41CFB" w:rsidTr="000C22D9">
        <w:trPr>
          <w:trHeight w:val="288"/>
          <w:jc w:val="center"/>
        </w:trPr>
        <w:tc>
          <w:tcPr>
            <w:tcW w:w="4194" w:type="dxa"/>
            <w:shd w:val="clear" w:color="auto" w:fill="auto"/>
            <w:noWrap/>
            <w:vAlign w:val="bottom"/>
            <w:hideMark/>
          </w:tcPr>
          <w:p w:rsidR="00D45B93" w:rsidRPr="008F23BD" w:rsidRDefault="00D45B93" w:rsidP="000F468F">
            <w:pPr>
              <w:rPr>
                <w:color w:val="000000"/>
                <w:szCs w:val="24"/>
              </w:rPr>
            </w:pPr>
            <w:r w:rsidRPr="008F23BD">
              <w:rPr>
                <w:color w:val="000000"/>
                <w:szCs w:val="24"/>
              </w:rPr>
              <w:t>Add</w:t>
            </w:r>
            <w:r w:rsidR="00802C5A">
              <w:rPr>
                <w:color w:val="000000"/>
                <w:szCs w:val="24"/>
              </w:rPr>
              <w:t>:</w:t>
            </w:r>
            <w:r w:rsidRPr="008F23BD">
              <w:rPr>
                <w:color w:val="000000"/>
                <w:szCs w:val="24"/>
              </w:rPr>
              <w:t xml:space="preserve"> Revenue Related Expense Adj.</w:t>
            </w:r>
          </w:p>
        </w:tc>
        <w:tc>
          <w:tcPr>
            <w:tcW w:w="1836" w:type="dxa"/>
            <w:shd w:val="clear" w:color="auto" w:fill="auto"/>
            <w:noWrap/>
            <w:vAlign w:val="bottom"/>
            <w:hideMark/>
          </w:tcPr>
          <w:p w:rsidR="00D45B93" w:rsidRPr="008F23BD" w:rsidRDefault="00D45B93" w:rsidP="007E2779">
            <w:pPr>
              <w:jc w:val="right"/>
              <w:rPr>
                <w:color w:val="000000"/>
                <w:szCs w:val="24"/>
              </w:rPr>
            </w:pPr>
            <w:r w:rsidRPr="008F23BD">
              <w:rPr>
                <w:color w:val="000000"/>
                <w:szCs w:val="24"/>
              </w:rPr>
              <w:t>$</w:t>
            </w:r>
            <w:r w:rsidR="007E2779">
              <w:rPr>
                <w:color w:val="000000"/>
                <w:szCs w:val="24"/>
              </w:rPr>
              <w:t>322</w:t>
            </w:r>
            <w:r w:rsidRPr="008F23BD">
              <w:rPr>
                <w:color w:val="000000"/>
                <w:szCs w:val="24"/>
              </w:rPr>
              <w:t>,</w:t>
            </w:r>
            <w:r w:rsidR="007E2779">
              <w:rPr>
                <w:color w:val="000000"/>
                <w:szCs w:val="24"/>
              </w:rPr>
              <w:t>65</w:t>
            </w:r>
            <w:r w:rsidR="00955E69">
              <w:rPr>
                <w:color w:val="000000"/>
                <w:szCs w:val="24"/>
              </w:rPr>
              <w:t>6</w:t>
            </w:r>
            <w:r w:rsidRPr="008F23BD">
              <w:rPr>
                <w:color w:val="000000"/>
                <w:szCs w:val="24"/>
              </w:rPr>
              <w:t xml:space="preserve"> </w:t>
            </w:r>
          </w:p>
        </w:tc>
      </w:tr>
      <w:tr w:rsidR="00D45B93" w:rsidRPr="00E41CFB" w:rsidTr="000C22D9">
        <w:trPr>
          <w:trHeight w:val="288"/>
          <w:jc w:val="center"/>
        </w:trPr>
        <w:tc>
          <w:tcPr>
            <w:tcW w:w="4194" w:type="dxa"/>
            <w:shd w:val="clear" w:color="auto" w:fill="auto"/>
            <w:noWrap/>
            <w:vAlign w:val="bottom"/>
            <w:hideMark/>
          </w:tcPr>
          <w:p w:rsidR="00D45B93" w:rsidRPr="008F23BD" w:rsidRDefault="00D45B93" w:rsidP="000F468F">
            <w:pPr>
              <w:rPr>
                <w:color w:val="000000"/>
                <w:szCs w:val="24"/>
              </w:rPr>
            </w:pPr>
            <w:r w:rsidRPr="008F23BD">
              <w:rPr>
                <w:color w:val="000000"/>
                <w:szCs w:val="24"/>
              </w:rPr>
              <w:t xml:space="preserve">     Total Requested Recovery</w:t>
            </w:r>
          </w:p>
        </w:tc>
        <w:tc>
          <w:tcPr>
            <w:tcW w:w="1836" w:type="dxa"/>
            <w:shd w:val="clear" w:color="auto" w:fill="auto"/>
            <w:noWrap/>
            <w:vAlign w:val="bottom"/>
            <w:hideMark/>
          </w:tcPr>
          <w:p w:rsidR="00D45B93" w:rsidRPr="008F23BD" w:rsidRDefault="00D45B93" w:rsidP="007E2779">
            <w:pPr>
              <w:jc w:val="right"/>
              <w:rPr>
                <w:color w:val="000000"/>
                <w:szCs w:val="24"/>
              </w:rPr>
            </w:pPr>
            <w:r w:rsidRPr="008F23BD">
              <w:rPr>
                <w:color w:val="000000"/>
                <w:szCs w:val="24"/>
              </w:rPr>
              <w:t>$</w:t>
            </w:r>
            <w:r w:rsidR="007E2779">
              <w:rPr>
                <w:color w:val="000000"/>
                <w:szCs w:val="24"/>
              </w:rPr>
              <w:t>7</w:t>
            </w:r>
            <w:r w:rsidRPr="008F23BD">
              <w:rPr>
                <w:color w:val="000000"/>
                <w:szCs w:val="24"/>
              </w:rPr>
              <w:t>,</w:t>
            </w:r>
            <w:r w:rsidR="007E2779">
              <w:rPr>
                <w:color w:val="000000"/>
                <w:szCs w:val="24"/>
              </w:rPr>
              <w:t>652</w:t>
            </w:r>
            <w:r w:rsidRPr="008F23BD">
              <w:rPr>
                <w:color w:val="000000"/>
                <w:szCs w:val="24"/>
              </w:rPr>
              <w:t>,</w:t>
            </w:r>
            <w:r w:rsidR="007E2779">
              <w:rPr>
                <w:color w:val="000000"/>
                <w:szCs w:val="24"/>
              </w:rPr>
              <w:t>369</w:t>
            </w:r>
            <w:r w:rsidRPr="008F23BD">
              <w:rPr>
                <w:color w:val="000000"/>
                <w:szCs w:val="24"/>
              </w:rPr>
              <w:t xml:space="preserve"> </w:t>
            </w:r>
          </w:p>
        </w:tc>
      </w:tr>
      <w:tr w:rsidR="00D45B93" w:rsidRPr="00E41CFB" w:rsidTr="000C22D9">
        <w:trPr>
          <w:trHeight w:val="288"/>
          <w:jc w:val="center"/>
        </w:trPr>
        <w:tc>
          <w:tcPr>
            <w:tcW w:w="4194" w:type="dxa"/>
            <w:shd w:val="clear" w:color="auto" w:fill="auto"/>
            <w:noWrap/>
            <w:vAlign w:val="bottom"/>
            <w:hideMark/>
          </w:tcPr>
          <w:p w:rsidR="00D45B93" w:rsidRPr="008F23BD" w:rsidRDefault="00D45B93" w:rsidP="000F468F">
            <w:pPr>
              <w:rPr>
                <w:color w:val="000000"/>
                <w:szCs w:val="24"/>
              </w:rPr>
            </w:pPr>
            <w:r w:rsidRPr="008F23BD">
              <w:rPr>
                <w:color w:val="000000"/>
                <w:szCs w:val="24"/>
              </w:rPr>
              <w:t>Customer Surcharge Revenue</w:t>
            </w:r>
          </w:p>
        </w:tc>
        <w:tc>
          <w:tcPr>
            <w:tcW w:w="1836" w:type="dxa"/>
            <w:shd w:val="clear" w:color="auto" w:fill="auto"/>
            <w:noWrap/>
            <w:vAlign w:val="bottom"/>
            <w:hideMark/>
          </w:tcPr>
          <w:p w:rsidR="00D45B93" w:rsidRPr="008F23BD" w:rsidRDefault="00D45B93" w:rsidP="007E2779">
            <w:pPr>
              <w:jc w:val="right"/>
              <w:rPr>
                <w:color w:val="000000"/>
                <w:szCs w:val="24"/>
              </w:rPr>
            </w:pPr>
            <w:r w:rsidRPr="008F23BD">
              <w:rPr>
                <w:color w:val="000000"/>
                <w:szCs w:val="24"/>
              </w:rPr>
              <w:t>$</w:t>
            </w:r>
            <w:r w:rsidR="007E2779">
              <w:rPr>
                <w:color w:val="000000"/>
                <w:szCs w:val="24"/>
              </w:rPr>
              <w:t>6</w:t>
            </w:r>
            <w:r w:rsidRPr="008F23BD">
              <w:rPr>
                <w:color w:val="000000"/>
                <w:szCs w:val="24"/>
              </w:rPr>
              <w:t>,</w:t>
            </w:r>
            <w:r w:rsidR="007E2779">
              <w:rPr>
                <w:color w:val="000000"/>
                <w:szCs w:val="24"/>
              </w:rPr>
              <w:t>951</w:t>
            </w:r>
            <w:r w:rsidRPr="008F23BD">
              <w:rPr>
                <w:color w:val="000000"/>
                <w:szCs w:val="24"/>
              </w:rPr>
              <w:t>,</w:t>
            </w:r>
            <w:r w:rsidR="007E2779">
              <w:rPr>
                <w:color w:val="000000"/>
                <w:szCs w:val="24"/>
              </w:rPr>
              <w:t>431</w:t>
            </w:r>
            <w:r w:rsidRPr="008F23BD">
              <w:rPr>
                <w:color w:val="000000"/>
                <w:szCs w:val="24"/>
              </w:rPr>
              <w:t xml:space="preserve"> </w:t>
            </w:r>
          </w:p>
        </w:tc>
      </w:tr>
      <w:tr w:rsidR="00D45B93" w:rsidRPr="00E41CFB" w:rsidTr="000C22D9">
        <w:trPr>
          <w:trHeight w:val="288"/>
          <w:jc w:val="center"/>
        </w:trPr>
        <w:tc>
          <w:tcPr>
            <w:tcW w:w="4194" w:type="dxa"/>
            <w:shd w:val="clear" w:color="auto" w:fill="auto"/>
            <w:noWrap/>
            <w:vAlign w:val="bottom"/>
            <w:hideMark/>
          </w:tcPr>
          <w:p w:rsidR="00D45B93" w:rsidRPr="008F23BD" w:rsidRDefault="00D45B93" w:rsidP="000F468F">
            <w:pPr>
              <w:rPr>
                <w:color w:val="000000"/>
                <w:szCs w:val="24"/>
              </w:rPr>
            </w:pPr>
            <w:r w:rsidRPr="008F23BD">
              <w:rPr>
                <w:color w:val="000000"/>
                <w:szCs w:val="24"/>
              </w:rPr>
              <w:t>Carryover Deferred Revenue</w:t>
            </w:r>
          </w:p>
        </w:tc>
        <w:tc>
          <w:tcPr>
            <w:tcW w:w="1836" w:type="dxa"/>
            <w:shd w:val="clear" w:color="auto" w:fill="auto"/>
            <w:noWrap/>
            <w:vAlign w:val="bottom"/>
            <w:hideMark/>
          </w:tcPr>
          <w:p w:rsidR="00D45B93" w:rsidRPr="008F23BD" w:rsidRDefault="00D45B93" w:rsidP="007E2779">
            <w:pPr>
              <w:jc w:val="right"/>
              <w:rPr>
                <w:color w:val="000000"/>
                <w:szCs w:val="24"/>
              </w:rPr>
            </w:pPr>
            <w:r w:rsidRPr="008F23BD">
              <w:rPr>
                <w:color w:val="000000"/>
                <w:szCs w:val="24"/>
              </w:rPr>
              <w:t>$</w:t>
            </w:r>
            <w:r w:rsidR="007E2779">
              <w:rPr>
                <w:color w:val="000000"/>
                <w:szCs w:val="24"/>
              </w:rPr>
              <w:t>700</w:t>
            </w:r>
            <w:r w:rsidRPr="008F23BD">
              <w:rPr>
                <w:color w:val="000000"/>
                <w:szCs w:val="24"/>
              </w:rPr>
              <w:t>,</w:t>
            </w:r>
            <w:r w:rsidR="007E2779">
              <w:rPr>
                <w:color w:val="000000"/>
                <w:szCs w:val="24"/>
              </w:rPr>
              <w:t>938</w:t>
            </w:r>
            <w:r w:rsidRPr="008F23BD">
              <w:rPr>
                <w:color w:val="000000"/>
                <w:szCs w:val="24"/>
              </w:rPr>
              <w:t xml:space="preserve"> </w:t>
            </w:r>
          </w:p>
        </w:tc>
      </w:tr>
    </w:tbl>
    <w:p w:rsidR="00D45B93" w:rsidRDefault="00D45B93" w:rsidP="000F468F">
      <w:pPr>
        <w:pStyle w:val="BodyText2"/>
        <w:ind w:firstLine="720"/>
      </w:pPr>
    </w:p>
    <w:p w:rsidR="00D45B93" w:rsidRDefault="00D45B93" w:rsidP="00372185">
      <w:pPr>
        <w:pStyle w:val="BodyText2"/>
      </w:pPr>
      <w:r>
        <w:t>Attachment A, page 1 shows the derivation of the proposed surcharge rate to recover the 201</w:t>
      </w:r>
      <w:r w:rsidR="0055375C">
        <w:t>6</w:t>
      </w:r>
      <w:r>
        <w:t xml:space="preserve"> deferred revenue</w:t>
      </w:r>
      <w:r w:rsidR="0055375C">
        <w:t xml:space="preserve"> (including prior period carryover deferred revenue)</w:t>
      </w:r>
      <w:r>
        <w:t xml:space="preserve"> plus interest and revenue-related expenses, based on projected sales volumes for Schedules 1</w:t>
      </w:r>
      <w:r w:rsidR="00955E69">
        <w:t>01</w:t>
      </w:r>
      <w:r>
        <w:t xml:space="preserve"> and </w:t>
      </w:r>
      <w:r w:rsidR="00955E69">
        <w:t>10</w:t>
      </w:r>
      <w:r>
        <w:t>2 during the surcharge/amortization period (November 201</w:t>
      </w:r>
      <w:r w:rsidR="0055375C">
        <w:t>7</w:t>
      </w:r>
      <w:r>
        <w:t xml:space="preserve"> through October 201</w:t>
      </w:r>
      <w:r w:rsidR="0055375C">
        <w:t>8</w:t>
      </w:r>
      <w:r>
        <w:t xml:space="preserve">).  As identified in Tariff Schedule </w:t>
      </w:r>
      <w:r w:rsidR="00955E69">
        <w:t>1</w:t>
      </w:r>
      <w:r>
        <w:t xml:space="preserve">75 under Step </w:t>
      </w:r>
      <w:r w:rsidR="00955E69">
        <w:t>6</w:t>
      </w:r>
      <w:r>
        <w:t xml:space="preserve"> of </w:t>
      </w:r>
      <w:r w:rsidR="000F468F">
        <w:t>“</w:t>
      </w:r>
      <w:r w:rsidRPr="000F468F">
        <w:t>Calculation of Monthly Deferral</w:t>
      </w:r>
      <w:r w:rsidR="000F468F">
        <w:t>”</w:t>
      </w:r>
      <w:r>
        <w:t>, interest on the deferred balance accrues at the quarterly rate published by the FERC.</w:t>
      </w:r>
      <w:r>
        <w:rPr>
          <w:rStyle w:val="FootnoteReference"/>
        </w:rPr>
        <w:footnoteReference w:id="1"/>
      </w:r>
      <w:r>
        <w:t xml:space="preserve">  If the proposed surcharge is approved by the Commission, the 201</w:t>
      </w:r>
      <w:r w:rsidR="0055375C">
        <w:t>6</w:t>
      </w:r>
      <w:r>
        <w:t xml:space="preserve"> deferral balance,</w:t>
      </w:r>
      <w:r w:rsidR="0055375C">
        <w:t xml:space="preserve"> less earnings sharing,</w:t>
      </w:r>
      <w:r>
        <w:t xml:space="preserve"> plus interest through October, will be transferred into a regulatory asset balancing account</w:t>
      </w:r>
      <w:r w:rsidR="0055375C">
        <w:t xml:space="preserve"> to be combined with the remaining balance approved for recovery in UG-16</w:t>
      </w:r>
      <w:r w:rsidR="00D25A79">
        <w:t>1094, Avista’s 2016 Natural Gas Decoupling Rate Adjustment filing</w:t>
      </w:r>
      <w:r>
        <w:t>.  The balance in the account will be reduced each month by the revenue collected under the tariff.</w:t>
      </w:r>
    </w:p>
    <w:p w:rsidR="00D45B93" w:rsidRDefault="00D45B93" w:rsidP="00D45B93">
      <w:pPr>
        <w:pStyle w:val="BodyText2"/>
        <w:spacing w:line="360" w:lineRule="auto"/>
      </w:pPr>
    </w:p>
    <w:p w:rsidR="00C07B3A" w:rsidRDefault="00C07B3A">
      <w:pPr>
        <w:rPr>
          <w:rFonts w:ascii="Times New Roman" w:hAnsi="Times New Roman"/>
          <w:b/>
          <w:u w:val="single"/>
        </w:rPr>
      </w:pPr>
      <w:r>
        <w:rPr>
          <w:b/>
          <w:u w:val="single"/>
        </w:rPr>
        <w:br w:type="page"/>
      </w:r>
    </w:p>
    <w:p w:rsidR="00962ED8" w:rsidRDefault="00D45B93" w:rsidP="0025032F">
      <w:pPr>
        <w:pStyle w:val="BodyText2"/>
      </w:pPr>
      <w:r w:rsidRPr="00C80CFC">
        <w:rPr>
          <w:b/>
          <w:u w:val="single"/>
        </w:rPr>
        <w:lastRenderedPageBreak/>
        <w:t>Non-Residential Group Rate Determination</w:t>
      </w:r>
    </w:p>
    <w:p w:rsidR="0025032F" w:rsidRDefault="0025032F" w:rsidP="0025032F">
      <w:pPr>
        <w:pStyle w:val="BodyText2"/>
      </w:pPr>
    </w:p>
    <w:p w:rsidR="00F2077D" w:rsidRDefault="00D45B93" w:rsidP="0025032F">
      <w:pPr>
        <w:pStyle w:val="BodyText2"/>
      </w:pPr>
      <w:r w:rsidRPr="00033ACD">
        <w:t>The</w:t>
      </w:r>
      <w:r>
        <w:t xml:space="preserve"> Company recorded $</w:t>
      </w:r>
      <w:r w:rsidR="0055375C">
        <w:t>2</w:t>
      </w:r>
      <w:r>
        <w:t>,</w:t>
      </w:r>
      <w:r w:rsidR="0055375C">
        <w:t>002</w:t>
      </w:r>
      <w:r>
        <w:t>,</w:t>
      </w:r>
      <w:r w:rsidR="0055375C">
        <w:t>654</w:t>
      </w:r>
      <w:r w:rsidR="00D138D1">
        <w:t xml:space="preserve"> in the </w:t>
      </w:r>
      <w:r w:rsidR="00955E69">
        <w:t>surcharge</w:t>
      </w:r>
      <w:r w:rsidR="00D138D1">
        <w:t xml:space="preserve"> direction</w:t>
      </w:r>
      <w:r>
        <w:t xml:space="preserve"> in deferred revenue for the </w:t>
      </w:r>
      <w:r w:rsidR="00955E69">
        <w:t>natural gas</w:t>
      </w:r>
      <w:r w:rsidR="00B46A8A">
        <w:t xml:space="preserve"> N</w:t>
      </w:r>
      <w:r>
        <w:t>on-</w:t>
      </w:r>
      <w:r w:rsidR="00B46A8A">
        <w:t>R</w:t>
      </w:r>
      <w:r>
        <w:t xml:space="preserve">esidential </w:t>
      </w:r>
      <w:r w:rsidR="00B46A8A">
        <w:t>G</w:t>
      </w:r>
      <w:r>
        <w:t>roup in 201</w:t>
      </w:r>
      <w:r w:rsidR="0055375C">
        <w:t>6</w:t>
      </w:r>
      <w:r>
        <w:t xml:space="preserve">.  </w:t>
      </w:r>
      <w:r w:rsidR="00E13F14">
        <w:t>The</w:t>
      </w:r>
      <w:r w:rsidR="0055375C">
        <w:t xml:space="preserve"> earnings test,</w:t>
      </w:r>
      <w:r w:rsidR="00452F01">
        <w:t xml:space="preserve"> discussed later in this letter, </w:t>
      </w:r>
      <w:r w:rsidR="0055375C">
        <w:t>decreased</w:t>
      </w:r>
      <w:r w:rsidR="00662379">
        <w:t xml:space="preserve"> the surcharge balance</w:t>
      </w:r>
      <w:r w:rsidR="00452F01">
        <w:t xml:space="preserve">.  </w:t>
      </w:r>
      <w:r w:rsidRPr="00D715E9">
        <w:t xml:space="preserve">The proposed </w:t>
      </w:r>
      <w:r w:rsidR="00452F01">
        <w:t xml:space="preserve">surcharge rate of </w:t>
      </w:r>
      <w:r w:rsidR="00662379">
        <w:t>3</w:t>
      </w:r>
      <w:r w:rsidRPr="004424E4">
        <w:t>.</w:t>
      </w:r>
      <w:r w:rsidR="00662379">
        <w:t>904</w:t>
      </w:r>
      <w:r w:rsidRPr="00D715E9">
        <w:t xml:space="preserve"> cents per </w:t>
      </w:r>
      <w:r w:rsidR="00662379">
        <w:t>therm</w:t>
      </w:r>
      <w:r w:rsidRPr="00D715E9">
        <w:t xml:space="preserve"> is designed to re</w:t>
      </w:r>
      <w:r w:rsidR="004424E4">
        <w:t>cover</w:t>
      </w:r>
      <w:r w:rsidRPr="00D715E9">
        <w:t xml:space="preserve"> </w:t>
      </w:r>
      <w:r w:rsidRPr="004424E4">
        <w:t>$</w:t>
      </w:r>
      <w:r w:rsidR="00662379">
        <w:t>2</w:t>
      </w:r>
      <w:r w:rsidRPr="004424E4">
        <w:t>,</w:t>
      </w:r>
      <w:r w:rsidR="00662379">
        <w:t>212</w:t>
      </w:r>
      <w:r w:rsidRPr="004424E4">
        <w:t>,</w:t>
      </w:r>
      <w:r w:rsidR="004424E4" w:rsidRPr="004424E4">
        <w:t>8</w:t>
      </w:r>
      <w:r w:rsidR="00662379">
        <w:t>81</w:t>
      </w:r>
      <w:r w:rsidRPr="00D715E9">
        <w:t xml:space="preserve"> </w:t>
      </w:r>
      <w:r w:rsidR="004424E4">
        <w:t>from</w:t>
      </w:r>
      <w:r w:rsidRPr="00D715E9">
        <w:t xml:space="preserve"> commercial and industrial customers served under rate Schedules 11</w:t>
      </w:r>
      <w:r w:rsidR="00452F01">
        <w:t>1</w:t>
      </w:r>
      <w:r w:rsidRPr="00D715E9">
        <w:t xml:space="preserve">, </w:t>
      </w:r>
      <w:r w:rsidR="00452F01">
        <w:t>1</w:t>
      </w:r>
      <w:r w:rsidRPr="00D715E9">
        <w:t xml:space="preserve">21, and </w:t>
      </w:r>
      <w:r w:rsidR="00452F01">
        <w:t>131</w:t>
      </w:r>
      <w:r>
        <w:t>.  The following table summarizes the components of the Company’s request for re</w:t>
      </w:r>
      <w:r w:rsidR="00452F01">
        <w:t>covery</w:t>
      </w:r>
      <w:r>
        <w:t>:</w:t>
      </w:r>
    </w:p>
    <w:p w:rsidR="00BD4553" w:rsidRDefault="00BD4553" w:rsidP="005164ED">
      <w:pPr>
        <w:pStyle w:val="BodyText2"/>
        <w:ind w:firstLine="720"/>
      </w:pPr>
    </w:p>
    <w:tbl>
      <w:tblPr>
        <w:tblW w:w="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956"/>
      </w:tblGrid>
      <w:tr w:rsidR="00D45B93" w:rsidRPr="00D715E9" w:rsidTr="00EE59A1">
        <w:trPr>
          <w:trHeight w:val="288"/>
          <w:jc w:val="center"/>
        </w:trPr>
        <w:tc>
          <w:tcPr>
            <w:tcW w:w="3775" w:type="dxa"/>
            <w:shd w:val="clear" w:color="auto" w:fill="auto"/>
            <w:noWrap/>
            <w:vAlign w:val="bottom"/>
            <w:hideMark/>
          </w:tcPr>
          <w:p w:rsidR="00D45B93" w:rsidRPr="008F23BD" w:rsidRDefault="00F2077D" w:rsidP="00662379">
            <w:pPr>
              <w:rPr>
                <w:color w:val="000000"/>
                <w:szCs w:val="24"/>
              </w:rPr>
            </w:pPr>
            <w:r>
              <w:br w:type="page"/>
            </w:r>
            <w:r w:rsidR="005164ED">
              <w:br w:type="page"/>
            </w:r>
            <w:r w:rsidR="00D45B93" w:rsidRPr="008F23BD">
              <w:rPr>
                <w:color w:val="000000"/>
                <w:szCs w:val="24"/>
              </w:rPr>
              <w:t>201</w:t>
            </w:r>
            <w:r w:rsidR="00662379">
              <w:rPr>
                <w:color w:val="000000"/>
                <w:szCs w:val="24"/>
              </w:rPr>
              <w:t>6</w:t>
            </w:r>
            <w:r w:rsidR="00D45B93" w:rsidRPr="008F23BD">
              <w:rPr>
                <w:color w:val="000000"/>
                <w:szCs w:val="24"/>
              </w:rPr>
              <w:t xml:space="preserve"> Deferred Revenue</w:t>
            </w:r>
          </w:p>
        </w:tc>
        <w:tc>
          <w:tcPr>
            <w:tcW w:w="1956" w:type="dxa"/>
            <w:shd w:val="clear" w:color="auto" w:fill="auto"/>
            <w:noWrap/>
            <w:vAlign w:val="bottom"/>
            <w:hideMark/>
          </w:tcPr>
          <w:p w:rsidR="00D45B93" w:rsidRPr="008F23BD" w:rsidRDefault="00452F01" w:rsidP="00662379">
            <w:pPr>
              <w:jc w:val="right"/>
              <w:rPr>
                <w:color w:val="000000"/>
                <w:szCs w:val="24"/>
              </w:rPr>
            </w:pPr>
            <w:r>
              <w:rPr>
                <w:color w:val="000000"/>
                <w:szCs w:val="24"/>
              </w:rPr>
              <w:t>$</w:t>
            </w:r>
            <w:r w:rsidR="00662379">
              <w:rPr>
                <w:color w:val="000000"/>
                <w:szCs w:val="24"/>
              </w:rPr>
              <w:t>2</w:t>
            </w:r>
            <w:r>
              <w:rPr>
                <w:color w:val="000000"/>
                <w:szCs w:val="24"/>
              </w:rPr>
              <w:t>,</w:t>
            </w:r>
            <w:r w:rsidR="00662379">
              <w:rPr>
                <w:color w:val="000000"/>
                <w:szCs w:val="24"/>
              </w:rPr>
              <w:t>002</w:t>
            </w:r>
            <w:r>
              <w:rPr>
                <w:color w:val="000000"/>
                <w:szCs w:val="24"/>
              </w:rPr>
              <w:t>,</w:t>
            </w:r>
            <w:r w:rsidR="00662379">
              <w:rPr>
                <w:color w:val="000000"/>
                <w:szCs w:val="24"/>
              </w:rPr>
              <w:t>654</w:t>
            </w:r>
          </w:p>
        </w:tc>
      </w:tr>
      <w:tr w:rsidR="00D45B93" w:rsidRPr="00D715E9" w:rsidTr="00EE59A1">
        <w:trPr>
          <w:trHeight w:val="288"/>
          <w:jc w:val="center"/>
        </w:trPr>
        <w:tc>
          <w:tcPr>
            <w:tcW w:w="3775" w:type="dxa"/>
            <w:shd w:val="clear" w:color="auto" w:fill="auto"/>
            <w:noWrap/>
            <w:vAlign w:val="bottom"/>
            <w:hideMark/>
          </w:tcPr>
          <w:p w:rsidR="00D45B93" w:rsidRPr="008F23BD" w:rsidRDefault="00452F01" w:rsidP="00EE59A1">
            <w:pPr>
              <w:rPr>
                <w:color w:val="000000"/>
                <w:szCs w:val="24"/>
              </w:rPr>
            </w:pPr>
            <w:r>
              <w:rPr>
                <w:color w:val="000000"/>
                <w:szCs w:val="24"/>
              </w:rPr>
              <w:t>Less</w:t>
            </w:r>
            <w:r w:rsidR="00D138D1">
              <w:rPr>
                <w:color w:val="000000"/>
                <w:szCs w:val="24"/>
              </w:rPr>
              <w:t>:</w:t>
            </w:r>
            <w:r w:rsidR="00D45B93" w:rsidRPr="008F23BD">
              <w:rPr>
                <w:color w:val="000000"/>
                <w:szCs w:val="24"/>
              </w:rPr>
              <w:t xml:space="preserve"> Earnings Sharing</w:t>
            </w:r>
          </w:p>
        </w:tc>
        <w:tc>
          <w:tcPr>
            <w:tcW w:w="1956" w:type="dxa"/>
            <w:shd w:val="clear" w:color="auto" w:fill="auto"/>
            <w:noWrap/>
            <w:vAlign w:val="bottom"/>
            <w:hideMark/>
          </w:tcPr>
          <w:p w:rsidR="00D45B93" w:rsidRPr="008F23BD" w:rsidRDefault="00452F01" w:rsidP="00662379">
            <w:pPr>
              <w:jc w:val="right"/>
              <w:rPr>
                <w:color w:val="000000"/>
                <w:szCs w:val="24"/>
              </w:rPr>
            </w:pPr>
            <w:r>
              <w:rPr>
                <w:color w:val="000000"/>
                <w:szCs w:val="24"/>
              </w:rPr>
              <w:t>($</w:t>
            </w:r>
            <w:r w:rsidR="00662379">
              <w:rPr>
                <w:color w:val="000000"/>
                <w:szCs w:val="24"/>
              </w:rPr>
              <w:t>665,616</w:t>
            </w:r>
            <w:r w:rsidR="00D45B93" w:rsidRPr="008F23BD">
              <w:rPr>
                <w:color w:val="000000"/>
                <w:szCs w:val="24"/>
              </w:rPr>
              <w:t>)</w:t>
            </w:r>
          </w:p>
        </w:tc>
      </w:tr>
      <w:tr w:rsidR="00662379" w:rsidRPr="00D715E9" w:rsidTr="00EE59A1">
        <w:trPr>
          <w:trHeight w:val="288"/>
          <w:jc w:val="center"/>
        </w:trPr>
        <w:tc>
          <w:tcPr>
            <w:tcW w:w="3775" w:type="dxa"/>
            <w:shd w:val="clear" w:color="auto" w:fill="auto"/>
            <w:noWrap/>
            <w:vAlign w:val="bottom"/>
          </w:tcPr>
          <w:p w:rsidR="00662379" w:rsidRDefault="00662379" w:rsidP="00EE59A1">
            <w:pPr>
              <w:rPr>
                <w:color w:val="000000"/>
                <w:szCs w:val="24"/>
              </w:rPr>
            </w:pPr>
            <w:r>
              <w:rPr>
                <w:color w:val="000000"/>
                <w:szCs w:val="24"/>
              </w:rPr>
              <w:t>Add:  Prior Year Carryover Balance</w:t>
            </w:r>
          </w:p>
        </w:tc>
        <w:tc>
          <w:tcPr>
            <w:tcW w:w="1956" w:type="dxa"/>
            <w:shd w:val="clear" w:color="auto" w:fill="auto"/>
            <w:noWrap/>
            <w:vAlign w:val="bottom"/>
          </w:tcPr>
          <w:p w:rsidR="00662379" w:rsidRDefault="00662379" w:rsidP="00662379">
            <w:pPr>
              <w:jc w:val="right"/>
              <w:rPr>
                <w:color w:val="000000"/>
                <w:szCs w:val="24"/>
              </w:rPr>
            </w:pPr>
            <w:r>
              <w:rPr>
                <w:color w:val="000000"/>
                <w:szCs w:val="24"/>
              </w:rPr>
              <w:t>$699,731</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662379">
            <w:pPr>
              <w:rPr>
                <w:color w:val="000000"/>
                <w:szCs w:val="24"/>
              </w:rPr>
            </w:pPr>
            <w:r w:rsidRPr="008F23BD">
              <w:rPr>
                <w:color w:val="000000"/>
                <w:szCs w:val="24"/>
              </w:rPr>
              <w:t>Add</w:t>
            </w:r>
            <w:r w:rsidR="00D138D1">
              <w:rPr>
                <w:color w:val="000000"/>
                <w:szCs w:val="24"/>
              </w:rPr>
              <w:t>:</w:t>
            </w:r>
            <w:r w:rsidRPr="008F23BD">
              <w:rPr>
                <w:color w:val="000000"/>
                <w:szCs w:val="24"/>
              </w:rPr>
              <w:t xml:space="preserve"> Interest through 10/31/201</w:t>
            </w:r>
            <w:r w:rsidR="00662379">
              <w:rPr>
                <w:color w:val="000000"/>
                <w:szCs w:val="24"/>
              </w:rPr>
              <w:t>8</w:t>
            </w:r>
          </w:p>
        </w:tc>
        <w:tc>
          <w:tcPr>
            <w:tcW w:w="1956" w:type="dxa"/>
            <w:shd w:val="clear" w:color="auto" w:fill="auto"/>
            <w:noWrap/>
            <w:vAlign w:val="bottom"/>
            <w:hideMark/>
          </w:tcPr>
          <w:p w:rsidR="00D45B93" w:rsidRPr="00E14C49" w:rsidRDefault="00452F01" w:rsidP="00662379">
            <w:pPr>
              <w:jc w:val="right"/>
              <w:rPr>
                <w:color w:val="000000"/>
                <w:szCs w:val="24"/>
                <w:highlight w:val="yellow"/>
              </w:rPr>
            </w:pPr>
            <w:r w:rsidRPr="004424E4">
              <w:rPr>
                <w:color w:val="000000"/>
                <w:szCs w:val="24"/>
              </w:rPr>
              <w:t>$</w:t>
            </w:r>
            <w:r w:rsidR="00662379">
              <w:rPr>
                <w:color w:val="000000"/>
                <w:szCs w:val="24"/>
              </w:rPr>
              <w:t>72</w:t>
            </w:r>
            <w:r w:rsidRPr="004424E4">
              <w:rPr>
                <w:color w:val="000000"/>
                <w:szCs w:val="24"/>
              </w:rPr>
              <w:t>,</w:t>
            </w:r>
            <w:r w:rsidR="00662379">
              <w:rPr>
                <w:color w:val="000000"/>
                <w:szCs w:val="24"/>
              </w:rPr>
              <w:t>813</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Add</w:t>
            </w:r>
            <w:r w:rsidR="00D138D1">
              <w:rPr>
                <w:color w:val="000000"/>
                <w:szCs w:val="24"/>
              </w:rPr>
              <w:t>:</w:t>
            </w:r>
            <w:r w:rsidRPr="008F23BD">
              <w:rPr>
                <w:color w:val="000000"/>
                <w:szCs w:val="24"/>
              </w:rPr>
              <w:t xml:space="preserve"> Revenue Related Expense Adj.</w:t>
            </w:r>
          </w:p>
        </w:tc>
        <w:tc>
          <w:tcPr>
            <w:tcW w:w="1956" w:type="dxa"/>
            <w:shd w:val="clear" w:color="auto" w:fill="auto"/>
            <w:noWrap/>
            <w:vAlign w:val="bottom"/>
            <w:hideMark/>
          </w:tcPr>
          <w:p w:rsidR="00D45B93" w:rsidRPr="00E14C49" w:rsidRDefault="00452F01" w:rsidP="00662379">
            <w:pPr>
              <w:jc w:val="right"/>
              <w:rPr>
                <w:color w:val="000000"/>
                <w:szCs w:val="24"/>
                <w:highlight w:val="yellow"/>
              </w:rPr>
            </w:pPr>
            <w:r w:rsidRPr="004424E4">
              <w:rPr>
                <w:color w:val="000000"/>
                <w:szCs w:val="24"/>
              </w:rPr>
              <w:t>$</w:t>
            </w:r>
            <w:r w:rsidR="00662379">
              <w:rPr>
                <w:color w:val="000000"/>
                <w:szCs w:val="24"/>
              </w:rPr>
              <w:t>103</w:t>
            </w:r>
            <w:r w:rsidRPr="004424E4">
              <w:rPr>
                <w:color w:val="000000"/>
                <w:szCs w:val="24"/>
              </w:rPr>
              <w:t>,</w:t>
            </w:r>
            <w:r w:rsidR="00662379">
              <w:rPr>
                <w:color w:val="000000"/>
                <w:szCs w:val="24"/>
              </w:rPr>
              <w:t>299</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452F01">
            <w:pPr>
              <w:rPr>
                <w:color w:val="000000"/>
                <w:szCs w:val="24"/>
              </w:rPr>
            </w:pPr>
            <w:r w:rsidRPr="008F23BD">
              <w:rPr>
                <w:color w:val="000000"/>
                <w:szCs w:val="24"/>
              </w:rPr>
              <w:t xml:space="preserve">     Total Requested Re</w:t>
            </w:r>
            <w:r w:rsidR="00452F01">
              <w:rPr>
                <w:color w:val="000000"/>
                <w:szCs w:val="24"/>
              </w:rPr>
              <w:t>covery</w:t>
            </w:r>
          </w:p>
        </w:tc>
        <w:tc>
          <w:tcPr>
            <w:tcW w:w="1956" w:type="dxa"/>
            <w:shd w:val="clear" w:color="auto" w:fill="auto"/>
            <w:noWrap/>
            <w:vAlign w:val="bottom"/>
            <w:hideMark/>
          </w:tcPr>
          <w:p w:rsidR="00D45B93" w:rsidRPr="00E14C49" w:rsidRDefault="00452F01" w:rsidP="00662379">
            <w:pPr>
              <w:jc w:val="right"/>
              <w:rPr>
                <w:color w:val="000000"/>
                <w:szCs w:val="24"/>
                <w:highlight w:val="yellow"/>
              </w:rPr>
            </w:pPr>
            <w:r w:rsidRPr="004424E4">
              <w:rPr>
                <w:color w:val="000000"/>
                <w:szCs w:val="24"/>
              </w:rPr>
              <w:t>$</w:t>
            </w:r>
            <w:r w:rsidR="00662379">
              <w:rPr>
                <w:color w:val="000000"/>
                <w:szCs w:val="24"/>
              </w:rPr>
              <w:t>2</w:t>
            </w:r>
            <w:r w:rsidRPr="004424E4">
              <w:rPr>
                <w:color w:val="000000"/>
                <w:szCs w:val="24"/>
              </w:rPr>
              <w:t>,</w:t>
            </w:r>
            <w:r w:rsidR="00662379">
              <w:rPr>
                <w:color w:val="000000"/>
                <w:szCs w:val="24"/>
              </w:rPr>
              <w:t>212</w:t>
            </w:r>
            <w:r w:rsidRPr="004424E4">
              <w:rPr>
                <w:color w:val="000000"/>
                <w:szCs w:val="24"/>
              </w:rPr>
              <w:t>,</w:t>
            </w:r>
            <w:r w:rsidR="00662379">
              <w:rPr>
                <w:color w:val="000000"/>
                <w:szCs w:val="24"/>
              </w:rPr>
              <w:t>881</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452F01">
            <w:pPr>
              <w:rPr>
                <w:color w:val="000000"/>
                <w:szCs w:val="24"/>
              </w:rPr>
            </w:pPr>
            <w:r w:rsidRPr="008F23BD">
              <w:rPr>
                <w:color w:val="000000"/>
                <w:szCs w:val="24"/>
              </w:rPr>
              <w:t xml:space="preserve">Customer </w:t>
            </w:r>
            <w:r w:rsidR="00452F01">
              <w:rPr>
                <w:color w:val="000000"/>
                <w:szCs w:val="24"/>
              </w:rPr>
              <w:t>Surcharge</w:t>
            </w:r>
            <w:r w:rsidRPr="008F23BD">
              <w:rPr>
                <w:color w:val="000000"/>
                <w:szCs w:val="24"/>
              </w:rPr>
              <w:t xml:space="preserve"> Revenue</w:t>
            </w:r>
          </w:p>
        </w:tc>
        <w:tc>
          <w:tcPr>
            <w:tcW w:w="1956" w:type="dxa"/>
            <w:shd w:val="clear" w:color="auto" w:fill="auto"/>
            <w:noWrap/>
            <w:vAlign w:val="bottom"/>
            <w:hideMark/>
          </w:tcPr>
          <w:p w:rsidR="00D45B93" w:rsidRPr="00E14C49" w:rsidRDefault="00452F01" w:rsidP="00662379">
            <w:pPr>
              <w:jc w:val="right"/>
              <w:rPr>
                <w:color w:val="000000"/>
                <w:szCs w:val="24"/>
                <w:highlight w:val="yellow"/>
              </w:rPr>
            </w:pPr>
            <w:r w:rsidRPr="004424E4">
              <w:rPr>
                <w:color w:val="000000"/>
                <w:szCs w:val="24"/>
              </w:rPr>
              <w:t>$</w:t>
            </w:r>
            <w:r w:rsidR="00662379">
              <w:rPr>
                <w:color w:val="000000"/>
                <w:szCs w:val="24"/>
              </w:rPr>
              <w:t>2</w:t>
            </w:r>
            <w:r w:rsidRPr="004424E4">
              <w:rPr>
                <w:color w:val="000000"/>
                <w:szCs w:val="24"/>
              </w:rPr>
              <w:t>,</w:t>
            </w:r>
            <w:r w:rsidR="00662379">
              <w:rPr>
                <w:color w:val="000000"/>
                <w:szCs w:val="24"/>
              </w:rPr>
              <w:t>212</w:t>
            </w:r>
            <w:r w:rsidRPr="004424E4">
              <w:rPr>
                <w:color w:val="000000"/>
                <w:szCs w:val="24"/>
              </w:rPr>
              <w:t>,</w:t>
            </w:r>
            <w:r w:rsidR="00662379">
              <w:rPr>
                <w:color w:val="000000"/>
                <w:szCs w:val="24"/>
              </w:rPr>
              <w:t>881</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Carryover Deferred Revenue</w:t>
            </w:r>
          </w:p>
        </w:tc>
        <w:tc>
          <w:tcPr>
            <w:tcW w:w="1956" w:type="dxa"/>
            <w:shd w:val="clear" w:color="auto" w:fill="auto"/>
            <w:noWrap/>
            <w:vAlign w:val="bottom"/>
            <w:hideMark/>
          </w:tcPr>
          <w:p w:rsidR="00D45B93" w:rsidRPr="00E14C49" w:rsidRDefault="00D45B93" w:rsidP="00662379">
            <w:pPr>
              <w:jc w:val="right"/>
              <w:rPr>
                <w:color w:val="000000"/>
                <w:szCs w:val="24"/>
                <w:highlight w:val="yellow"/>
              </w:rPr>
            </w:pPr>
            <w:r w:rsidRPr="004424E4">
              <w:rPr>
                <w:color w:val="000000"/>
                <w:szCs w:val="24"/>
              </w:rPr>
              <w:t>$</w:t>
            </w:r>
            <w:r w:rsidR="004424E4" w:rsidRPr="004424E4">
              <w:rPr>
                <w:color w:val="000000"/>
                <w:szCs w:val="24"/>
              </w:rPr>
              <w:t>0</w:t>
            </w:r>
            <w:r w:rsidRPr="004424E4">
              <w:rPr>
                <w:color w:val="000000"/>
                <w:szCs w:val="24"/>
              </w:rPr>
              <w:t xml:space="preserve"> </w:t>
            </w:r>
          </w:p>
        </w:tc>
      </w:tr>
    </w:tbl>
    <w:p w:rsidR="00D45B93" w:rsidRDefault="00D45B93" w:rsidP="00D45B93">
      <w:pPr>
        <w:pStyle w:val="BodyText2"/>
        <w:spacing w:line="360" w:lineRule="auto"/>
        <w:ind w:firstLine="720"/>
      </w:pPr>
      <w:r>
        <w:t xml:space="preserve"> </w:t>
      </w:r>
    </w:p>
    <w:p w:rsidR="00D45B93" w:rsidRDefault="00D45B93" w:rsidP="00372185">
      <w:pPr>
        <w:pStyle w:val="BodyText2"/>
      </w:pPr>
      <w:r>
        <w:t xml:space="preserve">Attachment A, page 3 shows the derivation of the proposed </w:t>
      </w:r>
      <w:r w:rsidR="00452F01">
        <w:t>surcharge</w:t>
      </w:r>
      <w:r>
        <w:t xml:space="preserve"> rate to re</w:t>
      </w:r>
      <w:r w:rsidR="00452F01">
        <w:t>cover</w:t>
      </w:r>
      <w:r>
        <w:t xml:space="preserve"> the 201</w:t>
      </w:r>
      <w:r w:rsidR="00662379">
        <w:t>6</w:t>
      </w:r>
      <w:r>
        <w:t xml:space="preserve"> deferred revenue</w:t>
      </w:r>
      <w:r w:rsidR="00662379">
        <w:t xml:space="preserve"> (including prior period carryover deferred revenue)</w:t>
      </w:r>
      <w:r>
        <w:t xml:space="preserve">, plus interest and revenue-related expenses, based on projected sales volumes for Schedules </w:t>
      </w:r>
      <w:r w:rsidR="00452F01">
        <w:t>1</w:t>
      </w:r>
      <w:r>
        <w:t xml:space="preserve">11, </w:t>
      </w:r>
      <w:r w:rsidR="00452F01">
        <w:t>1</w:t>
      </w:r>
      <w:r>
        <w:t xml:space="preserve">21, and </w:t>
      </w:r>
      <w:r w:rsidR="00452F01">
        <w:t>131</w:t>
      </w:r>
      <w:r>
        <w:t xml:space="preserve"> during the </w:t>
      </w:r>
      <w:r w:rsidR="00452F01">
        <w:t>surcharge</w:t>
      </w:r>
      <w:r>
        <w:t>/amortization period (November 201</w:t>
      </w:r>
      <w:r w:rsidR="00662379">
        <w:t>7</w:t>
      </w:r>
      <w:r>
        <w:t xml:space="preserve"> through October 201</w:t>
      </w:r>
      <w:r w:rsidR="00662379">
        <w:t>8</w:t>
      </w:r>
      <w:r>
        <w:t xml:space="preserve">).  As identified in Tariff Schedule </w:t>
      </w:r>
      <w:r w:rsidR="00452F01">
        <w:t>17</w:t>
      </w:r>
      <w:r>
        <w:t xml:space="preserve">5 under Step </w:t>
      </w:r>
      <w:r w:rsidR="00452F01">
        <w:t>6</w:t>
      </w:r>
      <w:r>
        <w:t xml:space="preserve"> of </w:t>
      </w:r>
      <w:r w:rsidR="005164ED">
        <w:t>“</w:t>
      </w:r>
      <w:r w:rsidRPr="005164ED">
        <w:t>Calculation of Monthly Deferral</w:t>
      </w:r>
      <w:r w:rsidR="005164ED">
        <w:t>”</w:t>
      </w:r>
      <w:r>
        <w:t xml:space="preserve">, interest on the deferred balance accrues at the quarterly rate published by the FERC.  If the proposed </w:t>
      </w:r>
      <w:r w:rsidR="00452F01">
        <w:t>surcharge</w:t>
      </w:r>
      <w:r>
        <w:t xml:space="preserve"> is approved by the Commissi</w:t>
      </w:r>
      <w:r w:rsidR="00D138D1">
        <w:t>on, the 201</w:t>
      </w:r>
      <w:r w:rsidR="00662379">
        <w:t>6</w:t>
      </w:r>
      <w:r w:rsidR="00D138D1">
        <w:t xml:space="preserve"> deferral balance,</w:t>
      </w:r>
      <w:r w:rsidR="00662379">
        <w:t xml:space="preserve"> less earnings sharing,</w:t>
      </w:r>
      <w:r w:rsidR="00D138D1">
        <w:t xml:space="preserve"> </w:t>
      </w:r>
      <w:r>
        <w:t>plus interest through October, will be</w:t>
      </w:r>
      <w:r w:rsidR="00452F01">
        <w:t xml:space="preserve"> transferred into a regulatory asset</w:t>
      </w:r>
      <w:r>
        <w:t xml:space="preserve"> balancing account</w:t>
      </w:r>
      <w:r w:rsidR="00662379">
        <w:t xml:space="preserve"> to be combined with the remaining balance approved for recovery in </w:t>
      </w:r>
      <w:r w:rsidR="00D25A79">
        <w:t>UG-161094, Avista’s 2016 Natural Gas Decoupling Rate Adjustment filing</w:t>
      </w:r>
      <w:r>
        <w:t xml:space="preserve">.  The balance in the account will be reduced each month by the revenue </w:t>
      </w:r>
      <w:r w:rsidR="00452F01">
        <w:t>collected</w:t>
      </w:r>
      <w:r>
        <w:t xml:space="preserve"> under the tariff.</w:t>
      </w:r>
    </w:p>
    <w:p w:rsidR="00D45B93" w:rsidRDefault="00D45B93" w:rsidP="005164ED">
      <w:pPr>
        <w:pStyle w:val="BodyText2"/>
      </w:pPr>
    </w:p>
    <w:p w:rsidR="00D45B93" w:rsidRDefault="00D45B93" w:rsidP="00372185">
      <w:pPr>
        <w:pStyle w:val="BodyText2"/>
      </w:pPr>
      <w:r>
        <w:t>Support showing the monthly calculation of the 201</w:t>
      </w:r>
      <w:r w:rsidR="009031C0">
        <w:t>6</w:t>
      </w:r>
      <w:r>
        <w:t xml:space="preserve"> deferred revenue balances for both the </w:t>
      </w:r>
      <w:r w:rsidR="00B46A8A">
        <w:t>R</w:t>
      </w:r>
      <w:r>
        <w:t xml:space="preserve">esidential and </w:t>
      </w:r>
      <w:r w:rsidR="00B46A8A">
        <w:t>N</w:t>
      </w:r>
      <w:r>
        <w:t>on-</w:t>
      </w:r>
      <w:r w:rsidR="00B46A8A">
        <w:t>Residential G</w:t>
      </w:r>
      <w:r>
        <w:t>roups is provided as Attachment B.  These calculations were also provided to the Commission in quarterly reports (see Docket No. U</w:t>
      </w:r>
      <w:r w:rsidR="00452F01">
        <w:t>G</w:t>
      </w:r>
      <w:r>
        <w:t>-14018</w:t>
      </w:r>
      <w:r w:rsidR="00452F01">
        <w:t>9</w:t>
      </w:r>
      <w:r>
        <w:t>).</w:t>
      </w:r>
      <w:r w:rsidR="009031C0">
        <w:t xml:space="preserve">  The allowed decoupling baseline values were updated when Docket No. UG-150205 rates became effective January 11, 2016.  As shown on page 1 of Attachment B, the January 2016 deferred revenue calculation was based on a pro-ration of UG-140189 (10 days divided by 31 days, approximately 32 percent) and UG-150205 (21 days divided by 31 days, approximately 68 percent) authorized January values.</w:t>
      </w:r>
    </w:p>
    <w:p w:rsidR="00D45B93" w:rsidRDefault="00D45B93" w:rsidP="00101545">
      <w:pPr>
        <w:pStyle w:val="BodyText2"/>
      </w:pPr>
    </w:p>
    <w:p w:rsidR="00D45B93" w:rsidRDefault="00D45B93" w:rsidP="00101545">
      <w:pPr>
        <w:pStyle w:val="BodyText2"/>
        <w:rPr>
          <w:b/>
          <w:u w:val="single"/>
        </w:rPr>
      </w:pPr>
      <w:r w:rsidRPr="00DB3684">
        <w:rPr>
          <w:b/>
          <w:u w:val="single"/>
        </w:rPr>
        <w:t>Earnings Test</w:t>
      </w:r>
    </w:p>
    <w:p w:rsidR="00D45B93" w:rsidRPr="00DB3684" w:rsidRDefault="00D45B93" w:rsidP="00101545">
      <w:pPr>
        <w:pStyle w:val="BodyText2"/>
        <w:ind w:firstLine="720"/>
        <w:rPr>
          <w:b/>
          <w:u w:val="single"/>
        </w:rPr>
      </w:pPr>
    </w:p>
    <w:p w:rsidR="00D45B93" w:rsidRDefault="00D45B93" w:rsidP="00372185">
      <w:pPr>
        <w:pStyle w:val="BodyText2"/>
        <w:rPr>
          <w:szCs w:val="24"/>
        </w:rPr>
      </w:pPr>
      <w:r>
        <w:rPr>
          <w:szCs w:val="24"/>
        </w:rPr>
        <w:t>The decoupling mechanism is subject to an annual earnings test based on the Company’s year-end Commission Basis Reports that reflect actual decoupl</w:t>
      </w:r>
      <w:r w:rsidR="00D138D1">
        <w:rPr>
          <w:szCs w:val="24"/>
        </w:rPr>
        <w:t>ing-related</w:t>
      </w:r>
      <w:r>
        <w:rPr>
          <w:szCs w:val="24"/>
        </w:rPr>
        <w:t xml:space="preserve"> revenues and </w:t>
      </w:r>
      <w:r w:rsidR="00F2077D">
        <w:rPr>
          <w:szCs w:val="24"/>
        </w:rPr>
        <w:t>various</w:t>
      </w:r>
      <w:r>
        <w:rPr>
          <w:szCs w:val="24"/>
        </w:rPr>
        <w:t xml:space="preserve"> normalizing adjustments.  If the earnings test rate of return exceeds the allowed rate of return </w:t>
      </w:r>
      <w:r w:rsidR="00D138D1">
        <w:rPr>
          <w:szCs w:val="24"/>
        </w:rPr>
        <w:t>approved by</w:t>
      </w:r>
      <w:r>
        <w:rPr>
          <w:szCs w:val="24"/>
        </w:rPr>
        <w:t xml:space="preserve"> the Commission, one-half of the revenue </w:t>
      </w:r>
      <w:r w:rsidR="00D138D1">
        <w:rPr>
          <w:szCs w:val="24"/>
        </w:rPr>
        <w:t>in</w:t>
      </w:r>
      <w:r>
        <w:rPr>
          <w:szCs w:val="24"/>
        </w:rPr>
        <w:t xml:space="preserve"> excess </w:t>
      </w:r>
      <w:r w:rsidR="00D138D1">
        <w:rPr>
          <w:szCs w:val="24"/>
        </w:rPr>
        <w:t xml:space="preserve">of the </w:t>
      </w:r>
      <w:r>
        <w:rPr>
          <w:szCs w:val="24"/>
        </w:rPr>
        <w:t xml:space="preserve">rate of return will be shared with customers through the decoupling rate adjustment. </w:t>
      </w:r>
    </w:p>
    <w:p w:rsidR="00D45B93" w:rsidRDefault="00D45B93" w:rsidP="00101545">
      <w:pPr>
        <w:pStyle w:val="BodyText2"/>
        <w:rPr>
          <w:szCs w:val="24"/>
        </w:rPr>
      </w:pPr>
    </w:p>
    <w:p w:rsidR="00D45B93" w:rsidRDefault="00D45B93" w:rsidP="00372185">
      <w:pPr>
        <w:pStyle w:val="BodyText2"/>
        <w:rPr>
          <w:szCs w:val="24"/>
        </w:rPr>
      </w:pPr>
      <w:r>
        <w:rPr>
          <w:szCs w:val="24"/>
        </w:rPr>
        <w:t>The 201</w:t>
      </w:r>
      <w:r w:rsidR="009031C0">
        <w:rPr>
          <w:szCs w:val="24"/>
        </w:rPr>
        <w:t>6</w:t>
      </w:r>
      <w:r>
        <w:rPr>
          <w:szCs w:val="24"/>
        </w:rPr>
        <w:t xml:space="preserve"> Washington </w:t>
      </w:r>
      <w:r w:rsidR="00F2077D">
        <w:rPr>
          <w:szCs w:val="24"/>
        </w:rPr>
        <w:t>Natural Gas</w:t>
      </w:r>
      <w:r>
        <w:rPr>
          <w:szCs w:val="24"/>
        </w:rPr>
        <w:t xml:space="preserve"> Earnings Test sharing calculations are shown on page </w:t>
      </w:r>
      <w:r w:rsidR="009031C0">
        <w:rPr>
          <w:szCs w:val="24"/>
        </w:rPr>
        <w:t>6</w:t>
      </w:r>
      <w:r>
        <w:rPr>
          <w:szCs w:val="24"/>
        </w:rPr>
        <w:t xml:space="preserve"> of Attachment A.</w:t>
      </w:r>
      <w:r>
        <w:rPr>
          <w:rStyle w:val="FootnoteReference"/>
          <w:szCs w:val="24"/>
        </w:rPr>
        <w:footnoteReference w:id="2"/>
      </w:r>
      <w:r>
        <w:rPr>
          <w:szCs w:val="24"/>
        </w:rPr>
        <w:t xml:space="preserve">  The Earnings Test showed that the Company earned a </w:t>
      </w:r>
      <w:r w:rsidR="009031C0">
        <w:rPr>
          <w:szCs w:val="24"/>
        </w:rPr>
        <w:t>8</w:t>
      </w:r>
      <w:r>
        <w:rPr>
          <w:szCs w:val="24"/>
        </w:rPr>
        <w:t>.</w:t>
      </w:r>
      <w:r w:rsidR="009031C0">
        <w:rPr>
          <w:szCs w:val="24"/>
        </w:rPr>
        <w:t>56</w:t>
      </w:r>
      <w:r>
        <w:rPr>
          <w:szCs w:val="24"/>
        </w:rPr>
        <w:t>% rate of return on a normalized basis in 201</w:t>
      </w:r>
      <w:r w:rsidR="009031C0">
        <w:rPr>
          <w:szCs w:val="24"/>
        </w:rPr>
        <w:t>6</w:t>
      </w:r>
      <w:r>
        <w:rPr>
          <w:szCs w:val="24"/>
        </w:rPr>
        <w:t xml:space="preserve"> which </w:t>
      </w:r>
      <w:r w:rsidR="009031C0">
        <w:rPr>
          <w:szCs w:val="24"/>
        </w:rPr>
        <w:t>exceeds</w:t>
      </w:r>
      <w:r>
        <w:rPr>
          <w:szCs w:val="24"/>
        </w:rPr>
        <w:t xml:space="preserve"> the 7.</w:t>
      </w:r>
      <w:r w:rsidR="009031C0">
        <w:rPr>
          <w:szCs w:val="24"/>
        </w:rPr>
        <w:t>29</w:t>
      </w:r>
      <w:r>
        <w:rPr>
          <w:szCs w:val="24"/>
        </w:rPr>
        <w:t>% allowed return established by Order 05 of Docket No. U</w:t>
      </w:r>
      <w:r w:rsidR="00F2077D">
        <w:rPr>
          <w:szCs w:val="24"/>
        </w:rPr>
        <w:t>G</w:t>
      </w:r>
      <w:r>
        <w:rPr>
          <w:szCs w:val="24"/>
        </w:rPr>
        <w:t>-1</w:t>
      </w:r>
      <w:r w:rsidR="009031C0">
        <w:rPr>
          <w:szCs w:val="24"/>
        </w:rPr>
        <w:t>5</w:t>
      </w:r>
      <w:r>
        <w:rPr>
          <w:szCs w:val="24"/>
        </w:rPr>
        <w:t>0</w:t>
      </w:r>
      <w:r w:rsidR="009031C0">
        <w:rPr>
          <w:szCs w:val="24"/>
        </w:rPr>
        <w:t>205</w:t>
      </w:r>
      <w:r>
        <w:rPr>
          <w:szCs w:val="24"/>
        </w:rPr>
        <w:t xml:space="preserve"> that established the decoupled rates in effect throughout 201</w:t>
      </w:r>
      <w:r w:rsidR="009031C0">
        <w:rPr>
          <w:szCs w:val="24"/>
        </w:rPr>
        <w:t>6</w:t>
      </w:r>
      <w:r>
        <w:rPr>
          <w:szCs w:val="24"/>
        </w:rPr>
        <w:t>.</w:t>
      </w:r>
      <w:r w:rsidR="009031C0">
        <w:rPr>
          <w:rStyle w:val="FootnoteReference"/>
          <w:szCs w:val="24"/>
        </w:rPr>
        <w:footnoteReference w:id="3"/>
      </w:r>
      <w:r>
        <w:rPr>
          <w:szCs w:val="24"/>
        </w:rPr>
        <w:t xml:space="preserve">  As</w:t>
      </w:r>
      <w:r w:rsidR="00F2077D">
        <w:rPr>
          <w:szCs w:val="24"/>
        </w:rPr>
        <w:t xml:space="preserve"> </w:t>
      </w:r>
      <w:r w:rsidR="00A6472C">
        <w:rPr>
          <w:szCs w:val="24"/>
        </w:rPr>
        <w:t>shown on page 6 of Attachment A, the excess earnings resulted in earnings sharing of $2,927,343</w:t>
      </w:r>
      <w:r w:rsidR="00693E1C">
        <w:rPr>
          <w:szCs w:val="24"/>
        </w:rPr>
        <w:t>.</w:t>
      </w:r>
      <w:r w:rsidR="00A6472C">
        <w:rPr>
          <w:szCs w:val="24"/>
        </w:rPr>
        <w:t xml:space="preserve">  The earnings sharing was then assigned to the decoupling rate groups based on their respective revenue from 2016 normalized loads and customers at present billing rates and adjusted for revenue related expenses in order to reflect the same basis as the deferred revenues (see lines 11 through 16 on page 6 of Attachment A).</w:t>
      </w:r>
    </w:p>
    <w:p w:rsidR="00101545" w:rsidRDefault="00101545" w:rsidP="00101545">
      <w:pPr>
        <w:pStyle w:val="BodyText2"/>
        <w:spacing w:line="360" w:lineRule="auto"/>
        <w:rPr>
          <w:b/>
          <w:szCs w:val="24"/>
          <w:u w:val="single"/>
        </w:rPr>
      </w:pPr>
    </w:p>
    <w:p w:rsidR="00D45B93" w:rsidRDefault="00D45B93" w:rsidP="0025032F">
      <w:pPr>
        <w:pStyle w:val="BodyText2"/>
        <w:rPr>
          <w:b/>
          <w:szCs w:val="24"/>
          <w:u w:val="single"/>
        </w:rPr>
      </w:pPr>
      <w:r w:rsidRPr="00DB3684">
        <w:rPr>
          <w:b/>
          <w:szCs w:val="24"/>
          <w:u w:val="single"/>
        </w:rPr>
        <w:t xml:space="preserve">3% </w:t>
      </w:r>
      <w:r>
        <w:rPr>
          <w:b/>
          <w:szCs w:val="24"/>
          <w:u w:val="single"/>
        </w:rPr>
        <w:t>Annual Rate Increase Test</w:t>
      </w:r>
    </w:p>
    <w:p w:rsidR="00FC5557" w:rsidRDefault="00FC5557" w:rsidP="0025032F">
      <w:pPr>
        <w:pStyle w:val="BodyText2"/>
        <w:rPr>
          <w:szCs w:val="24"/>
        </w:rPr>
      </w:pPr>
    </w:p>
    <w:p w:rsidR="00D45B93" w:rsidRDefault="00D45B93" w:rsidP="0025032F">
      <w:pPr>
        <w:pStyle w:val="BodyText2"/>
        <w:rPr>
          <w:szCs w:val="24"/>
        </w:rPr>
      </w:pPr>
      <w:r>
        <w:rPr>
          <w:szCs w:val="24"/>
        </w:rPr>
        <w:t xml:space="preserve">Decoupling annual rate adjustment surcharges are subject to a 3% annual rate increase limitation.  There is no limit to rebate rate adjustments.  As described in Tariff Schedule </w:t>
      </w:r>
      <w:r w:rsidR="00693E1C">
        <w:rPr>
          <w:szCs w:val="24"/>
        </w:rPr>
        <w:t>1</w:t>
      </w:r>
      <w:r>
        <w:rPr>
          <w:szCs w:val="24"/>
        </w:rPr>
        <w:t xml:space="preserve">75 </w:t>
      </w:r>
      <w:r w:rsidR="006F2276">
        <w:rPr>
          <w:szCs w:val="24"/>
        </w:rPr>
        <w:t>the 3% annual rate increase limitation</w:t>
      </w:r>
      <w:r w:rsidR="006F2276" w:rsidRPr="00122F74">
        <w:rPr>
          <w:szCs w:val="24"/>
        </w:rPr>
        <w:t xml:space="preserve"> </w:t>
      </w:r>
      <w:r w:rsidRPr="00122F74">
        <w:rPr>
          <w:szCs w:val="24"/>
        </w:rPr>
        <w:t>“will be determined by dividing the incremental annual revenue to be collected (proposed surcharge revenue less present surcharge revenue) under this Schedule by the total “normalized” revenue for the two Rate Groups for the most recent January through December time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w:t>
      </w:r>
      <w:r>
        <w:rPr>
          <w:szCs w:val="24"/>
        </w:rPr>
        <w:t xml:space="preserve"> </w:t>
      </w:r>
    </w:p>
    <w:p w:rsidR="00D45B93" w:rsidRDefault="00D45B93" w:rsidP="00101545">
      <w:pPr>
        <w:pStyle w:val="BodyText2"/>
        <w:rPr>
          <w:szCs w:val="24"/>
        </w:rPr>
      </w:pPr>
    </w:p>
    <w:p w:rsidR="003D2B38" w:rsidRDefault="00D45B93" w:rsidP="00372185">
      <w:pPr>
        <w:pStyle w:val="BodyText2"/>
        <w:rPr>
          <w:szCs w:val="24"/>
        </w:rPr>
      </w:pPr>
      <w:r>
        <w:rPr>
          <w:szCs w:val="24"/>
        </w:rPr>
        <w:t>Revenue from 201</w:t>
      </w:r>
      <w:r w:rsidR="003D2B38">
        <w:rPr>
          <w:szCs w:val="24"/>
        </w:rPr>
        <w:t>6</w:t>
      </w:r>
      <w:r>
        <w:rPr>
          <w:szCs w:val="24"/>
        </w:rPr>
        <w:t xml:space="preserve"> normalized loads and customers calculated at the billing rates in effect </w:t>
      </w:r>
      <w:r w:rsidR="003D2B38">
        <w:rPr>
          <w:szCs w:val="24"/>
        </w:rPr>
        <w:t>June</w:t>
      </w:r>
      <w:r>
        <w:rPr>
          <w:szCs w:val="24"/>
        </w:rPr>
        <w:t xml:space="preserve"> 1, 201</w:t>
      </w:r>
      <w:r w:rsidR="003D2B38">
        <w:rPr>
          <w:szCs w:val="24"/>
        </w:rPr>
        <w:t>7</w:t>
      </w:r>
      <w:r>
        <w:rPr>
          <w:szCs w:val="24"/>
        </w:rPr>
        <w:t xml:space="preserve"> for the two rate groups are shown on </w:t>
      </w:r>
      <w:r w:rsidR="003D2B38">
        <w:rPr>
          <w:szCs w:val="24"/>
        </w:rPr>
        <w:t xml:space="preserve">line 1 of </w:t>
      </w:r>
      <w:r>
        <w:rPr>
          <w:szCs w:val="24"/>
        </w:rPr>
        <w:t xml:space="preserve">page </w:t>
      </w:r>
      <w:r w:rsidR="003D2B38">
        <w:rPr>
          <w:szCs w:val="24"/>
        </w:rPr>
        <w:t>7</w:t>
      </w:r>
      <w:r>
        <w:rPr>
          <w:szCs w:val="24"/>
        </w:rPr>
        <w:t xml:space="preserve"> of Attachment A</w:t>
      </w:r>
      <w:r w:rsidR="003D2B38">
        <w:rPr>
          <w:szCs w:val="24"/>
        </w:rPr>
        <w:t xml:space="preserve"> (these are the same values used to allocate the earnings sharing</w:t>
      </w:r>
      <w:r>
        <w:rPr>
          <w:szCs w:val="24"/>
        </w:rPr>
        <w:t xml:space="preserve"> on lines 11 and 12</w:t>
      </w:r>
      <w:r w:rsidR="003D2B38">
        <w:rPr>
          <w:szCs w:val="24"/>
        </w:rPr>
        <w:t xml:space="preserve"> of page 6)</w:t>
      </w:r>
      <w:r>
        <w:rPr>
          <w:szCs w:val="24"/>
        </w:rPr>
        <w:t xml:space="preserve">.  </w:t>
      </w:r>
    </w:p>
    <w:p w:rsidR="003D2B38" w:rsidRDefault="003D2B38" w:rsidP="00FC5557">
      <w:pPr>
        <w:pStyle w:val="BodyText2"/>
        <w:ind w:firstLine="720"/>
        <w:rPr>
          <w:szCs w:val="24"/>
        </w:rPr>
      </w:pPr>
    </w:p>
    <w:p w:rsidR="00D45B93" w:rsidRDefault="00D45B93" w:rsidP="00372185">
      <w:pPr>
        <w:pStyle w:val="BodyText2"/>
      </w:pPr>
      <w:r>
        <w:rPr>
          <w:szCs w:val="24"/>
        </w:rPr>
        <w:t xml:space="preserve">The rate necessary to recover the </w:t>
      </w:r>
      <w:r w:rsidR="00B46A8A">
        <w:rPr>
          <w:szCs w:val="24"/>
        </w:rPr>
        <w:t>R</w:t>
      </w:r>
      <w:r>
        <w:rPr>
          <w:szCs w:val="24"/>
        </w:rPr>
        <w:t xml:space="preserve">esidential </w:t>
      </w:r>
      <w:r w:rsidR="00B46A8A">
        <w:rPr>
          <w:szCs w:val="24"/>
        </w:rPr>
        <w:t>G</w:t>
      </w:r>
      <w:r>
        <w:rPr>
          <w:szCs w:val="24"/>
        </w:rPr>
        <w:t xml:space="preserve">roup surcharge balance, including estimated interest and revenue related expenses as determined on page 1 of Attachment A (see line 20 </w:t>
      </w:r>
      <w:r w:rsidR="00CF3809">
        <w:rPr>
          <w:szCs w:val="24"/>
        </w:rPr>
        <w:t xml:space="preserve">- </w:t>
      </w:r>
      <w:r>
        <w:rPr>
          <w:szCs w:val="24"/>
        </w:rPr>
        <w:t>Preliminary Proposed Decouplin</w:t>
      </w:r>
      <w:r w:rsidR="00EA6216">
        <w:rPr>
          <w:szCs w:val="24"/>
        </w:rPr>
        <w:t xml:space="preserve">g Rate), </w:t>
      </w:r>
      <w:r w:rsidR="003D2B38">
        <w:rPr>
          <w:szCs w:val="24"/>
        </w:rPr>
        <w:t xml:space="preserve">less the surcharge rate presently in effect, </w:t>
      </w:r>
      <w:r w:rsidR="00EA6216">
        <w:rPr>
          <w:szCs w:val="24"/>
        </w:rPr>
        <w:t>would recover $</w:t>
      </w:r>
      <w:r w:rsidR="003D2B38">
        <w:rPr>
          <w:szCs w:val="24"/>
        </w:rPr>
        <w:t>4</w:t>
      </w:r>
      <w:r w:rsidR="00EA6216">
        <w:rPr>
          <w:szCs w:val="24"/>
        </w:rPr>
        <w:t>,</w:t>
      </w:r>
      <w:r w:rsidR="003D2B38">
        <w:rPr>
          <w:szCs w:val="24"/>
        </w:rPr>
        <w:t>023</w:t>
      </w:r>
      <w:r w:rsidR="00EA6216">
        <w:rPr>
          <w:szCs w:val="24"/>
        </w:rPr>
        <w:t>,</w:t>
      </w:r>
      <w:r w:rsidR="003D2B38">
        <w:rPr>
          <w:szCs w:val="24"/>
        </w:rPr>
        <w:t>857</w:t>
      </w:r>
      <w:r>
        <w:rPr>
          <w:szCs w:val="24"/>
        </w:rPr>
        <w:t xml:space="preserve"> from customers (</w:t>
      </w:r>
      <w:r>
        <w:t>based on projected sales volumes for Schedules 1</w:t>
      </w:r>
      <w:r w:rsidR="00693E1C">
        <w:t>01</w:t>
      </w:r>
      <w:r>
        <w:t xml:space="preserve"> and </w:t>
      </w:r>
      <w:r w:rsidR="00693E1C">
        <w:t>10</w:t>
      </w:r>
      <w:r>
        <w:t xml:space="preserve">2 during the surcharge/amortization period).  That amount is </w:t>
      </w:r>
      <w:r w:rsidR="003D2B38">
        <w:t>3</w:t>
      </w:r>
      <w:r>
        <w:t>.</w:t>
      </w:r>
      <w:r w:rsidR="003D2B38">
        <w:t>65</w:t>
      </w:r>
      <w:r>
        <w:t xml:space="preserve">% of the normalized residential revenue (Attachment A, page </w:t>
      </w:r>
      <w:r w:rsidR="003D2B38">
        <w:t>7</w:t>
      </w:r>
      <w:r>
        <w:t>, line</w:t>
      </w:r>
      <w:r w:rsidR="00EA6216">
        <w:t xml:space="preserve"> </w:t>
      </w:r>
      <w:r w:rsidR="003D2B38">
        <w:t>7</w:t>
      </w:r>
      <w:r>
        <w:t xml:space="preserve">).  The 3% </w:t>
      </w:r>
      <w:r w:rsidR="00E775C9">
        <w:t xml:space="preserve">rate increase </w:t>
      </w:r>
      <w:r>
        <w:t xml:space="preserve">limitation </w:t>
      </w:r>
      <w:r w:rsidR="00E775C9">
        <w:t>results</w:t>
      </w:r>
      <w:r>
        <w:t xml:space="preserve"> in the proposed </w:t>
      </w:r>
      <w:r w:rsidR="00B46A8A">
        <w:t>R</w:t>
      </w:r>
      <w:r>
        <w:t xml:space="preserve">esidential </w:t>
      </w:r>
      <w:r w:rsidR="00B46A8A">
        <w:t xml:space="preserve">Group </w:t>
      </w:r>
      <w:r>
        <w:t xml:space="preserve">surcharge rate of </w:t>
      </w:r>
      <w:r w:rsidR="003D2B38">
        <w:t>5</w:t>
      </w:r>
      <w:r>
        <w:t>.</w:t>
      </w:r>
      <w:r w:rsidR="003D2B38">
        <w:t>580</w:t>
      </w:r>
      <w:r>
        <w:t xml:space="preserve"> cents per </w:t>
      </w:r>
      <w:r w:rsidR="00693E1C">
        <w:t>therm</w:t>
      </w:r>
      <w:r>
        <w:t>.  The remaining deferr</w:t>
      </w:r>
      <w:r w:rsidR="002C17D1">
        <w:t>al</w:t>
      </w:r>
      <w:r>
        <w:t xml:space="preserve"> </w:t>
      </w:r>
      <w:r w:rsidR="002C17D1">
        <w:t>balance</w:t>
      </w:r>
      <w:r>
        <w:t xml:space="preserve"> of $</w:t>
      </w:r>
      <w:r w:rsidR="003D2B38">
        <w:t>700,938</w:t>
      </w:r>
      <w:r>
        <w:t xml:space="preserve"> </w:t>
      </w:r>
      <w:r w:rsidR="00DA6253">
        <w:t>will</w:t>
      </w:r>
      <w:r>
        <w:t xml:space="preserve"> be carried over to the 201</w:t>
      </w:r>
      <w:r w:rsidR="003D2B38">
        <w:t>8</w:t>
      </w:r>
      <w:r w:rsidR="003D0A93">
        <w:t xml:space="preserve"> rate adjustment calculation.</w:t>
      </w:r>
    </w:p>
    <w:p w:rsidR="003D2B38" w:rsidRDefault="003D2B38" w:rsidP="00FC5557">
      <w:pPr>
        <w:pStyle w:val="BodyText2"/>
        <w:ind w:firstLine="720"/>
      </w:pPr>
    </w:p>
    <w:p w:rsidR="003D0A93" w:rsidRDefault="003D0A93" w:rsidP="00372185">
      <w:pPr>
        <w:pStyle w:val="BodyText2"/>
      </w:pPr>
      <w:r>
        <w:t xml:space="preserve">The rate necessary to recover the </w:t>
      </w:r>
      <w:r w:rsidR="00B46A8A">
        <w:t>N</w:t>
      </w:r>
      <w:r>
        <w:t>on-</w:t>
      </w:r>
      <w:r w:rsidR="00B46A8A">
        <w:t>R</w:t>
      </w:r>
      <w:r>
        <w:t xml:space="preserve">esidential </w:t>
      </w:r>
      <w:r w:rsidR="00B46A8A">
        <w:t>G</w:t>
      </w:r>
      <w:r>
        <w:t>roup surcharge balance, including estimated interest and revenue related expenses as determined on page 3 of Attachment A (see line 20 – Preliminary Proposed Decoupling Rate),</w:t>
      </w:r>
      <w:r w:rsidR="00322193">
        <w:t xml:space="preserve"> less the surcharge rate presently in effect, would recover $1,018,016</w:t>
      </w:r>
      <w:r>
        <w:t xml:space="preserve"> from customers (based on projected sales volumes for Schedules 111, 121, </w:t>
      </w:r>
      <w:r w:rsidR="004C28D3">
        <w:t>and 131</w:t>
      </w:r>
      <w:r>
        <w:t xml:space="preserve"> </w:t>
      </w:r>
      <w:bookmarkStart w:id="0" w:name="_GoBack"/>
      <w:bookmarkEnd w:id="0"/>
      <w:r>
        <w:t xml:space="preserve">during the surcharge/amortization period).  That amount is </w:t>
      </w:r>
      <w:r w:rsidR="00322193">
        <w:t>2</w:t>
      </w:r>
      <w:r>
        <w:t>.</w:t>
      </w:r>
      <w:r w:rsidR="00322193">
        <w:t>95</w:t>
      </w:r>
      <w:r>
        <w:t xml:space="preserve">% of the normalized </w:t>
      </w:r>
      <w:r w:rsidR="00BD4553">
        <w:t>non-</w:t>
      </w:r>
      <w:r>
        <w:t xml:space="preserve">residential revenue (Attachment A, page </w:t>
      </w:r>
      <w:r w:rsidR="00322193">
        <w:t>7</w:t>
      </w:r>
      <w:r>
        <w:t xml:space="preserve">, line </w:t>
      </w:r>
      <w:r w:rsidR="00322193">
        <w:t>7</w:t>
      </w:r>
      <w:r>
        <w:t xml:space="preserve">).  </w:t>
      </w:r>
      <w:r w:rsidR="00322193">
        <w:t>Therefore no adjustment is necessary due to the 3% rate increase limitat</w:t>
      </w:r>
      <w:r w:rsidR="00B46A8A">
        <w:t>ion for the Non-Residential</w:t>
      </w:r>
      <w:r w:rsidR="00322193">
        <w:t xml:space="preserve"> </w:t>
      </w:r>
      <w:r w:rsidR="00B46A8A">
        <w:t>G</w:t>
      </w:r>
      <w:r w:rsidR="00322193">
        <w:t>roup</w:t>
      </w:r>
      <w:r>
        <w:t>.</w:t>
      </w:r>
    </w:p>
    <w:p w:rsidR="00BD4553" w:rsidRDefault="00BD4553" w:rsidP="00FC5557">
      <w:pPr>
        <w:pStyle w:val="BodyText2"/>
        <w:ind w:firstLine="720"/>
      </w:pPr>
    </w:p>
    <w:p w:rsidR="00BD4553" w:rsidRPr="00BD4553" w:rsidRDefault="00BD4553" w:rsidP="00BD4553">
      <w:pPr>
        <w:pStyle w:val="BodyText2"/>
        <w:rPr>
          <w:b/>
          <w:u w:val="single"/>
        </w:rPr>
      </w:pPr>
      <w:r w:rsidRPr="00BD4553">
        <w:rPr>
          <w:b/>
          <w:u w:val="single"/>
        </w:rPr>
        <w:t>Conclusion</w:t>
      </w:r>
    </w:p>
    <w:p w:rsidR="00D45B93" w:rsidRDefault="00D45B93" w:rsidP="00101545">
      <w:pPr>
        <w:pStyle w:val="BodyText2"/>
        <w:rPr>
          <w:szCs w:val="24"/>
        </w:rPr>
      </w:pPr>
    </w:p>
    <w:p w:rsidR="0094171F" w:rsidRDefault="00D45B93" w:rsidP="00372185">
      <w:pPr>
        <w:suppressAutoHyphens/>
        <w:jc w:val="both"/>
        <w:rPr>
          <w:szCs w:val="24"/>
        </w:rPr>
      </w:pPr>
      <w:r>
        <w:rPr>
          <w:szCs w:val="24"/>
        </w:rPr>
        <w:t xml:space="preserve">In conclusion, Avista </w:t>
      </w:r>
      <w:r>
        <w:rPr>
          <w:rStyle w:val="LineNumber"/>
        </w:rPr>
        <w:t xml:space="preserve">requests the Commission approve the proposed Schedule </w:t>
      </w:r>
      <w:r w:rsidR="003D0A93">
        <w:rPr>
          <w:rStyle w:val="LineNumber"/>
        </w:rPr>
        <w:t>1</w:t>
      </w:r>
      <w:r>
        <w:rPr>
          <w:rStyle w:val="LineNumber"/>
        </w:rPr>
        <w:t>75</w:t>
      </w:r>
      <w:r w:rsidR="00BD4553">
        <w:rPr>
          <w:rStyle w:val="LineNumber"/>
        </w:rPr>
        <w:t xml:space="preserve"> surcharge rates of 5.580 cents per therm for the Residential Group and 3.904 cents per therm for the Non-Residential Group</w:t>
      </w:r>
      <w:r w:rsidR="00322193">
        <w:rPr>
          <w:rStyle w:val="LineNumber"/>
        </w:rPr>
        <w:t xml:space="preserve">.  </w:t>
      </w:r>
      <w:r>
        <w:rPr>
          <w:szCs w:val="24"/>
        </w:rPr>
        <w:t xml:space="preserve">The estimated annual revenue change associated with this filing is approximately an increase of </w:t>
      </w:r>
      <w:r w:rsidRPr="00A840FB">
        <w:rPr>
          <w:szCs w:val="24"/>
        </w:rPr>
        <w:t>$</w:t>
      </w:r>
      <w:r w:rsidR="003D0A93">
        <w:rPr>
          <w:szCs w:val="24"/>
        </w:rPr>
        <w:t>4.</w:t>
      </w:r>
      <w:r w:rsidR="00322193">
        <w:rPr>
          <w:szCs w:val="24"/>
        </w:rPr>
        <w:t>3</w:t>
      </w:r>
      <w:r w:rsidRPr="00A840FB">
        <w:rPr>
          <w:szCs w:val="24"/>
        </w:rPr>
        <w:t xml:space="preserve"> million</w:t>
      </w:r>
      <w:r w:rsidR="006A7202">
        <w:rPr>
          <w:szCs w:val="24"/>
        </w:rPr>
        <w:t xml:space="preserve"> ($3.3 million Residential and $1.0 million Non-Residential)</w:t>
      </w:r>
      <w:r w:rsidRPr="00122F74">
        <w:rPr>
          <w:szCs w:val="24"/>
        </w:rPr>
        <w:t xml:space="preserve">.  </w:t>
      </w:r>
      <w:r w:rsidR="006A7202">
        <w:rPr>
          <w:szCs w:val="24"/>
        </w:rPr>
        <w:t>Residential customers taking service on Schedule 101 using an average of 65 therms would see their monthly bills increase from $57.33 to $59.05, an increase</w:t>
      </w:r>
      <w:r w:rsidRPr="00122F74">
        <w:rPr>
          <w:szCs w:val="24"/>
        </w:rPr>
        <w:t xml:space="preserve"> of </w:t>
      </w:r>
      <w:r w:rsidRPr="00E14C49">
        <w:rPr>
          <w:szCs w:val="24"/>
        </w:rPr>
        <w:t>$</w:t>
      </w:r>
      <w:r w:rsidR="00E14C49" w:rsidRPr="00E14C49">
        <w:rPr>
          <w:szCs w:val="24"/>
        </w:rPr>
        <w:t>1</w:t>
      </w:r>
      <w:r w:rsidRPr="00E14C49">
        <w:rPr>
          <w:szCs w:val="24"/>
        </w:rPr>
        <w:t>.</w:t>
      </w:r>
      <w:r w:rsidR="00322193">
        <w:rPr>
          <w:szCs w:val="24"/>
        </w:rPr>
        <w:t>7</w:t>
      </w:r>
      <w:r w:rsidR="00BD4553">
        <w:rPr>
          <w:szCs w:val="24"/>
        </w:rPr>
        <w:t>2</w:t>
      </w:r>
      <w:r w:rsidRPr="00122F74">
        <w:rPr>
          <w:szCs w:val="24"/>
        </w:rPr>
        <w:t xml:space="preserve">, or </w:t>
      </w:r>
      <w:r w:rsidRPr="00E14C49">
        <w:rPr>
          <w:szCs w:val="24"/>
        </w:rPr>
        <w:t>3.</w:t>
      </w:r>
      <w:r w:rsidR="00322193">
        <w:rPr>
          <w:szCs w:val="24"/>
        </w:rPr>
        <w:t>0</w:t>
      </w:r>
      <w:r w:rsidRPr="00E14C49">
        <w:rPr>
          <w:szCs w:val="24"/>
        </w:rPr>
        <w:t>%.</w:t>
      </w:r>
      <w:r>
        <w:rPr>
          <w:szCs w:val="24"/>
        </w:rPr>
        <w:t xml:space="preserve">  </w:t>
      </w:r>
    </w:p>
    <w:p w:rsidR="003D0A93" w:rsidRDefault="003D0A93" w:rsidP="00372185">
      <w:pPr>
        <w:suppressAutoHyphens/>
        <w:jc w:val="both"/>
        <w:rPr>
          <w:szCs w:val="24"/>
        </w:rPr>
      </w:pPr>
    </w:p>
    <w:p w:rsidR="00D45B93" w:rsidRPr="002E4C90" w:rsidRDefault="00D45B93" w:rsidP="00372185">
      <w:pPr>
        <w:suppressAutoHyphens/>
        <w:jc w:val="both"/>
        <w:rPr>
          <w:szCs w:val="24"/>
        </w:rPr>
      </w:pPr>
      <w:r>
        <w:rPr>
          <w:szCs w:val="24"/>
        </w:rPr>
        <w:t>The Company has provided in this filing a copy of its customer notice which will be included as a bill insert in the September – October time frame</w:t>
      </w:r>
      <w:r w:rsidR="00030562">
        <w:rPr>
          <w:szCs w:val="24"/>
        </w:rPr>
        <w:t xml:space="preserve">.  </w:t>
      </w:r>
      <w:r w:rsidR="00221A22" w:rsidRPr="002E4C90">
        <w:rPr>
          <w:szCs w:val="24"/>
        </w:rPr>
        <w:t xml:space="preserve">Please direct any questions on this matter to </w:t>
      </w:r>
      <w:r w:rsidR="00221A22" w:rsidRPr="00200187">
        <w:rPr>
          <w:szCs w:val="24"/>
        </w:rPr>
        <w:t xml:space="preserve">Tara Knox, </w:t>
      </w:r>
      <w:r w:rsidR="00221A22">
        <w:rPr>
          <w:szCs w:val="24"/>
        </w:rPr>
        <w:t>Senior Regulatory Analyst</w:t>
      </w:r>
      <w:r w:rsidR="00221A22" w:rsidRPr="00200187">
        <w:rPr>
          <w:szCs w:val="24"/>
        </w:rPr>
        <w:t xml:space="preserve"> at (509) 495-</w:t>
      </w:r>
      <w:r w:rsidR="00221A22">
        <w:rPr>
          <w:szCs w:val="24"/>
        </w:rPr>
        <w:t>4325</w:t>
      </w:r>
      <w:r w:rsidR="00221A22" w:rsidRPr="00200187">
        <w:rPr>
          <w:szCs w:val="24"/>
        </w:rPr>
        <w:t xml:space="preserve"> or myself at (509) 495-</w:t>
      </w:r>
      <w:r w:rsidR="00221A22">
        <w:rPr>
          <w:szCs w:val="24"/>
        </w:rPr>
        <w:t>8620</w:t>
      </w:r>
      <w:r w:rsidR="00221A22" w:rsidRPr="00200187">
        <w:rPr>
          <w:szCs w:val="24"/>
        </w:rPr>
        <w:t>.</w:t>
      </w:r>
    </w:p>
    <w:p w:rsidR="00FC5557" w:rsidRDefault="00FC5557" w:rsidP="00101545">
      <w:pPr>
        <w:jc w:val="both"/>
        <w:rPr>
          <w:szCs w:val="24"/>
        </w:rPr>
      </w:pPr>
    </w:p>
    <w:p w:rsidR="00221A22" w:rsidRPr="002E4C90" w:rsidRDefault="00221A22" w:rsidP="00101545">
      <w:pPr>
        <w:jc w:val="both"/>
        <w:rPr>
          <w:szCs w:val="24"/>
        </w:rPr>
      </w:pPr>
      <w:r w:rsidRPr="002E4C90">
        <w:rPr>
          <w:szCs w:val="24"/>
        </w:rPr>
        <w:t>Sincerely,</w:t>
      </w:r>
    </w:p>
    <w:p w:rsidR="00221A22" w:rsidRPr="002E4C90" w:rsidRDefault="00221A22" w:rsidP="00101545">
      <w:pPr>
        <w:jc w:val="both"/>
        <w:rPr>
          <w:szCs w:val="24"/>
        </w:rPr>
      </w:pPr>
    </w:p>
    <w:p w:rsidR="00221A22" w:rsidRDefault="00221A22" w:rsidP="00101545">
      <w:pPr>
        <w:jc w:val="both"/>
        <w:rPr>
          <w:szCs w:val="24"/>
          <w:highlight w:val="yellow"/>
        </w:rPr>
      </w:pPr>
    </w:p>
    <w:p w:rsidR="00221A22" w:rsidRPr="0076535B" w:rsidRDefault="00221A22" w:rsidP="00101545">
      <w:pPr>
        <w:jc w:val="both"/>
        <w:rPr>
          <w:szCs w:val="24"/>
          <w:highlight w:val="yellow"/>
        </w:rPr>
      </w:pPr>
    </w:p>
    <w:p w:rsidR="00221A22" w:rsidRPr="0076535B" w:rsidRDefault="00221A22" w:rsidP="00101545">
      <w:pPr>
        <w:jc w:val="both"/>
        <w:rPr>
          <w:szCs w:val="24"/>
          <w:highlight w:val="yellow"/>
        </w:rPr>
      </w:pPr>
      <w:r w:rsidRPr="00200187">
        <w:rPr>
          <w:szCs w:val="24"/>
        </w:rPr>
        <w:t>Patrick Ehrbar</w:t>
      </w:r>
    </w:p>
    <w:p w:rsidR="00221A22" w:rsidRPr="00200187" w:rsidRDefault="00221A22" w:rsidP="00101545">
      <w:pPr>
        <w:jc w:val="both"/>
        <w:rPr>
          <w:szCs w:val="24"/>
        </w:rPr>
      </w:pPr>
      <w:r w:rsidRPr="00200187">
        <w:rPr>
          <w:szCs w:val="24"/>
        </w:rPr>
        <w:t>Senior Manager, Rates and Tariffs</w:t>
      </w:r>
    </w:p>
    <w:p w:rsidR="00221A22" w:rsidRPr="00427F5F" w:rsidRDefault="00221A22" w:rsidP="00101545">
      <w:pPr>
        <w:jc w:val="both"/>
        <w:rPr>
          <w:szCs w:val="24"/>
        </w:rPr>
      </w:pPr>
    </w:p>
    <w:p w:rsidR="00221A22" w:rsidRPr="002E4C90" w:rsidRDefault="00221A22" w:rsidP="00101545">
      <w:pPr>
        <w:jc w:val="both"/>
        <w:rPr>
          <w:szCs w:val="24"/>
        </w:rPr>
      </w:pPr>
      <w:r w:rsidRPr="002E4C90">
        <w:rPr>
          <w:szCs w:val="24"/>
        </w:rPr>
        <w:t>Enclosures</w:t>
      </w:r>
    </w:p>
    <w:p w:rsidR="00221A22" w:rsidRDefault="00221A22" w:rsidP="00101545">
      <w:pPr>
        <w:tabs>
          <w:tab w:val="left" w:pos="360"/>
          <w:tab w:val="left" w:pos="1440"/>
        </w:tabs>
        <w:jc w:val="both"/>
        <w:rPr>
          <w:rFonts w:ascii="Times New Roman" w:hAnsi="Times New Roman"/>
        </w:rPr>
      </w:pPr>
    </w:p>
    <w:sectPr w:rsidR="00221A22" w:rsidSect="00270A46">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C" w:rsidRDefault="008042DC">
      <w:r>
        <w:separator/>
      </w:r>
    </w:p>
  </w:endnote>
  <w:endnote w:type="continuationSeparator" w:id="0">
    <w:p w:rsidR="008042DC" w:rsidRDefault="008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DC" w:rsidRDefault="004C28D3" w:rsidP="00DA2128">
    <w:pPr>
      <w:jc w:val="center"/>
    </w:pPr>
    <w:sdt>
      <w:sdtPr>
        <w:id w:val="250395305"/>
        <w:docPartObj>
          <w:docPartGallery w:val="Page Numbers (Top of Page)"/>
          <w:docPartUnique/>
        </w:docPartObj>
      </w:sdtPr>
      <w:sdtEndPr/>
      <w:sdtContent>
        <w:r w:rsidR="008042DC">
          <w:t xml:space="preserve">Page </w:t>
        </w:r>
        <w:r w:rsidR="00221A22">
          <w:fldChar w:fldCharType="begin"/>
        </w:r>
        <w:r w:rsidR="00221A22">
          <w:instrText xml:space="preserve"> PAGE </w:instrText>
        </w:r>
        <w:r w:rsidR="00221A22">
          <w:fldChar w:fldCharType="separate"/>
        </w:r>
        <w:r>
          <w:rPr>
            <w:noProof/>
          </w:rPr>
          <w:t>4</w:t>
        </w:r>
        <w:r w:rsidR="00221A22">
          <w:rPr>
            <w:noProof/>
          </w:rPr>
          <w:fldChar w:fldCharType="end"/>
        </w:r>
        <w:r w:rsidR="008042DC">
          <w:t xml:space="preserve"> of </w:t>
        </w:r>
        <w:fldSimple w:instr=" NUMPAGES  ">
          <w:r>
            <w:rPr>
              <w:noProof/>
            </w:rPr>
            <w:t>5</w:t>
          </w:r>
        </w:fldSimple>
      </w:sdtContent>
    </w:sdt>
  </w:p>
  <w:p w:rsidR="008042DC" w:rsidRDefault="008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C" w:rsidRDefault="008042DC">
      <w:r>
        <w:separator/>
      </w:r>
    </w:p>
  </w:footnote>
  <w:footnote w:type="continuationSeparator" w:id="0">
    <w:p w:rsidR="008042DC" w:rsidRDefault="008042DC">
      <w:r>
        <w:continuationSeparator/>
      </w:r>
    </w:p>
  </w:footnote>
  <w:footnote w:id="1">
    <w:p w:rsidR="00D45B93" w:rsidRDefault="00D45B93" w:rsidP="005164ED">
      <w:pPr>
        <w:pStyle w:val="FootnoteText"/>
        <w:jc w:val="both"/>
      </w:pPr>
      <w:r>
        <w:rPr>
          <w:rStyle w:val="FootnoteReference"/>
        </w:rPr>
        <w:footnoteRef/>
      </w:r>
      <w:r>
        <w:t xml:space="preserve"> The FERC effective interest rate was 3.25% Q1 2016</w:t>
      </w:r>
      <w:r w:rsidR="0055375C">
        <w:t>, 3.46% Q2 2016, and 3.50% for the remainder of 2016</w:t>
      </w:r>
      <w:r>
        <w:t>.  The FERC effective interest rate became 3.</w:t>
      </w:r>
      <w:r w:rsidR="0055375C">
        <w:t>71</w:t>
      </w:r>
      <w:r>
        <w:t>% in Q2 201</w:t>
      </w:r>
      <w:r w:rsidR="0055375C">
        <w:t>7</w:t>
      </w:r>
      <w:r>
        <w:t>, and currently the Q3 FERC effective interest rate is 3.</w:t>
      </w:r>
      <w:r w:rsidR="0055375C">
        <w:t>96</w:t>
      </w:r>
      <w:r>
        <w:t xml:space="preserve">%.  </w:t>
      </w:r>
      <w:r w:rsidR="00D138D1">
        <w:t>T</w:t>
      </w:r>
      <w:r>
        <w:t>he current rate of 3.</w:t>
      </w:r>
      <w:r w:rsidR="0055375C">
        <w:t>96</w:t>
      </w:r>
      <w:r>
        <w:t xml:space="preserve">% has been </w:t>
      </w:r>
      <w:r w:rsidR="00D138D1">
        <w:t>us</w:t>
      </w:r>
      <w:r>
        <w:t>ed going forward</w:t>
      </w:r>
      <w:r w:rsidR="00D138D1">
        <w:t xml:space="preserve"> as an estimate</w:t>
      </w:r>
      <w:r>
        <w:t xml:space="preserve"> for purposes of this rate determination.</w:t>
      </w:r>
    </w:p>
  </w:footnote>
  <w:footnote w:id="2">
    <w:p w:rsidR="00D45B93" w:rsidRDefault="00D45B93" w:rsidP="00D45B93">
      <w:pPr>
        <w:pStyle w:val="FootnoteText"/>
      </w:pPr>
      <w:r>
        <w:rPr>
          <w:rStyle w:val="FootnoteReference"/>
        </w:rPr>
        <w:footnoteRef/>
      </w:r>
      <w:r>
        <w:t xml:space="preserve"> The complete decoupling earnings test model is included as part of the electronic work papers to this filing.</w:t>
      </w:r>
    </w:p>
  </w:footnote>
  <w:footnote w:id="3">
    <w:p w:rsidR="009031C0" w:rsidRDefault="009031C0">
      <w:pPr>
        <w:pStyle w:val="FootnoteText"/>
      </w:pPr>
      <w:r>
        <w:rPr>
          <w:rStyle w:val="FootnoteReference"/>
        </w:rPr>
        <w:footnoteRef/>
      </w:r>
      <w:r>
        <w:t xml:space="preserve"> The 7.29% value in the earnings test calculation includes a pro-ration of 10 days divided by 365 days at 7.32% approved Rate of Return from Docket NO. UG-140189</w:t>
      </w:r>
      <w:r w:rsidR="00A6472C">
        <w:t xml:space="preserve"> plus 355 days divided by 365 days at 7.29% approved Rate of Return from Docket No. UG-150205.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6966"/>
    <w:rsid w:val="00000998"/>
    <w:rsid w:val="00002520"/>
    <w:rsid w:val="00011C35"/>
    <w:rsid w:val="00012DD3"/>
    <w:rsid w:val="00030562"/>
    <w:rsid w:val="00047C97"/>
    <w:rsid w:val="00050EDB"/>
    <w:rsid w:val="00054980"/>
    <w:rsid w:val="00056CFA"/>
    <w:rsid w:val="0006595E"/>
    <w:rsid w:val="0008155C"/>
    <w:rsid w:val="000926B1"/>
    <w:rsid w:val="000931AE"/>
    <w:rsid w:val="00094400"/>
    <w:rsid w:val="000A1C52"/>
    <w:rsid w:val="000B0038"/>
    <w:rsid w:val="000B7802"/>
    <w:rsid w:val="000C22D9"/>
    <w:rsid w:val="000E1681"/>
    <w:rsid w:val="000E6966"/>
    <w:rsid w:val="000F468F"/>
    <w:rsid w:val="00101545"/>
    <w:rsid w:val="00107566"/>
    <w:rsid w:val="00114813"/>
    <w:rsid w:val="00144A52"/>
    <w:rsid w:val="00153520"/>
    <w:rsid w:val="0017698E"/>
    <w:rsid w:val="001842E3"/>
    <w:rsid w:val="001910C3"/>
    <w:rsid w:val="00195C02"/>
    <w:rsid w:val="001A0EC6"/>
    <w:rsid w:val="001E4AB9"/>
    <w:rsid w:val="002036F8"/>
    <w:rsid w:val="00206C46"/>
    <w:rsid w:val="00221A22"/>
    <w:rsid w:val="00232D3D"/>
    <w:rsid w:val="00234728"/>
    <w:rsid w:val="002479C9"/>
    <w:rsid w:val="0025032F"/>
    <w:rsid w:val="002563FA"/>
    <w:rsid w:val="00270A46"/>
    <w:rsid w:val="002739B9"/>
    <w:rsid w:val="0027408A"/>
    <w:rsid w:val="00280D14"/>
    <w:rsid w:val="0029058A"/>
    <w:rsid w:val="002B0B03"/>
    <w:rsid w:val="002B7BBA"/>
    <w:rsid w:val="002C17D1"/>
    <w:rsid w:val="002C5751"/>
    <w:rsid w:val="002F00EE"/>
    <w:rsid w:val="00305210"/>
    <w:rsid w:val="00314DA6"/>
    <w:rsid w:val="00315A0C"/>
    <w:rsid w:val="00322193"/>
    <w:rsid w:val="003226C8"/>
    <w:rsid w:val="00330175"/>
    <w:rsid w:val="003432F8"/>
    <w:rsid w:val="003472EB"/>
    <w:rsid w:val="00371B91"/>
    <w:rsid w:val="00372185"/>
    <w:rsid w:val="00390E3A"/>
    <w:rsid w:val="00394356"/>
    <w:rsid w:val="003A4213"/>
    <w:rsid w:val="003D0501"/>
    <w:rsid w:val="003D0A93"/>
    <w:rsid w:val="003D2B38"/>
    <w:rsid w:val="003E2CE9"/>
    <w:rsid w:val="003F316E"/>
    <w:rsid w:val="003F7AA9"/>
    <w:rsid w:val="00426043"/>
    <w:rsid w:val="00426562"/>
    <w:rsid w:val="004315D0"/>
    <w:rsid w:val="004346D8"/>
    <w:rsid w:val="004424E4"/>
    <w:rsid w:val="00452F01"/>
    <w:rsid w:val="0045685C"/>
    <w:rsid w:val="00467D4F"/>
    <w:rsid w:val="004806FE"/>
    <w:rsid w:val="00486932"/>
    <w:rsid w:val="00486AF5"/>
    <w:rsid w:val="004A4E3B"/>
    <w:rsid w:val="004B0AF6"/>
    <w:rsid w:val="004C28D3"/>
    <w:rsid w:val="004E4755"/>
    <w:rsid w:val="004F0F50"/>
    <w:rsid w:val="00506666"/>
    <w:rsid w:val="005164ED"/>
    <w:rsid w:val="0053036E"/>
    <w:rsid w:val="00535348"/>
    <w:rsid w:val="0055375C"/>
    <w:rsid w:val="005736DA"/>
    <w:rsid w:val="005901D3"/>
    <w:rsid w:val="00591140"/>
    <w:rsid w:val="00593BFE"/>
    <w:rsid w:val="00595232"/>
    <w:rsid w:val="005A0647"/>
    <w:rsid w:val="005A6A4D"/>
    <w:rsid w:val="005B57EF"/>
    <w:rsid w:val="005C0B7A"/>
    <w:rsid w:val="005E2C3B"/>
    <w:rsid w:val="005F7726"/>
    <w:rsid w:val="006106B6"/>
    <w:rsid w:val="006206C1"/>
    <w:rsid w:val="00627018"/>
    <w:rsid w:val="00633630"/>
    <w:rsid w:val="00636D93"/>
    <w:rsid w:val="00644761"/>
    <w:rsid w:val="006450FC"/>
    <w:rsid w:val="00662379"/>
    <w:rsid w:val="006637AD"/>
    <w:rsid w:val="0066560D"/>
    <w:rsid w:val="00675367"/>
    <w:rsid w:val="006826C2"/>
    <w:rsid w:val="00693E1C"/>
    <w:rsid w:val="006965E5"/>
    <w:rsid w:val="006966B1"/>
    <w:rsid w:val="006A0682"/>
    <w:rsid w:val="006A7202"/>
    <w:rsid w:val="006A78E2"/>
    <w:rsid w:val="006B4DD1"/>
    <w:rsid w:val="006D5BEC"/>
    <w:rsid w:val="006E1370"/>
    <w:rsid w:val="006E353E"/>
    <w:rsid w:val="006E6175"/>
    <w:rsid w:val="006F2276"/>
    <w:rsid w:val="007153E5"/>
    <w:rsid w:val="007164A0"/>
    <w:rsid w:val="00723007"/>
    <w:rsid w:val="00744B44"/>
    <w:rsid w:val="00765E2B"/>
    <w:rsid w:val="00785F6A"/>
    <w:rsid w:val="007A4D71"/>
    <w:rsid w:val="007B3DBB"/>
    <w:rsid w:val="007C114F"/>
    <w:rsid w:val="007D5680"/>
    <w:rsid w:val="007E1E62"/>
    <w:rsid w:val="007E2779"/>
    <w:rsid w:val="007F00FB"/>
    <w:rsid w:val="007F7887"/>
    <w:rsid w:val="00802C5A"/>
    <w:rsid w:val="008042DC"/>
    <w:rsid w:val="00836534"/>
    <w:rsid w:val="00842BF1"/>
    <w:rsid w:val="00842EC6"/>
    <w:rsid w:val="00853728"/>
    <w:rsid w:val="008622C5"/>
    <w:rsid w:val="00864BDB"/>
    <w:rsid w:val="00876378"/>
    <w:rsid w:val="00877206"/>
    <w:rsid w:val="008A28A0"/>
    <w:rsid w:val="008A704C"/>
    <w:rsid w:val="008B1589"/>
    <w:rsid w:val="008D1E54"/>
    <w:rsid w:val="008D6804"/>
    <w:rsid w:val="009031C0"/>
    <w:rsid w:val="00916E25"/>
    <w:rsid w:val="00916E42"/>
    <w:rsid w:val="00922F85"/>
    <w:rsid w:val="00924339"/>
    <w:rsid w:val="00933838"/>
    <w:rsid w:val="0094171F"/>
    <w:rsid w:val="009551FF"/>
    <w:rsid w:val="00955E69"/>
    <w:rsid w:val="00962ED8"/>
    <w:rsid w:val="00972040"/>
    <w:rsid w:val="00983434"/>
    <w:rsid w:val="0098371D"/>
    <w:rsid w:val="009B75E5"/>
    <w:rsid w:val="009B7EBC"/>
    <w:rsid w:val="009C258C"/>
    <w:rsid w:val="009C35E3"/>
    <w:rsid w:val="009C41E0"/>
    <w:rsid w:val="009C4B54"/>
    <w:rsid w:val="009F1708"/>
    <w:rsid w:val="009F6DB7"/>
    <w:rsid w:val="00A01830"/>
    <w:rsid w:val="00A01E6C"/>
    <w:rsid w:val="00A03960"/>
    <w:rsid w:val="00A11CBC"/>
    <w:rsid w:val="00A23BAE"/>
    <w:rsid w:val="00A30895"/>
    <w:rsid w:val="00A32982"/>
    <w:rsid w:val="00A3633E"/>
    <w:rsid w:val="00A44E15"/>
    <w:rsid w:val="00A62C0B"/>
    <w:rsid w:val="00A6472C"/>
    <w:rsid w:val="00A834D8"/>
    <w:rsid w:val="00A86BDE"/>
    <w:rsid w:val="00AA1160"/>
    <w:rsid w:val="00AE03EA"/>
    <w:rsid w:val="00AE0F5A"/>
    <w:rsid w:val="00AE79C8"/>
    <w:rsid w:val="00AF4D5D"/>
    <w:rsid w:val="00AF6AF4"/>
    <w:rsid w:val="00B12734"/>
    <w:rsid w:val="00B13735"/>
    <w:rsid w:val="00B45E5E"/>
    <w:rsid w:val="00B46A8A"/>
    <w:rsid w:val="00B61540"/>
    <w:rsid w:val="00B84ED0"/>
    <w:rsid w:val="00B904C5"/>
    <w:rsid w:val="00BA6CB4"/>
    <w:rsid w:val="00BB00E1"/>
    <w:rsid w:val="00BB26D6"/>
    <w:rsid w:val="00BD4553"/>
    <w:rsid w:val="00BD78EE"/>
    <w:rsid w:val="00BE21E7"/>
    <w:rsid w:val="00BF0A7A"/>
    <w:rsid w:val="00BF119B"/>
    <w:rsid w:val="00BF7EA3"/>
    <w:rsid w:val="00C0291A"/>
    <w:rsid w:val="00C07B3A"/>
    <w:rsid w:val="00C11B9A"/>
    <w:rsid w:val="00C11E32"/>
    <w:rsid w:val="00C15274"/>
    <w:rsid w:val="00C47859"/>
    <w:rsid w:val="00C47F0D"/>
    <w:rsid w:val="00C700FD"/>
    <w:rsid w:val="00C733D4"/>
    <w:rsid w:val="00C779FF"/>
    <w:rsid w:val="00C84C49"/>
    <w:rsid w:val="00CB4DE9"/>
    <w:rsid w:val="00CC1525"/>
    <w:rsid w:val="00CC5CC2"/>
    <w:rsid w:val="00CF0286"/>
    <w:rsid w:val="00CF3809"/>
    <w:rsid w:val="00CF4015"/>
    <w:rsid w:val="00CF5206"/>
    <w:rsid w:val="00D10FDE"/>
    <w:rsid w:val="00D138D1"/>
    <w:rsid w:val="00D2239E"/>
    <w:rsid w:val="00D25A79"/>
    <w:rsid w:val="00D45A12"/>
    <w:rsid w:val="00D45B93"/>
    <w:rsid w:val="00D511AA"/>
    <w:rsid w:val="00D5505B"/>
    <w:rsid w:val="00D67B1E"/>
    <w:rsid w:val="00D8103C"/>
    <w:rsid w:val="00D81474"/>
    <w:rsid w:val="00D8324E"/>
    <w:rsid w:val="00D876F5"/>
    <w:rsid w:val="00DA02B2"/>
    <w:rsid w:val="00DA2128"/>
    <w:rsid w:val="00DA21DF"/>
    <w:rsid w:val="00DA6253"/>
    <w:rsid w:val="00DD15BD"/>
    <w:rsid w:val="00DE6D82"/>
    <w:rsid w:val="00DF2EDB"/>
    <w:rsid w:val="00DF3A13"/>
    <w:rsid w:val="00E011D9"/>
    <w:rsid w:val="00E057D8"/>
    <w:rsid w:val="00E05C7D"/>
    <w:rsid w:val="00E05E4D"/>
    <w:rsid w:val="00E1193B"/>
    <w:rsid w:val="00E13F14"/>
    <w:rsid w:val="00E14B47"/>
    <w:rsid w:val="00E14C49"/>
    <w:rsid w:val="00E254BB"/>
    <w:rsid w:val="00E45F93"/>
    <w:rsid w:val="00E52172"/>
    <w:rsid w:val="00E63454"/>
    <w:rsid w:val="00E70198"/>
    <w:rsid w:val="00E703C9"/>
    <w:rsid w:val="00E74950"/>
    <w:rsid w:val="00E7755C"/>
    <w:rsid w:val="00E775C9"/>
    <w:rsid w:val="00E844E1"/>
    <w:rsid w:val="00E87B02"/>
    <w:rsid w:val="00E94767"/>
    <w:rsid w:val="00EA3F82"/>
    <w:rsid w:val="00EA6216"/>
    <w:rsid w:val="00EB04EC"/>
    <w:rsid w:val="00EB5FF0"/>
    <w:rsid w:val="00EC420F"/>
    <w:rsid w:val="00EC590B"/>
    <w:rsid w:val="00EE72DC"/>
    <w:rsid w:val="00EE7C48"/>
    <w:rsid w:val="00EF19EB"/>
    <w:rsid w:val="00F2077D"/>
    <w:rsid w:val="00F24152"/>
    <w:rsid w:val="00F46292"/>
    <w:rsid w:val="00F51E45"/>
    <w:rsid w:val="00F6335A"/>
    <w:rsid w:val="00F7313B"/>
    <w:rsid w:val="00F83B74"/>
    <w:rsid w:val="00F85602"/>
    <w:rsid w:val="00FA7189"/>
    <w:rsid w:val="00FB2944"/>
    <w:rsid w:val="00FB6988"/>
    <w:rsid w:val="00FC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9E281BD-A55F-48A0-9241-3293606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 w:type="paragraph" w:styleId="BodyText2">
    <w:name w:val="Body Text 2"/>
    <w:basedOn w:val="Normal"/>
    <w:link w:val="BodyText2Char"/>
    <w:rsid w:val="00D45B93"/>
    <w:pPr>
      <w:jc w:val="both"/>
    </w:pPr>
    <w:rPr>
      <w:rFonts w:ascii="Times New Roman" w:hAnsi="Times New Roman"/>
    </w:rPr>
  </w:style>
  <w:style w:type="character" w:customStyle="1" w:styleId="BodyText2Char">
    <w:name w:val="Body Text 2 Char"/>
    <w:basedOn w:val="DefaultParagraphFont"/>
    <w:link w:val="BodyText2"/>
    <w:rsid w:val="00D45B93"/>
    <w:rPr>
      <w:rFonts w:ascii="Times New Roman" w:hAnsi="Times New Roman"/>
      <w:sz w:val="24"/>
    </w:rPr>
  </w:style>
  <w:style w:type="character" w:styleId="LineNumber">
    <w:name w:val="line number"/>
    <w:basedOn w:val="DefaultParagraphFont"/>
    <w:uiPriority w:val="99"/>
    <w:rsid w:val="00D45B93"/>
    <w:rPr>
      <w:rFonts w:ascii="Times New Roman" w:hAnsi="Times New Roman" w:cs="Times New Roman"/>
      <w:sz w:val="24"/>
      <w:szCs w:val="24"/>
    </w:rPr>
  </w:style>
  <w:style w:type="paragraph" w:styleId="FootnoteText">
    <w:name w:val="footnote text"/>
    <w:basedOn w:val="Normal"/>
    <w:link w:val="FootnoteTextChar"/>
    <w:rsid w:val="00D45B93"/>
    <w:rPr>
      <w:rFonts w:ascii="Times New Roman" w:hAnsi="Times New Roman"/>
      <w:sz w:val="20"/>
    </w:rPr>
  </w:style>
  <w:style w:type="character" w:customStyle="1" w:styleId="FootnoteTextChar">
    <w:name w:val="Footnote Text Char"/>
    <w:basedOn w:val="DefaultParagraphFont"/>
    <w:link w:val="FootnoteText"/>
    <w:rsid w:val="00D45B93"/>
    <w:rPr>
      <w:rFonts w:ascii="Times New Roman" w:hAnsi="Times New Roman"/>
    </w:rPr>
  </w:style>
  <w:style w:type="character" w:styleId="FootnoteReference">
    <w:name w:val="footnote reference"/>
    <w:basedOn w:val="DefaultParagraphFont"/>
    <w:rsid w:val="00D45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BB5A9A69531142BCCD0B22C95C28DD" ma:contentTypeVersion="104" ma:contentTypeDescription="" ma:contentTypeScope="" ma:versionID="da4b190d905f5282aadc003635d8f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170942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C9E008E-C07E-4C09-8CA3-8E68BCAF0102}">
  <ds:schemaRefs>
    <ds:schemaRef ds:uri="http://schemas.openxmlformats.org/officeDocument/2006/bibliography"/>
  </ds:schemaRefs>
</ds:datastoreItem>
</file>

<file path=customXml/itemProps2.xml><?xml version="1.0" encoding="utf-8"?>
<ds:datastoreItem xmlns:ds="http://schemas.openxmlformats.org/officeDocument/2006/customXml" ds:itemID="{C4F48345-2792-4822-841A-1278305A3961}"/>
</file>

<file path=customXml/itemProps3.xml><?xml version="1.0" encoding="utf-8"?>
<ds:datastoreItem xmlns:ds="http://schemas.openxmlformats.org/officeDocument/2006/customXml" ds:itemID="{0879CE32-3B3B-4CF2-91F2-76245470415D}"/>
</file>

<file path=customXml/itemProps4.xml><?xml version="1.0" encoding="utf-8"?>
<ds:datastoreItem xmlns:ds="http://schemas.openxmlformats.org/officeDocument/2006/customXml" ds:itemID="{070D3D91-452C-4A73-8671-B78DA721A784}"/>
</file>

<file path=customXml/itemProps5.xml><?xml version="1.0" encoding="utf-8"?>
<ds:datastoreItem xmlns:ds="http://schemas.openxmlformats.org/officeDocument/2006/customXml" ds:itemID="{2291075A-0799-498E-B4AC-37560B3C7582}"/>
</file>

<file path=docProps/app.xml><?xml version="1.0" encoding="utf-8"?>
<Properties xmlns="http://schemas.openxmlformats.org/officeDocument/2006/extended-properties" xmlns:vt="http://schemas.openxmlformats.org/officeDocument/2006/docPropsVTypes">
  <Template>Normal.dotm</Template>
  <TotalTime>638</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creator>RM - Rates</dc:creator>
  <cp:lastModifiedBy>Knox, Tara</cp:lastModifiedBy>
  <cp:revision>29</cp:revision>
  <cp:lastPrinted>2016-08-25T20:57:00Z</cp:lastPrinted>
  <dcterms:created xsi:type="dcterms:W3CDTF">2015-08-10T17:44:00Z</dcterms:created>
  <dcterms:modified xsi:type="dcterms:W3CDTF">2017-08-29T00:14:00Z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0x0101006E56B4D1795A2E4DB2F0B01679ED314A00BCBB5A9A69531142BCCD0B22C95C28DD</vt:lpwstr>
  </property>
  <property fmtid="{D5CDD505-2E9C-101B-9397-08002B2CF9AE}" pid="3" name="_docset_NoMedatataSyncRequired">
    <vt:lpwstr>False</vt:lpwstr>
  </property>
  <property fmtid="{D5CDD505-2E9C-101B-9397-08002B2CF9AE}" pid="4" name="IsEFSEC">
    <vt:bool>false</vt:bool>
  </property>
</Properties>
</file>