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Nickname xmlns="http://schemas.microsoft.com/sharepoint/v3" xsi:nil="true"/>
    <DocketNumber xmlns="dc463f71-b30c-4ab2-9473-d307f9d35888">170862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55C5029DB36640B7B558204900FE48" ma:contentTypeVersion="104" ma:contentTypeDescription="" ma:contentTypeScope="" ma:versionID="49a275cdc751b2a8bdf94a205f652b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66FC9-D2AC-4D39-B85E-7D5553886605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E4A5DA-3643-4814-9468-57C1FB2C1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0x0101006E56B4D1795A2E4DB2F0B01679ED314A00B055C5029DB36640B7B558204900FE48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