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Pr="00E649C2" w:rsidRDefault="00245AF9" w:rsidP="00477F79">
      <w:pPr>
        <w:spacing w:line="276" w:lineRule="auto"/>
      </w:pPr>
    </w:p>
    <w:p w14:paraId="60D26B65" w14:textId="3229A80A" w:rsidR="000B50AF" w:rsidRPr="00E649C2" w:rsidRDefault="001C7B2A" w:rsidP="00477F79">
      <w:pPr>
        <w:spacing w:line="276" w:lineRule="auto"/>
      </w:pPr>
      <w:r w:rsidRPr="00E649C2">
        <w:t xml:space="preserve">February </w:t>
      </w:r>
      <w:r w:rsidR="007F41FF">
        <w:t>3</w:t>
      </w:r>
      <w:r w:rsidRPr="00E649C2">
        <w:t>, 2017</w:t>
      </w:r>
    </w:p>
    <w:p w14:paraId="036EFADB" w14:textId="77777777" w:rsidR="000B50AF" w:rsidRPr="00E649C2" w:rsidRDefault="000B50AF" w:rsidP="00477F79">
      <w:pPr>
        <w:spacing w:line="276" w:lineRule="auto"/>
      </w:pPr>
    </w:p>
    <w:p w14:paraId="539A4C05" w14:textId="77777777" w:rsidR="000B50AF" w:rsidRPr="00E649C2" w:rsidRDefault="000B50AF" w:rsidP="00477F79">
      <w:pPr>
        <w:spacing w:line="276" w:lineRule="auto"/>
      </w:pPr>
    </w:p>
    <w:p w14:paraId="616338F3" w14:textId="77777777" w:rsidR="000B50AF" w:rsidRPr="00E649C2" w:rsidRDefault="000B50AF" w:rsidP="00477F79">
      <w:pPr>
        <w:spacing w:line="276" w:lineRule="auto"/>
      </w:pPr>
      <w:r w:rsidRPr="00E649C2">
        <w:t>Steven V. King, Executive Director and Secretary</w:t>
      </w:r>
    </w:p>
    <w:p w14:paraId="368CBA03" w14:textId="77777777" w:rsidR="000B50AF" w:rsidRPr="00E649C2" w:rsidRDefault="000B50AF" w:rsidP="00477F79">
      <w:pPr>
        <w:spacing w:line="276" w:lineRule="auto"/>
      </w:pPr>
      <w:r w:rsidRPr="00E649C2">
        <w:t>Washington Utilities and Transportation Commission</w:t>
      </w:r>
    </w:p>
    <w:p w14:paraId="4FC8E8F8" w14:textId="77777777" w:rsidR="000B50AF" w:rsidRPr="00E649C2" w:rsidRDefault="000B50AF" w:rsidP="00477F79">
      <w:pPr>
        <w:spacing w:line="276" w:lineRule="auto"/>
      </w:pPr>
      <w:r w:rsidRPr="00E649C2">
        <w:t>1300 S. Evergreen Park Dr. SW</w:t>
      </w:r>
    </w:p>
    <w:p w14:paraId="699E50CD" w14:textId="77777777" w:rsidR="000B50AF" w:rsidRPr="00E649C2" w:rsidRDefault="000B50AF" w:rsidP="00477F79">
      <w:pPr>
        <w:spacing w:line="276" w:lineRule="auto"/>
      </w:pPr>
      <w:r w:rsidRPr="00E649C2">
        <w:t xml:space="preserve">P. O. Box 47250 </w:t>
      </w:r>
    </w:p>
    <w:p w14:paraId="798EB916" w14:textId="77777777" w:rsidR="000B50AF" w:rsidRPr="00E649C2" w:rsidRDefault="000B50AF" w:rsidP="00477F79">
      <w:pPr>
        <w:spacing w:line="276" w:lineRule="auto"/>
      </w:pPr>
      <w:r w:rsidRPr="00E649C2">
        <w:t>Olympia, Washington  98504-7250</w:t>
      </w:r>
    </w:p>
    <w:p w14:paraId="735F816B" w14:textId="77777777" w:rsidR="000B50AF" w:rsidRPr="00E649C2" w:rsidRDefault="000B50AF" w:rsidP="00477F79">
      <w:pPr>
        <w:spacing w:line="276" w:lineRule="auto"/>
      </w:pPr>
    </w:p>
    <w:p w14:paraId="31F4CC99" w14:textId="0187BE11" w:rsidR="000B50AF" w:rsidRPr="00E649C2" w:rsidRDefault="000B50AF" w:rsidP="00477F79">
      <w:pPr>
        <w:spacing w:line="276" w:lineRule="auto"/>
        <w:ind w:left="720" w:hanging="720"/>
      </w:pPr>
      <w:r w:rsidRPr="00E649C2">
        <w:t xml:space="preserve">RE: </w:t>
      </w:r>
      <w:r w:rsidRPr="00E649C2">
        <w:tab/>
      </w:r>
      <w:r w:rsidRPr="00E649C2">
        <w:rPr>
          <w:i/>
        </w:rPr>
        <w:t xml:space="preserve">Washington Utilities and Transportation Commission v. </w:t>
      </w:r>
      <w:r w:rsidR="00A273F5" w:rsidRPr="00E649C2">
        <w:rPr>
          <w:i/>
        </w:rPr>
        <w:t>Empire Disposal Inc.</w:t>
      </w:r>
    </w:p>
    <w:p w14:paraId="1759E49F" w14:textId="77777777" w:rsidR="000B50AF" w:rsidRPr="00E649C2" w:rsidRDefault="000B50AF" w:rsidP="00477F79">
      <w:pPr>
        <w:spacing w:line="276" w:lineRule="auto"/>
        <w:ind w:left="720"/>
      </w:pPr>
      <w:r w:rsidRPr="00E649C2">
        <w:t>Commission Staff’s Response to Application for Mitigation of Penalties</w:t>
      </w:r>
    </w:p>
    <w:p w14:paraId="6EA475D6" w14:textId="57EB4757" w:rsidR="000B50AF" w:rsidRPr="00E649C2" w:rsidRDefault="000B50AF" w:rsidP="00477F79">
      <w:pPr>
        <w:spacing w:line="276" w:lineRule="auto"/>
        <w:ind w:left="720"/>
      </w:pPr>
      <w:r w:rsidRPr="00E649C2">
        <w:t>Docket T</w:t>
      </w:r>
      <w:r w:rsidR="00A273F5" w:rsidRPr="00E649C2">
        <w:t>G</w:t>
      </w:r>
      <w:r w:rsidRPr="00E649C2">
        <w:t>-1</w:t>
      </w:r>
      <w:r w:rsidR="002B6420" w:rsidRPr="00E649C2">
        <w:t>6</w:t>
      </w:r>
      <w:r w:rsidR="00A45B57" w:rsidRPr="00E649C2">
        <w:t>128</w:t>
      </w:r>
      <w:r w:rsidR="00A273F5" w:rsidRPr="00E649C2">
        <w:t>2</w:t>
      </w:r>
    </w:p>
    <w:p w14:paraId="364976EC" w14:textId="77777777" w:rsidR="000B50AF" w:rsidRPr="00E649C2" w:rsidRDefault="000B50AF" w:rsidP="00477F79">
      <w:pPr>
        <w:spacing w:line="276" w:lineRule="auto"/>
      </w:pPr>
    </w:p>
    <w:p w14:paraId="3B641008" w14:textId="77777777" w:rsidR="000B50AF" w:rsidRPr="00E649C2" w:rsidRDefault="000B50AF" w:rsidP="00477F79">
      <w:pPr>
        <w:spacing w:line="276" w:lineRule="auto"/>
      </w:pPr>
      <w:r w:rsidRPr="00E649C2">
        <w:t>Dear Mr. King:</w:t>
      </w:r>
    </w:p>
    <w:p w14:paraId="08C7C3A6" w14:textId="77777777" w:rsidR="000B50AF" w:rsidRPr="00E649C2" w:rsidRDefault="000B50AF" w:rsidP="00477F79">
      <w:pPr>
        <w:spacing w:line="276" w:lineRule="auto"/>
      </w:pPr>
    </w:p>
    <w:p w14:paraId="72A96861" w14:textId="0927F4CA" w:rsidR="000B50AF" w:rsidRPr="00E649C2" w:rsidRDefault="000B50AF" w:rsidP="00477F79">
      <w:pPr>
        <w:spacing w:line="276" w:lineRule="auto"/>
      </w:pPr>
      <w:r w:rsidRPr="00E649C2">
        <w:t xml:space="preserve">On </w:t>
      </w:r>
      <w:r w:rsidR="00125674" w:rsidRPr="00E649C2">
        <w:t>December 2</w:t>
      </w:r>
      <w:r w:rsidR="00A273F5" w:rsidRPr="00E649C2">
        <w:t>3</w:t>
      </w:r>
      <w:r w:rsidR="00125674" w:rsidRPr="00E649C2">
        <w:t>, 2016</w:t>
      </w:r>
      <w:r w:rsidRPr="00E649C2">
        <w:t xml:space="preserve">, the Washington Utilities </w:t>
      </w:r>
      <w:r w:rsidR="00125674" w:rsidRPr="00E649C2">
        <w:t>and Transportation Commission (C</w:t>
      </w:r>
      <w:r w:rsidRPr="00E649C2">
        <w:t xml:space="preserve">ommission) issued </w:t>
      </w:r>
      <w:r w:rsidR="00704624" w:rsidRPr="00E649C2">
        <w:t xml:space="preserve">a </w:t>
      </w:r>
      <w:r w:rsidRPr="00E649C2">
        <w:t>Penalty Assessment</w:t>
      </w:r>
      <w:r w:rsidR="00704624" w:rsidRPr="00E649C2">
        <w:t xml:space="preserve"> under docket</w:t>
      </w:r>
      <w:r w:rsidRPr="00E649C2">
        <w:t xml:space="preserve"> T</w:t>
      </w:r>
      <w:r w:rsidR="00A273F5" w:rsidRPr="00E649C2">
        <w:t>G</w:t>
      </w:r>
      <w:r w:rsidRPr="00E649C2">
        <w:t>-</w:t>
      </w:r>
      <w:r w:rsidR="0080300E" w:rsidRPr="00E649C2">
        <w:t>16</w:t>
      </w:r>
      <w:r w:rsidR="00125674" w:rsidRPr="00E649C2">
        <w:t>128</w:t>
      </w:r>
      <w:r w:rsidR="00A273F5" w:rsidRPr="00E649C2">
        <w:t>2</w:t>
      </w:r>
      <w:r w:rsidRPr="00E649C2">
        <w:t xml:space="preserve"> against </w:t>
      </w:r>
      <w:r w:rsidR="00A273F5" w:rsidRPr="00E649C2">
        <w:t>Empire Disposal Inc.</w:t>
      </w:r>
      <w:r w:rsidR="003543FC" w:rsidRPr="00E649C2">
        <w:t xml:space="preserve"> (Empire Disposal)</w:t>
      </w:r>
      <w:r w:rsidR="00A273F5" w:rsidRPr="00E649C2">
        <w:t xml:space="preserve"> </w:t>
      </w:r>
      <w:r w:rsidR="00704624" w:rsidRPr="00E649C2">
        <w:t xml:space="preserve">in the amount of </w:t>
      </w:r>
      <w:r w:rsidRPr="00E649C2">
        <w:t>$</w:t>
      </w:r>
      <w:r w:rsidR="00A273F5" w:rsidRPr="00E649C2">
        <w:t>5</w:t>
      </w:r>
      <w:r w:rsidR="00125674" w:rsidRPr="00E649C2">
        <w:t>,</w:t>
      </w:r>
      <w:r w:rsidR="00A273F5" w:rsidRPr="00E649C2">
        <w:t>3</w:t>
      </w:r>
      <w:r w:rsidR="00125674" w:rsidRPr="00E649C2">
        <w:t>00</w:t>
      </w:r>
      <w:r w:rsidRPr="00E649C2">
        <w:t xml:space="preserve"> for </w:t>
      </w:r>
      <w:r w:rsidR="002B6420" w:rsidRPr="00E649C2">
        <w:t>v</w:t>
      </w:r>
      <w:r w:rsidR="00245AF9" w:rsidRPr="00E649C2">
        <w:t>iolation</w:t>
      </w:r>
      <w:r w:rsidR="00EC14C3" w:rsidRPr="00E649C2">
        <w:t>s of WAC 480-</w:t>
      </w:r>
      <w:r w:rsidR="00125674" w:rsidRPr="00E649C2">
        <w:t>70</w:t>
      </w:r>
      <w:r w:rsidR="00245AF9" w:rsidRPr="00E649C2">
        <w:t>-</w:t>
      </w:r>
      <w:r w:rsidR="00125674" w:rsidRPr="00E649C2">
        <w:t xml:space="preserve">201 Vehicle and </w:t>
      </w:r>
      <w:r w:rsidR="00EC14C3" w:rsidRPr="00E649C2">
        <w:t>Driver Safety Requirements</w:t>
      </w:r>
      <w:r w:rsidR="00245AF9" w:rsidRPr="00E649C2">
        <w:t xml:space="preserve">, which requires </w:t>
      </w:r>
      <w:r w:rsidR="00125674" w:rsidRPr="00E649C2">
        <w:t xml:space="preserve">solid waste haulers </w:t>
      </w:r>
      <w:r w:rsidR="00245AF9" w:rsidRPr="00E649C2">
        <w:t xml:space="preserve">to comply with CFR Part </w:t>
      </w:r>
      <w:r w:rsidR="00125674" w:rsidRPr="00E649C2">
        <w:t>3</w:t>
      </w:r>
      <w:r w:rsidR="00A273F5" w:rsidRPr="00E649C2">
        <w:t>83</w:t>
      </w:r>
      <w:r w:rsidR="00125674" w:rsidRPr="00E649C2">
        <w:t xml:space="preserve"> – </w:t>
      </w:r>
      <w:r w:rsidR="00A273F5" w:rsidRPr="00E649C2">
        <w:t xml:space="preserve">Commercial Driver’s License Standards; Requirements and Penalties, and Part 391 – Qualifications of Drivers, </w:t>
      </w:r>
      <w:r w:rsidR="00DF711D" w:rsidRPr="00E649C2">
        <w:t xml:space="preserve">as </w:t>
      </w:r>
      <w:r w:rsidR="00EC14C3" w:rsidRPr="00E649C2">
        <w:t>follows:</w:t>
      </w:r>
    </w:p>
    <w:p w14:paraId="5B3C55E3" w14:textId="77777777" w:rsidR="00D80068" w:rsidRPr="00E649C2" w:rsidRDefault="00D80068" w:rsidP="00477F79">
      <w:pPr>
        <w:spacing w:line="276" w:lineRule="auto"/>
      </w:pPr>
    </w:p>
    <w:p w14:paraId="07A60B59" w14:textId="71FE7148" w:rsidR="00D80068" w:rsidRPr="00E649C2" w:rsidRDefault="00D80068" w:rsidP="00D80068">
      <w:pPr>
        <w:pStyle w:val="ListParagraph"/>
        <w:numPr>
          <w:ilvl w:val="0"/>
          <w:numId w:val="9"/>
        </w:numPr>
        <w:spacing w:after="240"/>
        <w:ind w:left="778"/>
        <w:contextualSpacing w:val="0"/>
      </w:pPr>
      <w:bookmarkStart w:id="0" w:name="_Hlk469575236"/>
      <w:r w:rsidRPr="00E649C2">
        <w:rPr>
          <w:b/>
        </w:rPr>
        <w:t xml:space="preserve">Fifty-two violations of CFR 383.37(b) – Allowing, requiring, permitting, or authorizing an employee to operate a commercial motor vehicle during any period in which the driver’s commercial learning permit or license disqualified by a state, has lost the right to operate a commercial motor vehicle in a state or has been disqualified from operating a commercial motor vehicle. </w:t>
      </w:r>
      <w:r w:rsidRPr="00E649C2">
        <w:t>Empire Disposal allowed employee M</w:t>
      </w:r>
      <w:r w:rsidR="00A029BF">
        <w:t>i</w:t>
      </w:r>
      <w:r w:rsidRPr="00E649C2">
        <w:t xml:space="preserve">lroy Manner to drive with a disqualified commercial driver’s license on 52 occasions during the six months prior to the compliance review. Mr. Manner drove on 12 days in August, 22 days in September, and 18 days in October, 2016. </w:t>
      </w:r>
    </w:p>
    <w:p w14:paraId="080E127A" w14:textId="267831FA" w:rsidR="00D80068" w:rsidRPr="00E649C2" w:rsidRDefault="00D80068" w:rsidP="00D80068">
      <w:pPr>
        <w:pStyle w:val="ListParagraph"/>
        <w:numPr>
          <w:ilvl w:val="0"/>
          <w:numId w:val="9"/>
        </w:numPr>
        <w:spacing w:after="240"/>
        <w:ind w:left="778"/>
        <w:contextualSpacing w:val="0"/>
      </w:pPr>
      <w:r w:rsidRPr="00E649C2">
        <w:rPr>
          <w:b/>
        </w:rPr>
        <w:t>One violation of CFR 391.51(b</w:t>
      </w:r>
      <w:proofErr w:type="gramStart"/>
      <w:r w:rsidRPr="00E649C2">
        <w:rPr>
          <w:b/>
        </w:rPr>
        <w:t>)(</w:t>
      </w:r>
      <w:proofErr w:type="gramEnd"/>
      <w:r w:rsidRPr="00E649C2">
        <w:rPr>
          <w:b/>
        </w:rPr>
        <w:t xml:space="preserve">2) – Failing to maintain inquiries into driver’s driving record in driver’s qualification file. </w:t>
      </w:r>
      <w:r w:rsidRPr="00E649C2">
        <w:t xml:space="preserve">Empire Disposal failed to maintain inquiries into </w:t>
      </w:r>
      <w:r w:rsidR="00D83EEB">
        <w:t xml:space="preserve">the </w:t>
      </w:r>
      <w:r w:rsidRPr="00E649C2">
        <w:t>driving record</w:t>
      </w:r>
      <w:r w:rsidR="00D83EEB">
        <w:t xml:space="preserve">s </w:t>
      </w:r>
      <w:r w:rsidRPr="00E649C2">
        <w:t xml:space="preserve">of </w:t>
      </w:r>
      <w:r w:rsidR="00A74CE3">
        <w:t xml:space="preserve">four employees: </w:t>
      </w:r>
      <w:r w:rsidRPr="00E649C2">
        <w:t xml:space="preserve">John Hall, Brian Johnson, Troy Scott, and Daniel Young. </w:t>
      </w:r>
    </w:p>
    <w:bookmarkEnd w:id="0"/>
    <w:p w14:paraId="6B5473C8" w14:textId="77777777" w:rsidR="00477F79" w:rsidRPr="00E649C2" w:rsidRDefault="00477F79" w:rsidP="00477F79">
      <w:pPr>
        <w:pStyle w:val="ListParagraph"/>
        <w:keepNext/>
        <w:contextualSpacing w:val="0"/>
      </w:pPr>
    </w:p>
    <w:p w14:paraId="432BAFB6" w14:textId="6B2D7FC1" w:rsidR="00974BF6" w:rsidRPr="00E649C2" w:rsidRDefault="000B50AF" w:rsidP="00477F79">
      <w:pPr>
        <w:spacing w:line="276" w:lineRule="auto"/>
      </w:pPr>
      <w:r w:rsidRPr="00E649C2">
        <w:t xml:space="preserve">On </w:t>
      </w:r>
      <w:r w:rsidR="004C4789" w:rsidRPr="00E649C2">
        <w:t xml:space="preserve">January </w:t>
      </w:r>
      <w:r w:rsidR="00672D25" w:rsidRPr="00E649C2">
        <w:t>27</w:t>
      </w:r>
      <w:r w:rsidR="004C4789" w:rsidRPr="00E649C2">
        <w:t>, 2017</w:t>
      </w:r>
      <w:r w:rsidR="004F68C9" w:rsidRPr="00E649C2">
        <w:t xml:space="preserve">, </w:t>
      </w:r>
      <w:r w:rsidR="00E02DF3" w:rsidRPr="00E649C2">
        <w:t xml:space="preserve">Aaron </w:t>
      </w:r>
      <w:proofErr w:type="spellStart"/>
      <w:r w:rsidR="00E02DF3" w:rsidRPr="00E649C2">
        <w:t>Lawhead</w:t>
      </w:r>
      <w:proofErr w:type="spellEnd"/>
      <w:r w:rsidR="00E02DF3" w:rsidRPr="00E649C2">
        <w:t xml:space="preserve">, Operations Manager for </w:t>
      </w:r>
      <w:r w:rsidR="00672D25" w:rsidRPr="00E649C2">
        <w:t>Empire Disposal</w:t>
      </w:r>
      <w:r w:rsidR="00BA6053">
        <w:t>,</w:t>
      </w:r>
      <w:r w:rsidR="00672D25" w:rsidRPr="00E649C2">
        <w:t xml:space="preserve"> </w:t>
      </w:r>
      <w:r w:rsidR="004C4789" w:rsidRPr="00E649C2">
        <w:t>f</w:t>
      </w:r>
      <w:r w:rsidRPr="00E649C2">
        <w:t>iled with the commission its application for mitigation of penalties (M</w:t>
      </w:r>
      <w:r w:rsidR="00E02DF3" w:rsidRPr="00E649C2">
        <w:t>itigation Request).</w:t>
      </w:r>
    </w:p>
    <w:p w14:paraId="7E00BA72" w14:textId="77777777" w:rsidR="00974BF6" w:rsidRPr="00E649C2" w:rsidRDefault="00974BF6" w:rsidP="00477F79">
      <w:pPr>
        <w:spacing w:line="276" w:lineRule="auto"/>
      </w:pPr>
    </w:p>
    <w:p w14:paraId="315B0BBF" w14:textId="32F482A2" w:rsidR="00456D30" w:rsidRPr="00E649C2" w:rsidRDefault="003543FC" w:rsidP="00477F79">
      <w:pPr>
        <w:spacing w:line="276" w:lineRule="auto"/>
      </w:pPr>
      <w:r w:rsidRPr="00E649C2">
        <w:t xml:space="preserve">Empire Disposal </w:t>
      </w:r>
      <w:r w:rsidR="000968DD">
        <w:t>o</w:t>
      </w:r>
      <w:r w:rsidR="000B50AF" w:rsidRPr="00E649C2">
        <w:t>per</w:t>
      </w:r>
      <w:bookmarkStart w:id="1" w:name="_GoBack"/>
      <w:bookmarkEnd w:id="1"/>
      <w:r w:rsidR="000B50AF" w:rsidRPr="00E649C2">
        <w:t xml:space="preserve">ates as a </w:t>
      </w:r>
      <w:r w:rsidR="004F5756" w:rsidRPr="00E649C2">
        <w:t xml:space="preserve">solid waste hauler </w:t>
      </w:r>
      <w:r w:rsidR="00516521" w:rsidRPr="00E649C2">
        <w:t>u</w:t>
      </w:r>
      <w:r w:rsidR="000B50AF" w:rsidRPr="00E649C2">
        <w:t xml:space="preserve">nder permit number </w:t>
      </w:r>
      <w:r w:rsidR="00516521" w:rsidRPr="00E649C2">
        <w:t>G-</w:t>
      </w:r>
      <w:r w:rsidRPr="00E649C2">
        <w:t>75</w:t>
      </w:r>
      <w:r w:rsidR="000B50AF" w:rsidRPr="00E649C2">
        <w:t xml:space="preserve">. </w:t>
      </w:r>
      <w:r w:rsidRPr="00E649C2">
        <w:t xml:space="preserve">In </w:t>
      </w:r>
      <w:r w:rsidR="004F5756" w:rsidRPr="00E649C2">
        <w:t xml:space="preserve">October 2016 </w:t>
      </w:r>
      <w:r w:rsidR="002712B3" w:rsidRPr="00E649C2">
        <w:t>Motor Carrier Safety In</w:t>
      </w:r>
      <w:r w:rsidR="009E4818" w:rsidRPr="00E649C2">
        <w:t xml:space="preserve">vestigator </w:t>
      </w:r>
      <w:r w:rsidR="004F5756" w:rsidRPr="00E649C2">
        <w:t xml:space="preserve">Sandi Yeomans </w:t>
      </w:r>
      <w:r w:rsidR="002712B3" w:rsidRPr="00E649C2">
        <w:t xml:space="preserve">conducted a compliance review </w:t>
      </w:r>
      <w:r w:rsidR="004F5756" w:rsidRPr="00E649C2">
        <w:t xml:space="preserve">investigation, </w:t>
      </w:r>
      <w:r w:rsidR="00AC48BF" w:rsidRPr="00E649C2">
        <w:t xml:space="preserve">an </w:t>
      </w:r>
      <w:r w:rsidR="00456D30" w:rsidRPr="00E649C2">
        <w:t>in-depth examination of the motor carrier's compliance with regulations that the FMCSA has identified as “acute” or “critical.”</w:t>
      </w:r>
      <w:r w:rsidR="00974BF6" w:rsidRPr="00A74CE3">
        <w:rPr>
          <w:rStyle w:val="FootnoteReference"/>
          <w:position w:val="6"/>
          <w:sz w:val="16"/>
        </w:rPr>
        <w:footnoteReference w:id="1"/>
      </w:r>
      <w:r w:rsidR="00456D30" w:rsidRPr="00E649C2">
        <w:rPr>
          <w:position w:val="6"/>
        </w:rPr>
        <w:t xml:space="preserve"> </w:t>
      </w:r>
      <w:r w:rsidR="00456D30" w:rsidRPr="00E649C2">
        <w:t xml:space="preserve">Acute regulations are identified where noncompliance is so severe as to require immediate corrective actions regardless of the overall safety posture of the motor carrier. Violations of critical regulations are generally indicative of breakdowns in a carrier's management controls. Non-compliance with acute regulations and patterns of non-compliance with critical regulations are quantitatively linked to inadequate safety management controls and </w:t>
      </w:r>
      <w:r w:rsidR="000E11BD" w:rsidRPr="00E649C2">
        <w:t>un</w:t>
      </w:r>
      <w:r w:rsidR="00456D30" w:rsidRPr="00E649C2">
        <w:t>usually higher than average accident rates</w:t>
      </w:r>
      <w:r w:rsidR="005F32B2" w:rsidRPr="00E649C2">
        <w:t>.</w:t>
      </w:r>
      <w:r w:rsidR="00974BF6" w:rsidRPr="00A74CE3">
        <w:rPr>
          <w:rStyle w:val="FootnoteReference"/>
          <w:position w:val="6"/>
          <w:sz w:val="16"/>
        </w:rPr>
        <w:footnoteReference w:id="2"/>
      </w:r>
      <w:r w:rsidR="00456D30" w:rsidRPr="00E649C2">
        <w:rPr>
          <w:position w:val="6"/>
        </w:rPr>
        <w:t xml:space="preserve"> </w:t>
      </w:r>
      <w:r w:rsidR="00456D30" w:rsidRPr="00E649C2">
        <w:t>M</w:t>
      </w:r>
      <w:r w:rsidR="00AC48BF" w:rsidRPr="00E649C2">
        <w:t xml:space="preserve">s. Yeomans </w:t>
      </w:r>
      <w:r w:rsidR="00456D30" w:rsidRPr="00E649C2">
        <w:t xml:space="preserve">found </w:t>
      </w:r>
      <w:r w:rsidRPr="00E649C2">
        <w:t>71</w:t>
      </w:r>
      <w:r w:rsidR="009A6480" w:rsidRPr="00E649C2">
        <w:t xml:space="preserve"> </w:t>
      </w:r>
      <w:r w:rsidR="00456D30" w:rsidRPr="00E649C2">
        <w:t>violations</w:t>
      </w:r>
      <w:r w:rsidR="00AF79B4">
        <w:t xml:space="preserve">, 53 </w:t>
      </w:r>
      <w:r w:rsidR="00A74CE3">
        <w:t>of which were criti</w:t>
      </w:r>
      <w:r w:rsidR="00AF79B4">
        <w:t xml:space="preserve">cal </w:t>
      </w:r>
      <w:r w:rsidRPr="00E649C2">
        <w:t>violations.</w:t>
      </w:r>
      <w:r w:rsidR="003669F5" w:rsidRPr="00E649C2">
        <w:t xml:space="preserve"> </w:t>
      </w:r>
    </w:p>
    <w:p w14:paraId="43F4A872" w14:textId="77777777" w:rsidR="003669F5" w:rsidRPr="00E649C2" w:rsidRDefault="003669F5" w:rsidP="00477F79">
      <w:pPr>
        <w:spacing w:line="276" w:lineRule="auto"/>
      </w:pPr>
    </w:p>
    <w:p w14:paraId="4EE38BBD" w14:textId="60EB2096" w:rsidR="003669F5" w:rsidRPr="00E649C2" w:rsidRDefault="00660A2B" w:rsidP="00477F79">
      <w:pPr>
        <w:spacing w:line="276" w:lineRule="auto"/>
      </w:pPr>
      <w:r w:rsidRPr="00E649C2">
        <w:t>The c</w:t>
      </w:r>
      <w:r w:rsidR="003669F5" w:rsidRPr="00E649C2">
        <w:t>ommission’s Enforcement Policy, however, provides that some commission requirements are so critical to safe operations that the commission may issue penalties for a first-time violation, even if staff has not previously provided technical assistance on specific issues.</w:t>
      </w:r>
      <w:r w:rsidR="00B706C6" w:rsidRPr="00A74CE3">
        <w:rPr>
          <w:rStyle w:val="FootnoteReference"/>
          <w:position w:val="6"/>
          <w:sz w:val="16"/>
        </w:rPr>
        <w:footnoteReference w:id="3"/>
      </w:r>
      <w:r w:rsidR="003669F5" w:rsidRPr="00E649C2">
        <w:t xml:space="preserve"> </w:t>
      </w:r>
      <w:r w:rsidR="00B706C6" w:rsidRPr="00E649C2">
        <w:t xml:space="preserve">Of the </w:t>
      </w:r>
      <w:r w:rsidR="003543FC" w:rsidRPr="00E649C2">
        <w:t>71</w:t>
      </w:r>
      <w:r w:rsidR="00B706C6" w:rsidRPr="00E649C2">
        <w:t xml:space="preserve"> violations</w:t>
      </w:r>
      <w:r w:rsidR="00FE2FFC" w:rsidRPr="00E649C2">
        <w:t xml:space="preserve"> found</w:t>
      </w:r>
      <w:r w:rsidR="00B706C6" w:rsidRPr="00E649C2">
        <w:t xml:space="preserve">, </w:t>
      </w:r>
      <w:r w:rsidR="00A74CE3">
        <w:t xml:space="preserve">all </w:t>
      </w:r>
      <w:r w:rsidR="00B706C6" w:rsidRPr="00E649C2">
        <w:t xml:space="preserve">were </w:t>
      </w:r>
      <w:r w:rsidR="00A74CE3">
        <w:t>first-time violations.</w:t>
      </w:r>
      <w:r w:rsidR="00B706C6" w:rsidRPr="00E649C2">
        <w:t xml:space="preserve"> </w:t>
      </w:r>
    </w:p>
    <w:p w14:paraId="44204289" w14:textId="4FBC1315" w:rsidR="005C43E3" w:rsidRPr="00E649C2" w:rsidRDefault="005C43E3" w:rsidP="00477F79">
      <w:pPr>
        <w:spacing w:line="276" w:lineRule="auto"/>
      </w:pPr>
    </w:p>
    <w:p w14:paraId="192E918C" w14:textId="4B8AED13" w:rsidR="0018490A" w:rsidRPr="00E649C2" w:rsidRDefault="00FE2FFC" w:rsidP="00477F79">
      <w:pPr>
        <w:spacing w:line="276" w:lineRule="auto"/>
      </w:pPr>
      <w:r w:rsidRPr="00E649C2">
        <w:t xml:space="preserve">In the Mitigation Request, Mr. </w:t>
      </w:r>
      <w:proofErr w:type="spellStart"/>
      <w:r w:rsidR="003D3767" w:rsidRPr="00E649C2">
        <w:t>Lawhead</w:t>
      </w:r>
      <w:proofErr w:type="spellEnd"/>
      <w:r w:rsidR="003D3767" w:rsidRPr="00E649C2">
        <w:t xml:space="preserve"> </w:t>
      </w:r>
      <w:r w:rsidR="005A073E" w:rsidRPr="00E649C2">
        <w:t>admit</w:t>
      </w:r>
      <w:r w:rsidR="007D33EF">
        <w:t xml:space="preserve">ted </w:t>
      </w:r>
      <w:r w:rsidR="005A073E" w:rsidRPr="00E649C2">
        <w:t xml:space="preserve">the violations of CFR 383.38(b), allowing </w:t>
      </w:r>
      <w:r w:rsidR="00BA6053">
        <w:t xml:space="preserve">a </w:t>
      </w:r>
      <w:r w:rsidR="005A073E" w:rsidRPr="00E649C2">
        <w:t>disqualified driver to operate a company vehicle</w:t>
      </w:r>
      <w:r w:rsidR="005A073E">
        <w:t>, but</w:t>
      </w:r>
      <w:r w:rsidR="005A073E" w:rsidRPr="00E649C2">
        <w:t xml:space="preserve"> </w:t>
      </w:r>
      <w:r w:rsidR="007D33EF">
        <w:t>disputed</w:t>
      </w:r>
      <w:r w:rsidR="003D3767" w:rsidRPr="00E649C2">
        <w:t xml:space="preserve"> the violation of CFR 391.51(b</w:t>
      </w:r>
      <w:proofErr w:type="gramStart"/>
      <w:r w:rsidR="003D3767" w:rsidRPr="00E649C2">
        <w:t>)(</w:t>
      </w:r>
      <w:proofErr w:type="gramEnd"/>
      <w:r w:rsidR="003D3767" w:rsidRPr="00E649C2">
        <w:t>2) relating to maint</w:t>
      </w:r>
      <w:r w:rsidR="005A073E">
        <w:t xml:space="preserve">aining driver record inquiries. </w:t>
      </w:r>
      <w:r w:rsidR="00EE5A06" w:rsidRPr="00E649C2">
        <w:t xml:space="preserve">In his request for mitigation, </w:t>
      </w:r>
      <w:r w:rsidR="003D3767" w:rsidRPr="00E649C2">
        <w:t xml:space="preserve">Mr. </w:t>
      </w:r>
      <w:proofErr w:type="spellStart"/>
      <w:r w:rsidR="003D3767" w:rsidRPr="00E649C2">
        <w:t>Lawhead</w:t>
      </w:r>
      <w:proofErr w:type="spellEnd"/>
      <w:r w:rsidR="003D3767" w:rsidRPr="00E649C2">
        <w:t xml:space="preserve"> addressed </w:t>
      </w:r>
      <w:r w:rsidR="00EE5A06" w:rsidRPr="00E649C2">
        <w:t xml:space="preserve">both </w:t>
      </w:r>
      <w:r w:rsidR="003D3767" w:rsidRPr="00E649C2">
        <w:t>violations</w:t>
      </w:r>
      <w:r w:rsidR="00726133" w:rsidRPr="00E649C2">
        <w:t xml:space="preserve">. </w:t>
      </w:r>
      <w:r w:rsidR="0018490A" w:rsidRPr="00E649C2">
        <w:t xml:space="preserve">Staff’s response </w:t>
      </w:r>
      <w:r w:rsidR="00995243" w:rsidRPr="00E649C2">
        <w:t>is included below.</w:t>
      </w:r>
    </w:p>
    <w:p w14:paraId="574B234B" w14:textId="2A9260A8" w:rsidR="00FE2FFC" w:rsidRPr="00E649C2" w:rsidRDefault="00FE2FFC" w:rsidP="00477F79">
      <w:pPr>
        <w:spacing w:line="276" w:lineRule="auto"/>
      </w:pPr>
      <w:r w:rsidRPr="00E649C2">
        <w:t xml:space="preserve"> </w:t>
      </w:r>
    </w:p>
    <w:p w14:paraId="3F77462D" w14:textId="54162D04" w:rsidR="00737380" w:rsidRPr="00E649C2" w:rsidRDefault="0018490A" w:rsidP="00477F79">
      <w:pPr>
        <w:pStyle w:val="ListParagraph"/>
        <w:numPr>
          <w:ilvl w:val="0"/>
          <w:numId w:val="10"/>
        </w:numPr>
        <w:spacing w:line="276" w:lineRule="auto"/>
      </w:pPr>
      <w:r w:rsidRPr="00E649C2">
        <w:rPr>
          <w:b/>
        </w:rPr>
        <w:t xml:space="preserve">Mitigation </w:t>
      </w:r>
      <w:r w:rsidR="005A689C" w:rsidRPr="00E649C2">
        <w:rPr>
          <w:b/>
        </w:rPr>
        <w:t>r</w:t>
      </w:r>
      <w:r w:rsidRPr="00E649C2">
        <w:rPr>
          <w:b/>
        </w:rPr>
        <w:t>equest</w:t>
      </w:r>
      <w:r w:rsidRPr="00E649C2">
        <w:t xml:space="preserve">: </w:t>
      </w:r>
      <w:r w:rsidR="00BA381D" w:rsidRPr="00E649C2">
        <w:t xml:space="preserve">CFR </w:t>
      </w:r>
      <w:r w:rsidR="00726133" w:rsidRPr="00E649C2">
        <w:t xml:space="preserve">383.37(b) – Allowing, requiring, permitting, or authorizing an employee to operate a commercial motor vehicle during any period in which the driver has a commercial learning permit or commercial driver license disqualified by a state, has lost the right to operate a commercial motor vehicle in the state, or has been disqualified from operating a commercial motor vehicle.  </w:t>
      </w:r>
    </w:p>
    <w:p w14:paraId="73B7D7E7" w14:textId="77777777" w:rsidR="00737380" w:rsidRPr="00E649C2" w:rsidRDefault="00737380" w:rsidP="00737380">
      <w:pPr>
        <w:pStyle w:val="ListParagraph"/>
        <w:spacing w:line="276" w:lineRule="auto"/>
      </w:pPr>
    </w:p>
    <w:p w14:paraId="3CF7E2F2" w14:textId="77777777" w:rsidR="00FB34F1" w:rsidRDefault="00737380" w:rsidP="00737380">
      <w:pPr>
        <w:pStyle w:val="ListParagraph"/>
        <w:spacing w:line="276" w:lineRule="auto"/>
      </w:pPr>
      <w:r w:rsidRPr="00E649C2">
        <w:t>Empire Disposal state</w:t>
      </w:r>
      <w:r w:rsidR="0005598A">
        <w:t>d</w:t>
      </w:r>
      <w:r w:rsidRPr="00E649C2">
        <w:t xml:space="preserve"> that its employee Milroy Manner renewed his driver’s license on August 16, 2016, but did not renew his commercial license. Mr. Manner did not report this to Empire Disposal. On September 6, 2016, Empire Disposal obtained driver records on all </w:t>
      </w:r>
      <w:r w:rsidR="001B6BC4" w:rsidRPr="00E649C2">
        <w:t xml:space="preserve">its </w:t>
      </w:r>
      <w:r w:rsidRPr="00E649C2">
        <w:t>drivers, including Mr. Manner</w:t>
      </w:r>
      <w:r w:rsidR="0005598A">
        <w:t xml:space="preserve">. Empire Disposal </w:t>
      </w:r>
      <w:r w:rsidRPr="00E649C2">
        <w:t xml:space="preserve">failed to notice </w:t>
      </w:r>
      <w:r w:rsidR="001B6BC4" w:rsidRPr="00E649C2">
        <w:t xml:space="preserve">that </w:t>
      </w:r>
      <w:r w:rsidRPr="00E649C2">
        <w:t xml:space="preserve">Mr. Manner no longer had a CDL and allowed him to continue driving. Empire Disposal became aware of the violation during the </w:t>
      </w:r>
      <w:r w:rsidR="00867DC1" w:rsidRPr="00E649C2">
        <w:t xml:space="preserve">compliance review on October 26, at which </w:t>
      </w:r>
    </w:p>
    <w:p w14:paraId="448D5B80" w14:textId="77777777" w:rsidR="00FB34F1" w:rsidRDefault="00FB34F1" w:rsidP="00737380">
      <w:pPr>
        <w:pStyle w:val="ListParagraph"/>
        <w:spacing w:line="276" w:lineRule="auto"/>
      </w:pPr>
    </w:p>
    <w:p w14:paraId="6EE2C15C" w14:textId="2BB5C35A" w:rsidR="00737380" w:rsidRPr="00E649C2" w:rsidRDefault="00867DC1" w:rsidP="00737380">
      <w:pPr>
        <w:pStyle w:val="ListParagraph"/>
        <w:spacing w:line="276" w:lineRule="auto"/>
      </w:pPr>
      <w:proofErr w:type="gramStart"/>
      <w:r w:rsidRPr="00E649C2">
        <w:t>time</w:t>
      </w:r>
      <w:proofErr w:type="gramEnd"/>
      <w:r w:rsidRPr="00E649C2">
        <w:t xml:space="preserve"> the company reassigned Mr. Manner to non-driving duties.</w:t>
      </w:r>
      <w:r w:rsidR="00737380" w:rsidRPr="00E649C2">
        <w:t xml:space="preserve"> Empire Disposal admits this violation, but accepts responsibility only for those occurrences </w:t>
      </w:r>
      <w:r w:rsidR="001B6BC4" w:rsidRPr="00E649C2">
        <w:t xml:space="preserve">from </w:t>
      </w:r>
      <w:r w:rsidR="00737380" w:rsidRPr="00E649C2">
        <w:t>September 6 and later, after it had obtain</w:t>
      </w:r>
      <w:r w:rsidR="00BA6053">
        <w:t>ed</w:t>
      </w:r>
      <w:r w:rsidR="00737380" w:rsidRPr="00E649C2">
        <w:t xml:space="preserve"> current driver abstracts.</w:t>
      </w:r>
      <w:r w:rsidRPr="00E649C2">
        <w:t xml:space="preserve"> </w:t>
      </w:r>
    </w:p>
    <w:p w14:paraId="13C7486D" w14:textId="77777777" w:rsidR="005A689C" w:rsidRPr="00E649C2" w:rsidRDefault="005A689C" w:rsidP="00477F79">
      <w:pPr>
        <w:spacing w:line="276" w:lineRule="auto"/>
      </w:pPr>
    </w:p>
    <w:p w14:paraId="1A5DF9BA" w14:textId="7DFC20B4" w:rsidR="001B6BC4" w:rsidRPr="00E649C2" w:rsidRDefault="005A689C" w:rsidP="00477F79">
      <w:pPr>
        <w:spacing w:line="276" w:lineRule="auto"/>
        <w:ind w:left="720"/>
      </w:pPr>
      <w:r w:rsidRPr="00E649C2">
        <w:rPr>
          <w:b/>
        </w:rPr>
        <w:t xml:space="preserve">Staff response: </w:t>
      </w:r>
      <w:r w:rsidR="0005598A">
        <w:t xml:space="preserve">Each carrier must maintain proper </w:t>
      </w:r>
      <w:r w:rsidR="001B6BC4" w:rsidRPr="00E649C2">
        <w:t xml:space="preserve">management controls to ensure that only qualified drivers operate </w:t>
      </w:r>
      <w:r w:rsidR="0005598A">
        <w:t xml:space="preserve">its vehicles. Companies </w:t>
      </w:r>
      <w:r w:rsidR="001B6BC4" w:rsidRPr="00E649C2">
        <w:t xml:space="preserve">should have a strictly-enforced policy requiring drivers to maintain their CDL status, and report any changes in qualification </w:t>
      </w:r>
      <w:r w:rsidR="00FB34F1">
        <w:t xml:space="preserve">status </w:t>
      </w:r>
      <w:r w:rsidR="001B6BC4" w:rsidRPr="00E649C2">
        <w:t xml:space="preserve">to the company. Empire Disposal, </w:t>
      </w:r>
      <w:r w:rsidRPr="00E649C2">
        <w:t xml:space="preserve">to its credit, did </w:t>
      </w:r>
      <w:r w:rsidR="001B6BC4" w:rsidRPr="00E649C2">
        <w:t>obtain driver abstracts on all drivers on September 6</w:t>
      </w:r>
      <w:r w:rsidR="0005598A">
        <w:t>, but failed to recog</w:t>
      </w:r>
      <w:r w:rsidR="001B6BC4" w:rsidRPr="00E649C2">
        <w:t>nize that</w:t>
      </w:r>
      <w:r w:rsidR="0005598A">
        <w:t xml:space="preserve"> Mr. Manner</w:t>
      </w:r>
      <w:r w:rsidR="001B6BC4" w:rsidRPr="00E649C2">
        <w:t xml:space="preserve"> he was no longer CDL-qualified and allowed him to continue driving. </w:t>
      </w:r>
    </w:p>
    <w:p w14:paraId="5ECD7165" w14:textId="77777777" w:rsidR="001B6BC4" w:rsidRPr="00E649C2" w:rsidRDefault="001B6BC4" w:rsidP="00477F79">
      <w:pPr>
        <w:spacing w:line="276" w:lineRule="auto"/>
        <w:ind w:left="720"/>
      </w:pPr>
    </w:p>
    <w:p w14:paraId="19DB9FBC" w14:textId="351DBD5C" w:rsidR="005A689C" w:rsidRPr="00E649C2" w:rsidRDefault="0005598A" w:rsidP="00477F79">
      <w:pPr>
        <w:spacing w:line="276" w:lineRule="auto"/>
        <w:ind w:left="720"/>
      </w:pPr>
      <w:r>
        <w:t xml:space="preserve">Because Empire Disposal </w:t>
      </w:r>
      <w:r w:rsidR="001B6BC4" w:rsidRPr="00E649C2">
        <w:t xml:space="preserve">accepted responsibility for </w:t>
      </w:r>
      <w:r w:rsidR="00E649C2" w:rsidRPr="00E649C2">
        <w:t xml:space="preserve">the majority of </w:t>
      </w:r>
      <w:proofErr w:type="spellStart"/>
      <w:r w:rsidR="00E649C2" w:rsidRPr="00E649C2">
        <w:t>occurences</w:t>
      </w:r>
      <w:proofErr w:type="spellEnd"/>
      <w:r w:rsidR="00E649C2" w:rsidRPr="00E649C2">
        <w:t xml:space="preserve"> of this violation, staff recommends </w:t>
      </w:r>
      <w:r w:rsidR="00DD4110" w:rsidRPr="00E649C2">
        <w:t>mitigation of this penalty from $</w:t>
      </w:r>
      <w:r w:rsidR="00E649C2" w:rsidRPr="00E649C2">
        <w:t>5,200 to $2</w:t>
      </w:r>
      <w:r w:rsidR="00DD4110" w:rsidRPr="00E649C2">
        <w:t>,</w:t>
      </w:r>
      <w:r w:rsidR="00E649C2" w:rsidRPr="00E649C2">
        <w:t>6</w:t>
      </w:r>
      <w:r w:rsidR="00DD4110" w:rsidRPr="00E649C2">
        <w:t>00.</w:t>
      </w:r>
    </w:p>
    <w:p w14:paraId="5EEB2C6A" w14:textId="77777777" w:rsidR="00F8486F" w:rsidRPr="00E649C2" w:rsidRDefault="00F8486F" w:rsidP="00477F79">
      <w:pPr>
        <w:pStyle w:val="ListParagraph"/>
        <w:spacing w:line="276" w:lineRule="auto"/>
      </w:pPr>
    </w:p>
    <w:p w14:paraId="7F75B976" w14:textId="08BF6A35" w:rsidR="00E649C2" w:rsidRDefault="00A96DE4" w:rsidP="00FB34F1">
      <w:pPr>
        <w:pStyle w:val="ListParagraph"/>
        <w:numPr>
          <w:ilvl w:val="0"/>
          <w:numId w:val="10"/>
        </w:numPr>
        <w:spacing w:after="240"/>
        <w:contextualSpacing w:val="0"/>
      </w:pPr>
      <w:r w:rsidRPr="00E649C2">
        <w:rPr>
          <w:b/>
        </w:rPr>
        <w:t xml:space="preserve">Mitigation </w:t>
      </w:r>
      <w:r w:rsidR="005A689C" w:rsidRPr="00E649C2">
        <w:rPr>
          <w:b/>
        </w:rPr>
        <w:t>r</w:t>
      </w:r>
      <w:r w:rsidRPr="00E649C2">
        <w:rPr>
          <w:b/>
        </w:rPr>
        <w:t xml:space="preserve">equest: </w:t>
      </w:r>
      <w:r w:rsidRPr="00E649C2">
        <w:t>CFR 391.51(</w:t>
      </w:r>
      <w:r w:rsidR="00BE5BDD" w:rsidRPr="00E649C2">
        <w:t>b</w:t>
      </w:r>
      <w:proofErr w:type="gramStart"/>
      <w:r w:rsidRPr="00E649C2">
        <w:t>)</w:t>
      </w:r>
      <w:r w:rsidR="00BE5BDD" w:rsidRPr="00E649C2">
        <w:t>(</w:t>
      </w:r>
      <w:proofErr w:type="gramEnd"/>
      <w:r w:rsidR="00E649C2" w:rsidRPr="00E649C2">
        <w:t>2</w:t>
      </w:r>
      <w:r w:rsidR="00BE5BDD" w:rsidRPr="00E649C2">
        <w:t xml:space="preserve">) – </w:t>
      </w:r>
      <w:r w:rsidR="00E649C2" w:rsidRPr="00E649C2">
        <w:t xml:space="preserve">Failing to maintain inquiries into driver’s driving record in driver’s qualification file.  </w:t>
      </w:r>
      <w:r w:rsidR="00E649C2">
        <w:t>Empire Disposal fai</w:t>
      </w:r>
      <w:r w:rsidR="00BA6053">
        <w:t xml:space="preserve">led to maintain inquiries into </w:t>
      </w:r>
      <w:r w:rsidR="00E649C2">
        <w:t>driving record</w:t>
      </w:r>
      <w:r w:rsidR="00BA6053">
        <w:t>s</w:t>
      </w:r>
      <w:r w:rsidR="00E649C2">
        <w:t xml:space="preserve"> in the driver qualification files of </w:t>
      </w:r>
      <w:r w:rsidR="0005598A">
        <w:t xml:space="preserve">four employees: </w:t>
      </w:r>
      <w:r w:rsidR="00E649C2">
        <w:t xml:space="preserve">John Hall, Brian Johnson, Troy Scott, and Daniel Young. </w:t>
      </w:r>
    </w:p>
    <w:p w14:paraId="6258E531" w14:textId="2EB31B04" w:rsidR="00E649C2" w:rsidRDefault="00E649C2" w:rsidP="00E649C2">
      <w:pPr>
        <w:pStyle w:val="ListParagraph"/>
        <w:spacing w:after="240"/>
        <w:ind w:left="778"/>
        <w:contextualSpacing w:val="0"/>
      </w:pPr>
      <w:r>
        <w:t>Empire Disposal disputes this violation. The company states that it maintains complete driver qualification files online and tha</w:t>
      </w:r>
      <w:r w:rsidR="000E3710">
        <w:t>t I</w:t>
      </w:r>
      <w:r>
        <w:t>nvestigator</w:t>
      </w:r>
      <w:r w:rsidR="000E3710">
        <w:t xml:space="preserve"> </w:t>
      </w:r>
      <w:r>
        <w:t>Yeomans, was not specific as to which documents were required to be available when she requested driver files.</w:t>
      </w:r>
    </w:p>
    <w:p w14:paraId="785F1163" w14:textId="77777777" w:rsidR="000E3710" w:rsidRDefault="005A689C" w:rsidP="00477F79">
      <w:pPr>
        <w:spacing w:line="276" w:lineRule="auto"/>
        <w:ind w:left="720"/>
      </w:pPr>
      <w:r w:rsidRPr="00E649C2">
        <w:rPr>
          <w:b/>
        </w:rPr>
        <w:t xml:space="preserve">Staff response: </w:t>
      </w:r>
      <w:bookmarkStart w:id="2" w:name="_Hlk471393677"/>
      <w:r w:rsidR="000E3710">
        <w:t xml:space="preserve">During the compliance review, Ms. Yeomans did review the electronic driver files for drivers John Hall, Brian Johnson, Troy Scott and Daniel Young. Ms. Yeomans observed driver’s licenses and medical certificates for each driver, but did not observe inquiries into each driver’s driving record. </w:t>
      </w:r>
    </w:p>
    <w:p w14:paraId="465436EF" w14:textId="77777777" w:rsidR="000E3710" w:rsidRDefault="000E3710" w:rsidP="00477F79">
      <w:pPr>
        <w:spacing w:line="276" w:lineRule="auto"/>
        <w:ind w:left="720"/>
      </w:pPr>
    </w:p>
    <w:p w14:paraId="509EB18A" w14:textId="4C7F861C" w:rsidR="00DD4110" w:rsidRPr="00E649C2" w:rsidRDefault="000E3710" w:rsidP="000E3710">
      <w:pPr>
        <w:ind w:left="720"/>
        <w:contextualSpacing/>
      </w:pPr>
      <w:r>
        <w:t>This company was purchased by Waste Connections in May 2004</w:t>
      </w:r>
      <w:r w:rsidR="007F2B1E">
        <w:t xml:space="preserve">. </w:t>
      </w:r>
      <w:r>
        <w:t xml:space="preserve">At the company’s most recent compliance review and technical assistance in 2008, no similar violations were noted. Staff believes the </w:t>
      </w:r>
      <w:r w:rsidRPr="00EE66E0">
        <w:t xml:space="preserve">company knew, or should have known about the </w:t>
      </w:r>
      <w:r>
        <w:t xml:space="preserve">content </w:t>
      </w:r>
      <w:r w:rsidRPr="00EE66E0">
        <w:t>requir</w:t>
      </w:r>
      <w:r>
        <w:t xml:space="preserve">ements for driver qualification files. Although four files were found to be in violation, the penalty in this case is $100 for </w:t>
      </w:r>
      <w:r w:rsidR="00FB34F1">
        <w:t xml:space="preserve">only </w:t>
      </w:r>
      <w:r>
        <w:t>one violation of this type. Staff recommends no further mitigation of this penalty.</w:t>
      </w:r>
      <w:bookmarkEnd w:id="2"/>
    </w:p>
    <w:p w14:paraId="76D80D4C" w14:textId="77777777" w:rsidR="00DD4110" w:rsidRPr="00E649C2" w:rsidRDefault="00DD4110" w:rsidP="00477F79">
      <w:pPr>
        <w:spacing w:line="276" w:lineRule="auto"/>
        <w:ind w:firstLine="720"/>
      </w:pPr>
    </w:p>
    <w:p w14:paraId="45BFF650" w14:textId="5E60FEDB" w:rsidR="00F8486F" w:rsidRPr="009B60C3" w:rsidRDefault="009B60C3" w:rsidP="00FB34F1">
      <w:pPr>
        <w:spacing w:after="160" w:line="276" w:lineRule="auto"/>
      </w:pPr>
      <w:r w:rsidRPr="00FB34F1">
        <w:rPr>
          <w:bCs/>
        </w:rPr>
        <w:t xml:space="preserve">Empire Disposal is a medium-sized operation, with </w:t>
      </w:r>
      <w:r w:rsidRPr="001F77CA">
        <w:t>16 commercial vehicles</w:t>
      </w:r>
      <w:r>
        <w:t xml:space="preserve">, </w:t>
      </w:r>
      <w:r w:rsidRPr="001F77CA">
        <w:t xml:space="preserve">four service trucks </w:t>
      </w:r>
      <w:r>
        <w:t xml:space="preserve">and </w:t>
      </w:r>
      <w:r w:rsidRPr="001F77CA">
        <w:t>10 commercial drivers</w:t>
      </w:r>
      <w:r w:rsidRPr="00FB34F1">
        <w:rPr>
          <w:bCs/>
        </w:rPr>
        <w:t xml:space="preserve">. </w:t>
      </w:r>
      <w:r w:rsidRPr="00EC13F0">
        <w:t xml:space="preserve">The company traveled </w:t>
      </w:r>
      <w:r>
        <w:t xml:space="preserve">305,000 </w:t>
      </w:r>
      <w:r w:rsidRPr="00EC13F0">
        <w:t>miles and reported $</w:t>
      </w:r>
      <w:r>
        <w:t xml:space="preserve">2,933,310 </w:t>
      </w:r>
      <w:r w:rsidRPr="00EC13F0">
        <w:t>in gross revenue for 2015.</w:t>
      </w:r>
      <w:r>
        <w:t xml:space="preserve"> </w:t>
      </w:r>
      <w:r w:rsidR="00670325" w:rsidRPr="009B60C3">
        <w:t xml:space="preserve">The company was cooperative and responsive, and </w:t>
      </w:r>
      <w:r>
        <w:t xml:space="preserve">is taking </w:t>
      </w:r>
      <w:r w:rsidR="00670325" w:rsidRPr="009B60C3">
        <w:t xml:space="preserve">steps to correct all violations </w:t>
      </w:r>
      <w:r w:rsidR="008B5EC3" w:rsidRPr="009B60C3">
        <w:t xml:space="preserve">and </w:t>
      </w:r>
      <w:r w:rsidR="00670325" w:rsidRPr="009B60C3">
        <w:t>stay in compliance. Staff recommends mitigation of the $</w:t>
      </w:r>
      <w:r>
        <w:t xml:space="preserve">5,300 </w:t>
      </w:r>
      <w:r w:rsidR="00670325" w:rsidRPr="009B60C3">
        <w:t>penalty to $</w:t>
      </w:r>
      <w:r>
        <w:t>2,700</w:t>
      </w:r>
      <w:r w:rsidR="00670325" w:rsidRPr="009B60C3">
        <w:t>.</w:t>
      </w:r>
    </w:p>
    <w:p w14:paraId="68F52441" w14:textId="77777777" w:rsidR="00F8486F" w:rsidRPr="00E649C2" w:rsidRDefault="00F8486F" w:rsidP="00477F79">
      <w:pPr>
        <w:spacing w:line="276" w:lineRule="auto"/>
      </w:pPr>
    </w:p>
    <w:p w14:paraId="4A1E1237" w14:textId="77777777" w:rsidR="009B60C3" w:rsidRDefault="009B60C3" w:rsidP="00477F79">
      <w:pPr>
        <w:pStyle w:val="BodyText"/>
        <w:widowControl/>
        <w:spacing w:line="276" w:lineRule="auto"/>
      </w:pPr>
    </w:p>
    <w:p w14:paraId="7EADAF14" w14:textId="77777777" w:rsidR="009B60C3" w:rsidRDefault="009B60C3" w:rsidP="00477F79">
      <w:pPr>
        <w:pStyle w:val="BodyText"/>
        <w:widowControl/>
        <w:spacing w:line="276" w:lineRule="auto"/>
      </w:pPr>
    </w:p>
    <w:p w14:paraId="7BE8728B" w14:textId="124DAF6A" w:rsidR="00F8486F" w:rsidRPr="00E649C2" w:rsidRDefault="000B50AF" w:rsidP="00477F79">
      <w:pPr>
        <w:pStyle w:val="BodyText"/>
        <w:widowControl/>
        <w:spacing w:line="276" w:lineRule="auto"/>
      </w:pPr>
      <w:r w:rsidRPr="00E649C2">
        <w:t xml:space="preserve">If you have any questions, please contact </w:t>
      </w:r>
      <w:r w:rsidR="00F8486F" w:rsidRPr="00E649C2">
        <w:t>Mike Turcott</w:t>
      </w:r>
      <w:r w:rsidRPr="00E649C2">
        <w:t>, Compliance Investigator, Transportation Safety, at 360-664-1</w:t>
      </w:r>
      <w:r w:rsidR="00F8486F" w:rsidRPr="00E649C2">
        <w:t>174</w:t>
      </w:r>
      <w:r w:rsidRPr="00E649C2">
        <w:t xml:space="preserve">, or by e-mail at </w:t>
      </w:r>
      <w:hyperlink r:id="rId11" w:history="1"/>
      <w:hyperlink r:id="rId12" w:history="1">
        <w:r w:rsidR="00F8486F" w:rsidRPr="00E649C2">
          <w:rPr>
            <w:rStyle w:val="Hyperlink"/>
          </w:rPr>
          <w:t>miturcot@utc.wa.gov</w:t>
        </w:r>
      </w:hyperlink>
      <w:r w:rsidR="00F8486F" w:rsidRPr="00E649C2">
        <w:t>.</w:t>
      </w:r>
    </w:p>
    <w:p w14:paraId="0396E7CE" w14:textId="1F7F2813" w:rsidR="000B50AF" w:rsidRPr="00E649C2" w:rsidRDefault="000B50AF" w:rsidP="00477F79">
      <w:pPr>
        <w:pStyle w:val="BodyText"/>
        <w:widowControl/>
        <w:spacing w:line="276" w:lineRule="auto"/>
      </w:pPr>
      <w:r w:rsidRPr="00E649C2">
        <w:t xml:space="preserve"> </w:t>
      </w:r>
    </w:p>
    <w:p w14:paraId="4F477B10" w14:textId="77777777" w:rsidR="000B50AF" w:rsidRPr="00E649C2" w:rsidRDefault="000B50AF" w:rsidP="00477F79">
      <w:pPr>
        <w:spacing w:line="276" w:lineRule="auto"/>
      </w:pPr>
    </w:p>
    <w:p w14:paraId="0448FB9E" w14:textId="77777777" w:rsidR="000B50AF" w:rsidRPr="00E649C2" w:rsidRDefault="000B50AF" w:rsidP="00477F79">
      <w:pPr>
        <w:spacing w:line="276" w:lineRule="auto"/>
      </w:pPr>
      <w:r w:rsidRPr="00E649C2">
        <w:t>Sincerely,</w:t>
      </w:r>
    </w:p>
    <w:p w14:paraId="7EE997F7" w14:textId="77777777" w:rsidR="000B50AF" w:rsidRPr="00E649C2" w:rsidRDefault="000B50AF" w:rsidP="00477F79">
      <w:pPr>
        <w:spacing w:line="276" w:lineRule="auto"/>
      </w:pPr>
    </w:p>
    <w:p w14:paraId="6277C814" w14:textId="77777777" w:rsidR="000B50AF" w:rsidRPr="00E649C2" w:rsidRDefault="000B50AF" w:rsidP="00477F79">
      <w:pPr>
        <w:spacing w:line="276" w:lineRule="auto"/>
      </w:pPr>
    </w:p>
    <w:p w14:paraId="28439018" w14:textId="77777777" w:rsidR="000B50AF" w:rsidRPr="00E649C2" w:rsidRDefault="000B50AF" w:rsidP="00477F79">
      <w:pPr>
        <w:spacing w:line="276" w:lineRule="auto"/>
      </w:pPr>
    </w:p>
    <w:p w14:paraId="42FBA09E" w14:textId="77777777" w:rsidR="000B50AF" w:rsidRPr="00E649C2" w:rsidRDefault="000B50AF" w:rsidP="00477F79">
      <w:pPr>
        <w:spacing w:line="276" w:lineRule="auto"/>
      </w:pPr>
      <w:r w:rsidRPr="00E649C2">
        <w:t>David Pratt</w:t>
      </w:r>
    </w:p>
    <w:p w14:paraId="4A4D9435" w14:textId="77777777" w:rsidR="000B50AF" w:rsidRPr="00E649C2" w:rsidRDefault="000B50AF" w:rsidP="00477F79">
      <w:pPr>
        <w:spacing w:line="276" w:lineRule="auto"/>
      </w:pPr>
      <w:r w:rsidRPr="00E649C2">
        <w:t>Assistant Director, Transportation Safety</w:t>
      </w:r>
    </w:p>
    <w:p w14:paraId="1D3B81AF" w14:textId="77777777" w:rsidR="000B50AF" w:rsidRPr="00E649C2" w:rsidRDefault="000B50AF" w:rsidP="00477F79">
      <w:pPr>
        <w:spacing w:line="276" w:lineRule="auto"/>
      </w:pPr>
    </w:p>
    <w:p w14:paraId="7A30A09D" w14:textId="5EDABB21" w:rsidR="00121610" w:rsidRPr="00E649C2" w:rsidRDefault="00121610" w:rsidP="00477F79"/>
    <w:sectPr w:rsidR="00121610" w:rsidRPr="00E649C2" w:rsidSect="00AB61BF">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C558" w14:textId="77777777" w:rsidR="002B19B9" w:rsidRDefault="002B19B9" w:rsidP="00AB61BF">
      <w:r>
        <w:separator/>
      </w:r>
    </w:p>
  </w:endnote>
  <w:endnote w:type="continuationSeparator" w:id="0">
    <w:p w14:paraId="6ED1C097" w14:textId="77777777" w:rsidR="002B19B9" w:rsidRDefault="002B19B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65CF0" w14:textId="77777777" w:rsidR="002B19B9" w:rsidRDefault="002B19B9" w:rsidP="00AB61BF">
      <w:r>
        <w:separator/>
      </w:r>
    </w:p>
  </w:footnote>
  <w:footnote w:type="continuationSeparator" w:id="0">
    <w:p w14:paraId="3ADE3B1E" w14:textId="77777777" w:rsidR="002B19B9" w:rsidRDefault="002B19B9" w:rsidP="00AB61BF">
      <w:r>
        <w:continuationSeparator/>
      </w:r>
    </w:p>
  </w:footnote>
  <w:footnote w:id="1">
    <w:p w14:paraId="3B30B519" w14:textId="632D7940" w:rsidR="00974BF6" w:rsidRDefault="00974BF6">
      <w:pPr>
        <w:pStyle w:val="FootnoteText"/>
      </w:pPr>
      <w:r w:rsidRPr="00233D33">
        <w:rPr>
          <w:rStyle w:val="FootnoteReference"/>
          <w:sz w:val="16"/>
          <w:szCs w:val="16"/>
        </w:rPr>
        <w:footnoteRef/>
      </w:r>
      <w:r>
        <w:t xml:space="preserve"> </w:t>
      </w:r>
      <w:r w:rsidRPr="00974BF6">
        <w:rPr>
          <w:bCs/>
          <w:iCs/>
        </w:rPr>
        <w:t xml:space="preserve">Code of Federal Regulations, </w:t>
      </w:r>
      <w:hyperlink r:id="rId1" w:history="1">
        <w:r w:rsidRPr="00974BF6">
          <w:rPr>
            <w:rStyle w:val="Hyperlink"/>
            <w:bCs/>
            <w:iCs/>
          </w:rPr>
          <w:t>Appendix B to Part 385—Explanation of safety rating process</w:t>
        </w:r>
      </w:hyperlink>
    </w:p>
  </w:footnote>
  <w:footnote w:id="2">
    <w:p w14:paraId="28840263" w14:textId="62C01660" w:rsidR="00974BF6" w:rsidRPr="00974BF6" w:rsidRDefault="00974BF6">
      <w:pPr>
        <w:pStyle w:val="FootnoteText"/>
        <w:rPr>
          <w:i/>
        </w:rPr>
      </w:pPr>
      <w:r w:rsidRPr="00233D33">
        <w:rPr>
          <w:rStyle w:val="FootnoteReference"/>
          <w:sz w:val="16"/>
          <w:szCs w:val="16"/>
        </w:rPr>
        <w:footnoteRef/>
      </w:r>
      <w:r>
        <w:t xml:space="preserve"> </w:t>
      </w:r>
      <w:r w:rsidRPr="00974BF6">
        <w:rPr>
          <w:i/>
        </w:rPr>
        <w:t>Id.</w:t>
      </w:r>
    </w:p>
  </w:footnote>
  <w:footnote w:id="3">
    <w:p w14:paraId="26010BB2" w14:textId="16888C98" w:rsidR="00B706C6" w:rsidRPr="00B706C6" w:rsidRDefault="00B706C6">
      <w:pPr>
        <w:pStyle w:val="FootnoteText"/>
        <w:rPr>
          <w:bCs/>
          <w:iCs/>
        </w:rPr>
      </w:pPr>
      <w:r w:rsidRPr="00233D33">
        <w:rPr>
          <w:rStyle w:val="FootnoteReference"/>
          <w:sz w:val="16"/>
          <w:szCs w:val="16"/>
        </w:rPr>
        <w:footnoteRef/>
      </w:r>
      <w:r>
        <w:t xml:space="preserve"> </w:t>
      </w:r>
      <w:r w:rsidRPr="00B706C6">
        <w:rPr>
          <w:bCs/>
          <w:iCs/>
        </w:rPr>
        <w:t>Docket A-120061 – Enforcement Policy of the Washington Utilities &amp; Transportation Commission – Section V</w:t>
      </w:r>
      <w:r>
        <w:rPr>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BC0E7E" w:rsidRDefault="00245AF9">
    <w:pPr>
      <w:pStyle w:val="Header"/>
      <w:rPr>
        <w:szCs w:val="22"/>
      </w:rPr>
    </w:pPr>
    <w:r w:rsidRPr="00BC0E7E">
      <w:rPr>
        <w:szCs w:val="22"/>
      </w:rPr>
      <w:t>Steven King</w:t>
    </w:r>
  </w:p>
  <w:p w14:paraId="50675540" w14:textId="1A5C1E28" w:rsidR="00245AF9" w:rsidRPr="00BC0E7E" w:rsidRDefault="00672D25">
    <w:pPr>
      <w:pStyle w:val="Header"/>
      <w:rPr>
        <w:szCs w:val="22"/>
      </w:rPr>
    </w:pPr>
    <w:r w:rsidRPr="00BC0E7E">
      <w:rPr>
        <w:szCs w:val="22"/>
      </w:rPr>
      <w:t xml:space="preserve">February </w:t>
    </w:r>
    <w:r w:rsidR="007F41FF">
      <w:rPr>
        <w:szCs w:val="22"/>
      </w:rPr>
      <w:t>3</w:t>
    </w:r>
    <w:r w:rsidR="004C4789" w:rsidRPr="00BC0E7E">
      <w:rPr>
        <w:szCs w:val="22"/>
      </w:rPr>
      <w:t>, 2017</w:t>
    </w:r>
  </w:p>
  <w:p w14:paraId="58D477B0" w14:textId="43F6545A" w:rsidR="00245AF9" w:rsidRPr="00BC0E7E" w:rsidRDefault="00245AF9">
    <w:pPr>
      <w:pStyle w:val="Header"/>
      <w:rPr>
        <w:sz w:val="22"/>
        <w:szCs w:val="20"/>
      </w:rPr>
    </w:pPr>
    <w:r w:rsidRPr="00BC0E7E">
      <w:rPr>
        <w:szCs w:val="22"/>
      </w:rPr>
      <w:t xml:space="preserve">Page </w:t>
    </w:r>
    <w:r w:rsidR="005C43E3" w:rsidRPr="00BC0E7E">
      <w:rPr>
        <w:szCs w:val="22"/>
      </w:rPr>
      <w:fldChar w:fldCharType="begin"/>
    </w:r>
    <w:r w:rsidR="005C43E3" w:rsidRPr="00BC0E7E">
      <w:rPr>
        <w:szCs w:val="22"/>
      </w:rPr>
      <w:instrText xml:space="preserve"> PAGE   \* MERGEFORMAT </w:instrText>
    </w:r>
    <w:r w:rsidR="005C43E3" w:rsidRPr="00BC0E7E">
      <w:rPr>
        <w:szCs w:val="22"/>
      </w:rPr>
      <w:fldChar w:fldCharType="separate"/>
    </w:r>
    <w:r w:rsidR="007F41FF">
      <w:rPr>
        <w:noProof/>
        <w:szCs w:val="22"/>
      </w:rPr>
      <w:t>4</w:t>
    </w:r>
    <w:r w:rsidR="005C43E3" w:rsidRPr="00BC0E7E">
      <w:rPr>
        <w:noProof/>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6FB6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24EFA"/>
    <w:multiLevelType w:val="hybridMultilevel"/>
    <w:tmpl w:val="20B4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25A40"/>
    <w:multiLevelType w:val="hybridMultilevel"/>
    <w:tmpl w:val="08BEC7F0"/>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4"/>
  </w:num>
  <w:num w:numId="6">
    <w:abstractNumId w:val="3"/>
  </w:num>
  <w:num w:numId="7">
    <w:abstractNumId w:val="10"/>
  </w:num>
  <w:num w:numId="8">
    <w:abstractNumId w:val="1"/>
  </w:num>
  <w:num w:numId="9">
    <w:abstractNumId w:val="6"/>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5875"/>
    <w:rsid w:val="0005598A"/>
    <w:rsid w:val="000637E3"/>
    <w:rsid w:val="00063930"/>
    <w:rsid w:val="00083777"/>
    <w:rsid w:val="000876F5"/>
    <w:rsid w:val="000968DD"/>
    <w:rsid w:val="00096996"/>
    <w:rsid w:val="000B50AF"/>
    <w:rsid w:val="000B778A"/>
    <w:rsid w:val="000D3D22"/>
    <w:rsid w:val="000D603A"/>
    <w:rsid w:val="000D7181"/>
    <w:rsid w:val="000E11BD"/>
    <w:rsid w:val="000E1E5B"/>
    <w:rsid w:val="000E3710"/>
    <w:rsid w:val="000E4875"/>
    <w:rsid w:val="000E7251"/>
    <w:rsid w:val="000F02C6"/>
    <w:rsid w:val="00111248"/>
    <w:rsid w:val="00121610"/>
    <w:rsid w:val="00125674"/>
    <w:rsid w:val="0013094C"/>
    <w:rsid w:val="00131730"/>
    <w:rsid w:val="0013536A"/>
    <w:rsid w:val="001353BD"/>
    <w:rsid w:val="00136FC8"/>
    <w:rsid w:val="0014327C"/>
    <w:rsid w:val="00147032"/>
    <w:rsid w:val="00147DB5"/>
    <w:rsid w:val="0015306D"/>
    <w:rsid w:val="0015469B"/>
    <w:rsid w:val="001804DD"/>
    <w:rsid w:val="0018490A"/>
    <w:rsid w:val="001A38CA"/>
    <w:rsid w:val="001B14D3"/>
    <w:rsid w:val="001B30CA"/>
    <w:rsid w:val="001B6BC4"/>
    <w:rsid w:val="001C449E"/>
    <w:rsid w:val="001C6369"/>
    <w:rsid w:val="001C7B2A"/>
    <w:rsid w:val="001D1800"/>
    <w:rsid w:val="001E77EB"/>
    <w:rsid w:val="001F31D2"/>
    <w:rsid w:val="00213ED3"/>
    <w:rsid w:val="00216F02"/>
    <w:rsid w:val="00225AB5"/>
    <w:rsid w:val="00233D33"/>
    <w:rsid w:val="00234A85"/>
    <w:rsid w:val="00237F30"/>
    <w:rsid w:val="00245AF9"/>
    <w:rsid w:val="00250E07"/>
    <w:rsid w:val="00257F34"/>
    <w:rsid w:val="002628CB"/>
    <w:rsid w:val="002640EA"/>
    <w:rsid w:val="002712B3"/>
    <w:rsid w:val="00273D2C"/>
    <w:rsid w:val="0027539A"/>
    <w:rsid w:val="00275591"/>
    <w:rsid w:val="002834FA"/>
    <w:rsid w:val="0029298F"/>
    <w:rsid w:val="002B19B9"/>
    <w:rsid w:val="002B6420"/>
    <w:rsid w:val="002B6E16"/>
    <w:rsid w:val="002C17DC"/>
    <w:rsid w:val="002C67BA"/>
    <w:rsid w:val="002D2453"/>
    <w:rsid w:val="002D6081"/>
    <w:rsid w:val="003225B5"/>
    <w:rsid w:val="00353540"/>
    <w:rsid w:val="003543FC"/>
    <w:rsid w:val="00355572"/>
    <w:rsid w:val="0035627B"/>
    <w:rsid w:val="0036446F"/>
    <w:rsid w:val="00364B9E"/>
    <w:rsid w:val="00364DA6"/>
    <w:rsid w:val="003669F5"/>
    <w:rsid w:val="0038696B"/>
    <w:rsid w:val="003B477D"/>
    <w:rsid w:val="003B74A9"/>
    <w:rsid w:val="003C5AEE"/>
    <w:rsid w:val="003D3767"/>
    <w:rsid w:val="003E2E17"/>
    <w:rsid w:val="003E3CF5"/>
    <w:rsid w:val="003E63F7"/>
    <w:rsid w:val="00405161"/>
    <w:rsid w:val="004060AA"/>
    <w:rsid w:val="00414D74"/>
    <w:rsid w:val="00417016"/>
    <w:rsid w:val="004255B9"/>
    <w:rsid w:val="00430622"/>
    <w:rsid w:val="00433DFE"/>
    <w:rsid w:val="004436A8"/>
    <w:rsid w:val="00444A09"/>
    <w:rsid w:val="0045135A"/>
    <w:rsid w:val="00456BD7"/>
    <w:rsid w:val="00456D30"/>
    <w:rsid w:val="004621D8"/>
    <w:rsid w:val="004645CB"/>
    <w:rsid w:val="00465E32"/>
    <w:rsid w:val="00470F05"/>
    <w:rsid w:val="00477F79"/>
    <w:rsid w:val="004847F9"/>
    <w:rsid w:val="004943B3"/>
    <w:rsid w:val="00497AE6"/>
    <w:rsid w:val="004A04C0"/>
    <w:rsid w:val="004A143B"/>
    <w:rsid w:val="004A1B53"/>
    <w:rsid w:val="004A20AB"/>
    <w:rsid w:val="004A59E3"/>
    <w:rsid w:val="004C18D8"/>
    <w:rsid w:val="004C1A29"/>
    <w:rsid w:val="004C4789"/>
    <w:rsid w:val="004F5756"/>
    <w:rsid w:val="004F68C9"/>
    <w:rsid w:val="00504739"/>
    <w:rsid w:val="00516521"/>
    <w:rsid w:val="00517073"/>
    <w:rsid w:val="00531C07"/>
    <w:rsid w:val="00533DD6"/>
    <w:rsid w:val="00534FE3"/>
    <w:rsid w:val="00535863"/>
    <w:rsid w:val="005431AE"/>
    <w:rsid w:val="0054755F"/>
    <w:rsid w:val="00572F1D"/>
    <w:rsid w:val="00575A54"/>
    <w:rsid w:val="005763F7"/>
    <w:rsid w:val="0058130D"/>
    <w:rsid w:val="00595A18"/>
    <w:rsid w:val="005A073E"/>
    <w:rsid w:val="005A689C"/>
    <w:rsid w:val="005B3230"/>
    <w:rsid w:val="005B4E86"/>
    <w:rsid w:val="005C3742"/>
    <w:rsid w:val="005C43E3"/>
    <w:rsid w:val="005C789C"/>
    <w:rsid w:val="005D7FF2"/>
    <w:rsid w:val="005E2C56"/>
    <w:rsid w:val="005E4873"/>
    <w:rsid w:val="005F2A13"/>
    <w:rsid w:val="005F32B2"/>
    <w:rsid w:val="006032AE"/>
    <w:rsid w:val="00603E96"/>
    <w:rsid w:val="0062626E"/>
    <w:rsid w:val="006267CA"/>
    <w:rsid w:val="00637DAF"/>
    <w:rsid w:val="0064615A"/>
    <w:rsid w:val="006563B8"/>
    <w:rsid w:val="00660A2B"/>
    <w:rsid w:val="00670325"/>
    <w:rsid w:val="0067173B"/>
    <w:rsid w:val="00672D25"/>
    <w:rsid w:val="00690AE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1C06"/>
    <w:rsid w:val="00702900"/>
    <w:rsid w:val="00704624"/>
    <w:rsid w:val="00715F88"/>
    <w:rsid w:val="00716032"/>
    <w:rsid w:val="00726133"/>
    <w:rsid w:val="007305EA"/>
    <w:rsid w:val="00732F07"/>
    <w:rsid w:val="007352B5"/>
    <w:rsid w:val="00737380"/>
    <w:rsid w:val="00745630"/>
    <w:rsid w:val="00755695"/>
    <w:rsid w:val="007571E6"/>
    <w:rsid w:val="00763902"/>
    <w:rsid w:val="007A2CAE"/>
    <w:rsid w:val="007A4CBE"/>
    <w:rsid w:val="007C5E20"/>
    <w:rsid w:val="007D33EF"/>
    <w:rsid w:val="007E3551"/>
    <w:rsid w:val="007F2613"/>
    <w:rsid w:val="007F2B1E"/>
    <w:rsid w:val="007F41FF"/>
    <w:rsid w:val="007F6D68"/>
    <w:rsid w:val="0080300E"/>
    <w:rsid w:val="00817C8A"/>
    <w:rsid w:val="008230E3"/>
    <w:rsid w:val="00826FEA"/>
    <w:rsid w:val="0083782A"/>
    <w:rsid w:val="00856CAA"/>
    <w:rsid w:val="00867DC1"/>
    <w:rsid w:val="008B5EC3"/>
    <w:rsid w:val="008B786A"/>
    <w:rsid w:val="008C283E"/>
    <w:rsid w:val="008D4F02"/>
    <w:rsid w:val="008F1B59"/>
    <w:rsid w:val="009246E4"/>
    <w:rsid w:val="00944B34"/>
    <w:rsid w:val="0097341B"/>
    <w:rsid w:val="00974BF6"/>
    <w:rsid w:val="009765B2"/>
    <w:rsid w:val="00995243"/>
    <w:rsid w:val="009A6480"/>
    <w:rsid w:val="009B60C3"/>
    <w:rsid w:val="009D0F33"/>
    <w:rsid w:val="009D14CC"/>
    <w:rsid w:val="009E4818"/>
    <w:rsid w:val="009F0A9E"/>
    <w:rsid w:val="009F496B"/>
    <w:rsid w:val="009F69BF"/>
    <w:rsid w:val="009F6D8C"/>
    <w:rsid w:val="00A029BF"/>
    <w:rsid w:val="00A11808"/>
    <w:rsid w:val="00A22724"/>
    <w:rsid w:val="00A273F5"/>
    <w:rsid w:val="00A45B57"/>
    <w:rsid w:val="00A538E2"/>
    <w:rsid w:val="00A74CE3"/>
    <w:rsid w:val="00A940E9"/>
    <w:rsid w:val="00A96DE4"/>
    <w:rsid w:val="00AA4E90"/>
    <w:rsid w:val="00AA5851"/>
    <w:rsid w:val="00AB4CAA"/>
    <w:rsid w:val="00AB61BF"/>
    <w:rsid w:val="00AC48BF"/>
    <w:rsid w:val="00AD48B2"/>
    <w:rsid w:val="00AE15E3"/>
    <w:rsid w:val="00AF79B4"/>
    <w:rsid w:val="00B0438D"/>
    <w:rsid w:val="00B147A9"/>
    <w:rsid w:val="00B2703B"/>
    <w:rsid w:val="00B27BD0"/>
    <w:rsid w:val="00B52988"/>
    <w:rsid w:val="00B54BA4"/>
    <w:rsid w:val="00B6047C"/>
    <w:rsid w:val="00B639B4"/>
    <w:rsid w:val="00B706C6"/>
    <w:rsid w:val="00B92B3A"/>
    <w:rsid w:val="00B92E80"/>
    <w:rsid w:val="00BA0B85"/>
    <w:rsid w:val="00BA381D"/>
    <w:rsid w:val="00BA6053"/>
    <w:rsid w:val="00BA7782"/>
    <w:rsid w:val="00BC0E7E"/>
    <w:rsid w:val="00BC4229"/>
    <w:rsid w:val="00BC4721"/>
    <w:rsid w:val="00BD23F4"/>
    <w:rsid w:val="00BE3E85"/>
    <w:rsid w:val="00BE5BDD"/>
    <w:rsid w:val="00BF1089"/>
    <w:rsid w:val="00C00362"/>
    <w:rsid w:val="00C1387D"/>
    <w:rsid w:val="00C14192"/>
    <w:rsid w:val="00C27CEE"/>
    <w:rsid w:val="00C31482"/>
    <w:rsid w:val="00C36B9D"/>
    <w:rsid w:val="00C443C0"/>
    <w:rsid w:val="00C73FCA"/>
    <w:rsid w:val="00C905EF"/>
    <w:rsid w:val="00C959D1"/>
    <w:rsid w:val="00C9626E"/>
    <w:rsid w:val="00CA017A"/>
    <w:rsid w:val="00CA0B37"/>
    <w:rsid w:val="00CE03AB"/>
    <w:rsid w:val="00CE37D5"/>
    <w:rsid w:val="00CF33A3"/>
    <w:rsid w:val="00CF7C80"/>
    <w:rsid w:val="00D32561"/>
    <w:rsid w:val="00D53B59"/>
    <w:rsid w:val="00D57864"/>
    <w:rsid w:val="00D75EF6"/>
    <w:rsid w:val="00D80068"/>
    <w:rsid w:val="00D83EEB"/>
    <w:rsid w:val="00D9038D"/>
    <w:rsid w:val="00D91265"/>
    <w:rsid w:val="00DB7A1B"/>
    <w:rsid w:val="00DD4110"/>
    <w:rsid w:val="00DF64A3"/>
    <w:rsid w:val="00DF711D"/>
    <w:rsid w:val="00E02DF3"/>
    <w:rsid w:val="00E142E7"/>
    <w:rsid w:val="00E228DB"/>
    <w:rsid w:val="00E60871"/>
    <w:rsid w:val="00E649C2"/>
    <w:rsid w:val="00E7387A"/>
    <w:rsid w:val="00E95575"/>
    <w:rsid w:val="00EA03FE"/>
    <w:rsid w:val="00EA385B"/>
    <w:rsid w:val="00EC14C3"/>
    <w:rsid w:val="00EC5D40"/>
    <w:rsid w:val="00ED1C3A"/>
    <w:rsid w:val="00EE231D"/>
    <w:rsid w:val="00EE5575"/>
    <w:rsid w:val="00EE5A06"/>
    <w:rsid w:val="00EF79E8"/>
    <w:rsid w:val="00F0157C"/>
    <w:rsid w:val="00F20DAD"/>
    <w:rsid w:val="00F32A6D"/>
    <w:rsid w:val="00F40076"/>
    <w:rsid w:val="00F65ABE"/>
    <w:rsid w:val="00F8486F"/>
    <w:rsid w:val="00F84BFD"/>
    <w:rsid w:val="00FA2D09"/>
    <w:rsid w:val="00FA561C"/>
    <w:rsid w:val="00FB12F8"/>
    <w:rsid w:val="00FB34F1"/>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0B50AF"/>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B50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0B50A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character" w:styleId="CommentReference">
    <w:name w:val="annotation reference"/>
    <w:basedOn w:val="DefaultParagraphFont"/>
    <w:uiPriority w:val="99"/>
    <w:semiHidden/>
    <w:unhideWhenUsed/>
    <w:rsid w:val="0029298F"/>
    <w:rPr>
      <w:sz w:val="16"/>
      <w:szCs w:val="16"/>
    </w:rPr>
  </w:style>
  <w:style w:type="paragraph" w:styleId="CommentText">
    <w:name w:val="annotation text"/>
    <w:basedOn w:val="Normal"/>
    <w:link w:val="CommentTextChar"/>
    <w:uiPriority w:val="99"/>
    <w:semiHidden/>
    <w:unhideWhenUsed/>
    <w:rsid w:val="0029298F"/>
    <w:rPr>
      <w:sz w:val="20"/>
      <w:szCs w:val="20"/>
    </w:rPr>
  </w:style>
  <w:style w:type="character" w:customStyle="1" w:styleId="CommentTextChar">
    <w:name w:val="Comment Text Char"/>
    <w:basedOn w:val="DefaultParagraphFont"/>
    <w:link w:val="CommentText"/>
    <w:uiPriority w:val="99"/>
    <w:semiHidden/>
    <w:rsid w:val="002929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98F"/>
    <w:rPr>
      <w:b/>
      <w:bCs/>
    </w:rPr>
  </w:style>
  <w:style w:type="character" w:customStyle="1" w:styleId="CommentSubjectChar">
    <w:name w:val="Comment Subject Char"/>
    <w:basedOn w:val="CommentTextChar"/>
    <w:link w:val="CommentSubject"/>
    <w:uiPriority w:val="99"/>
    <w:semiHidden/>
    <w:rsid w:val="002929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turcot@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mcsa.dot.gov/regulations/title49/section/385.Appendix%20B%20to%20Part%203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2016-12-14T08:00:00+00:00</OpenedDate>
    <Date1 xmlns="dc463f71-b30c-4ab2-9473-d307f9d35888">2017-02-03T17:41:41+00:00</Date1>
    <IsDocumentOrder xmlns="dc463f71-b30c-4ab2-9473-d307f9d35888" xsi:nil="true"/>
    <IsHighlyConfidential xmlns="dc463f71-b30c-4ab2-9473-d307f9d35888">false</IsHighlyConfidential>
    <CaseCompanyNames xmlns="dc463f71-b30c-4ab2-9473-d307f9d35888">EMPIRE DISPOSAL INC</CaseCompanyNames>
    <Nickname xmlns="http://schemas.microsoft.com/sharepoint/v3" xsi:nil="true"/>
    <DocketNumber xmlns="dc463f71-b30c-4ab2-9473-d307f9d35888">161282</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C25BDD3C99474AA1CAF44365655137" ma:contentTypeVersion="96" ma:contentTypeDescription="" ma:contentTypeScope="" ma:versionID="61775fe098b7b573ac29e76651e0ad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93378-2CA4-4C95-91CB-8479006B8BD7}"/>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D4D21186-BB63-4DE9-8AF1-40396A9E1C44}">
  <ds:schemaRefs>
    <ds:schemaRef ds:uri="http://purl.org/dc/dcmitype/"/>
    <ds:schemaRef ds:uri="5eb6b57d-c27e-486f-894e-bc42e5e07d41"/>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sharepoint/v3"/>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C8F763E-1599-4799-A296-E1409A59ABD1}">
  <ds:schemaRefs>
    <ds:schemaRef ds:uri="http://schemas.openxmlformats.org/officeDocument/2006/bibliography"/>
  </ds:schemaRefs>
</ds:datastoreItem>
</file>

<file path=customXml/itemProps5.xml><?xml version="1.0" encoding="utf-8"?>
<ds:datastoreItem xmlns:ds="http://schemas.openxmlformats.org/officeDocument/2006/customXml" ds:itemID="{43B06A87-40ED-4B59-94E3-35169B2B8EDC}"/>
</file>

<file path=docProps/app.xml><?xml version="1.0" encoding="utf-8"?>
<Properties xmlns="http://schemas.openxmlformats.org/officeDocument/2006/extended-properties" xmlns:vt="http://schemas.openxmlformats.org/officeDocument/2006/docPropsVTypes">
  <Template>Normal.dotm</Template>
  <TotalTime>633</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11</cp:revision>
  <cp:lastPrinted>2017-02-02T18:56:00Z</cp:lastPrinted>
  <dcterms:created xsi:type="dcterms:W3CDTF">2017-02-01T16:30:00Z</dcterms:created>
  <dcterms:modified xsi:type="dcterms:W3CDTF">2017-02-03T15:49:00Z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0x0101006E56B4D1795A2E4DB2F0B01679ED314A007DC25BDD3C99474AA1CAF44365655137</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