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83D9D" w14:textId="487579CE" w:rsidR="00214284" w:rsidRPr="005440CF" w:rsidRDefault="00214284" w:rsidP="00214284">
      <w:bookmarkStart w:id="0" w:name="_GoBack"/>
      <w:bookmarkEnd w:id="0"/>
      <w:r w:rsidRPr="007F5A7E">
        <w:t>Agenda Date:</w:t>
      </w:r>
      <w:r w:rsidRPr="007F5A7E">
        <w:tab/>
      </w:r>
      <w:r w:rsidRPr="007F5A7E">
        <w:tab/>
      </w:r>
      <w:r w:rsidR="00314282" w:rsidRPr="007F5A7E">
        <w:t>March</w:t>
      </w:r>
      <w:r w:rsidRPr="007F5A7E">
        <w:t xml:space="preserve"> </w:t>
      </w:r>
      <w:r w:rsidR="00472C70" w:rsidRPr="007F5A7E">
        <w:t>16</w:t>
      </w:r>
      <w:r w:rsidRPr="007F5A7E">
        <w:t>, 2017</w:t>
      </w:r>
    </w:p>
    <w:p w14:paraId="0EB70A41" w14:textId="54E4EB99" w:rsidR="00214284" w:rsidRPr="005440CF" w:rsidRDefault="00214284" w:rsidP="00214284">
      <w:r w:rsidRPr="005440CF">
        <w:t>Item Number:</w:t>
      </w:r>
      <w:r w:rsidRPr="005440CF">
        <w:tab/>
      </w:r>
      <w:r w:rsidR="00314282">
        <w:tab/>
      </w:r>
      <w:r w:rsidR="00B40C2F">
        <w:t>A</w:t>
      </w:r>
      <w:r w:rsidR="000A6F80">
        <w:t>1</w:t>
      </w:r>
    </w:p>
    <w:p w14:paraId="1F110F1F" w14:textId="77777777" w:rsidR="00214284" w:rsidRPr="005440CF" w:rsidRDefault="00214284" w:rsidP="00214284"/>
    <w:p w14:paraId="6C7DD1E1" w14:textId="77777777" w:rsidR="00214284" w:rsidRPr="00204A52" w:rsidRDefault="00214284" w:rsidP="00214284">
      <w:pPr>
        <w:rPr>
          <w:b/>
        </w:rPr>
      </w:pPr>
      <w:r w:rsidRPr="00204A52">
        <w:rPr>
          <w:b/>
        </w:rPr>
        <w:t>Docket</w:t>
      </w:r>
      <w:r>
        <w:rPr>
          <w:b/>
        </w:rPr>
        <w:t>:</w:t>
      </w:r>
      <w:r>
        <w:rPr>
          <w:b/>
        </w:rPr>
        <w:tab/>
      </w:r>
      <w:r>
        <w:rPr>
          <w:b/>
        </w:rPr>
        <w:tab/>
      </w:r>
      <w:r w:rsidRPr="00204A52">
        <w:rPr>
          <w:b/>
        </w:rPr>
        <w:t>U</w:t>
      </w:r>
      <w:r>
        <w:rPr>
          <w:b/>
        </w:rPr>
        <w:t>G-161253</w:t>
      </w:r>
    </w:p>
    <w:p w14:paraId="6994F84D" w14:textId="77777777" w:rsidR="00214284" w:rsidRDefault="00214284" w:rsidP="00214284">
      <w:r w:rsidRPr="005440CF">
        <w:t>Company:</w:t>
      </w:r>
      <w:r w:rsidRPr="005440CF">
        <w:tab/>
      </w:r>
      <w:r w:rsidRPr="005440CF">
        <w:tab/>
      </w:r>
      <w:r w:rsidRPr="00A52463">
        <w:t>Cascade Natural Gas Corporation</w:t>
      </w:r>
    </w:p>
    <w:p w14:paraId="13068EEC" w14:textId="77777777" w:rsidR="004301CD" w:rsidRPr="005440CF" w:rsidRDefault="004301CD" w:rsidP="00214284"/>
    <w:p w14:paraId="23DA1146" w14:textId="2FACE398" w:rsidR="00DA7AA0" w:rsidRPr="005440CF" w:rsidRDefault="00214284" w:rsidP="00214284">
      <w:r w:rsidRPr="005440CF">
        <w:t>Staff:</w:t>
      </w:r>
      <w:r w:rsidRPr="005440CF">
        <w:tab/>
      </w:r>
      <w:r w:rsidRPr="005440CF">
        <w:tab/>
      </w:r>
      <w:r w:rsidRPr="005440CF">
        <w:tab/>
      </w:r>
      <w:r w:rsidR="004301CD">
        <w:t>Kathi Scanlan</w:t>
      </w:r>
      <w:r w:rsidRPr="005440CF">
        <w:t>, Regulatory Analyst</w:t>
      </w:r>
    </w:p>
    <w:p w14:paraId="57A7CD4E" w14:textId="77777777" w:rsidR="00214284" w:rsidRPr="005440CF" w:rsidRDefault="00214284" w:rsidP="00214284">
      <w:r>
        <w:tab/>
      </w:r>
      <w:r>
        <w:tab/>
      </w:r>
    </w:p>
    <w:p w14:paraId="5B7C0A5E" w14:textId="77777777" w:rsidR="00214284" w:rsidRPr="007F682C" w:rsidRDefault="00214284" w:rsidP="00214284">
      <w:pPr>
        <w:pStyle w:val="Heading1"/>
        <w:rPr>
          <w:u w:val="single"/>
        </w:rPr>
      </w:pPr>
      <w:r w:rsidRPr="007F682C">
        <w:rPr>
          <w:u w:val="single"/>
        </w:rPr>
        <w:t>Recommendations</w:t>
      </w:r>
    </w:p>
    <w:p w14:paraId="40A69A9B" w14:textId="7BB4AB03" w:rsidR="00214284" w:rsidRPr="008E5730" w:rsidRDefault="00597291" w:rsidP="00214284">
      <w:r>
        <w:t xml:space="preserve">Take no action, acknowledging </w:t>
      </w:r>
      <w:r w:rsidR="009E7891">
        <w:t xml:space="preserve">timely </w:t>
      </w:r>
      <w:r>
        <w:t xml:space="preserve">receipt of the 2017 Annual Conservation </w:t>
      </w:r>
      <w:r w:rsidR="00431FE1">
        <w:t>Plan</w:t>
      </w:r>
      <w:r>
        <w:t xml:space="preserve"> </w:t>
      </w:r>
      <w:r w:rsidR="003F4C78">
        <w:t xml:space="preserve">submitted </w:t>
      </w:r>
      <w:r w:rsidR="00092CBA">
        <w:t>on November 30</w:t>
      </w:r>
      <w:r>
        <w:t>, 2016, in Docket UG-161253.</w:t>
      </w:r>
    </w:p>
    <w:p w14:paraId="5285F9B5" w14:textId="77777777" w:rsidR="00214284" w:rsidRPr="007F682C" w:rsidRDefault="00214284" w:rsidP="00214284">
      <w:pPr>
        <w:pStyle w:val="Heading1"/>
        <w:rPr>
          <w:u w:val="single"/>
        </w:rPr>
      </w:pPr>
      <w:r w:rsidRPr="007F682C">
        <w:rPr>
          <w:u w:val="single"/>
        </w:rPr>
        <w:t>Background</w:t>
      </w:r>
    </w:p>
    <w:p w14:paraId="55D5AC68" w14:textId="302EDE2B" w:rsidR="00253F1A" w:rsidRDefault="00214284" w:rsidP="00214284">
      <w:r>
        <w:t xml:space="preserve">Cascade Natural Gas Corporation (Cascade or company) operates its natural gas conservation programs under the requirements </w:t>
      </w:r>
      <w:r w:rsidR="00F94C1C">
        <w:t xml:space="preserve">of the </w:t>
      </w:r>
      <w:r>
        <w:t>joint settlement agreement</w:t>
      </w:r>
      <w:r w:rsidR="00A671CE">
        <w:t xml:space="preserve"> and order</w:t>
      </w:r>
      <w:r>
        <w:t xml:space="preserve"> approved in </w:t>
      </w:r>
      <w:r w:rsidR="0026354E">
        <w:t>D</w:t>
      </w:r>
      <w:r>
        <w:t>ocket UG-152286.</w:t>
      </w:r>
      <w:r>
        <w:rPr>
          <w:rStyle w:val="FootnoteReference"/>
        </w:rPr>
        <w:footnoteReference w:id="1"/>
      </w:r>
      <w:r>
        <w:t xml:space="preserve"> </w:t>
      </w:r>
      <w:r w:rsidR="007F5A7E">
        <w:t xml:space="preserve">As outlined in </w:t>
      </w:r>
      <w:r w:rsidR="00F94C1C">
        <w:t xml:space="preserve">the order and </w:t>
      </w:r>
      <w:r w:rsidR="007F5A7E">
        <w:t xml:space="preserve">agreement, the </w:t>
      </w:r>
      <w:r>
        <w:t xml:space="preserve">company </w:t>
      </w:r>
      <w:r w:rsidR="00B16E2F">
        <w:t xml:space="preserve">must </w:t>
      </w:r>
      <w:r>
        <w:t xml:space="preserve">submit an Annual Conservation </w:t>
      </w:r>
      <w:r w:rsidR="00431FE1">
        <w:t>Plan</w:t>
      </w:r>
      <w:r>
        <w:t xml:space="preserve"> </w:t>
      </w:r>
      <w:r w:rsidR="00253F1A">
        <w:t xml:space="preserve">(ACP or </w:t>
      </w:r>
      <w:r w:rsidR="00431FE1">
        <w:t>Plan</w:t>
      </w:r>
      <w:r w:rsidR="00253F1A">
        <w:t xml:space="preserve">) </w:t>
      </w:r>
      <w:r>
        <w:t>to the Washington Utilities and Transportation Commission (commission) by December 1 for the subsequent year</w:t>
      </w:r>
      <w:r w:rsidR="003438F1">
        <w:t xml:space="preserve"> and project its conservation target</w:t>
      </w:r>
      <w:r>
        <w:t xml:space="preserve">. </w:t>
      </w:r>
      <w:r w:rsidR="00F549C2">
        <w:t>The target is</w:t>
      </w:r>
      <w:r w:rsidR="00A4230D">
        <w:t xml:space="preserve"> identified in this</w:t>
      </w:r>
      <w:r w:rsidR="0032617E" w:rsidRPr="0032617E">
        <w:t xml:space="preserve"> </w:t>
      </w:r>
      <w:r w:rsidR="00431FE1">
        <w:t>Plan</w:t>
      </w:r>
      <w:r w:rsidR="004C64D7">
        <w:t xml:space="preserve"> as well as</w:t>
      </w:r>
      <w:r w:rsidR="00CB6FE6">
        <w:t xml:space="preserve"> the 2016 Natural Gas Integrated Resource </w:t>
      </w:r>
      <w:r w:rsidR="00431FE1">
        <w:t>Plan</w:t>
      </w:r>
      <w:r w:rsidR="00CB6FE6">
        <w:t xml:space="preserve"> (IRP)</w:t>
      </w:r>
      <w:r w:rsidR="00333100">
        <w:t>, and t</w:t>
      </w:r>
      <w:r w:rsidR="00333100" w:rsidRPr="0032617E">
        <w:t xml:space="preserve">he company must achieve at least 100 percent of its annual </w:t>
      </w:r>
      <w:r w:rsidR="00333100">
        <w:t>conservation target</w:t>
      </w:r>
      <w:r w:rsidR="009D5C13">
        <w:t xml:space="preserve">. </w:t>
      </w:r>
      <w:r w:rsidR="00010228">
        <w:t xml:space="preserve">This is Cascade’s first ACP </w:t>
      </w:r>
      <w:r w:rsidR="006A179D" w:rsidRPr="006A179D">
        <w:t>to be acknowledg</w:t>
      </w:r>
      <w:r w:rsidR="003C60E5">
        <w:t xml:space="preserve">ed by </w:t>
      </w:r>
      <w:r w:rsidR="000B0397">
        <w:t>the c</w:t>
      </w:r>
      <w:r w:rsidR="006A179D" w:rsidRPr="006A179D">
        <w:t>ommission</w:t>
      </w:r>
      <w:r w:rsidR="003C60E5">
        <w:t xml:space="preserve"> under the order</w:t>
      </w:r>
      <w:r w:rsidR="006A179D" w:rsidRPr="006A179D">
        <w:t xml:space="preserve">. </w:t>
      </w:r>
    </w:p>
    <w:p w14:paraId="4AB00E3D" w14:textId="77777777" w:rsidR="00253F1A" w:rsidRDefault="00253F1A" w:rsidP="00214284"/>
    <w:p w14:paraId="64DDEC49" w14:textId="77777777" w:rsidR="00E435DA" w:rsidRDefault="00E435DA" w:rsidP="00E435DA">
      <w:r w:rsidRPr="00253F1A">
        <w:t xml:space="preserve">Cascade Natural Gas serves </w:t>
      </w:r>
      <w:r>
        <w:t xml:space="preserve">approximately </w:t>
      </w:r>
      <w:r w:rsidRPr="00253F1A">
        <w:t>205,000 customers in smaller, rural communities in western and central Washington, including service to the following counties: Franklin, Benton, Walla Walla, Yakima, Chelan, Douglas, Grant, Adams, Cowlitz, Clark, Grays Harbor, Kitsap, Mason, Snohomish, Skagit, Island, and Whatcom. The company also serves 68,000 customers in central and eastern Oregon.</w:t>
      </w:r>
    </w:p>
    <w:p w14:paraId="30BE872F" w14:textId="77777777" w:rsidR="00E435DA" w:rsidRDefault="00E435DA" w:rsidP="00214284"/>
    <w:p w14:paraId="1FEC783D" w14:textId="2AB109A2" w:rsidR="001F2142" w:rsidRDefault="001F2142" w:rsidP="00214284">
      <w:r w:rsidRPr="001F2142">
        <w:t xml:space="preserve">On November 30, 2016, Cascade timely filed its 2017 Conservation </w:t>
      </w:r>
      <w:r w:rsidR="00431FE1">
        <w:t>Plan</w:t>
      </w:r>
      <w:r w:rsidRPr="001F2142">
        <w:t xml:space="preserve"> in Docket UG-161253. On December 22, 2016</w:t>
      </w:r>
      <w:r w:rsidR="000D13EB">
        <w:t xml:space="preserve">, </w:t>
      </w:r>
      <w:r w:rsidR="00BF080E">
        <w:t>and again on January 26, 2016,</w:t>
      </w:r>
      <w:r w:rsidRPr="001F2142">
        <w:t xml:space="preserve"> the </w:t>
      </w:r>
      <w:r w:rsidR="00431FE1">
        <w:t>Plan</w:t>
      </w:r>
      <w:r w:rsidRPr="001F2142">
        <w:t xml:space="preserve"> was removed from the </w:t>
      </w:r>
      <w:r w:rsidR="00F76B5F">
        <w:t xml:space="preserve">open meeting </w:t>
      </w:r>
      <w:r w:rsidRPr="001F2142">
        <w:t>agenda to allow for continued discussion with the comp</w:t>
      </w:r>
      <w:r w:rsidR="00FD7910">
        <w:t xml:space="preserve">any </w:t>
      </w:r>
      <w:r w:rsidR="005341FD">
        <w:t>about its</w:t>
      </w:r>
      <w:r w:rsidR="00FD7910">
        <w:t xml:space="preserve"> </w:t>
      </w:r>
      <w:r w:rsidR="00E435DA">
        <w:t>conservation potential methodology</w:t>
      </w:r>
      <w:r w:rsidR="00FD7910">
        <w:t xml:space="preserve"> and calculation of the</w:t>
      </w:r>
      <w:r w:rsidR="00E435DA">
        <w:t xml:space="preserve"> </w:t>
      </w:r>
      <w:r w:rsidR="003C4414">
        <w:t xml:space="preserve">annual </w:t>
      </w:r>
      <w:r w:rsidR="00E435DA">
        <w:t>target</w:t>
      </w:r>
      <w:r w:rsidR="005B77B9">
        <w:t>.</w:t>
      </w:r>
    </w:p>
    <w:p w14:paraId="292403B4" w14:textId="77777777" w:rsidR="00172B7C" w:rsidRDefault="00172B7C" w:rsidP="00172B7C">
      <w:pPr>
        <w:rPr>
          <w:b/>
          <w:u w:val="single"/>
        </w:rPr>
      </w:pPr>
    </w:p>
    <w:p w14:paraId="7C015E3A" w14:textId="77777777" w:rsidR="00172B7C" w:rsidRDefault="00172B7C" w:rsidP="00172B7C">
      <w:pPr>
        <w:rPr>
          <w:b/>
          <w:u w:val="single"/>
        </w:rPr>
      </w:pPr>
      <w:r w:rsidRPr="00253F1A">
        <w:rPr>
          <w:b/>
          <w:u w:val="single"/>
        </w:rPr>
        <w:t>Discussion</w:t>
      </w:r>
    </w:p>
    <w:p w14:paraId="2FFC7D20" w14:textId="77777777" w:rsidR="00A52463" w:rsidRDefault="00A52463" w:rsidP="00172B7C">
      <w:pPr>
        <w:rPr>
          <w:b/>
          <w:u w:val="single"/>
        </w:rPr>
      </w:pPr>
    </w:p>
    <w:p w14:paraId="3E608EFA" w14:textId="51A44794" w:rsidR="00172B7C" w:rsidRDefault="00172B7C" w:rsidP="00172B7C">
      <w:pPr>
        <w:keepNext/>
        <w:keepLines/>
        <w:rPr>
          <w:rFonts w:eastAsia="Calibri"/>
        </w:rPr>
      </w:pPr>
      <w:r>
        <w:rPr>
          <w:b/>
          <w:i/>
        </w:rPr>
        <w:t>Natural Gas Conservation Budget.</w:t>
      </w:r>
      <w:r w:rsidRPr="00A20709">
        <w:t xml:space="preserve"> </w:t>
      </w:r>
      <w:r>
        <w:rPr>
          <w:rFonts w:eastAsia="Calibri"/>
        </w:rPr>
        <w:t xml:space="preserve">Cascade </w:t>
      </w:r>
      <w:r w:rsidR="001D3F4B">
        <w:rPr>
          <w:rFonts w:eastAsia="Calibri"/>
        </w:rPr>
        <w:t>proposes a</w:t>
      </w:r>
      <w:r>
        <w:rPr>
          <w:rFonts w:eastAsia="Calibri"/>
        </w:rPr>
        <w:t xml:space="preserve"> 2</w:t>
      </w:r>
      <w:r w:rsidRPr="006670A6">
        <w:rPr>
          <w:rFonts w:eastAsia="Calibri"/>
        </w:rPr>
        <w:t xml:space="preserve"> </w:t>
      </w:r>
      <w:r>
        <w:rPr>
          <w:rFonts w:eastAsia="Calibri"/>
        </w:rPr>
        <w:t>percent increase in its natural gas</w:t>
      </w:r>
      <w:r w:rsidRPr="006670A6">
        <w:rPr>
          <w:rFonts w:eastAsia="Calibri"/>
        </w:rPr>
        <w:t xml:space="preserve"> conservat</w:t>
      </w:r>
      <w:r w:rsidR="00EF4882">
        <w:rPr>
          <w:rFonts w:eastAsia="Calibri"/>
        </w:rPr>
        <w:t>ion budget</w:t>
      </w:r>
      <w:r>
        <w:rPr>
          <w:rFonts w:eastAsia="Calibri"/>
        </w:rPr>
        <w:t xml:space="preserve"> from</w:t>
      </w:r>
      <w:r w:rsidR="002923FF">
        <w:rPr>
          <w:rFonts w:eastAsia="Calibri"/>
        </w:rPr>
        <w:t xml:space="preserve"> 2016 to 2017</w:t>
      </w:r>
      <w:r w:rsidRPr="006670A6">
        <w:rPr>
          <w:rFonts w:eastAsia="Calibri"/>
        </w:rPr>
        <w:t xml:space="preserve">. </w:t>
      </w:r>
      <w:r w:rsidR="005811B6">
        <w:rPr>
          <w:rFonts w:eastAsia="Calibri"/>
        </w:rPr>
        <w:t>Table 1</w:t>
      </w:r>
      <w:r>
        <w:rPr>
          <w:rFonts w:eastAsia="Calibri"/>
        </w:rPr>
        <w:t xml:space="preserve"> </w:t>
      </w:r>
      <w:r w:rsidR="002923FF">
        <w:rPr>
          <w:rFonts w:eastAsia="Calibri"/>
        </w:rPr>
        <w:t xml:space="preserve">summarizes the </w:t>
      </w:r>
      <w:r>
        <w:rPr>
          <w:rFonts w:eastAsia="Calibri"/>
        </w:rPr>
        <w:t xml:space="preserve">budgets by expense category. </w:t>
      </w:r>
    </w:p>
    <w:p w14:paraId="2E908C02" w14:textId="77777777" w:rsidR="00C90353" w:rsidRDefault="00C90353" w:rsidP="00172B7C">
      <w:pPr>
        <w:keepNext/>
        <w:keepLines/>
        <w:rPr>
          <w:rFonts w:eastAsia="Calibri"/>
          <w:sz w:val="10"/>
          <w:szCs w:val="10"/>
        </w:rPr>
      </w:pPr>
    </w:p>
    <w:p w14:paraId="4EDAAAC7" w14:textId="77777777" w:rsidR="00A52463" w:rsidRDefault="00A52463" w:rsidP="00172B7C">
      <w:pPr>
        <w:keepNext/>
        <w:keepLines/>
        <w:rPr>
          <w:rFonts w:eastAsia="Calibri"/>
          <w:sz w:val="10"/>
          <w:szCs w:val="10"/>
        </w:rPr>
      </w:pPr>
    </w:p>
    <w:p w14:paraId="35D66E82" w14:textId="77777777" w:rsidR="00A52463" w:rsidRDefault="00A52463" w:rsidP="00172B7C">
      <w:pPr>
        <w:keepNext/>
        <w:keepLines/>
        <w:rPr>
          <w:rFonts w:eastAsia="Calibri"/>
          <w:sz w:val="10"/>
          <w:szCs w:val="10"/>
        </w:rPr>
      </w:pPr>
    </w:p>
    <w:p w14:paraId="7E5A3F60" w14:textId="77777777" w:rsidR="00A52463" w:rsidRDefault="00A52463" w:rsidP="00172B7C">
      <w:pPr>
        <w:keepNext/>
        <w:keepLines/>
        <w:rPr>
          <w:rFonts w:eastAsia="Calibri"/>
          <w:sz w:val="10"/>
          <w:szCs w:val="10"/>
        </w:rPr>
      </w:pPr>
    </w:p>
    <w:p w14:paraId="673E3105" w14:textId="77777777" w:rsidR="00A52463" w:rsidRDefault="00A52463" w:rsidP="00172B7C">
      <w:pPr>
        <w:keepNext/>
        <w:keepLines/>
        <w:rPr>
          <w:rFonts w:eastAsia="Calibri"/>
          <w:sz w:val="10"/>
          <w:szCs w:val="10"/>
        </w:rPr>
      </w:pPr>
    </w:p>
    <w:p w14:paraId="57EB836D" w14:textId="77777777" w:rsidR="00A52463" w:rsidRDefault="00A52463" w:rsidP="00172B7C">
      <w:pPr>
        <w:keepNext/>
        <w:keepLines/>
        <w:rPr>
          <w:rFonts w:eastAsia="Calibri"/>
          <w:sz w:val="10"/>
          <w:szCs w:val="10"/>
        </w:rPr>
      </w:pPr>
    </w:p>
    <w:p w14:paraId="011DDB0C" w14:textId="77777777" w:rsidR="00A52463" w:rsidRDefault="00A52463" w:rsidP="00172B7C">
      <w:pPr>
        <w:keepNext/>
        <w:keepLines/>
        <w:rPr>
          <w:rFonts w:eastAsia="Calibri"/>
          <w:sz w:val="10"/>
          <w:szCs w:val="10"/>
        </w:rPr>
      </w:pPr>
    </w:p>
    <w:p w14:paraId="716904CB" w14:textId="77777777" w:rsidR="00A52463" w:rsidRDefault="00A52463" w:rsidP="00172B7C">
      <w:pPr>
        <w:keepNext/>
        <w:keepLines/>
        <w:rPr>
          <w:rFonts w:eastAsia="Calibri"/>
          <w:sz w:val="10"/>
          <w:szCs w:val="10"/>
        </w:rPr>
      </w:pPr>
    </w:p>
    <w:p w14:paraId="64E9CABE" w14:textId="77777777" w:rsidR="00A52463" w:rsidRDefault="00A52463" w:rsidP="00172B7C">
      <w:pPr>
        <w:keepNext/>
        <w:keepLines/>
        <w:rPr>
          <w:rFonts w:eastAsia="Calibri"/>
          <w:sz w:val="10"/>
          <w:szCs w:val="10"/>
        </w:rPr>
      </w:pPr>
    </w:p>
    <w:p w14:paraId="7813CF16" w14:textId="77777777" w:rsidR="00A52463" w:rsidRDefault="00A52463" w:rsidP="00172B7C">
      <w:pPr>
        <w:keepNext/>
        <w:keepLines/>
        <w:rPr>
          <w:rFonts w:eastAsia="Calibri"/>
          <w:sz w:val="10"/>
          <w:szCs w:val="10"/>
        </w:rPr>
      </w:pPr>
    </w:p>
    <w:p w14:paraId="2AFC66B2" w14:textId="77777777" w:rsidR="00A52463" w:rsidRDefault="00A52463" w:rsidP="00C90353">
      <w:pPr>
        <w:pStyle w:val="Caption"/>
        <w:spacing w:after="0"/>
        <w:jc w:val="center"/>
        <w:rPr>
          <w:rFonts w:ascii="Times New Roman" w:hAnsi="Times New Roman"/>
          <w:b/>
          <w:i w:val="0"/>
          <w:color w:val="auto"/>
          <w:sz w:val="22"/>
          <w:szCs w:val="22"/>
        </w:rPr>
      </w:pPr>
    </w:p>
    <w:p w14:paraId="1959DAD3" w14:textId="4842FE9E" w:rsidR="00172B7C" w:rsidRDefault="00C90353" w:rsidP="00C90353">
      <w:pPr>
        <w:pStyle w:val="Caption"/>
        <w:spacing w:after="0"/>
        <w:jc w:val="center"/>
        <w:rPr>
          <w:rFonts w:ascii="Times New Roman" w:hAnsi="Times New Roman"/>
          <w:b/>
          <w:i w:val="0"/>
          <w:color w:val="auto"/>
          <w:sz w:val="22"/>
          <w:szCs w:val="22"/>
        </w:rPr>
      </w:pPr>
      <w:r w:rsidRPr="00C90353">
        <w:rPr>
          <w:rFonts w:ascii="Times New Roman" w:hAnsi="Times New Roman"/>
          <w:b/>
          <w:i w:val="0"/>
          <w:color w:val="auto"/>
          <w:sz w:val="22"/>
          <w:szCs w:val="22"/>
        </w:rPr>
        <w:lastRenderedPageBreak/>
        <w:t xml:space="preserve">Table </w:t>
      </w:r>
      <w:r w:rsidRPr="00C90353">
        <w:rPr>
          <w:rFonts w:ascii="Times New Roman" w:hAnsi="Times New Roman"/>
          <w:b/>
          <w:i w:val="0"/>
          <w:color w:val="auto"/>
          <w:sz w:val="22"/>
          <w:szCs w:val="22"/>
        </w:rPr>
        <w:fldChar w:fldCharType="begin"/>
      </w:r>
      <w:r w:rsidRPr="00C90353">
        <w:rPr>
          <w:rFonts w:ascii="Times New Roman" w:hAnsi="Times New Roman"/>
          <w:b/>
          <w:i w:val="0"/>
          <w:color w:val="auto"/>
          <w:sz w:val="22"/>
          <w:szCs w:val="22"/>
        </w:rPr>
        <w:instrText xml:space="preserve"> SEQ Table \* ARABIC </w:instrText>
      </w:r>
      <w:r w:rsidRPr="00C90353">
        <w:rPr>
          <w:rFonts w:ascii="Times New Roman" w:hAnsi="Times New Roman"/>
          <w:b/>
          <w:i w:val="0"/>
          <w:color w:val="auto"/>
          <w:sz w:val="22"/>
          <w:szCs w:val="22"/>
        </w:rPr>
        <w:fldChar w:fldCharType="separate"/>
      </w:r>
      <w:r w:rsidR="002E4805">
        <w:rPr>
          <w:rFonts w:ascii="Times New Roman" w:hAnsi="Times New Roman"/>
          <w:b/>
          <w:i w:val="0"/>
          <w:noProof/>
          <w:color w:val="auto"/>
          <w:sz w:val="22"/>
          <w:szCs w:val="22"/>
        </w:rPr>
        <w:t>1</w:t>
      </w:r>
      <w:r w:rsidRPr="00C90353">
        <w:rPr>
          <w:rFonts w:ascii="Times New Roman" w:hAnsi="Times New Roman"/>
          <w:b/>
          <w:i w:val="0"/>
          <w:color w:val="auto"/>
          <w:sz w:val="22"/>
          <w:szCs w:val="22"/>
        </w:rPr>
        <w:fldChar w:fldCharType="end"/>
      </w:r>
    </w:p>
    <w:p w14:paraId="0AF6DDEF" w14:textId="77777777" w:rsidR="00A52463" w:rsidRPr="00A52463" w:rsidRDefault="00A52463" w:rsidP="00A52463">
      <w:pPr>
        <w:rPr>
          <w:sz w:val="10"/>
          <w:szCs w:val="10"/>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600"/>
        <w:gridCol w:w="1620"/>
        <w:gridCol w:w="1908"/>
        <w:gridCol w:w="1890"/>
      </w:tblGrid>
      <w:tr w:rsidR="00172B7C" w14:paraId="5BC10FFC" w14:textId="77777777" w:rsidTr="00000118">
        <w:trPr>
          <w:trHeight w:val="279"/>
        </w:trPr>
        <w:tc>
          <w:tcPr>
            <w:tcW w:w="3600" w:type="dxa"/>
            <w:tcBorders>
              <w:top w:val="single" w:sz="12" w:space="0" w:color="000000"/>
              <w:left w:val="nil"/>
              <w:bottom w:val="single" w:sz="12" w:space="0" w:color="000000"/>
              <w:right w:val="nil"/>
            </w:tcBorders>
            <w:hideMark/>
          </w:tcPr>
          <w:p w14:paraId="272C8780" w14:textId="77777777" w:rsidR="00172B7C" w:rsidRDefault="00172B7C" w:rsidP="00000118">
            <w:pPr>
              <w:rPr>
                <w:b/>
                <w:bCs/>
                <w:color w:val="000080"/>
              </w:rPr>
            </w:pPr>
            <w:r>
              <w:rPr>
                <w:b/>
                <w:bCs/>
                <w:color w:val="000000" w:themeColor="text1"/>
              </w:rPr>
              <w:t>Natural Gas Program Budgets</w:t>
            </w:r>
          </w:p>
        </w:tc>
        <w:tc>
          <w:tcPr>
            <w:tcW w:w="1620" w:type="dxa"/>
            <w:tcBorders>
              <w:top w:val="single" w:sz="12" w:space="0" w:color="000000"/>
              <w:left w:val="nil"/>
              <w:bottom w:val="single" w:sz="12" w:space="0" w:color="000000"/>
              <w:right w:val="nil"/>
            </w:tcBorders>
            <w:hideMark/>
          </w:tcPr>
          <w:p w14:paraId="725711D6" w14:textId="77777777" w:rsidR="00172B7C" w:rsidRDefault="00172B7C" w:rsidP="00000118">
            <w:pPr>
              <w:jc w:val="right"/>
              <w:rPr>
                <w:b/>
                <w:bCs/>
                <w:color w:val="000000" w:themeColor="text1"/>
              </w:rPr>
            </w:pPr>
            <w:r>
              <w:rPr>
                <w:b/>
                <w:bCs/>
                <w:color w:val="000000" w:themeColor="text1"/>
              </w:rPr>
              <w:t>2016 Budget</w:t>
            </w:r>
            <w:r>
              <w:rPr>
                <w:rStyle w:val="FootnoteReference"/>
                <w:b/>
                <w:bCs/>
                <w:color w:val="000000" w:themeColor="text1"/>
              </w:rPr>
              <w:footnoteReference w:id="2"/>
            </w:r>
          </w:p>
        </w:tc>
        <w:tc>
          <w:tcPr>
            <w:tcW w:w="1908" w:type="dxa"/>
            <w:tcBorders>
              <w:top w:val="single" w:sz="12" w:space="0" w:color="000000"/>
              <w:left w:val="nil"/>
              <w:bottom w:val="single" w:sz="12" w:space="0" w:color="000000"/>
              <w:right w:val="nil"/>
            </w:tcBorders>
            <w:hideMark/>
          </w:tcPr>
          <w:p w14:paraId="115444DE" w14:textId="77777777" w:rsidR="00172B7C" w:rsidRDefault="00172B7C" w:rsidP="00000118">
            <w:pPr>
              <w:jc w:val="right"/>
              <w:rPr>
                <w:b/>
                <w:bCs/>
                <w:color w:val="000000" w:themeColor="text1"/>
              </w:rPr>
            </w:pPr>
            <w:r>
              <w:rPr>
                <w:b/>
                <w:bCs/>
                <w:color w:val="000000" w:themeColor="text1"/>
              </w:rPr>
              <w:t>2017 Budget</w:t>
            </w:r>
          </w:p>
        </w:tc>
        <w:tc>
          <w:tcPr>
            <w:tcW w:w="1890" w:type="dxa"/>
            <w:tcBorders>
              <w:top w:val="single" w:sz="12" w:space="0" w:color="000000"/>
              <w:left w:val="nil"/>
              <w:bottom w:val="single" w:sz="12" w:space="0" w:color="000000"/>
              <w:right w:val="nil"/>
            </w:tcBorders>
            <w:hideMark/>
          </w:tcPr>
          <w:p w14:paraId="68E2B184" w14:textId="77777777" w:rsidR="00172B7C" w:rsidRDefault="00172B7C" w:rsidP="00000118">
            <w:pPr>
              <w:jc w:val="right"/>
              <w:rPr>
                <w:b/>
                <w:bCs/>
                <w:color w:val="000000" w:themeColor="text1"/>
              </w:rPr>
            </w:pPr>
            <w:r>
              <w:rPr>
                <w:b/>
                <w:bCs/>
                <w:color w:val="000000" w:themeColor="text1"/>
              </w:rPr>
              <w:t>2017 Change</w:t>
            </w:r>
          </w:p>
        </w:tc>
      </w:tr>
      <w:tr w:rsidR="00172B7C" w14:paraId="2045E27E" w14:textId="77777777" w:rsidTr="00000118">
        <w:trPr>
          <w:trHeight w:val="291"/>
        </w:trPr>
        <w:tc>
          <w:tcPr>
            <w:tcW w:w="3600" w:type="dxa"/>
            <w:tcBorders>
              <w:top w:val="single" w:sz="6" w:space="0" w:color="000000"/>
              <w:left w:val="nil"/>
              <w:bottom w:val="single" w:sz="8" w:space="0" w:color="000000"/>
              <w:right w:val="nil"/>
            </w:tcBorders>
          </w:tcPr>
          <w:p w14:paraId="188F1A21" w14:textId="77777777" w:rsidR="00172B7C" w:rsidRDefault="00172B7C" w:rsidP="00000118">
            <w:r>
              <w:t>Incentive Payments</w:t>
            </w:r>
          </w:p>
        </w:tc>
        <w:tc>
          <w:tcPr>
            <w:tcW w:w="1620" w:type="dxa"/>
            <w:tcBorders>
              <w:top w:val="single" w:sz="6" w:space="0" w:color="000000"/>
              <w:left w:val="nil"/>
              <w:bottom w:val="single" w:sz="8" w:space="0" w:color="000000"/>
              <w:right w:val="nil"/>
            </w:tcBorders>
          </w:tcPr>
          <w:p w14:paraId="44EA26D3" w14:textId="77777777" w:rsidR="00172B7C" w:rsidRDefault="00172B7C" w:rsidP="00000118">
            <w:pPr>
              <w:jc w:val="right"/>
              <w:rPr>
                <w:highlight w:val="yellow"/>
              </w:rPr>
            </w:pPr>
          </w:p>
        </w:tc>
        <w:tc>
          <w:tcPr>
            <w:tcW w:w="1908" w:type="dxa"/>
            <w:tcBorders>
              <w:top w:val="single" w:sz="6" w:space="0" w:color="000000"/>
              <w:left w:val="nil"/>
              <w:bottom w:val="single" w:sz="8" w:space="0" w:color="000000"/>
              <w:right w:val="nil"/>
            </w:tcBorders>
          </w:tcPr>
          <w:p w14:paraId="65E04763" w14:textId="77777777" w:rsidR="00172B7C" w:rsidRDefault="00172B7C" w:rsidP="00000118">
            <w:pPr>
              <w:jc w:val="right"/>
            </w:pPr>
          </w:p>
        </w:tc>
        <w:tc>
          <w:tcPr>
            <w:tcW w:w="1890" w:type="dxa"/>
            <w:tcBorders>
              <w:top w:val="single" w:sz="6" w:space="0" w:color="000000"/>
              <w:left w:val="nil"/>
              <w:bottom w:val="single" w:sz="8" w:space="0" w:color="000000"/>
              <w:right w:val="nil"/>
            </w:tcBorders>
          </w:tcPr>
          <w:p w14:paraId="681F9FE4" w14:textId="77777777" w:rsidR="00172B7C" w:rsidRDefault="00172B7C" w:rsidP="00000118">
            <w:pPr>
              <w:jc w:val="right"/>
            </w:pPr>
          </w:p>
        </w:tc>
      </w:tr>
      <w:tr w:rsidR="00172B7C" w14:paraId="5CD2F2D1" w14:textId="77777777" w:rsidTr="00000118">
        <w:trPr>
          <w:trHeight w:val="304"/>
        </w:trPr>
        <w:tc>
          <w:tcPr>
            <w:tcW w:w="3600" w:type="dxa"/>
            <w:tcBorders>
              <w:top w:val="single" w:sz="8" w:space="0" w:color="000000"/>
              <w:left w:val="nil"/>
              <w:bottom w:val="single" w:sz="4" w:space="0" w:color="000000"/>
              <w:right w:val="nil"/>
            </w:tcBorders>
          </w:tcPr>
          <w:p w14:paraId="340ECE7F" w14:textId="77777777" w:rsidR="00172B7C" w:rsidRPr="00AB040F" w:rsidRDefault="00172B7C" w:rsidP="00000118">
            <w:pPr>
              <w:rPr>
                <w:i/>
              </w:rPr>
            </w:pPr>
            <w:r w:rsidRPr="00AB040F">
              <w:rPr>
                <w:i/>
              </w:rPr>
              <w:t xml:space="preserve">       Residential </w:t>
            </w:r>
          </w:p>
        </w:tc>
        <w:tc>
          <w:tcPr>
            <w:tcW w:w="1620" w:type="dxa"/>
            <w:tcBorders>
              <w:top w:val="single" w:sz="8" w:space="0" w:color="000000"/>
              <w:left w:val="nil"/>
              <w:bottom w:val="single" w:sz="4" w:space="0" w:color="000000"/>
              <w:right w:val="nil"/>
            </w:tcBorders>
          </w:tcPr>
          <w:p w14:paraId="3714A5FE" w14:textId="77777777" w:rsidR="00172B7C" w:rsidRDefault="00172B7C" w:rsidP="00000118">
            <w:pPr>
              <w:jc w:val="right"/>
            </w:pPr>
            <w:r>
              <w:t xml:space="preserve"> $1,128,698</w:t>
            </w:r>
          </w:p>
        </w:tc>
        <w:tc>
          <w:tcPr>
            <w:tcW w:w="1908" w:type="dxa"/>
            <w:tcBorders>
              <w:top w:val="single" w:sz="8" w:space="0" w:color="000000"/>
              <w:left w:val="nil"/>
              <w:bottom w:val="single" w:sz="4" w:space="0" w:color="000000"/>
              <w:right w:val="nil"/>
            </w:tcBorders>
          </w:tcPr>
          <w:p w14:paraId="2E30E288" w14:textId="77777777" w:rsidR="00172B7C" w:rsidRDefault="00172B7C" w:rsidP="00000118">
            <w:pPr>
              <w:jc w:val="right"/>
            </w:pPr>
            <w:r>
              <w:t xml:space="preserve"> $891,663</w:t>
            </w:r>
          </w:p>
        </w:tc>
        <w:tc>
          <w:tcPr>
            <w:tcW w:w="1890" w:type="dxa"/>
            <w:tcBorders>
              <w:top w:val="single" w:sz="8" w:space="0" w:color="000000"/>
              <w:left w:val="nil"/>
              <w:bottom w:val="single" w:sz="4" w:space="0" w:color="000000"/>
              <w:right w:val="nil"/>
            </w:tcBorders>
          </w:tcPr>
          <w:p w14:paraId="246F4C68" w14:textId="77777777" w:rsidR="00172B7C" w:rsidRDefault="00172B7C" w:rsidP="00000118">
            <w:pPr>
              <w:jc w:val="right"/>
            </w:pPr>
            <w:r>
              <w:t>-21</w:t>
            </w:r>
            <w:r w:rsidRPr="00044DB0">
              <w:t>%</w:t>
            </w:r>
          </w:p>
        </w:tc>
      </w:tr>
      <w:tr w:rsidR="00172B7C" w:rsidRPr="00044DB0" w14:paraId="721FF92B" w14:textId="77777777" w:rsidTr="00000118">
        <w:trPr>
          <w:trHeight w:val="291"/>
        </w:trPr>
        <w:tc>
          <w:tcPr>
            <w:tcW w:w="3600" w:type="dxa"/>
            <w:tcBorders>
              <w:top w:val="single" w:sz="4" w:space="0" w:color="000000"/>
              <w:left w:val="nil"/>
              <w:bottom w:val="single" w:sz="4" w:space="0" w:color="000000"/>
              <w:right w:val="nil"/>
            </w:tcBorders>
          </w:tcPr>
          <w:p w14:paraId="23BA2F3E" w14:textId="77777777" w:rsidR="00172B7C" w:rsidRPr="00AB040F" w:rsidRDefault="00172B7C" w:rsidP="00000118">
            <w:pPr>
              <w:rPr>
                <w:i/>
              </w:rPr>
            </w:pPr>
            <w:r w:rsidRPr="00AB040F">
              <w:rPr>
                <w:i/>
              </w:rPr>
              <w:t xml:space="preserve">       </w:t>
            </w:r>
            <w:r>
              <w:rPr>
                <w:i/>
              </w:rPr>
              <w:t>Non-R</w:t>
            </w:r>
            <w:r w:rsidRPr="00AB040F">
              <w:rPr>
                <w:i/>
              </w:rPr>
              <w:t>esidential</w:t>
            </w:r>
          </w:p>
        </w:tc>
        <w:tc>
          <w:tcPr>
            <w:tcW w:w="1620" w:type="dxa"/>
            <w:tcBorders>
              <w:top w:val="single" w:sz="4" w:space="0" w:color="000000"/>
              <w:left w:val="nil"/>
              <w:bottom w:val="single" w:sz="4" w:space="0" w:color="000000"/>
              <w:right w:val="nil"/>
            </w:tcBorders>
          </w:tcPr>
          <w:p w14:paraId="38B325E8" w14:textId="77777777" w:rsidR="00172B7C" w:rsidRPr="00044DB0" w:rsidRDefault="00172B7C" w:rsidP="00000118">
            <w:pPr>
              <w:jc w:val="right"/>
            </w:pPr>
            <w:r>
              <w:t xml:space="preserve"> $638,494</w:t>
            </w:r>
          </w:p>
        </w:tc>
        <w:tc>
          <w:tcPr>
            <w:tcW w:w="1908" w:type="dxa"/>
            <w:tcBorders>
              <w:top w:val="single" w:sz="4" w:space="0" w:color="000000"/>
              <w:left w:val="nil"/>
              <w:bottom w:val="single" w:sz="4" w:space="0" w:color="000000"/>
              <w:right w:val="nil"/>
            </w:tcBorders>
          </w:tcPr>
          <w:p w14:paraId="4BC1FA97" w14:textId="77777777" w:rsidR="00172B7C" w:rsidRPr="00044DB0" w:rsidRDefault="00172B7C" w:rsidP="00000118">
            <w:pPr>
              <w:jc w:val="right"/>
            </w:pPr>
            <w:r>
              <w:t xml:space="preserve"> $582,149</w:t>
            </w:r>
          </w:p>
        </w:tc>
        <w:tc>
          <w:tcPr>
            <w:tcW w:w="1890" w:type="dxa"/>
            <w:tcBorders>
              <w:top w:val="single" w:sz="4" w:space="0" w:color="000000"/>
              <w:left w:val="nil"/>
              <w:bottom w:val="single" w:sz="4" w:space="0" w:color="000000"/>
              <w:right w:val="nil"/>
            </w:tcBorders>
          </w:tcPr>
          <w:p w14:paraId="6BB74D5E" w14:textId="77777777" w:rsidR="00172B7C" w:rsidRPr="00044DB0" w:rsidRDefault="00172B7C" w:rsidP="00000118">
            <w:pPr>
              <w:jc w:val="right"/>
            </w:pPr>
            <w:r>
              <w:t>-9</w:t>
            </w:r>
            <w:r w:rsidRPr="00044DB0">
              <w:t>%</w:t>
            </w:r>
          </w:p>
        </w:tc>
      </w:tr>
      <w:tr w:rsidR="00172B7C" w:rsidRPr="00044DB0" w14:paraId="2D2C0E97" w14:textId="77777777" w:rsidTr="00000118">
        <w:trPr>
          <w:trHeight w:val="291"/>
        </w:trPr>
        <w:tc>
          <w:tcPr>
            <w:tcW w:w="3600" w:type="dxa"/>
            <w:tcBorders>
              <w:top w:val="single" w:sz="4" w:space="0" w:color="000000"/>
              <w:left w:val="nil"/>
              <w:bottom w:val="single" w:sz="8" w:space="0" w:color="000000"/>
              <w:right w:val="nil"/>
            </w:tcBorders>
          </w:tcPr>
          <w:p w14:paraId="4FA6E7B9" w14:textId="28F10399" w:rsidR="00172B7C" w:rsidRPr="00AB040F" w:rsidRDefault="009A6285" w:rsidP="00000118">
            <w:pPr>
              <w:rPr>
                <w:i/>
              </w:rPr>
            </w:pPr>
            <w:r>
              <w:rPr>
                <w:i/>
              </w:rPr>
              <w:t xml:space="preserve">       Low-i</w:t>
            </w:r>
            <w:r w:rsidR="00172B7C" w:rsidRPr="00AB040F">
              <w:rPr>
                <w:i/>
              </w:rPr>
              <w:t>ncome</w:t>
            </w:r>
          </w:p>
        </w:tc>
        <w:tc>
          <w:tcPr>
            <w:tcW w:w="1620" w:type="dxa"/>
            <w:tcBorders>
              <w:top w:val="single" w:sz="4" w:space="0" w:color="000000"/>
              <w:left w:val="nil"/>
              <w:bottom w:val="single" w:sz="8" w:space="0" w:color="000000"/>
              <w:right w:val="nil"/>
            </w:tcBorders>
          </w:tcPr>
          <w:p w14:paraId="51147CD9" w14:textId="77777777" w:rsidR="00172B7C" w:rsidRPr="00044DB0" w:rsidRDefault="00172B7C" w:rsidP="00000118">
            <w:pPr>
              <w:jc w:val="right"/>
            </w:pPr>
            <w:r>
              <w:t>$90,000</w:t>
            </w:r>
          </w:p>
        </w:tc>
        <w:tc>
          <w:tcPr>
            <w:tcW w:w="1908" w:type="dxa"/>
            <w:tcBorders>
              <w:top w:val="single" w:sz="4" w:space="0" w:color="000000"/>
              <w:left w:val="nil"/>
              <w:bottom w:val="single" w:sz="8" w:space="0" w:color="000000"/>
              <w:right w:val="nil"/>
            </w:tcBorders>
          </w:tcPr>
          <w:p w14:paraId="1A06661A" w14:textId="77777777" w:rsidR="00172B7C" w:rsidRPr="00044DB0" w:rsidRDefault="00172B7C" w:rsidP="00000118">
            <w:pPr>
              <w:jc w:val="right"/>
            </w:pPr>
            <w:r>
              <w:t>$385,000</w:t>
            </w:r>
          </w:p>
        </w:tc>
        <w:tc>
          <w:tcPr>
            <w:tcW w:w="1890" w:type="dxa"/>
            <w:tcBorders>
              <w:top w:val="single" w:sz="4" w:space="0" w:color="000000"/>
              <w:left w:val="nil"/>
              <w:bottom w:val="single" w:sz="8" w:space="0" w:color="000000"/>
              <w:right w:val="nil"/>
            </w:tcBorders>
          </w:tcPr>
          <w:p w14:paraId="0287C20D" w14:textId="77777777" w:rsidR="00172B7C" w:rsidRPr="00044DB0" w:rsidRDefault="00172B7C" w:rsidP="00000118">
            <w:pPr>
              <w:jc w:val="right"/>
            </w:pPr>
            <w:r>
              <w:t>328%</w:t>
            </w:r>
          </w:p>
        </w:tc>
      </w:tr>
      <w:tr w:rsidR="00172B7C" w14:paraId="6B29FB74" w14:textId="77777777" w:rsidTr="00000118">
        <w:trPr>
          <w:trHeight w:val="291"/>
        </w:trPr>
        <w:tc>
          <w:tcPr>
            <w:tcW w:w="3600" w:type="dxa"/>
            <w:tcBorders>
              <w:top w:val="single" w:sz="8" w:space="0" w:color="000000"/>
              <w:left w:val="nil"/>
              <w:bottom w:val="single" w:sz="8" w:space="0" w:color="000000"/>
              <w:right w:val="nil"/>
            </w:tcBorders>
            <w:hideMark/>
          </w:tcPr>
          <w:p w14:paraId="0E389499" w14:textId="77777777" w:rsidR="00172B7C" w:rsidRDefault="00172B7C" w:rsidP="00000118">
            <w:r>
              <w:t>Non-Incentive Expenses</w:t>
            </w:r>
          </w:p>
        </w:tc>
        <w:tc>
          <w:tcPr>
            <w:tcW w:w="1620" w:type="dxa"/>
            <w:tcBorders>
              <w:top w:val="single" w:sz="8" w:space="0" w:color="000000"/>
              <w:left w:val="nil"/>
              <w:bottom w:val="single" w:sz="8" w:space="0" w:color="000000"/>
              <w:right w:val="nil"/>
            </w:tcBorders>
          </w:tcPr>
          <w:p w14:paraId="2BA95E9E" w14:textId="77777777" w:rsidR="00172B7C" w:rsidRDefault="00172B7C" w:rsidP="00000118">
            <w:pPr>
              <w:jc w:val="right"/>
            </w:pPr>
          </w:p>
        </w:tc>
        <w:tc>
          <w:tcPr>
            <w:tcW w:w="1908" w:type="dxa"/>
            <w:tcBorders>
              <w:top w:val="single" w:sz="8" w:space="0" w:color="000000"/>
              <w:left w:val="nil"/>
              <w:bottom w:val="single" w:sz="8" w:space="0" w:color="000000"/>
              <w:right w:val="nil"/>
            </w:tcBorders>
          </w:tcPr>
          <w:p w14:paraId="1B9F8D3F" w14:textId="77777777" w:rsidR="00172B7C" w:rsidRDefault="00172B7C" w:rsidP="00000118">
            <w:pPr>
              <w:jc w:val="right"/>
            </w:pPr>
          </w:p>
        </w:tc>
        <w:tc>
          <w:tcPr>
            <w:tcW w:w="1890" w:type="dxa"/>
            <w:tcBorders>
              <w:top w:val="single" w:sz="8" w:space="0" w:color="000000"/>
              <w:left w:val="nil"/>
              <w:bottom w:val="single" w:sz="8" w:space="0" w:color="000000"/>
              <w:right w:val="nil"/>
            </w:tcBorders>
            <w:hideMark/>
          </w:tcPr>
          <w:p w14:paraId="52FA660E" w14:textId="77777777" w:rsidR="00172B7C" w:rsidRDefault="00172B7C" w:rsidP="00000118">
            <w:pPr>
              <w:jc w:val="right"/>
            </w:pPr>
          </w:p>
        </w:tc>
      </w:tr>
      <w:tr w:rsidR="00172B7C" w14:paraId="18261873" w14:textId="77777777" w:rsidTr="00000118">
        <w:trPr>
          <w:trHeight w:val="291"/>
        </w:trPr>
        <w:tc>
          <w:tcPr>
            <w:tcW w:w="3600" w:type="dxa"/>
            <w:tcBorders>
              <w:top w:val="single" w:sz="8" w:space="0" w:color="000000"/>
              <w:left w:val="nil"/>
              <w:bottom w:val="single" w:sz="4" w:space="0" w:color="000000"/>
              <w:right w:val="nil"/>
            </w:tcBorders>
            <w:hideMark/>
          </w:tcPr>
          <w:p w14:paraId="44A07F36" w14:textId="77777777" w:rsidR="00172B7C" w:rsidRPr="00AB040F" w:rsidRDefault="00172B7C" w:rsidP="00000118">
            <w:pPr>
              <w:rPr>
                <w:i/>
              </w:rPr>
            </w:pPr>
            <w:r w:rsidRPr="00AB040F">
              <w:rPr>
                <w:i/>
              </w:rPr>
              <w:t xml:space="preserve">       Labor </w:t>
            </w:r>
          </w:p>
        </w:tc>
        <w:tc>
          <w:tcPr>
            <w:tcW w:w="1620" w:type="dxa"/>
            <w:tcBorders>
              <w:top w:val="single" w:sz="8" w:space="0" w:color="000000"/>
              <w:left w:val="nil"/>
              <w:bottom w:val="single" w:sz="4" w:space="0" w:color="000000"/>
              <w:right w:val="nil"/>
            </w:tcBorders>
            <w:hideMark/>
          </w:tcPr>
          <w:p w14:paraId="5C3D0E03" w14:textId="77777777" w:rsidR="00172B7C" w:rsidRDefault="00172B7C" w:rsidP="00000118">
            <w:pPr>
              <w:jc w:val="right"/>
            </w:pPr>
            <w:r>
              <w:t xml:space="preserve"> $262,206</w:t>
            </w:r>
          </w:p>
        </w:tc>
        <w:tc>
          <w:tcPr>
            <w:tcW w:w="1908" w:type="dxa"/>
            <w:tcBorders>
              <w:top w:val="single" w:sz="8" w:space="0" w:color="000000"/>
              <w:left w:val="nil"/>
              <w:bottom w:val="single" w:sz="4" w:space="0" w:color="000000"/>
              <w:right w:val="nil"/>
            </w:tcBorders>
            <w:hideMark/>
          </w:tcPr>
          <w:p w14:paraId="2D4F694D" w14:textId="77777777" w:rsidR="00172B7C" w:rsidRDefault="00172B7C" w:rsidP="00000118">
            <w:pPr>
              <w:jc w:val="right"/>
            </w:pPr>
            <w:r>
              <w:t xml:space="preserve"> $345,000</w:t>
            </w:r>
            <w:r w:rsidRPr="00044DB0">
              <w:t xml:space="preserve"> </w:t>
            </w:r>
          </w:p>
        </w:tc>
        <w:tc>
          <w:tcPr>
            <w:tcW w:w="1890" w:type="dxa"/>
            <w:tcBorders>
              <w:top w:val="single" w:sz="8" w:space="0" w:color="000000"/>
              <w:left w:val="nil"/>
              <w:bottom w:val="single" w:sz="4" w:space="0" w:color="000000"/>
              <w:right w:val="nil"/>
            </w:tcBorders>
            <w:hideMark/>
          </w:tcPr>
          <w:p w14:paraId="5A876B24" w14:textId="77777777" w:rsidR="00172B7C" w:rsidRDefault="00172B7C" w:rsidP="00000118">
            <w:pPr>
              <w:jc w:val="right"/>
            </w:pPr>
            <w:r>
              <w:t>32%</w:t>
            </w:r>
          </w:p>
        </w:tc>
      </w:tr>
      <w:tr w:rsidR="00172B7C" w:rsidRPr="00044DB0" w14:paraId="122F2765" w14:textId="77777777" w:rsidTr="00000118">
        <w:trPr>
          <w:trHeight w:val="291"/>
        </w:trPr>
        <w:tc>
          <w:tcPr>
            <w:tcW w:w="3600" w:type="dxa"/>
            <w:tcBorders>
              <w:top w:val="single" w:sz="4" w:space="0" w:color="000000"/>
              <w:left w:val="nil"/>
              <w:bottom w:val="single" w:sz="4" w:space="0" w:color="000000"/>
              <w:right w:val="nil"/>
            </w:tcBorders>
          </w:tcPr>
          <w:p w14:paraId="0884BB7D" w14:textId="77777777" w:rsidR="00172B7C" w:rsidRPr="00AB040F" w:rsidRDefault="00172B7C" w:rsidP="00000118">
            <w:pPr>
              <w:rPr>
                <w:i/>
              </w:rPr>
            </w:pPr>
            <w:r w:rsidRPr="00AB040F">
              <w:rPr>
                <w:i/>
              </w:rPr>
              <w:t xml:space="preserve">       Outreach</w:t>
            </w:r>
          </w:p>
        </w:tc>
        <w:tc>
          <w:tcPr>
            <w:tcW w:w="1620" w:type="dxa"/>
            <w:tcBorders>
              <w:top w:val="single" w:sz="4" w:space="0" w:color="000000"/>
              <w:left w:val="nil"/>
              <w:bottom w:val="single" w:sz="4" w:space="0" w:color="000000"/>
              <w:right w:val="nil"/>
            </w:tcBorders>
          </w:tcPr>
          <w:p w14:paraId="6719575D" w14:textId="77777777" w:rsidR="00172B7C" w:rsidRPr="00044DB0" w:rsidRDefault="00172B7C" w:rsidP="00000118">
            <w:pPr>
              <w:jc w:val="right"/>
            </w:pPr>
            <w:r>
              <w:t>$97,500</w:t>
            </w:r>
          </w:p>
        </w:tc>
        <w:tc>
          <w:tcPr>
            <w:tcW w:w="1908" w:type="dxa"/>
            <w:tcBorders>
              <w:top w:val="single" w:sz="4" w:space="0" w:color="000000"/>
              <w:left w:val="nil"/>
              <w:bottom w:val="single" w:sz="4" w:space="0" w:color="000000"/>
              <w:right w:val="nil"/>
            </w:tcBorders>
          </w:tcPr>
          <w:p w14:paraId="52398A63" w14:textId="77777777" w:rsidR="00172B7C" w:rsidRDefault="00172B7C" w:rsidP="00000118">
            <w:pPr>
              <w:jc w:val="right"/>
            </w:pPr>
            <w:r>
              <w:t>$174,500</w:t>
            </w:r>
          </w:p>
        </w:tc>
        <w:tc>
          <w:tcPr>
            <w:tcW w:w="1890" w:type="dxa"/>
            <w:tcBorders>
              <w:top w:val="single" w:sz="4" w:space="0" w:color="000000"/>
              <w:left w:val="nil"/>
              <w:bottom w:val="single" w:sz="4" w:space="0" w:color="000000"/>
              <w:right w:val="nil"/>
            </w:tcBorders>
          </w:tcPr>
          <w:p w14:paraId="047EDE9F" w14:textId="77777777" w:rsidR="00172B7C" w:rsidRPr="00044DB0" w:rsidRDefault="00172B7C" w:rsidP="00000118">
            <w:pPr>
              <w:jc w:val="right"/>
            </w:pPr>
            <w:r>
              <w:t>79%</w:t>
            </w:r>
          </w:p>
        </w:tc>
      </w:tr>
      <w:tr w:rsidR="00172B7C" w:rsidRPr="00A36B18" w14:paraId="058F3FC7" w14:textId="77777777" w:rsidTr="00000118">
        <w:trPr>
          <w:trHeight w:val="291"/>
        </w:trPr>
        <w:tc>
          <w:tcPr>
            <w:tcW w:w="3600" w:type="dxa"/>
            <w:tcBorders>
              <w:top w:val="single" w:sz="4" w:space="0" w:color="000000"/>
              <w:left w:val="nil"/>
              <w:bottom w:val="single" w:sz="4" w:space="0" w:color="000000"/>
              <w:right w:val="nil"/>
            </w:tcBorders>
          </w:tcPr>
          <w:p w14:paraId="360718EC" w14:textId="559CEB6F" w:rsidR="00172B7C" w:rsidRPr="00AB040F" w:rsidRDefault="00172B7C" w:rsidP="00000118">
            <w:pPr>
              <w:rPr>
                <w:i/>
              </w:rPr>
            </w:pPr>
            <w:r w:rsidRPr="00AB040F">
              <w:rPr>
                <w:i/>
              </w:rPr>
              <w:t xml:space="preserve">       Third Party</w:t>
            </w:r>
            <w:r w:rsidR="001E1CA3">
              <w:rPr>
                <w:rStyle w:val="FootnoteReference"/>
                <w:i/>
              </w:rPr>
              <w:footnoteReference w:id="3"/>
            </w:r>
          </w:p>
        </w:tc>
        <w:tc>
          <w:tcPr>
            <w:tcW w:w="1620" w:type="dxa"/>
            <w:tcBorders>
              <w:top w:val="single" w:sz="4" w:space="0" w:color="000000"/>
              <w:left w:val="nil"/>
              <w:bottom w:val="single" w:sz="4" w:space="0" w:color="000000"/>
              <w:right w:val="nil"/>
            </w:tcBorders>
          </w:tcPr>
          <w:p w14:paraId="4953D74C" w14:textId="77777777" w:rsidR="00172B7C" w:rsidRPr="00A36B18" w:rsidRDefault="00172B7C" w:rsidP="00000118">
            <w:pPr>
              <w:jc w:val="right"/>
            </w:pPr>
            <w:r>
              <w:t>$846,017</w:t>
            </w:r>
          </w:p>
        </w:tc>
        <w:tc>
          <w:tcPr>
            <w:tcW w:w="1908" w:type="dxa"/>
            <w:tcBorders>
              <w:top w:val="single" w:sz="4" w:space="0" w:color="000000"/>
              <w:left w:val="nil"/>
              <w:bottom w:val="single" w:sz="4" w:space="0" w:color="000000"/>
              <w:right w:val="nil"/>
            </w:tcBorders>
          </w:tcPr>
          <w:p w14:paraId="307755FA" w14:textId="77777777" w:rsidR="00172B7C" w:rsidRPr="00A36B18" w:rsidRDefault="00172B7C" w:rsidP="00000118">
            <w:pPr>
              <w:jc w:val="right"/>
            </w:pPr>
            <w:r>
              <w:t>$800,000</w:t>
            </w:r>
          </w:p>
        </w:tc>
        <w:tc>
          <w:tcPr>
            <w:tcW w:w="1890" w:type="dxa"/>
            <w:tcBorders>
              <w:top w:val="single" w:sz="4" w:space="0" w:color="000000"/>
              <w:left w:val="nil"/>
              <w:bottom w:val="single" w:sz="4" w:space="0" w:color="000000"/>
              <w:right w:val="nil"/>
            </w:tcBorders>
          </w:tcPr>
          <w:p w14:paraId="6D2A29B7" w14:textId="77777777" w:rsidR="00172B7C" w:rsidRPr="00A36B18" w:rsidRDefault="00172B7C" w:rsidP="00000118">
            <w:pPr>
              <w:jc w:val="right"/>
            </w:pPr>
            <w:r>
              <w:t>-5%</w:t>
            </w:r>
          </w:p>
        </w:tc>
      </w:tr>
      <w:tr w:rsidR="00172B7C" w14:paraId="1F838140" w14:textId="77777777" w:rsidTr="00000118">
        <w:trPr>
          <w:trHeight w:val="291"/>
        </w:trPr>
        <w:tc>
          <w:tcPr>
            <w:tcW w:w="3600" w:type="dxa"/>
            <w:tcBorders>
              <w:top w:val="single" w:sz="4" w:space="0" w:color="000000"/>
              <w:left w:val="nil"/>
              <w:bottom w:val="single" w:sz="4" w:space="0" w:color="000000"/>
              <w:right w:val="nil"/>
            </w:tcBorders>
          </w:tcPr>
          <w:p w14:paraId="638E7727" w14:textId="77777777" w:rsidR="00172B7C" w:rsidRPr="00AB040F" w:rsidRDefault="00172B7C" w:rsidP="00000118">
            <w:pPr>
              <w:rPr>
                <w:i/>
              </w:rPr>
            </w:pPr>
            <w:r w:rsidRPr="00AB040F">
              <w:rPr>
                <w:i/>
              </w:rPr>
              <w:t xml:space="preserve">       Other</w:t>
            </w:r>
          </w:p>
        </w:tc>
        <w:tc>
          <w:tcPr>
            <w:tcW w:w="1620" w:type="dxa"/>
            <w:tcBorders>
              <w:top w:val="single" w:sz="4" w:space="0" w:color="000000"/>
              <w:left w:val="nil"/>
              <w:bottom w:val="single" w:sz="4" w:space="0" w:color="000000"/>
              <w:right w:val="nil"/>
            </w:tcBorders>
          </w:tcPr>
          <w:p w14:paraId="6B7E0668" w14:textId="77777777" w:rsidR="00172B7C" w:rsidRDefault="00172B7C" w:rsidP="00000118">
            <w:pPr>
              <w:jc w:val="right"/>
            </w:pPr>
            <w:r>
              <w:t xml:space="preserve"> $299,779</w:t>
            </w:r>
          </w:p>
        </w:tc>
        <w:tc>
          <w:tcPr>
            <w:tcW w:w="1908" w:type="dxa"/>
            <w:tcBorders>
              <w:top w:val="single" w:sz="4" w:space="0" w:color="000000"/>
              <w:left w:val="nil"/>
              <w:bottom w:val="single" w:sz="4" w:space="0" w:color="000000"/>
              <w:right w:val="nil"/>
            </w:tcBorders>
          </w:tcPr>
          <w:p w14:paraId="5CC8AB8E" w14:textId="77777777" w:rsidR="00172B7C" w:rsidRDefault="00172B7C" w:rsidP="00000118">
            <w:pPr>
              <w:jc w:val="right"/>
            </w:pPr>
            <w:r>
              <w:t xml:space="preserve"> $239,411</w:t>
            </w:r>
          </w:p>
        </w:tc>
        <w:tc>
          <w:tcPr>
            <w:tcW w:w="1890" w:type="dxa"/>
            <w:tcBorders>
              <w:top w:val="single" w:sz="4" w:space="0" w:color="000000"/>
              <w:left w:val="nil"/>
              <w:bottom w:val="single" w:sz="4" w:space="0" w:color="000000"/>
              <w:right w:val="nil"/>
            </w:tcBorders>
          </w:tcPr>
          <w:p w14:paraId="196A5675" w14:textId="77777777" w:rsidR="00172B7C" w:rsidRDefault="00172B7C" w:rsidP="00000118">
            <w:pPr>
              <w:jc w:val="right"/>
            </w:pPr>
            <w:r>
              <w:t>-20%</w:t>
            </w:r>
          </w:p>
        </w:tc>
      </w:tr>
      <w:tr w:rsidR="00172B7C" w14:paraId="2A01904D" w14:textId="77777777" w:rsidTr="00000118">
        <w:trPr>
          <w:trHeight w:val="291"/>
        </w:trPr>
        <w:tc>
          <w:tcPr>
            <w:tcW w:w="3600" w:type="dxa"/>
            <w:tcBorders>
              <w:top w:val="single" w:sz="4" w:space="0" w:color="000000"/>
              <w:left w:val="nil"/>
              <w:bottom w:val="single" w:sz="4" w:space="0" w:color="000000"/>
              <w:right w:val="nil"/>
            </w:tcBorders>
          </w:tcPr>
          <w:p w14:paraId="13023750" w14:textId="77777777" w:rsidR="00172B7C" w:rsidRPr="00FD13FB" w:rsidRDefault="00172B7C" w:rsidP="00000118">
            <w:r>
              <w:t>Excluded Non-Incentive Expenses</w:t>
            </w:r>
          </w:p>
        </w:tc>
        <w:tc>
          <w:tcPr>
            <w:tcW w:w="1620" w:type="dxa"/>
            <w:tcBorders>
              <w:top w:val="single" w:sz="4" w:space="0" w:color="000000"/>
              <w:left w:val="nil"/>
              <w:bottom w:val="single" w:sz="4" w:space="0" w:color="000000"/>
              <w:right w:val="nil"/>
            </w:tcBorders>
          </w:tcPr>
          <w:p w14:paraId="5710C157" w14:textId="77777777" w:rsidR="00172B7C" w:rsidRDefault="00172B7C" w:rsidP="00000118">
            <w:pPr>
              <w:jc w:val="right"/>
            </w:pPr>
          </w:p>
        </w:tc>
        <w:tc>
          <w:tcPr>
            <w:tcW w:w="1908" w:type="dxa"/>
            <w:tcBorders>
              <w:top w:val="single" w:sz="4" w:space="0" w:color="000000"/>
              <w:left w:val="nil"/>
              <w:bottom w:val="single" w:sz="4" w:space="0" w:color="000000"/>
              <w:right w:val="nil"/>
            </w:tcBorders>
          </w:tcPr>
          <w:p w14:paraId="38D6192C" w14:textId="77777777" w:rsidR="00172B7C" w:rsidRDefault="00172B7C" w:rsidP="00000118">
            <w:pPr>
              <w:jc w:val="right"/>
            </w:pPr>
          </w:p>
        </w:tc>
        <w:tc>
          <w:tcPr>
            <w:tcW w:w="1890" w:type="dxa"/>
            <w:tcBorders>
              <w:top w:val="single" w:sz="4" w:space="0" w:color="000000"/>
              <w:left w:val="nil"/>
              <w:bottom w:val="single" w:sz="4" w:space="0" w:color="000000"/>
              <w:right w:val="nil"/>
            </w:tcBorders>
          </w:tcPr>
          <w:p w14:paraId="08907C69" w14:textId="77777777" w:rsidR="00172B7C" w:rsidRDefault="00172B7C" w:rsidP="00000118">
            <w:pPr>
              <w:jc w:val="right"/>
            </w:pPr>
          </w:p>
        </w:tc>
      </w:tr>
      <w:tr w:rsidR="00172B7C" w14:paraId="4AD64D62" w14:textId="77777777" w:rsidTr="00000118">
        <w:trPr>
          <w:trHeight w:val="291"/>
        </w:trPr>
        <w:tc>
          <w:tcPr>
            <w:tcW w:w="3600" w:type="dxa"/>
            <w:tcBorders>
              <w:top w:val="single" w:sz="4" w:space="0" w:color="000000"/>
              <w:left w:val="nil"/>
              <w:bottom w:val="single" w:sz="4" w:space="0" w:color="000000"/>
              <w:right w:val="nil"/>
            </w:tcBorders>
            <w:hideMark/>
          </w:tcPr>
          <w:p w14:paraId="1909B0BE" w14:textId="77777777" w:rsidR="00172B7C" w:rsidRPr="00AB040F" w:rsidRDefault="00172B7C" w:rsidP="00000118">
            <w:pPr>
              <w:rPr>
                <w:i/>
              </w:rPr>
            </w:pPr>
            <w:r w:rsidRPr="00AB040F">
              <w:rPr>
                <w:i/>
              </w:rPr>
              <w:t xml:space="preserve">       NEEA</w:t>
            </w:r>
          </w:p>
        </w:tc>
        <w:tc>
          <w:tcPr>
            <w:tcW w:w="1620" w:type="dxa"/>
            <w:tcBorders>
              <w:top w:val="single" w:sz="4" w:space="0" w:color="000000"/>
              <w:left w:val="nil"/>
              <w:bottom w:val="single" w:sz="4" w:space="0" w:color="000000"/>
              <w:right w:val="nil"/>
            </w:tcBorders>
          </w:tcPr>
          <w:p w14:paraId="23CE298A" w14:textId="77777777" w:rsidR="00172B7C" w:rsidRDefault="00172B7C" w:rsidP="00000118">
            <w:pPr>
              <w:jc w:val="right"/>
            </w:pPr>
            <w:r>
              <w:t xml:space="preserve"> $244,996</w:t>
            </w:r>
          </w:p>
        </w:tc>
        <w:tc>
          <w:tcPr>
            <w:tcW w:w="1908" w:type="dxa"/>
            <w:tcBorders>
              <w:top w:val="single" w:sz="4" w:space="0" w:color="000000"/>
              <w:left w:val="nil"/>
              <w:bottom w:val="single" w:sz="4" w:space="0" w:color="000000"/>
              <w:right w:val="nil"/>
            </w:tcBorders>
          </w:tcPr>
          <w:p w14:paraId="371C55AC" w14:textId="77777777" w:rsidR="00172B7C" w:rsidRDefault="00172B7C" w:rsidP="00000118">
            <w:pPr>
              <w:jc w:val="right"/>
            </w:pPr>
            <w:r>
              <w:t xml:space="preserve"> $313,174</w:t>
            </w:r>
            <w:r w:rsidRPr="00A36B18">
              <w:t xml:space="preserve"> </w:t>
            </w:r>
          </w:p>
        </w:tc>
        <w:tc>
          <w:tcPr>
            <w:tcW w:w="1890" w:type="dxa"/>
            <w:tcBorders>
              <w:top w:val="single" w:sz="4" w:space="0" w:color="000000"/>
              <w:left w:val="nil"/>
              <w:bottom w:val="single" w:sz="4" w:space="0" w:color="000000"/>
              <w:right w:val="nil"/>
            </w:tcBorders>
          </w:tcPr>
          <w:p w14:paraId="550F6659" w14:textId="77777777" w:rsidR="00172B7C" w:rsidRDefault="00172B7C" w:rsidP="00000118">
            <w:pPr>
              <w:jc w:val="right"/>
            </w:pPr>
            <w:r>
              <w:t>28%</w:t>
            </w:r>
          </w:p>
        </w:tc>
      </w:tr>
      <w:tr w:rsidR="00172B7C" w:rsidRPr="00A36B18" w14:paraId="525DC19E" w14:textId="77777777" w:rsidTr="00000118">
        <w:trPr>
          <w:trHeight w:val="291"/>
        </w:trPr>
        <w:tc>
          <w:tcPr>
            <w:tcW w:w="3600" w:type="dxa"/>
            <w:tcBorders>
              <w:top w:val="single" w:sz="4" w:space="0" w:color="000000"/>
              <w:left w:val="nil"/>
              <w:bottom w:val="single" w:sz="4" w:space="0" w:color="000000"/>
              <w:right w:val="nil"/>
            </w:tcBorders>
          </w:tcPr>
          <w:p w14:paraId="1A637568" w14:textId="77777777" w:rsidR="00172B7C" w:rsidRPr="00AB040F" w:rsidRDefault="00172B7C" w:rsidP="00000118">
            <w:pPr>
              <w:tabs>
                <w:tab w:val="left" w:pos="2213"/>
              </w:tabs>
              <w:rPr>
                <w:i/>
              </w:rPr>
            </w:pPr>
            <w:r w:rsidRPr="00AB040F">
              <w:rPr>
                <w:i/>
              </w:rPr>
              <w:t xml:space="preserve">       </w:t>
            </w:r>
            <w:r>
              <w:rPr>
                <w:i/>
              </w:rPr>
              <w:t>Software Implementation</w:t>
            </w:r>
          </w:p>
        </w:tc>
        <w:tc>
          <w:tcPr>
            <w:tcW w:w="1620" w:type="dxa"/>
            <w:tcBorders>
              <w:top w:val="single" w:sz="4" w:space="0" w:color="000000"/>
              <w:left w:val="nil"/>
              <w:bottom w:val="single" w:sz="4" w:space="0" w:color="000000"/>
              <w:right w:val="nil"/>
            </w:tcBorders>
          </w:tcPr>
          <w:p w14:paraId="749BD139" w14:textId="77777777" w:rsidR="00172B7C" w:rsidRPr="00A36B18" w:rsidRDefault="00172B7C" w:rsidP="00000118">
            <w:pPr>
              <w:jc w:val="right"/>
            </w:pPr>
            <w:r>
              <w:t>$100,000</w:t>
            </w:r>
          </w:p>
        </w:tc>
        <w:tc>
          <w:tcPr>
            <w:tcW w:w="1908" w:type="dxa"/>
            <w:tcBorders>
              <w:top w:val="single" w:sz="4" w:space="0" w:color="000000"/>
              <w:left w:val="nil"/>
              <w:bottom w:val="single" w:sz="4" w:space="0" w:color="000000"/>
              <w:right w:val="nil"/>
            </w:tcBorders>
          </w:tcPr>
          <w:p w14:paraId="18B66BA0" w14:textId="77777777" w:rsidR="00172B7C" w:rsidRPr="00A36B18" w:rsidRDefault="00172B7C" w:rsidP="00000118">
            <w:pPr>
              <w:jc w:val="right"/>
            </w:pPr>
            <w:r>
              <w:t>$35,000</w:t>
            </w:r>
          </w:p>
        </w:tc>
        <w:tc>
          <w:tcPr>
            <w:tcW w:w="1890" w:type="dxa"/>
            <w:tcBorders>
              <w:top w:val="single" w:sz="4" w:space="0" w:color="000000"/>
              <w:left w:val="nil"/>
              <w:bottom w:val="single" w:sz="4" w:space="0" w:color="000000"/>
              <w:right w:val="nil"/>
            </w:tcBorders>
          </w:tcPr>
          <w:p w14:paraId="294B8C9A" w14:textId="77777777" w:rsidR="00172B7C" w:rsidRPr="00A36B18" w:rsidRDefault="00172B7C" w:rsidP="00000118">
            <w:pPr>
              <w:jc w:val="right"/>
            </w:pPr>
            <w:r>
              <w:t>-65%</w:t>
            </w:r>
          </w:p>
        </w:tc>
      </w:tr>
      <w:tr w:rsidR="00685424" w:rsidRPr="00A36B18" w14:paraId="36CDFC20" w14:textId="77777777" w:rsidTr="00000118">
        <w:trPr>
          <w:trHeight w:val="291"/>
        </w:trPr>
        <w:tc>
          <w:tcPr>
            <w:tcW w:w="3600" w:type="dxa"/>
            <w:tcBorders>
              <w:top w:val="single" w:sz="4" w:space="0" w:color="000000"/>
              <w:left w:val="nil"/>
              <w:bottom w:val="single" w:sz="4" w:space="0" w:color="000000"/>
              <w:right w:val="nil"/>
            </w:tcBorders>
          </w:tcPr>
          <w:p w14:paraId="1E79F057" w14:textId="70EA19EE" w:rsidR="00685424" w:rsidRPr="00AB040F" w:rsidRDefault="00685424" w:rsidP="00000118">
            <w:pPr>
              <w:tabs>
                <w:tab w:val="left" w:pos="2213"/>
              </w:tabs>
              <w:rPr>
                <w:i/>
              </w:rPr>
            </w:pPr>
            <w:r>
              <w:rPr>
                <w:i/>
              </w:rPr>
              <w:t xml:space="preserve">       CPA &amp; Model Development                       </w:t>
            </w:r>
          </w:p>
        </w:tc>
        <w:tc>
          <w:tcPr>
            <w:tcW w:w="1620" w:type="dxa"/>
            <w:tcBorders>
              <w:top w:val="single" w:sz="4" w:space="0" w:color="000000"/>
              <w:left w:val="nil"/>
              <w:bottom w:val="single" w:sz="4" w:space="0" w:color="000000"/>
              <w:right w:val="nil"/>
            </w:tcBorders>
          </w:tcPr>
          <w:p w14:paraId="4705F59F" w14:textId="14E8CE28" w:rsidR="00685424" w:rsidRPr="00685424" w:rsidRDefault="00685424" w:rsidP="00000118">
            <w:pPr>
              <w:jc w:val="right"/>
              <w:rPr>
                <w:i/>
              </w:rPr>
            </w:pPr>
            <w:r w:rsidRPr="00685424">
              <w:rPr>
                <w:i/>
              </w:rPr>
              <w:t>n/a</w:t>
            </w:r>
          </w:p>
        </w:tc>
        <w:tc>
          <w:tcPr>
            <w:tcW w:w="1908" w:type="dxa"/>
            <w:tcBorders>
              <w:top w:val="single" w:sz="4" w:space="0" w:color="000000"/>
              <w:left w:val="nil"/>
              <w:bottom w:val="single" w:sz="4" w:space="0" w:color="000000"/>
              <w:right w:val="nil"/>
            </w:tcBorders>
          </w:tcPr>
          <w:p w14:paraId="4AACC18F" w14:textId="1FDEA0EB" w:rsidR="00685424" w:rsidRDefault="00685424" w:rsidP="00000118">
            <w:pPr>
              <w:jc w:val="right"/>
            </w:pPr>
            <w:r>
              <w:t>2017 RFP</w:t>
            </w:r>
            <w:r>
              <w:rPr>
                <w:rStyle w:val="FootnoteReference"/>
              </w:rPr>
              <w:footnoteReference w:id="4"/>
            </w:r>
          </w:p>
        </w:tc>
        <w:tc>
          <w:tcPr>
            <w:tcW w:w="1890" w:type="dxa"/>
            <w:tcBorders>
              <w:top w:val="single" w:sz="4" w:space="0" w:color="000000"/>
              <w:left w:val="nil"/>
              <w:bottom w:val="single" w:sz="4" w:space="0" w:color="000000"/>
              <w:right w:val="nil"/>
            </w:tcBorders>
          </w:tcPr>
          <w:p w14:paraId="608A5AE5" w14:textId="3C73CDA9" w:rsidR="00685424" w:rsidRDefault="00685424" w:rsidP="00000118">
            <w:pPr>
              <w:jc w:val="right"/>
            </w:pPr>
          </w:p>
        </w:tc>
      </w:tr>
      <w:tr w:rsidR="00172B7C" w:rsidRPr="00AB040F" w14:paraId="5A72E349" w14:textId="77777777" w:rsidTr="00000118">
        <w:trPr>
          <w:trHeight w:val="291"/>
        </w:trPr>
        <w:tc>
          <w:tcPr>
            <w:tcW w:w="3600" w:type="dxa"/>
            <w:tcBorders>
              <w:top w:val="single" w:sz="8" w:space="0" w:color="000000"/>
              <w:left w:val="nil"/>
              <w:bottom w:val="single" w:sz="12" w:space="0" w:color="000000"/>
              <w:right w:val="nil"/>
            </w:tcBorders>
            <w:hideMark/>
          </w:tcPr>
          <w:p w14:paraId="71D9A3C9" w14:textId="77777777" w:rsidR="00172B7C" w:rsidRDefault="00172B7C" w:rsidP="00000118">
            <w:pPr>
              <w:rPr>
                <w:b/>
              </w:rPr>
            </w:pPr>
            <w:r>
              <w:rPr>
                <w:b/>
              </w:rPr>
              <w:t>Total</w:t>
            </w:r>
          </w:p>
        </w:tc>
        <w:tc>
          <w:tcPr>
            <w:tcW w:w="1620" w:type="dxa"/>
            <w:tcBorders>
              <w:top w:val="single" w:sz="8" w:space="0" w:color="000000"/>
              <w:left w:val="nil"/>
              <w:bottom w:val="single" w:sz="12" w:space="0" w:color="000000"/>
              <w:right w:val="nil"/>
            </w:tcBorders>
            <w:hideMark/>
          </w:tcPr>
          <w:p w14:paraId="456D4A9C" w14:textId="77777777" w:rsidR="00172B7C" w:rsidRPr="00AB040F" w:rsidRDefault="00172B7C" w:rsidP="00000118">
            <w:pPr>
              <w:jc w:val="right"/>
              <w:rPr>
                <w:b/>
              </w:rPr>
            </w:pPr>
            <w:r>
              <w:rPr>
                <w:b/>
              </w:rPr>
              <w:t xml:space="preserve"> $3,707,690</w:t>
            </w:r>
          </w:p>
        </w:tc>
        <w:tc>
          <w:tcPr>
            <w:tcW w:w="1908" w:type="dxa"/>
            <w:tcBorders>
              <w:top w:val="single" w:sz="8" w:space="0" w:color="000000"/>
              <w:left w:val="nil"/>
              <w:bottom w:val="single" w:sz="12" w:space="0" w:color="000000"/>
              <w:right w:val="nil"/>
            </w:tcBorders>
            <w:hideMark/>
          </w:tcPr>
          <w:p w14:paraId="0CD40E6E" w14:textId="4C0B154F" w:rsidR="00172B7C" w:rsidRPr="00AB040F" w:rsidRDefault="00172B7C" w:rsidP="00000118">
            <w:pPr>
              <w:jc w:val="right"/>
              <w:rPr>
                <w:b/>
              </w:rPr>
            </w:pPr>
            <w:r w:rsidRPr="00AB040F">
              <w:rPr>
                <w:b/>
              </w:rPr>
              <w:t xml:space="preserve"> $</w:t>
            </w:r>
            <w:r>
              <w:rPr>
                <w:b/>
              </w:rPr>
              <w:t>3,765,897</w:t>
            </w:r>
            <w:r w:rsidR="0027119C" w:rsidRPr="00495C61">
              <w:rPr>
                <w:rStyle w:val="FootnoteReference"/>
              </w:rPr>
              <w:footnoteReference w:id="5"/>
            </w:r>
          </w:p>
        </w:tc>
        <w:tc>
          <w:tcPr>
            <w:tcW w:w="1890" w:type="dxa"/>
            <w:tcBorders>
              <w:top w:val="single" w:sz="8" w:space="0" w:color="000000"/>
              <w:left w:val="nil"/>
              <w:bottom w:val="single" w:sz="12" w:space="0" w:color="000000"/>
              <w:right w:val="nil"/>
            </w:tcBorders>
            <w:hideMark/>
          </w:tcPr>
          <w:p w14:paraId="3E3A3793" w14:textId="77777777" w:rsidR="00172B7C" w:rsidRPr="00AB040F" w:rsidRDefault="00172B7C" w:rsidP="00000118">
            <w:pPr>
              <w:jc w:val="right"/>
              <w:rPr>
                <w:b/>
              </w:rPr>
            </w:pPr>
            <w:r>
              <w:rPr>
                <w:b/>
              </w:rPr>
              <w:t>2%</w:t>
            </w:r>
          </w:p>
        </w:tc>
      </w:tr>
    </w:tbl>
    <w:p w14:paraId="04863C0B" w14:textId="77777777" w:rsidR="00172B7C" w:rsidRDefault="00172B7C" w:rsidP="00172B7C">
      <w:pPr>
        <w:rPr>
          <w:rFonts w:eastAsia="Calibri"/>
        </w:rPr>
      </w:pPr>
    </w:p>
    <w:p w14:paraId="791FF3AE" w14:textId="3BACD9F7" w:rsidR="00172B7C" w:rsidRDefault="00E37C44" w:rsidP="00172B7C">
      <w:pPr>
        <w:rPr>
          <w:rFonts w:eastAsia="Calibri"/>
        </w:rPr>
      </w:pPr>
      <w:r>
        <w:rPr>
          <w:rFonts w:eastAsia="Calibri"/>
        </w:rPr>
        <w:t>Cascade</w:t>
      </w:r>
      <w:r w:rsidR="00E40DD6">
        <w:rPr>
          <w:rFonts w:eastAsia="Calibri"/>
        </w:rPr>
        <w:t xml:space="preserve"> adjusted </w:t>
      </w:r>
      <w:r>
        <w:rPr>
          <w:rFonts w:eastAsia="Calibri"/>
        </w:rPr>
        <w:t xml:space="preserve">the </w:t>
      </w:r>
      <w:r w:rsidR="006D4D6A">
        <w:rPr>
          <w:rFonts w:eastAsia="Calibri"/>
        </w:rPr>
        <w:t xml:space="preserve">budget for </w:t>
      </w:r>
      <w:r>
        <w:rPr>
          <w:rFonts w:eastAsia="Calibri"/>
        </w:rPr>
        <w:t xml:space="preserve">residential </w:t>
      </w:r>
      <w:r w:rsidR="00D645CA">
        <w:rPr>
          <w:rFonts w:eastAsia="Calibri"/>
        </w:rPr>
        <w:t>incentive payments</w:t>
      </w:r>
      <w:r>
        <w:rPr>
          <w:rFonts w:eastAsia="Calibri"/>
        </w:rPr>
        <w:t xml:space="preserve"> </w:t>
      </w:r>
      <w:r w:rsidR="00DA7153">
        <w:rPr>
          <w:rFonts w:eastAsia="Calibri"/>
        </w:rPr>
        <w:t xml:space="preserve">downward to </w:t>
      </w:r>
      <w:r w:rsidR="003C26F6">
        <w:rPr>
          <w:rFonts w:eastAsia="Calibri"/>
        </w:rPr>
        <w:t>account for</w:t>
      </w:r>
      <w:r w:rsidR="00C713F5">
        <w:rPr>
          <w:rFonts w:eastAsia="Calibri"/>
        </w:rPr>
        <w:t xml:space="preserve"> lagging </w:t>
      </w:r>
      <w:r w:rsidR="00FC4FDD">
        <w:rPr>
          <w:rFonts w:eastAsia="Calibri"/>
        </w:rPr>
        <w:t xml:space="preserve">program participation </w:t>
      </w:r>
      <w:r w:rsidR="00C713F5">
        <w:rPr>
          <w:rFonts w:eastAsia="Calibri"/>
        </w:rPr>
        <w:t>in 2016</w:t>
      </w:r>
      <w:r w:rsidR="003C26F6">
        <w:rPr>
          <w:rFonts w:eastAsia="Calibri"/>
        </w:rPr>
        <w:t xml:space="preserve">. </w:t>
      </w:r>
      <w:r w:rsidR="00ED7B34">
        <w:rPr>
          <w:rFonts w:eastAsia="Calibri"/>
        </w:rPr>
        <w:t>For the past two years, the residential programs were delivered through a mix of third party implementation and internal program oversight. With the goal of delivering a more efficient rebate processing from start-to-finish</w:t>
      </w:r>
      <w:r w:rsidR="00E40DD6">
        <w:rPr>
          <w:rFonts w:eastAsia="Calibri"/>
        </w:rPr>
        <w:t xml:space="preserve"> and expanding outreach</w:t>
      </w:r>
      <w:r w:rsidR="00ED7B34">
        <w:rPr>
          <w:rFonts w:eastAsia="Calibri"/>
        </w:rPr>
        <w:t xml:space="preserve">, the company </w:t>
      </w:r>
      <w:r w:rsidR="0091796E">
        <w:rPr>
          <w:rFonts w:eastAsia="Calibri"/>
        </w:rPr>
        <w:t>added a part-</w:t>
      </w:r>
      <w:r w:rsidR="0091796E" w:rsidRPr="0091796E">
        <w:rPr>
          <w:rFonts w:eastAsia="Calibri"/>
        </w:rPr>
        <w:t xml:space="preserve">time employee </w:t>
      </w:r>
      <w:r w:rsidR="0091796E">
        <w:rPr>
          <w:rFonts w:eastAsia="Calibri"/>
        </w:rPr>
        <w:t>and factored-</w:t>
      </w:r>
      <w:r w:rsidR="0091796E" w:rsidRPr="0091796E">
        <w:rPr>
          <w:rFonts w:eastAsia="Calibri"/>
        </w:rPr>
        <w:t xml:space="preserve">in additional </w:t>
      </w:r>
      <w:r w:rsidR="00510CB9">
        <w:rPr>
          <w:rFonts w:eastAsia="Calibri"/>
        </w:rPr>
        <w:t xml:space="preserve">promotion and participation with </w:t>
      </w:r>
      <w:r w:rsidR="006D4D6A">
        <w:rPr>
          <w:rFonts w:eastAsia="Calibri"/>
        </w:rPr>
        <w:t>its contractor partners</w:t>
      </w:r>
      <w:r w:rsidR="0091796E">
        <w:rPr>
          <w:rFonts w:eastAsia="Calibri"/>
        </w:rPr>
        <w:t>,</w:t>
      </w:r>
      <w:r w:rsidR="00510CB9">
        <w:rPr>
          <w:rFonts w:eastAsia="Calibri"/>
        </w:rPr>
        <w:t xml:space="preserve"> </w:t>
      </w:r>
      <w:r w:rsidR="0091796E">
        <w:rPr>
          <w:rFonts w:eastAsia="Calibri"/>
        </w:rPr>
        <w:t xml:space="preserve">which has </w:t>
      </w:r>
      <w:r w:rsidR="00ED7B34">
        <w:rPr>
          <w:rFonts w:eastAsia="Calibri"/>
        </w:rPr>
        <w:t>increased labor and outreach budgets in 2017.</w:t>
      </w:r>
      <w:r w:rsidR="003C3246">
        <w:rPr>
          <w:rFonts w:eastAsia="Calibri"/>
        </w:rPr>
        <w:t xml:space="preserve"> </w:t>
      </w:r>
    </w:p>
    <w:p w14:paraId="6CD8C517" w14:textId="77777777" w:rsidR="009C37EF" w:rsidRDefault="009C37EF" w:rsidP="00172B7C">
      <w:pPr>
        <w:rPr>
          <w:rFonts w:eastAsia="Calibri"/>
        </w:rPr>
      </w:pPr>
    </w:p>
    <w:p w14:paraId="4312489E" w14:textId="7CCC6A45" w:rsidR="00172B7C" w:rsidRDefault="00B258C7" w:rsidP="00172B7C">
      <w:pPr>
        <w:rPr>
          <w:rFonts w:eastAsia="Calibri"/>
        </w:rPr>
      </w:pPr>
      <w:r>
        <w:rPr>
          <w:rFonts w:eastAsia="Calibri"/>
        </w:rPr>
        <w:t>Cascade filed revisions to</w:t>
      </w:r>
      <w:r w:rsidR="003C3246">
        <w:rPr>
          <w:rFonts w:eastAsia="Calibri"/>
        </w:rPr>
        <w:t xml:space="preserve"> the </w:t>
      </w:r>
      <w:r w:rsidR="00172B7C" w:rsidRPr="00794742">
        <w:rPr>
          <w:rFonts w:eastAsia="Calibri"/>
        </w:rPr>
        <w:t xml:space="preserve">low-income program budget </w:t>
      </w:r>
      <w:r w:rsidR="00C43E51">
        <w:rPr>
          <w:rFonts w:eastAsia="Calibri"/>
        </w:rPr>
        <w:t>to</w:t>
      </w:r>
      <w:r w:rsidR="00172B7C" w:rsidRPr="00794742">
        <w:rPr>
          <w:rFonts w:eastAsia="Calibri"/>
        </w:rPr>
        <w:t xml:space="preserve"> better accommodate the need</w:t>
      </w:r>
      <w:r w:rsidR="00E35ACD">
        <w:rPr>
          <w:rFonts w:eastAsia="Calibri"/>
        </w:rPr>
        <w:t xml:space="preserve">s of community action agencies and made </w:t>
      </w:r>
      <w:r w:rsidR="00172B7C" w:rsidRPr="00794742">
        <w:rPr>
          <w:rFonts w:eastAsia="Calibri"/>
        </w:rPr>
        <w:t>a series of changes. The changes include aligning the qualified energy efficiency measures with the Washington State Department of Commerce weatherization priority list, expanding project rebate payments, and instituting an audit and inspection fee paid to agencies for work performed.</w:t>
      </w:r>
    </w:p>
    <w:p w14:paraId="68365545" w14:textId="77777777" w:rsidR="00A52463" w:rsidRDefault="00A52463" w:rsidP="00172B7C">
      <w:pPr>
        <w:rPr>
          <w:rFonts w:eastAsia="Calibri"/>
        </w:rPr>
      </w:pPr>
    </w:p>
    <w:p w14:paraId="3E9EE474" w14:textId="48C0D495" w:rsidR="006A0EBA" w:rsidRDefault="00C4653D" w:rsidP="006A0EBA">
      <w:pPr>
        <w:rPr>
          <w:rFonts w:eastAsia="Calibri"/>
        </w:rPr>
      </w:pPr>
      <w:r>
        <w:rPr>
          <w:rFonts w:eastAsia="Calibri"/>
        </w:rPr>
        <w:t>The</w:t>
      </w:r>
      <w:r w:rsidR="006A0EBA" w:rsidRPr="00585819">
        <w:rPr>
          <w:rFonts w:eastAsia="Calibri"/>
        </w:rPr>
        <w:t xml:space="preserve"> utility cost test (UCT) benefit-to-cost ratio for Cascade’s Washington natural gas portfolio is projected to be 1.6 for 2017.</w:t>
      </w:r>
      <w:r w:rsidR="00B12667">
        <w:rPr>
          <w:rStyle w:val="FootnoteReference"/>
          <w:rFonts w:eastAsia="Calibri"/>
        </w:rPr>
        <w:footnoteReference w:id="6"/>
      </w:r>
      <w:r w:rsidR="006A0EBA" w:rsidRPr="00585819">
        <w:rPr>
          <w:rFonts w:eastAsia="Calibri"/>
        </w:rPr>
        <w:t xml:space="preserve"> Due to </w:t>
      </w:r>
      <w:r w:rsidR="00557405">
        <w:rPr>
          <w:rFonts w:eastAsia="Calibri"/>
        </w:rPr>
        <w:t xml:space="preserve">the </w:t>
      </w:r>
      <w:r w:rsidR="00557405" w:rsidRPr="008D07AA">
        <w:t xml:space="preserve">Technical Economic Achievable Potential </w:t>
      </w:r>
      <w:r w:rsidR="00557405">
        <w:t>(</w:t>
      </w:r>
      <w:r w:rsidR="006A0EBA" w:rsidRPr="00585819">
        <w:rPr>
          <w:rFonts w:eastAsia="Calibri"/>
        </w:rPr>
        <w:t>TEA-Pot</w:t>
      </w:r>
      <w:r w:rsidR="00557405">
        <w:rPr>
          <w:rFonts w:eastAsia="Calibri"/>
        </w:rPr>
        <w:t xml:space="preserve">) </w:t>
      </w:r>
      <w:r w:rsidR="006A0EBA">
        <w:rPr>
          <w:rFonts w:eastAsia="Calibri"/>
        </w:rPr>
        <w:lastRenderedPageBreak/>
        <w:t xml:space="preserve">model </w:t>
      </w:r>
      <w:r w:rsidR="006A0EBA" w:rsidRPr="00585819">
        <w:rPr>
          <w:rFonts w:eastAsia="Calibri"/>
        </w:rPr>
        <w:t xml:space="preserve">limitations, the company did not calculate total resource cost (TRC) effectiveness, and the TRC is not presented in this </w:t>
      </w:r>
      <w:r w:rsidR="006A0EBA">
        <w:rPr>
          <w:rFonts w:eastAsia="Calibri"/>
        </w:rPr>
        <w:t>Plan</w:t>
      </w:r>
      <w:r w:rsidR="006A0EBA" w:rsidRPr="00585819">
        <w:rPr>
          <w:rFonts w:eastAsia="Calibri"/>
        </w:rPr>
        <w:t>.</w:t>
      </w:r>
    </w:p>
    <w:p w14:paraId="277B3C74" w14:textId="77777777" w:rsidR="00D2084A" w:rsidRDefault="00D2084A" w:rsidP="00172B7C">
      <w:pPr>
        <w:rPr>
          <w:rFonts w:eastAsia="Calibri"/>
        </w:rPr>
      </w:pPr>
    </w:p>
    <w:p w14:paraId="20179DAC" w14:textId="77777777" w:rsidR="00C765AF" w:rsidRPr="00AA6B79" w:rsidRDefault="00C765AF" w:rsidP="00C765AF">
      <w:pPr>
        <w:rPr>
          <w:rFonts w:eastAsia="Calibri"/>
        </w:rPr>
      </w:pPr>
      <w:r>
        <w:rPr>
          <w:b/>
          <w:i/>
        </w:rPr>
        <w:t>Natural Gas Conservation Savings.</w:t>
      </w:r>
      <w:r>
        <w:rPr>
          <w:b/>
        </w:rPr>
        <w:t xml:space="preserve"> </w:t>
      </w:r>
      <w:r>
        <w:t>Cascade projects a 13 percent decrease in its projected year-over-year savings acquisition, decreasing from 982,915 therms to 854,876 therms. Table 2 summarizes the 2016 and 2017 natural gas savings by program.</w:t>
      </w:r>
    </w:p>
    <w:p w14:paraId="45089B03" w14:textId="77777777" w:rsidR="00C765AF" w:rsidRPr="00B109FB" w:rsidRDefault="00C765AF" w:rsidP="00C765AF">
      <w:pPr>
        <w:rPr>
          <w:rFonts w:eastAsia="Calibri"/>
          <w:sz w:val="10"/>
          <w:szCs w:val="10"/>
        </w:rPr>
      </w:pPr>
    </w:p>
    <w:p w14:paraId="762F9F86" w14:textId="77777777" w:rsidR="00C765AF" w:rsidRDefault="00C765AF" w:rsidP="00C765AF">
      <w:pPr>
        <w:pStyle w:val="Caption"/>
        <w:spacing w:after="0"/>
        <w:jc w:val="center"/>
        <w:rPr>
          <w:rFonts w:ascii="Times New Roman" w:hAnsi="Times New Roman"/>
          <w:b/>
          <w:i w:val="0"/>
          <w:color w:val="auto"/>
          <w:sz w:val="22"/>
          <w:szCs w:val="22"/>
        </w:rPr>
      </w:pPr>
      <w:r w:rsidRPr="00AA6B79">
        <w:rPr>
          <w:rFonts w:ascii="Times New Roman" w:hAnsi="Times New Roman"/>
          <w:b/>
          <w:i w:val="0"/>
          <w:color w:val="auto"/>
          <w:sz w:val="22"/>
          <w:szCs w:val="22"/>
        </w:rPr>
        <w:t xml:space="preserve">Table </w:t>
      </w:r>
      <w:r w:rsidRPr="00AA6B79">
        <w:rPr>
          <w:rFonts w:ascii="Times New Roman" w:hAnsi="Times New Roman"/>
          <w:b/>
          <w:i w:val="0"/>
          <w:color w:val="auto"/>
          <w:sz w:val="22"/>
          <w:szCs w:val="22"/>
        </w:rPr>
        <w:fldChar w:fldCharType="begin"/>
      </w:r>
      <w:r w:rsidRPr="00AA6B79">
        <w:rPr>
          <w:rFonts w:ascii="Times New Roman" w:hAnsi="Times New Roman"/>
          <w:b/>
          <w:i w:val="0"/>
          <w:color w:val="auto"/>
          <w:sz w:val="22"/>
          <w:szCs w:val="22"/>
        </w:rPr>
        <w:instrText xml:space="preserve"> SEQ Table \* ARABIC </w:instrText>
      </w:r>
      <w:r w:rsidRPr="00AA6B79">
        <w:rPr>
          <w:rFonts w:ascii="Times New Roman" w:hAnsi="Times New Roman"/>
          <w:b/>
          <w:i w:val="0"/>
          <w:color w:val="auto"/>
          <w:sz w:val="22"/>
          <w:szCs w:val="22"/>
        </w:rPr>
        <w:fldChar w:fldCharType="separate"/>
      </w:r>
      <w:r w:rsidR="002E4805">
        <w:rPr>
          <w:rFonts w:ascii="Times New Roman" w:hAnsi="Times New Roman"/>
          <w:b/>
          <w:i w:val="0"/>
          <w:noProof/>
          <w:color w:val="auto"/>
          <w:sz w:val="22"/>
          <w:szCs w:val="22"/>
        </w:rPr>
        <w:t>2</w:t>
      </w:r>
      <w:r w:rsidRPr="00AA6B79">
        <w:rPr>
          <w:rFonts w:ascii="Times New Roman" w:hAnsi="Times New Roman"/>
          <w:b/>
          <w:i w:val="0"/>
          <w:color w:val="auto"/>
          <w:sz w:val="22"/>
          <w:szCs w:val="22"/>
        </w:rPr>
        <w:fldChar w:fldCharType="end"/>
      </w:r>
    </w:p>
    <w:p w14:paraId="47D1F0A1" w14:textId="77777777" w:rsidR="00A52463" w:rsidRPr="00A52463" w:rsidRDefault="00A52463" w:rsidP="00A52463">
      <w:pPr>
        <w:rPr>
          <w:sz w:val="10"/>
          <w:szCs w:val="10"/>
        </w:rPr>
      </w:pPr>
    </w:p>
    <w:tbl>
      <w:tblPr>
        <w:tblW w:w="925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15"/>
        <w:gridCol w:w="1620"/>
        <w:gridCol w:w="1530"/>
        <w:gridCol w:w="1890"/>
      </w:tblGrid>
      <w:tr w:rsidR="00C765AF" w:rsidRPr="000A64C1" w14:paraId="418103FF" w14:textId="77777777" w:rsidTr="00000118">
        <w:trPr>
          <w:trHeight w:val="279"/>
        </w:trPr>
        <w:tc>
          <w:tcPr>
            <w:tcW w:w="4215" w:type="dxa"/>
            <w:tcBorders>
              <w:top w:val="single" w:sz="12" w:space="0" w:color="000000"/>
              <w:left w:val="nil"/>
              <w:bottom w:val="single" w:sz="12" w:space="0" w:color="000000"/>
              <w:right w:val="nil"/>
            </w:tcBorders>
            <w:hideMark/>
          </w:tcPr>
          <w:p w14:paraId="1C07C4ED" w14:textId="77777777" w:rsidR="00C765AF" w:rsidRPr="000A64C1" w:rsidRDefault="00C765AF" w:rsidP="00000118">
            <w:pPr>
              <w:rPr>
                <w:b/>
                <w:bCs/>
                <w:color w:val="000080"/>
                <w:sz w:val="20"/>
                <w:szCs w:val="20"/>
              </w:rPr>
            </w:pPr>
            <w:r>
              <w:rPr>
                <w:b/>
                <w:bCs/>
                <w:color w:val="000000" w:themeColor="text1"/>
              </w:rPr>
              <w:t>Projected Gas Savings (therms)</w:t>
            </w:r>
          </w:p>
        </w:tc>
        <w:tc>
          <w:tcPr>
            <w:tcW w:w="1620" w:type="dxa"/>
            <w:tcBorders>
              <w:top w:val="single" w:sz="12" w:space="0" w:color="000000"/>
              <w:left w:val="nil"/>
              <w:bottom w:val="single" w:sz="12" w:space="0" w:color="000000"/>
              <w:right w:val="nil"/>
            </w:tcBorders>
            <w:hideMark/>
          </w:tcPr>
          <w:p w14:paraId="711A8BA4" w14:textId="77777777" w:rsidR="00C765AF" w:rsidRPr="000A64C1" w:rsidRDefault="00C765AF" w:rsidP="00000118">
            <w:pPr>
              <w:jc w:val="center"/>
              <w:rPr>
                <w:b/>
                <w:bCs/>
                <w:color w:val="000000" w:themeColor="text1"/>
                <w:sz w:val="20"/>
                <w:szCs w:val="20"/>
              </w:rPr>
            </w:pPr>
            <w:r>
              <w:rPr>
                <w:b/>
                <w:bCs/>
                <w:color w:val="000000" w:themeColor="text1"/>
              </w:rPr>
              <w:t xml:space="preserve">          2016</w:t>
            </w:r>
          </w:p>
        </w:tc>
        <w:tc>
          <w:tcPr>
            <w:tcW w:w="1530" w:type="dxa"/>
            <w:tcBorders>
              <w:top w:val="single" w:sz="12" w:space="0" w:color="000000"/>
              <w:left w:val="nil"/>
              <w:bottom w:val="single" w:sz="12" w:space="0" w:color="000000"/>
              <w:right w:val="nil"/>
            </w:tcBorders>
            <w:hideMark/>
          </w:tcPr>
          <w:p w14:paraId="226C00BA" w14:textId="77777777" w:rsidR="00C765AF" w:rsidRPr="000A64C1" w:rsidRDefault="00C765AF" w:rsidP="00000118">
            <w:pPr>
              <w:jc w:val="center"/>
              <w:rPr>
                <w:b/>
                <w:bCs/>
                <w:color w:val="000000" w:themeColor="text1"/>
                <w:sz w:val="20"/>
                <w:szCs w:val="20"/>
              </w:rPr>
            </w:pPr>
            <w:r>
              <w:rPr>
                <w:b/>
                <w:bCs/>
                <w:color w:val="000000" w:themeColor="text1"/>
              </w:rPr>
              <w:t xml:space="preserve">        2017</w:t>
            </w:r>
          </w:p>
        </w:tc>
        <w:tc>
          <w:tcPr>
            <w:tcW w:w="1890" w:type="dxa"/>
            <w:tcBorders>
              <w:top w:val="single" w:sz="12" w:space="0" w:color="000000"/>
              <w:left w:val="nil"/>
              <w:bottom w:val="single" w:sz="12" w:space="0" w:color="000000"/>
              <w:right w:val="nil"/>
            </w:tcBorders>
            <w:hideMark/>
          </w:tcPr>
          <w:p w14:paraId="246493A6" w14:textId="77777777" w:rsidR="00C765AF" w:rsidRPr="000A64C1" w:rsidRDefault="00C765AF" w:rsidP="00000118">
            <w:pPr>
              <w:jc w:val="right"/>
              <w:rPr>
                <w:b/>
                <w:bCs/>
                <w:color w:val="000000" w:themeColor="text1"/>
                <w:sz w:val="20"/>
                <w:szCs w:val="20"/>
              </w:rPr>
            </w:pPr>
            <w:r>
              <w:rPr>
                <w:b/>
                <w:bCs/>
                <w:color w:val="000000" w:themeColor="text1"/>
              </w:rPr>
              <w:t>2017 Change</w:t>
            </w:r>
          </w:p>
        </w:tc>
      </w:tr>
      <w:tr w:rsidR="00C765AF" w:rsidRPr="000A64C1" w14:paraId="3F040586" w14:textId="77777777" w:rsidTr="00000118">
        <w:trPr>
          <w:trHeight w:val="291"/>
        </w:trPr>
        <w:tc>
          <w:tcPr>
            <w:tcW w:w="4215" w:type="dxa"/>
            <w:tcBorders>
              <w:top w:val="single" w:sz="6" w:space="0" w:color="000000"/>
              <w:left w:val="nil"/>
              <w:bottom w:val="single" w:sz="6" w:space="0" w:color="000000"/>
              <w:right w:val="nil"/>
            </w:tcBorders>
          </w:tcPr>
          <w:p w14:paraId="0D832C6D" w14:textId="77777777" w:rsidR="00C765AF" w:rsidRPr="000A64C1" w:rsidRDefault="00C765AF" w:rsidP="00000118">
            <w:pPr>
              <w:rPr>
                <w:sz w:val="20"/>
                <w:szCs w:val="20"/>
              </w:rPr>
            </w:pPr>
            <w:r>
              <w:t>Residential</w:t>
            </w:r>
          </w:p>
        </w:tc>
        <w:tc>
          <w:tcPr>
            <w:tcW w:w="1620" w:type="dxa"/>
            <w:tcBorders>
              <w:top w:val="single" w:sz="6" w:space="0" w:color="000000"/>
              <w:left w:val="nil"/>
              <w:bottom w:val="single" w:sz="6" w:space="0" w:color="000000"/>
              <w:right w:val="nil"/>
            </w:tcBorders>
          </w:tcPr>
          <w:p w14:paraId="7C4BFC74" w14:textId="77777777" w:rsidR="00C765AF" w:rsidRPr="000A64C1" w:rsidRDefault="00C765AF" w:rsidP="00000118">
            <w:pPr>
              <w:jc w:val="right"/>
              <w:rPr>
                <w:sz w:val="20"/>
                <w:szCs w:val="20"/>
              </w:rPr>
            </w:pPr>
            <w:r>
              <w:t>409,975</w:t>
            </w:r>
          </w:p>
        </w:tc>
        <w:tc>
          <w:tcPr>
            <w:tcW w:w="1530" w:type="dxa"/>
            <w:tcBorders>
              <w:top w:val="single" w:sz="6" w:space="0" w:color="000000"/>
              <w:left w:val="nil"/>
              <w:bottom w:val="single" w:sz="6" w:space="0" w:color="000000"/>
              <w:right w:val="nil"/>
            </w:tcBorders>
          </w:tcPr>
          <w:p w14:paraId="0A20EA73" w14:textId="77777777" w:rsidR="00C765AF" w:rsidRPr="000A64C1" w:rsidRDefault="00C765AF" w:rsidP="00000118">
            <w:pPr>
              <w:jc w:val="right"/>
              <w:rPr>
                <w:sz w:val="20"/>
                <w:szCs w:val="20"/>
              </w:rPr>
            </w:pPr>
            <w:r>
              <w:t>323,878</w:t>
            </w:r>
          </w:p>
        </w:tc>
        <w:tc>
          <w:tcPr>
            <w:tcW w:w="1890" w:type="dxa"/>
            <w:tcBorders>
              <w:top w:val="single" w:sz="6" w:space="0" w:color="000000"/>
              <w:left w:val="nil"/>
              <w:bottom w:val="single" w:sz="6" w:space="0" w:color="000000"/>
              <w:right w:val="nil"/>
            </w:tcBorders>
          </w:tcPr>
          <w:p w14:paraId="2BCEFE71" w14:textId="77777777" w:rsidR="00C765AF" w:rsidRPr="000A64C1" w:rsidRDefault="00C765AF" w:rsidP="00000118">
            <w:pPr>
              <w:jc w:val="right"/>
              <w:rPr>
                <w:sz w:val="20"/>
                <w:szCs w:val="20"/>
              </w:rPr>
            </w:pPr>
            <w:r>
              <w:t>-21%</w:t>
            </w:r>
          </w:p>
        </w:tc>
      </w:tr>
      <w:tr w:rsidR="00C765AF" w:rsidRPr="000A64C1" w14:paraId="581682C7" w14:textId="77777777" w:rsidTr="00000118">
        <w:trPr>
          <w:trHeight w:val="291"/>
        </w:trPr>
        <w:tc>
          <w:tcPr>
            <w:tcW w:w="4215" w:type="dxa"/>
            <w:tcBorders>
              <w:top w:val="single" w:sz="6" w:space="0" w:color="000000"/>
              <w:left w:val="nil"/>
              <w:bottom w:val="single" w:sz="6" w:space="0" w:color="000000"/>
              <w:right w:val="nil"/>
            </w:tcBorders>
          </w:tcPr>
          <w:p w14:paraId="1854C2AB" w14:textId="77777777" w:rsidR="00C765AF" w:rsidRPr="006C6AD6" w:rsidRDefault="00C765AF" w:rsidP="00000118">
            <w:pPr>
              <w:rPr>
                <w:i/>
              </w:rPr>
            </w:pPr>
            <w:r w:rsidRPr="006C6AD6">
              <w:rPr>
                <w:i/>
              </w:rPr>
              <w:t xml:space="preserve">    Low-income</w:t>
            </w:r>
          </w:p>
        </w:tc>
        <w:tc>
          <w:tcPr>
            <w:tcW w:w="1620" w:type="dxa"/>
            <w:tcBorders>
              <w:top w:val="single" w:sz="6" w:space="0" w:color="000000"/>
              <w:left w:val="nil"/>
              <w:bottom w:val="single" w:sz="6" w:space="0" w:color="000000"/>
              <w:right w:val="nil"/>
            </w:tcBorders>
          </w:tcPr>
          <w:p w14:paraId="06BCDD8F" w14:textId="77777777" w:rsidR="00C765AF" w:rsidRDefault="00C765AF" w:rsidP="00000118">
            <w:pPr>
              <w:jc w:val="right"/>
            </w:pPr>
            <w:r>
              <w:t>7,000</w:t>
            </w:r>
          </w:p>
        </w:tc>
        <w:tc>
          <w:tcPr>
            <w:tcW w:w="1530" w:type="dxa"/>
            <w:tcBorders>
              <w:top w:val="single" w:sz="6" w:space="0" w:color="000000"/>
              <w:left w:val="nil"/>
              <w:bottom w:val="single" w:sz="6" w:space="0" w:color="000000"/>
              <w:right w:val="nil"/>
            </w:tcBorders>
          </w:tcPr>
          <w:p w14:paraId="168C7CB6" w14:textId="77777777" w:rsidR="00C765AF" w:rsidRDefault="00C765AF" w:rsidP="00000118">
            <w:pPr>
              <w:jc w:val="right"/>
            </w:pPr>
            <w:r>
              <w:t>15,000</w:t>
            </w:r>
          </w:p>
        </w:tc>
        <w:tc>
          <w:tcPr>
            <w:tcW w:w="1890" w:type="dxa"/>
            <w:tcBorders>
              <w:top w:val="single" w:sz="6" w:space="0" w:color="000000"/>
              <w:left w:val="nil"/>
              <w:bottom w:val="single" w:sz="6" w:space="0" w:color="000000"/>
              <w:right w:val="nil"/>
            </w:tcBorders>
          </w:tcPr>
          <w:p w14:paraId="269909B7" w14:textId="77777777" w:rsidR="00C765AF" w:rsidRDefault="00C765AF" w:rsidP="00000118">
            <w:pPr>
              <w:jc w:val="right"/>
            </w:pPr>
            <w:r>
              <w:t>114%</w:t>
            </w:r>
          </w:p>
        </w:tc>
      </w:tr>
      <w:tr w:rsidR="00C765AF" w:rsidRPr="000A64C1" w14:paraId="2D03C67A" w14:textId="77777777" w:rsidTr="00000118">
        <w:trPr>
          <w:trHeight w:val="304"/>
        </w:trPr>
        <w:tc>
          <w:tcPr>
            <w:tcW w:w="4215" w:type="dxa"/>
            <w:tcBorders>
              <w:top w:val="single" w:sz="6" w:space="0" w:color="000000"/>
              <w:left w:val="nil"/>
              <w:bottom w:val="single" w:sz="6" w:space="0" w:color="000000"/>
              <w:right w:val="nil"/>
            </w:tcBorders>
          </w:tcPr>
          <w:p w14:paraId="72A3E934" w14:textId="626C7138" w:rsidR="00C765AF" w:rsidRPr="000A64C1" w:rsidRDefault="004A43C9" w:rsidP="00000118">
            <w:pPr>
              <w:rPr>
                <w:i/>
                <w:sz w:val="20"/>
                <w:szCs w:val="20"/>
              </w:rPr>
            </w:pPr>
            <w:r>
              <w:t>Non-r</w:t>
            </w:r>
            <w:r w:rsidR="00C765AF">
              <w:t>esidential</w:t>
            </w:r>
          </w:p>
        </w:tc>
        <w:tc>
          <w:tcPr>
            <w:tcW w:w="1620" w:type="dxa"/>
            <w:tcBorders>
              <w:top w:val="single" w:sz="6" w:space="0" w:color="000000"/>
              <w:left w:val="nil"/>
              <w:bottom w:val="single" w:sz="6" w:space="0" w:color="000000"/>
              <w:right w:val="nil"/>
            </w:tcBorders>
          </w:tcPr>
          <w:p w14:paraId="153652B9" w14:textId="77777777" w:rsidR="00C765AF" w:rsidRPr="000A64C1" w:rsidRDefault="00C765AF" w:rsidP="00000118">
            <w:pPr>
              <w:jc w:val="right"/>
              <w:rPr>
                <w:sz w:val="20"/>
                <w:szCs w:val="20"/>
              </w:rPr>
            </w:pPr>
            <w:r>
              <w:t>565,940</w:t>
            </w:r>
          </w:p>
        </w:tc>
        <w:tc>
          <w:tcPr>
            <w:tcW w:w="1530" w:type="dxa"/>
            <w:tcBorders>
              <w:top w:val="single" w:sz="6" w:space="0" w:color="000000"/>
              <w:left w:val="nil"/>
              <w:bottom w:val="single" w:sz="6" w:space="0" w:color="000000"/>
              <w:right w:val="nil"/>
            </w:tcBorders>
          </w:tcPr>
          <w:p w14:paraId="60104D29" w14:textId="77777777" w:rsidR="00C765AF" w:rsidRPr="000A64C1" w:rsidRDefault="00C765AF" w:rsidP="00000118">
            <w:pPr>
              <w:jc w:val="right"/>
              <w:rPr>
                <w:sz w:val="20"/>
                <w:szCs w:val="20"/>
              </w:rPr>
            </w:pPr>
            <w:r>
              <w:t>515,998</w:t>
            </w:r>
          </w:p>
        </w:tc>
        <w:tc>
          <w:tcPr>
            <w:tcW w:w="1890" w:type="dxa"/>
            <w:tcBorders>
              <w:top w:val="single" w:sz="6" w:space="0" w:color="000000"/>
              <w:left w:val="nil"/>
              <w:bottom w:val="single" w:sz="6" w:space="0" w:color="000000"/>
              <w:right w:val="nil"/>
            </w:tcBorders>
          </w:tcPr>
          <w:p w14:paraId="6C6D0272" w14:textId="77777777" w:rsidR="00C765AF" w:rsidRPr="000A64C1" w:rsidRDefault="00C765AF" w:rsidP="00000118">
            <w:pPr>
              <w:jc w:val="right"/>
              <w:rPr>
                <w:sz w:val="20"/>
                <w:szCs w:val="20"/>
              </w:rPr>
            </w:pPr>
            <w:r>
              <w:t>-9%</w:t>
            </w:r>
          </w:p>
        </w:tc>
      </w:tr>
      <w:tr w:rsidR="00C765AF" w:rsidRPr="000A64C1" w14:paraId="17A706EF" w14:textId="77777777" w:rsidTr="00000118">
        <w:trPr>
          <w:trHeight w:val="291"/>
        </w:trPr>
        <w:tc>
          <w:tcPr>
            <w:tcW w:w="4215" w:type="dxa"/>
            <w:tcBorders>
              <w:top w:val="single" w:sz="12" w:space="0" w:color="auto"/>
              <w:left w:val="nil"/>
              <w:bottom w:val="single" w:sz="12" w:space="0" w:color="000000"/>
              <w:right w:val="nil"/>
            </w:tcBorders>
            <w:hideMark/>
          </w:tcPr>
          <w:p w14:paraId="04E201ED" w14:textId="77777777" w:rsidR="00C765AF" w:rsidRPr="000A64C1" w:rsidRDefault="00C765AF" w:rsidP="00000118">
            <w:pPr>
              <w:rPr>
                <w:b/>
                <w:sz w:val="20"/>
                <w:szCs w:val="20"/>
              </w:rPr>
            </w:pPr>
            <w:r>
              <w:rPr>
                <w:b/>
              </w:rPr>
              <w:t>Total</w:t>
            </w:r>
          </w:p>
        </w:tc>
        <w:tc>
          <w:tcPr>
            <w:tcW w:w="1620" w:type="dxa"/>
            <w:tcBorders>
              <w:top w:val="single" w:sz="12" w:space="0" w:color="auto"/>
              <w:left w:val="nil"/>
              <w:bottom w:val="single" w:sz="12" w:space="0" w:color="000000"/>
              <w:right w:val="nil"/>
            </w:tcBorders>
            <w:hideMark/>
          </w:tcPr>
          <w:p w14:paraId="6D709F23" w14:textId="77777777" w:rsidR="00C765AF" w:rsidRPr="000A64C1" w:rsidRDefault="00C765AF" w:rsidP="00000118">
            <w:pPr>
              <w:jc w:val="right"/>
              <w:rPr>
                <w:b/>
                <w:sz w:val="20"/>
                <w:szCs w:val="20"/>
              </w:rPr>
            </w:pPr>
            <w:r>
              <w:rPr>
                <w:b/>
              </w:rPr>
              <w:t>982,915</w:t>
            </w:r>
          </w:p>
        </w:tc>
        <w:tc>
          <w:tcPr>
            <w:tcW w:w="1530" w:type="dxa"/>
            <w:tcBorders>
              <w:top w:val="single" w:sz="12" w:space="0" w:color="auto"/>
              <w:left w:val="nil"/>
              <w:bottom w:val="single" w:sz="12" w:space="0" w:color="000000"/>
              <w:right w:val="nil"/>
            </w:tcBorders>
          </w:tcPr>
          <w:p w14:paraId="1495EAD8" w14:textId="77777777" w:rsidR="00C765AF" w:rsidRPr="000A64C1" w:rsidRDefault="00C765AF" w:rsidP="00000118">
            <w:pPr>
              <w:jc w:val="right"/>
              <w:rPr>
                <w:b/>
                <w:sz w:val="20"/>
                <w:szCs w:val="20"/>
              </w:rPr>
            </w:pPr>
            <w:r>
              <w:rPr>
                <w:b/>
              </w:rPr>
              <w:t>854,876</w:t>
            </w:r>
          </w:p>
        </w:tc>
        <w:tc>
          <w:tcPr>
            <w:tcW w:w="1890" w:type="dxa"/>
            <w:tcBorders>
              <w:top w:val="single" w:sz="12" w:space="0" w:color="auto"/>
              <w:left w:val="nil"/>
              <w:bottom w:val="single" w:sz="12" w:space="0" w:color="000000"/>
              <w:right w:val="nil"/>
            </w:tcBorders>
          </w:tcPr>
          <w:p w14:paraId="565F0DF3" w14:textId="77777777" w:rsidR="00C765AF" w:rsidRPr="000A64C1" w:rsidRDefault="00C765AF" w:rsidP="00000118">
            <w:pPr>
              <w:jc w:val="right"/>
              <w:rPr>
                <w:b/>
                <w:sz w:val="20"/>
                <w:szCs w:val="20"/>
              </w:rPr>
            </w:pPr>
            <w:r>
              <w:rPr>
                <w:b/>
              </w:rPr>
              <w:t>-13%</w:t>
            </w:r>
          </w:p>
        </w:tc>
      </w:tr>
    </w:tbl>
    <w:p w14:paraId="7DC1C8A0" w14:textId="77777777" w:rsidR="00C765AF" w:rsidRDefault="00C765AF" w:rsidP="00C765AF">
      <w:pPr>
        <w:rPr>
          <w:rFonts w:eastAsia="Calibri"/>
        </w:rPr>
      </w:pPr>
    </w:p>
    <w:p w14:paraId="2792EEAF" w14:textId="4624B06C" w:rsidR="00933EBA" w:rsidRDefault="00953C1A" w:rsidP="00F16E85">
      <w:pPr>
        <w:rPr>
          <w:rFonts w:eastAsia="Calibri"/>
          <w:spacing w:val="-2"/>
        </w:rPr>
      </w:pPr>
      <w:r>
        <w:rPr>
          <w:rFonts w:eastAsia="Calibri"/>
          <w:spacing w:val="-2"/>
        </w:rPr>
        <w:t xml:space="preserve">Cascade is working to improve its adaptive management </w:t>
      </w:r>
      <w:r w:rsidR="00001C20">
        <w:rPr>
          <w:rFonts w:eastAsia="Calibri"/>
          <w:spacing w:val="-2"/>
        </w:rPr>
        <w:t xml:space="preserve">techniques </w:t>
      </w:r>
      <w:r>
        <w:rPr>
          <w:rFonts w:eastAsia="Calibri"/>
          <w:spacing w:val="-2"/>
        </w:rPr>
        <w:t>in order to maintain expected level of savings</w:t>
      </w:r>
      <w:r w:rsidR="00A412B0">
        <w:rPr>
          <w:rFonts w:eastAsia="Calibri"/>
          <w:spacing w:val="-2"/>
        </w:rPr>
        <w:t xml:space="preserve">. </w:t>
      </w:r>
      <w:r w:rsidR="009716A5">
        <w:rPr>
          <w:rFonts w:eastAsia="Calibri"/>
          <w:spacing w:val="-2"/>
        </w:rPr>
        <w:t xml:space="preserve">In 2016, </w:t>
      </w:r>
      <w:r w:rsidR="00BC1AF4">
        <w:rPr>
          <w:rFonts w:eastAsia="Calibri"/>
          <w:spacing w:val="-2"/>
        </w:rPr>
        <w:t>preliminary</w:t>
      </w:r>
      <w:r w:rsidR="005E6F0E">
        <w:rPr>
          <w:rFonts w:eastAsia="Calibri"/>
          <w:spacing w:val="-2"/>
        </w:rPr>
        <w:t xml:space="preserve"> </w:t>
      </w:r>
      <w:r w:rsidR="00574C4E">
        <w:rPr>
          <w:rFonts w:eastAsia="Calibri"/>
          <w:spacing w:val="-2"/>
        </w:rPr>
        <w:t>savings</w:t>
      </w:r>
      <w:r w:rsidR="004366B2">
        <w:rPr>
          <w:rFonts w:eastAsia="Calibri"/>
          <w:spacing w:val="-2"/>
        </w:rPr>
        <w:t xml:space="preserve"> </w:t>
      </w:r>
      <w:r w:rsidR="00574C4E">
        <w:rPr>
          <w:rFonts w:eastAsia="Calibri"/>
          <w:spacing w:val="-2"/>
        </w:rPr>
        <w:t xml:space="preserve">are </w:t>
      </w:r>
      <w:r w:rsidR="005E6F0E">
        <w:rPr>
          <w:rFonts w:eastAsia="Calibri"/>
          <w:spacing w:val="-2"/>
        </w:rPr>
        <w:t xml:space="preserve">estimated to be </w:t>
      </w:r>
      <w:r w:rsidR="001C764C">
        <w:rPr>
          <w:rFonts w:eastAsia="Calibri"/>
          <w:spacing w:val="-2"/>
        </w:rPr>
        <w:t xml:space="preserve">approximately </w:t>
      </w:r>
      <w:r w:rsidR="00BC1AF4">
        <w:rPr>
          <w:rFonts w:eastAsia="Calibri"/>
          <w:spacing w:val="-2"/>
        </w:rPr>
        <w:t>367,000 therms</w:t>
      </w:r>
      <w:r w:rsidR="00F37CFD">
        <w:rPr>
          <w:rFonts w:eastAsia="Calibri"/>
          <w:spacing w:val="-2"/>
        </w:rPr>
        <w:t>. This is</w:t>
      </w:r>
      <w:r w:rsidR="00C10BC9">
        <w:rPr>
          <w:rFonts w:eastAsia="Calibri"/>
          <w:spacing w:val="-2"/>
        </w:rPr>
        <w:t xml:space="preserve"> a</w:t>
      </w:r>
      <w:r w:rsidR="00D55CD3">
        <w:rPr>
          <w:rFonts w:eastAsia="Calibri"/>
          <w:spacing w:val="-2"/>
        </w:rPr>
        <w:t xml:space="preserve"> third</w:t>
      </w:r>
      <w:r w:rsidR="00F37CFD">
        <w:rPr>
          <w:rFonts w:eastAsia="Calibri"/>
          <w:spacing w:val="-2"/>
        </w:rPr>
        <w:t xml:space="preserve"> of the goal for 2016</w:t>
      </w:r>
      <w:r w:rsidR="001B450F">
        <w:rPr>
          <w:rFonts w:eastAsia="Calibri"/>
          <w:spacing w:val="-2"/>
        </w:rPr>
        <w:t>,</w:t>
      </w:r>
      <w:r w:rsidR="00F37CFD">
        <w:rPr>
          <w:rFonts w:eastAsia="Calibri"/>
          <w:spacing w:val="-2"/>
        </w:rPr>
        <w:t xml:space="preserve"> and r</w:t>
      </w:r>
      <w:r w:rsidR="005E6F0E">
        <w:rPr>
          <w:rFonts w:eastAsia="Calibri"/>
          <w:spacing w:val="-2"/>
        </w:rPr>
        <w:t xml:space="preserve">esulted in </w:t>
      </w:r>
      <w:r w:rsidR="00FC6CA7">
        <w:rPr>
          <w:rFonts w:eastAsia="Calibri"/>
          <w:spacing w:val="-2"/>
        </w:rPr>
        <w:t xml:space="preserve">the company adjusting </w:t>
      </w:r>
      <w:r w:rsidR="00933EBA">
        <w:rPr>
          <w:rFonts w:eastAsia="Calibri"/>
          <w:spacing w:val="-2"/>
        </w:rPr>
        <w:t>residential and non-residential savings</w:t>
      </w:r>
      <w:r w:rsidR="00FC6CA7">
        <w:rPr>
          <w:rFonts w:eastAsia="Calibri"/>
          <w:spacing w:val="-2"/>
        </w:rPr>
        <w:t xml:space="preserve"> projections</w:t>
      </w:r>
      <w:r w:rsidR="00933EBA">
        <w:rPr>
          <w:rFonts w:eastAsia="Calibri"/>
          <w:spacing w:val="-2"/>
        </w:rPr>
        <w:t xml:space="preserve"> downward</w:t>
      </w:r>
      <w:r w:rsidR="00FC6CA7">
        <w:rPr>
          <w:rFonts w:eastAsia="Calibri"/>
          <w:spacing w:val="-2"/>
        </w:rPr>
        <w:t xml:space="preserve"> for </w:t>
      </w:r>
      <w:r w:rsidR="003D3724">
        <w:rPr>
          <w:rFonts w:eastAsia="Calibri"/>
          <w:spacing w:val="-2"/>
        </w:rPr>
        <w:t>2017</w:t>
      </w:r>
      <w:r w:rsidR="008F7097">
        <w:rPr>
          <w:rFonts w:eastAsia="Calibri"/>
          <w:spacing w:val="-2"/>
        </w:rPr>
        <w:t xml:space="preserve">. </w:t>
      </w:r>
      <w:r w:rsidR="006D4D6A">
        <w:rPr>
          <w:rFonts w:eastAsia="Calibri"/>
          <w:spacing w:val="-2"/>
        </w:rPr>
        <w:t>This shortfall was exacerbated by</w:t>
      </w:r>
      <w:r w:rsidR="008F7097">
        <w:rPr>
          <w:rFonts w:eastAsia="Calibri"/>
          <w:spacing w:val="-2"/>
        </w:rPr>
        <w:t xml:space="preserve"> the </w:t>
      </w:r>
      <w:r w:rsidR="004901EC">
        <w:rPr>
          <w:rFonts w:eastAsia="Calibri"/>
          <w:spacing w:val="-2"/>
        </w:rPr>
        <w:t>company</w:t>
      </w:r>
      <w:r w:rsidR="006D4D6A">
        <w:rPr>
          <w:rFonts w:eastAsia="Calibri"/>
          <w:spacing w:val="-2"/>
        </w:rPr>
        <w:t>’s</w:t>
      </w:r>
      <w:r w:rsidR="004901EC">
        <w:rPr>
          <w:rFonts w:eastAsia="Calibri"/>
          <w:spacing w:val="-2"/>
        </w:rPr>
        <w:t xml:space="preserve"> transition </w:t>
      </w:r>
      <w:r w:rsidR="006D4D6A">
        <w:rPr>
          <w:rFonts w:eastAsia="Calibri"/>
          <w:spacing w:val="-2"/>
        </w:rPr>
        <w:t xml:space="preserve">to </w:t>
      </w:r>
      <w:r w:rsidR="004901EC">
        <w:rPr>
          <w:rFonts w:eastAsia="Calibri"/>
          <w:spacing w:val="-2"/>
        </w:rPr>
        <w:t xml:space="preserve">capturing savings based on paid date, rather than install date. </w:t>
      </w:r>
      <w:r w:rsidR="003D3724">
        <w:rPr>
          <w:rFonts w:eastAsia="Calibri"/>
          <w:spacing w:val="-2"/>
        </w:rPr>
        <w:t xml:space="preserve">A </w:t>
      </w:r>
      <w:r w:rsidR="00574C4E">
        <w:rPr>
          <w:rFonts w:eastAsia="Calibri"/>
          <w:spacing w:val="-2"/>
        </w:rPr>
        <w:t xml:space="preserve">significant portion </w:t>
      </w:r>
      <w:r w:rsidR="003D3724">
        <w:rPr>
          <w:rFonts w:eastAsia="Calibri"/>
          <w:spacing w:val="-2"/>
        </w:rPr>
        <w:t xml:space="preserve">of the savings </w:t>
      </w:r>
      <w:r w:rsidR="00574C4E">
        <w:rPr>
          <w:rFonts w:eastAsia="Calibri"/>
          <w:spacing w:val="-2"/>
        </w:rPr>
        <w:t xml:space="preserve">in the fourth quarter of 2016 will </w:t>
      </w:r>
      <w:r w:rsidR="004901EC">
        <w:rPr>
          <w:rFonts w:eastAsia="Calibri"/>
          <w:spacing w:val="-2"/>
        </w:rPr>
        <w:t xml:space="preserve">now </w:t>
      </w:r>
      <w:r w:rsidR="00574C4E">
        <w:rPr>
          <w:rFonts w:eastAsia="Calibri"/>
          <w:spacing w:val="-2"/>
        </w:rPr>
        <w:t xml:space="preserve">be accounted for in </w:t>
      </w:r>
      <w:r w:rsidR="003D3724">
        <w:rPr>
          <w:rFonts w:eastAsia="Calibri"/>
          <w:spacing w:val="-2"/>
        </w:rPr>
        <w:t>2017</w:t>
      </w:r>
      <w:r w:rsidR="00574C4E">
        <w:rPr>
          <w:rFonts w:eastAsia="Calibri"/>
          <w:spacing w:val="-2"/>
        </w:rPr>
        <w:t xml:space="preserve">. </w:t>
      </w:r>
    </w:p>
    <w:p w14:paraId="60595A07" w14:textId="77777777" w:rsidR="00933EBA" w:rsidRDefault="00933EBA" w:rsidP="000A4BD6">
      <w:pPr>
        <w:jc w:val="both"/>
        <w:rPr>
          <w:rFonts w:eastAsia="Calibri"/>
          <w:spacing w:val="-2"/>
        </w:rPr>
      </w:pPr>
    </w:p>
    <w:p w14:paraId="2C3320B9" w14:textId="2A4A6AAE" w:rsidR="000A4BD6" w:rsidRDefault="00A412B0" w:rsidP="00F16E85">
      <w:r>
        <w:rPr>
          <w:rFonts w:eastAsia="Calibri"/>
          <w:spacing w:val="-2"/>
        </w:rPr>
        <w:t>In order to encourage additional uptake</w:t>
      </w:r>
      <w:r w:rsidR="00C0405B">
        <w:rPr>
          <w:rFonts w:eastAsia="Calibri"/>
          <w:spacing w:val="-2"/>
        </w:rPr>
        <w:t xml:space="preserve"> in the non-residential sector</w:t>
      </w:r>
      <w:r>
        <w:rPr>
          <w:rFonts w:eastAsia="Calibri"/>
          <w:spacing w:val="-2"/>
        </w:rPr>
        <w:t xml:space="preserve">, the company plans </w:t>
      </w:r>
      <w:r w:rsidR="006D4D6A">
        <w:rPr>
          <w:rFonts w:eastAsia="Calibri"/>
          <w:spacing w:val="-2"/>
        </w:rPr>
        <w:t xml:space="preserve">to </w:t>
      </w:r>
      <w:r w:rsidR="00CD0965">
        <w:rPr>
          <w:rFonts w:eastAsia="Calibri"/>
          <w:spacing w:val="-2"/>
        </w:rPr>
        <w:t xml:space="preserve">expand </w:t>
      </w:r>
      <w:r w:rsidR="007030D9">
        <w:rPr>
          <w:rFonts w:eastAsia="Calibri"/>
          <w:spacing w:val="-2"/>
        </w:rPr>
        <w:t>outreach</w:t>
      </w:r>
      <w:r w:rsidR="00CD0965">
        <w:rPr>
          <w:rFonts w:eastAsia="Calibri"/>
          <w:spacing w:val="-2"/>
        </w:rPr>
        <w:t xml:space="preserve"> efforts </w:t>
      </w:r>
      <w:r w:rsidR="00015176">
        <w:rPr>
          <w:rFonts w:eastAsia="Calibri"/>
          <w:spacing w:val="-2"/>
        </w:rPr>
        <w:t xml:space="preserve">by </w:t>
      </w:r>
      <w:r w:rsidR="00CD0965">
        <w:rPr>
          <w:rFonts w:eastAsia="Calibri"/>
          <w:spacing w:val="-2"/>
        </w:rPr>
        <w:t xml:space="preserve">Lockheed Martin, Cascade’s </w:t>
      </w:r>
      <w:r w:rsidR="00015176">
        <w:rPr>
          <w:rFonts w:eastAsia="Calibri"/>
          <w:spacing w:val="-2"/>
        </w:rPr>
        <w:t>commercial program implementation</w:t>
      </w:r>
      <w:r w:rsidR="00CD0965">
        <w:rPr>
          <w:rFonts w:eastAsia="Calibri"/>
          <w:spacing w:val="-2"/>
        </w:rPr>
        <w:t xml:space="preserve"> vendor, </w:t>
      </w:r>
      <w:r w:rsidR="00836743">
        <w:rPr>
          <w:rFonts w:eastAsia="Calibri"/>
          <w:spacing w:val="-2"/>
        </w:rPr>
        <w:t xml:space="preserve">and </w:t>
      </w:r>
      <w:r w:rsidR="00A52463">
        <w:rPr>
          <w:rFonts w:eastAsia="Calibri"/>
          <w:spacing w:val="-2"/>
        </w:rPr>
        <w:t>increase</w:t>
      </w:r>
      <w:r w:rsidR="00CD0965">
        <w:rPr>
          <w:rFonts w:eastAsia="Calibri"/>
          <w:spacing w:val="-2"/>
        </w:rPr>
        <w:t xml:space="preserve"> </w:t>
      </w:r>
      <w:r w:rsidR="007030D9">
        <w:rPr>
          <w:rFonts w:eastAsia="Calibri"/>
          <w:spacing w:val="-2"/>
        </w:rPr>
        <w:t>c</w:t>
      </w:r>
      <w:r w:rsidR="00CD0965">
        <w:rPr>
          <w:rFonts w:eastAsia="Calibri"/>
          <w:spacing w:val="-2"/>
        </w:rPr>
        <w:t>ontractor</w:t>
      </w:r>
      <w:r w:rsidR="006D4D6A">
        <w:rPr>
          <w:rFonts w:eastAsia="Calibri"/>
          <w:spacing w:val="-2"/>
        </w:rPr>
        <w:t xml:space="preserve"> or trade ally</w:t>
      </w:r>
      <w:r w:rsidR="00CD0965">
        <w:rPr>
          <w:rFonts w:eastAsia="Calibri"/>
          <w:spacing w:val="-2"/>
        </w:rPr>
        <w:t xml:space="preserve"> outreach</w:t>
      </w:r>
      <w:r w:rsidR="009C37EF">
        <w:rPr>
          <w:rFonts w:eastAsia="Calibri"/>
          <w:spacing w:val="-2"/>
        </w:rPr>
        <w:t>.</w:t>
      </w:r>
      <w:r w:rsidR="000A4BD6" w:rsidRPr="000A4BD6">
        <w:t xml:space="preserve"> </w:t>
      </w:r>
    </w:p>
    <w:p w14:paraId="69E6832B" w14:textId="77777777" w:rsidR="00ED7B34" w:rsidRDefault="00ED7B34" w:rsidP="00C765AF">
      <w:pPr>
        <w:rPr>
          <w:rFonts w:eastAsia="Calibri"/>
        </w:rPr>
      </w:pPr>
    </w:p>
    <w:p w14:paraId="0E3A9F1C" w14:textId="36ABF857" w:rsidR="00C765AF" w:rsidRDefault="00C765AF" w:rsidP="00C765AF">
      <w:pPr>
        <w:rPr>
          <w:rFonts w:eastAsia="Calibri"/>
        </w:rPr>
      </w:pPr>
      <w:r>
        <w:rPr>
          <w:rFonts w:eastAsia="Calibri"/>
          <w:b/>
          <w:i/>
        </w:rPr>
        <w:t xml:space="preserve">2017 Annual Conservation Target. </w:t>
      </w:r>
      <w:r>
        <w:rPr>
          <w:rFonts w:eastAsia="Calibri"/>
        </w:rPr>
        <w:t>Cascade’s 2017 conservation target consists of</w:t>
      </w:r>
      <w:r>
        <w:t xml:space="preserve"> achievable conservation of 839,876 therms, then </w:t>
      </w:r>
      <w:r w:rsidRPr="00253F1A">
        <w:t>adds 15,</w:t>
      </w:r>
      <w:r w:rsidRPr="00FE551B">
        <w:t>000 therms for low-income programs, resulting</w:t>
      </w:r>
      <w:r>
        <w:t xml:space="preserve"> in a target of 854,876 therms. </w:t>
      </w:r>
      <w:r w:rsidRPr="00FE551B">
        <w:rPr>
          <w:rFonts w:eastAsia="Calibri"/>
        </w:rPr>
        <w:t xml:space="preserve">The company is required by the commission to achieve </w:t>
      </w:r>
      <w:r w:rsidR="00B40C2F">
        <w:rPr>
          <w:rFonts w:eastAsia="Calibri"/>
        </w:rPr>
        <w:t>1</w:t>
      </w:r>
      <w:r w:rsidRPr="00FE551B">
        <w:rPr>
          <w:rFonts w:eastAsia="Calibri"/>
        </w:rPr>
        <w:t>00 percent of its annual conservation target of 839</w:t>
      </w:r>
      <w:r w:rsidRPr="00B75C9E">
        <w:rPr>
          <w:rFonts w:eastAsia="Calibri"/>
        </w:rPr>
        <w:t xml:space="preserve">,876 therms. While this target may have been aspirational in the past, </w:t>
      </w:r>
      <w:r>
        <w:rPr>
          <w:rFonts w:eastAsia="Calibri"/>
        </w:rPr>
        <w:t xml:space="preserve">that is no longer the case, and the </w:t>
      </w:r>
      <w:r w:rsidRPr="00B75C9E">
        <w:rPr>
          <w:rFonts w:eastAsia="Calibri"/>
        </w:rPr>
        <w:t>company is requi</w:t>
      </w:r>
      <w:r>
        <w:rPr>
          <w:rFonts w:eastAsia="Calibri"/>
        </w:rPr>
        <w:t>red by order to meet the target.</w:t>
      </w:r>
      <w:r>
        <w:rPr>
          <w:rStyle w:val="FootnoteReference"/>
          <w:rFonts w:eastAsia="Calibri"/>
        </w:rPr>
        <w:footnoteReference w:id="7"/>
      </w:r>
      <w:r>
        <w:rPr>
          <w:rFonts w:eastAsia="Calibri"/>
        </w:rPr>
        <w:t xml:space="preserve"> </w:t>
      </w:r>
    </w:p>
    <w:p w14:paraId="068E3B88" w14:textId="77777777" w:rsidR="00C765AF" w:rsidRDefault="00C765AF" w:rsidP="00172B7C">
      <w:pPr>
        <w:rPr>
          <w:rFonts w:eastAsia="Calibri"/>
          <w:b/>
          <w:i/>
        </w:rPr>
      </w:pPr>
    </w:p>
    <w:p w14:paraId="09BFDE47" w14:textId="2B64EB28" w:rsidR="000F46A0" w:rsidRDefault="00710DF7" w:rsidP="00172B7C">
      <w:r w:rsidRPr="00B40C2F">
        <w:rPr>
          <w:b/>
          <w:i/>
        </w:rPr>
        <w:t xml:space="preserve">Additional </w:t>
      </w:r>
      <w:r w:rsidR="00AE6AC9" w:rsidRPr="00B40C2F">
        <w:rPr>
          <w:b/>
          <w:i/>
        </w:rPr>
        <w:t>Stakeholder Engagement</w:t>
      </w:r>
      <w:r w:rsidR="00B40C2F">
        <w:rPr>
          <w:b/>
          <w:i/>
        </w:rPr>
        <w:t xml:space="preserve">. </w:t>
      </w:r>
      <w:r w:rsidR="00FC6068">
        <w:t>On February 22</w:t>
      </w:r>
      <w:r w:rsidR="000F46A0" w:rsidRPr="001B5B8F">
        <w:t xml:space="preserve">, 2017, Cascade </w:t>
      </w:r>
      <w:r w:rsidR="000F46A0">
        <w:t>representatives discussed with c</w:t>
      </w:r>
      <w:r w:rsidR="000F46A0" w:rsidRPr="001B5B8F">
        <w:t>ommission sta</w:t>
      </w:r>
      <w:r w:rsidR="000F46A0">
        <w:t xml:space="preserve">ff </w:t>
      </w:r>
      <w:r w:rsidR="00FC6068">
        <w:t xml:space="preserve">and the advisory group </w:t>
      </w:r>
      <w:r w:rsidR="000F46A0" w:rsidRPr="001B5B8F">
        <w:t xml:space="preserve">intended changes to its conservation assessment methodology. </w:t>
      </w:r>
      <w:r w:rsidR="00172B7C" w:rsidRPr="00686010">
        <w:t xml:space="preserve">In addition to incorporating NWPCC’s four-step methodology for calculating conservation potential, staff </w:t>
      </w:r>
      <w:r w:rsidR="00511090">
        <w:t>recommended</w:t>
      </w:r>
      <w:r w:rsidR="00172B7C" w:rsidRPr="00686010">
        <w:t xml:space="preserve"> that a new CPA conservation potential assessment be conducted, in tandem with efforts to improve the use of new adoption curves. </w:t>
      </w:r>
      <w:r w:rsidR="00511090" w:rsidRPr="001B5B8F">
        <w:t>Cascade’s last potential assessment was performed in 2013.</w:t>
      </w:r>
    </w:p>
    <w:p w14:paraId="07722ADC" w14:textId="77777777" w:rsidR="00A52463" w:rsidRDefault="00A52463" w:rsidP="00172B7C"/>
    <w:p w14:paraId="007D7C4B" w14:textId="599E26BC" w:rsidR="00172B7C" w:rsidRDefault="00286868" w:rsidP="00172B7C">
      <w:r>
        <w:t xml:space="preserve">Looking ahead to </w:t>
      </w:r>
      <w:r w:rsidR="0085556B">
        <w:t xml:space="preserve">Cascade’s </w:t>
      </w:r>
      <w:r w:rsidR="00172B7C" w:rsidRPr="00686010">
        <w:t>2018 IRP, staf</w:t>
      </w:r>
      <w:r w:rsidR="0085556B">
        <w:t xml:space="preserve">f believes the company </w:t>
      </w:r>
      <w:r w:rsidR="00172B7C" w:rsidRPr="00686010">
        <w:t>needs to gai</w:t>
      </w:r>
      <w:r w:rsidR="004D566E">
        <w:t xml:space="preserve">n a better understanding of the </w:t>
      </w:r>
      <w:r w:rsidR="00172B7C" w:rsidRPr="00686010">
        <w:t>conservation potential in each of its th</w:t>
      </w:r>
      <w:r w:rsidR="00FB1410">
        <w:t>ree unique service t</w:t>
      </w:r>
      <w:r w:rsidR="002B1242">
        <w:t xml:space="preserve">erritories. Modification of the model and </w:t>
      </w:r>
      <w:r w:rsidR="00FB1410">
        <w:t xml:space="preserve">new CPA </w:t>
      </w:r>
      <w:r w:rsidR="00172B7C" w:rsidRPr="00686010">
        <w:t xml:space="preserve">will allow </w:t>
      </w:r>
      <w:r w:rsidR="0085556B">
        <w:t>Cascade</w:t>
      </w:r>
      <w:r w:rsidR="00C62DDD">
        <w:t xml:space="preserve"> to </w:t>
      </w:r>
      <w:r w:rsidR="00546153">
        <w:t xml:space="preserve">potentially </w:t>
      </w:r>
      <w:r w:rsidR="0027588B">
        <w:t xml:space="preserve">expand </w:t>
      </w:r>
      <w:r w:rsidR="009F72D4">
        <w:t xml:space="preserve">its </w:t>
      </w:r>
      <w:r w:rsidR="007544D3">
        <w:t xml:space="preserve">offerings </w:t>
      </w:r>
      <w:r w:rsidR="007544D3">
        <w:lastRenderedPageBreak/>
        <w:t xml:space="preserve">of </w:t>
      </w:r>
      <w:r w:rsidR="00172B7C" w:rsidRPr="00686010">
        <w:t xml:space="preserve">cost-effective savings </w:t>
      </w:r>
      <w:r w:rsidR="007544D3">
        <w:t xml:space="preserve">measures </w:t>
      </w:r>
      <w:r w:rsidR="00172B7C" w:rsidRPr="00686010">
        <w:t>available in</w:t>
      </w:r>
      <w:r w:rsidR="00880CD4">
        <w:t xml:space="preserve"> the near and long-</w:t>
      </w:r>
      <w:r w:rsidR="00172B7C" w:rsidRPr="00686010">
        <w:t>term</w:t>
      </w:r>
      <w:r w:rsidR="0051773B">
        <w:t xml:space="preserve"> and increase</w:t>
      </w:r>
      <w:r w:rsidR="00D12297">
        <w:t xml:space="preserve"> accuracy in its target calculation</w:t>
      </w:r>
      <w:r w:rsidR="00172B7C" w:rsidRPr="00686010">
        <w:t xml:space="preserve">. </w:t>
      </w:r>
      <w:r w:rsidR="005B6098">
        <w:t>As outlined in Table 3, s</w:t>
      </w:r>
      <w:r w:rsidR="00950382">
        <w:t>taff recommends</w:t>
      </w:r>
      <w:r w:rsidR="005D199E">
        <w:t xml:space="preserve"> the</w:t>
      </w:r>
      <w:r w:rsidR="000F46A0">
        <w:t xml:space="preserve"> following </w:t>
      </w:r>
      <w:r w:rsidR="0092619A">
        <w:t>propos</w:t>
      </w:r>
      <w:r w:rsidR="00A7641A">
        <w:t>ed action plan</w:t>
      </w:r>
      <w:r w:rsidR="005B6098">
        <w:t>, and</w:t>
      </w:r>
      <w:r w:rsidR="00064A1F">
        <w:t xml:space="preserve"> the company </w:t>
      </w:r>
      <w:r w:rsidR="0051773B">
        <w:t xml:space="preserve">has </w:t>
      </w:r>
      <w:r w:rsidR="005B6098">
        <w:t xml:space="preserve">agreed to file </w:t>
      </w:r>
      <w:r w:rsidR="00643622">
        <w:t xml:space="preserve">an </w:t>
      </w:r>
      <w:r w:rsidR="005B6098">
        <w:t xml:space="preserve">addendum </w:t>
      </w:r>
      <w:r w:rsidR="00D9357C">
        <w:t>in the docket of the</w:t>
      </w:r>
      <w:r w:rsidR="005B6098">
        <w:t xml:space="preserve"> 2016 IRP.</w:t>
      </w:r>
      <w:r w:rsidR="00D9357C">
        <w:rPr>
          <w:rStyle w:val="FootnoteReference"/>
        </w:rPr>
        <w:footnoteReference w:id="8"/>
      </w:r>
    </w:p>
    <w:p w14:paraId="487EDF2C" w14:textId="77777777" w:rsidR="004404EC" w:rsidRPr="008C5AC9" w:rsidRDefault="004404EC" w:rsidP="00214284">
      <w:pPr>
        <w:rPr>
          <w:sz w:val="10"/>
          <w:szCs w:val="10"/>
        </w:rPr>
      </w:pPr>
    </w:p>
    <w:p w14:paraId="14E9198D" w14:textId="77777777" w:rsidR="00172B7C" w:rsidRPr="000A6F80" w:rsidRDefault="00172B7C" w:rsidP="00172B7C">
      <w:pPr>
        <w:pStyle w:val="Caption"/>
        <w:spacing w:after="0"/>
        <w:jc w:val="center"/>
        <w:rPr>
          <w:rFonts w:ascii="Times New Roman" w:hAnsi="Times New Roman"/>
          <w:b/>
          <w:i w:val="0"/>
          <w:color w:val="auto"/>
          <w:sz w:val="24"/>
          <w:szCs w:val="24"/>
        </w:rPr>
      </w:pPr>
      <w:r w:rsidRPr="000A6F80">
        <w:rPr>
          <w:rFonts w:ascii="Times New Roman" w:hAnsi="Times New Roman"/>
          <w:b/>
          <w:i w:val="0"/>
          <w:color w:val="auto"/>
          <w:sz w:val="24"/>
          <w:szCs w:val="24"/>
        </w:rPr>
        <w:t xml:space="preserve">Table </w:t>
      </w:r>
      <w:r w:rsidRPr="000A6F80">
        <w:rPr>
          <w:rFonts w:ascii="Times New Roman" w:hAnsi="Times New Roman"/>
          <w:b/>
          <w:i w:val="0"/>
          <w:color w:val="auto"/>
          <w:sz w:val="24"/>
          <w:szCs w:val="24"/>
        </w:rPr>
        <w:fldChar w:fldCharType="begin"/>
      </w:r>
      <w:r w:rsidRPr="000A6F80">
        <w:rPr>
          <w:rFonts w:ascii="Times New Roman" w:hAnsi="Times New Roman"/>
          <w:b/>
          <w:i w:val="0"/>
          <w:color w:val="auto"/>
          <w:sz w:val="24"/>
          <w:szCs w:val="24"/>
        </w:rPr>
        <w:instrText xml:space="preserve"> SEQ Table \* ARABIC </w:instrText>
      </w:r>
      <w:r w:rsidRPr="000A6F80">
        <w:rPr>
          <w:rFonts w:ascii="Times New Roman" w:hAnsi="Times New Roman"/>
          <w:b/>
          <w:i w:val="0"/>
          <w:color w:val="auto"/>
          <w:sz w:val="24"/>
          <w:szCs w:val="24"/>
        </w:rPr>
        <w:fldChar w:fldCharType="separate"/>
      </w:r>
      <w:r w:rsidR="002E4805" w:rsidRPr="000A6F80">
        <w:rPr>
          <w:rFonts w:ascii="Times New Roman" w:hAnsi="Times New Roman"/>
          <w:b/>
          <w:i w:val="0"/>
          <w:noProof/>
          <w:color w:val="auto"/>
          <w:sz w:val="24"/>
          <w:szCs w:val="24"/>
        </w:rPr>
        <w:t>3</w:t>
      </w:r>
      <w:r w:rsidRPr="000A6F80">
        <w:rPr>
          <w:rFonts w:ascii="Times New Roman" w:hAnsi="Times New Roman"/>
          <w:b/>
          <w:i w:val="0"/>
          <w:color w:val="auto"/>
          <w:sz w:val="24"/>
          <w:szCs w:val="24"/>
        </w:rPr>
        <w:fldChar w:fldCharType="end"/>
      </w:r>
    </w:p>
    <w:p w14:paraId="29E16AFB" w14:textId="77777777" w:rsidR="00A52463" w:rsidRPr="000A6F80" w:rsidRDefault="00A52463" w:rsidP="00A52463"/>
    <w:tbl>
      <w:tblPr>
        <w:tblStyle w:val="TableGrid"/>
        <w:tblW w:w="9445" w:type="dxa"/>
        <w:tblLook w:val="04A0" w:firstRow="1" w:lastRow="0" w:firstColumn="1" w:lastColumn="0" w:noHBand="0" w:noVBand="1"/>
      </w:tblPr>
      <w:tblGrid>
        <w:gridCol w:w="1310"/>
        <w:gridCol w:w="1496"/>
        <w:gridCol w:w="6639"/>
      </w:tblGrid>
      <w:tr w:rsidR="00172B7C" w:rsidRPr="000A6F80" w14:paraId="0D45DCD6" w14:textId="77777777" w:rsidTr="00101BA5">
        <w:tc>
          <w:tcPr>
            <w:tcW w:w="1310" w:type="dxa"/>
            <w:tcBorders>
              <w:top w:val="single" w:sz="4" w:space="0" w:color="auto"/>
              <w:left w:val="single" w:sz="4" w:space="0" w:color="auto"/>
              <w:bottom w:val="single" w:sz="4" w:space="0" w:color="auto"/>
              <w:right w:val="single" w:sz="4" w:space="0" w:color="auto"/>
            </w:tcBorders>
            <w:hideMark/>
          </w:tcPr>
          <w:p w14:paraId="4D85F2D7" w14:textId="77777777" w:rsidR="00172B7C" w:rsidRPr="000A6F80" w:rsidRDefault="00172B7C" w:rsidP="00000118">
            <w:pPr>
              <w:rPr>
                <w:b/>
              </w:rPr>
            </w:pPr>
            <w:r w:rsidRPr="000A6F80">
              <w:rPr>
                <w:b/>
              </w:rPr>
              <w:t>Date</w:t>
            </w:r>
          </w:p>
        </w:tc>
        <w:tc>
          <w:tcPr>
            <w:tcW w:w="1496" w:type="dxa"/>
            <w:tcBorders>
              <w:top w:val="single" w:sz="4" w:space="0" w:color="auto"/>
              <w:left w:val="single" w:sz="4" w:space="0" w:color="auto"/>
              <w:bottom w:val="single" w:sz="4" w:space="0" w:color="auto"/>
              <w:right w:val="single" w:sz="4" w:space="0" w:color="auto"/>
            </w:tcBorders>
            <w:hideMark/>
          </w:tcPr>
          <w:p w14:paraId="26C1F9EC" w14:textId="77777777" w:rsidR="00172B7C" w:rsidRPr="000A6F80" w:rsidRDefault="00172B7C" w:rsidP="00000118">
            <w:pPr>
              <w:rPr>
                <w:b/>
              </w:rPr>
            </w:pPr>
            <w:r w:rsidRPr="000A6F80">
              <w:rPr>
                <w:b/>
              </w:rPr>
              <w:t>Deliverable</w:t>
            </w:r>
          </w:p>
        </w:tc>
        <w:tc>
          <w:tcPr>
            <w:tcW w:w="6639" w:type="dxa"/>
            <w:tcBorders>
              <w:top w:val="single" w:sz="4" w:space="0" w:color="auto"/>
              <w:left w:val="single" w:sz="4" w:space="0" w:color="auto"/>
              <w:bottom w:val="single" w:sz="4" w:space="0" w:color="auto"/>
              <w:right w:val="single" w:sz="4" w:space="0" w:color="auto"/>
            </w:tcBorders>
            <w:hideMark/>
          </w:tcPr>
          <w:p w14:paraId="7A9DA813" w14:textId="77777777" w:rsidR="00172B7C" w:rsidRPr="000A6F80" w:rsidRDefault="00172B7C" w:rsidP="00000118">
            <w:pPr>
              <w:rPr>
                <w:b/>
              </w:rPr>
            </w:pPr>
            <w:r w:rsidRPr="000A6F80">
              <w:rPr>
                <w:b/>
              </w:rPr>
              <w:t>Description</w:t>
            </w:r>
          </w:p>
        </w:tc>
      </w:tr>
      <w:tr w:rsidR="00172B7C" w:rsidRPr="000A6F80" w14:paraId="214EF951" w14:textId="77777777" w:rsidTr="00101BA5">
        <w:tc>
          <w:tcPr>
            <w:tcW w:w="1310" w:type="dxa"/>
            <w:tcBorders>
              <w:top w:val="single" w:sz="4" w:space="0" w:color="auto"/>
              <w:left w:val="single" w:sz="4" w:space="0" w:color="auto"/>
              <w:bottom w:val="single" w:sz="4" w:space="0" w:color="auto"/>
              <w:right w:val="single" w:sz="4" w:space="0" w:color="auto"/>
            </w:tcBorders>
            <w:hideMark/>
          </w:tcPr>
          <w:p w14:paraId="4C35C200" w14:textId="77777777" w:rsidR="00172B7C" w:rsidRPr="000A6F80" w:rsidRDefault="00172B7C" w:rsidP="00000118">
            <w:r w:rsidRPr="000A6F80">
              <w:t>Q2-2017</w:t>
            </w:r>
          </w:p>
        </w:tc>
        <w:tc>
          <w:tcPr>
            <w:tcW w:w="1496" w:type="dxa"/>
            <w:tcBorders>
              <w:top w:val="single" w:sz="4" w:space="0" w:color="auto"/>
              <w:left w:val="single" w:sz="4" w:space="0" w:color="auto"/>
              <w:bottom w:val="single" w:sz="4" w:space="0" w:color="auto"/>
              <w:right w:val="single" w:sz="4" w:space="0" w:color="auto"/>
            </w:tcBorders>
            <w:hideMark/>
          </w:tcPr>
          <w:p w14:paraId="4560660C" w14:textId="7676EB3E" w:rsidR="00172B7C" w:rsidRPr="000A6F80" w:rsidRDefault="00172B7C" w:rsidP="00101BA5">
            <w:r w:rsidRPr="000A6F80">
              <w:t xml:space="preserve">RFP for Conservation Potential Assessment </w:t>
            </w:r>
          </w:p>
        </w:tc>
        <w:tc>
          <w:tcPr>
            <w:tcW w:w="6639" w:type="dxa"/>
            <w:tcBorders>
              <w:top w:val="single" w:sz="4" w:space="0" w:color="auto"/>
              <w:left w:val="single" w:sz="4" w:space="0" w:color="auto"/>
              <w:bottom w:val="single" w:sz="4" w:space="0" w:color="auto"/>
              <w:right w:val="single" w:sz="4" w:space="0" w:color="auto"/>
            </w:tcBorders>
            <w:hideMark/>
          </w:tcPr>
          <w:p w14:paraId="1E37B15A" w14:textId="58CD499D" w:rsidR="00172B7C" w:rsidRPr="000A6F80" w:rsidRDefault="00F657B4" w:rsidP="00000118">
            <w:r w:rsidRPr="000A6F80">
              <w:t>In consultation with the c</w:t>
            </w:r>
            <w:r w:rsidR="006D00D0" w:rsidRPr="000A6F80">
              <w:t>onservation advisory group and c</w:t>
            </w:r>
            <w:r w:rsidRPr="000A6F80">
              <w:t>ommission s</w:t>
            </w:r>
            <w:r w:rsidR="00172B7C" w:rsidRPr="000A6F80">
              <w:t>taff, finalize the Request for Pro</w:t>
            </w:r>
            <w:r w:rsidRPr="000A6F80">
              <w:t>posal (RFP) for a new CPA. The c</w:t>
            </w:r>
            <w:r w:rsidR="00172B7C" w:rsidRPr="000A6F80">
              <w:t>ompany has agreed to develop a new RFP for a conservation potential assessment and new (or modified) model using the Northwest P</w:t>
            </w:r>
            <w:r w:rsidR="008935AE" w:rsidRPr="000A6F80">
              <w:t xml:space="preserve">ower and Conservation Council’s </w:t>
            </w:r>
            <w:r w:rsidR="00172B7C" w:rsidRPr="000A6F80">
              <w:t>four-step methodology for calculating conservation potential:</w:t>
            </w:r>
          </w:p>
          <w:p w14:paraId="599B9F1D" w14:textId="77777777" w:rsidR="00172B7C" w:rsidRPr="000A6F80" w:rsidRDefault="00172B7C" w:rsidP="00000118">
            <w:pPr>
              <w:pStyle w:val="ListParagraph"/>
              <w:numPr>
                <w:ilvl w:val="0"/>
                <w:numId w:val="6"/>
              </w:numPr>
            </w:pPr>
            <w:r w:rsidRPr="000A6F80">
              <w:rPr>
                <w:b/>
              </w:rPr>
              <w:t>Technical potential.</w:t>
            </w:r>
            <w:r w:rsidRPr="000A6F80">
              <w:t xml:space="preserve"> Determine the amount of conservation that is technically feasible, considering the measures and number of these measures that could physically be installed or implemented, without regard to achievability or cost.</w:t>
            </w:r>
          </w:p>
          <w:p w14:paraId="4233F812" w14:textId="049EE8DD" w:rsidR="00172B7C" w:rsidRPr="000A6F80" w:rsidRDefault="00172B7C" w:rsidP="00000118">
            <w:pPr>
              <w:pStyle w:val="ListParagraph"/>
              <w:numPr>
                <w:ilvl w:val="0"/>
                <w:numId w:val="6"/>
              </w:numPr>
              <w:rPr>
                <w:i/>
              </w:rPr>
            </w:pPr>
            <w:r w:rsidRPr="000A6F80">
              <w:rPr>
                <w:b/>
              </w:rPr>
              <w:t>Achievable technical potential (use adoption curves).</w:t>
            </w:r>
            <w:r w:rsidRPr="000A6F80">
              <w:t xml:space="preserve"> Determine the amount of conservation technical potential that is available within the </w:t>
            </w:r>
            <w:r w:rsidR="00431FE1" w:rsidRPr="000A6F80">
              <w:t>plan</w:t>
            </w:r>
            <w:r w:rsidRPr="000A6F80">
              <w:t xml:space="preserve">ning period. This screen will consider barriers to market penetration and the rate at which conservation savings could be acquired. Where appropriate, Cascade should apply NWPCC’s adoption curves. </w:t>
            </w:r>
          </w:p>
          <w:p w14:paraId="5EC0B0E4" w14:textId="77777777" w:rsidR="00172B7C" w:rsidRPr="000A6F80" w:rsidRDefault="00172B7C" w:rsidP="00000118">
            <w:pPr>
              <w:rPr>
                <w:i/>
              </w:rPr>
            </w:pPr>
            <w:r w:rsidRPr="000A6F80">
              <w:rPr>
                <w:i/>
              </w:rPr>
              <w:t>Note: Steps 3-4 (Economic Potential) will occur in Q2-2018.</w:t>
            </w:r>
          </w:p>
        </w:tc>
      </w:tr>
      <w:tr w:rsidR="00172B7C" w:rsidRPr="000A6F80" w14:paraId="2411E40E" w14:textId="77777777" w:rsidTr="00101BA5">
        <w:tc>
          <w:tcPr>
            <w:tcW w:w="1310" w:type="dxa"/>
            <w:tcBorders>
              <w:top w:val="single" w:sz="4" w:space="0" w:color="auto"/>
              <w:left w:val="single" w:sz="4" w:space="0" w:color="auto"/>
              <w:bottom w:val="single" w:sz="4" w:space="0" w:color="auto"/>
              <w:right w:val="single" w:sz="4" w:space="0" w:color="auto"/>
            </w:tcBorders>
            <w:hideMark/>
          </w:tcPr>
          <w:p w14:paraId="6DBF4DC6" w14:textId="77777777" w:rsidR="00172B7C" w:rsidRPr="000A6F80" w:rsidRDefault="00172B7C" w:rsidP="00000118">
            <w:r w:rsidRPr="000A6F80">
              <w:t>Q4-2017</w:t>
            </w:r>
          </w:p>
        </w:tc>
        <w:tc>
          <w:tcPr>
            <w:tcW w:w="1496" w:type="dxa"/>
            <w:tcBorders>
              <w:top w:val="single" w:sz="4" w:space="0" w:color="auto"/>
              <w:left w:val="single" w:sz="4" w:space="0" w:color="auto"/>
              <w:bottom w:val="single" w:sz="4" w:space="0" w:color="auto"/>
              <w:right w:val="single" w:sz="4" w:space="0" w:color="auto"/>
            </w:tcBorders>
            <w:hideMark/>
          </w:tcPr>
          <w:p w14:paraId="5F178B5B" w14:textId="058CEEEB" w:rsidR="00172B7C" w:rsidRPr="000A6F80" w:rsidRDefault="00172B7C" w:rsidP="00000118">
            <w:r w:rsidRPr="000A6F80">
              <w:t xml:space="preserve">2018 IRP Work </w:t>
            </w:r>
            <w:r w:rsidR="00431FE1" w:rsidRPr="000A6F80">
              <w:t>Plan</w:t>
            </w:r>
          </w:p>
        </w:tc>
        <w:tc>
          <w:tcPr>
            <w:tcW w:w="6639" w:type="dxa"/>
            <w:tcBorders>
              <w:top w:val="single" w:sz="4" w:space="0" w:color="auto"/>
              <w:left w:val="single" w:sz="4" w:space="0" w:color="auto"/>
              <w:bottom w:val="single" w:sz="4" w:space="0" w:color="auto"/>
              <w:right w:val="single" w:sz="4" w:space="0" w:color="auto"/>
            </w:tcBorders>
            <w:hideMark/>
          </w:tcPr>
          <w:p w14:paraId="254A0797" w14:textId="0DEF5954" w:rsidR="00172B7C" w:rsidRPr="000A6F80" w:rsidRDefault="00160CAE" w:rsidP="00431FE1">
            <w:r w:rsidRPr="000A6F80">
              <w:t>The c</w:t>
            </w:r>
            <w:r w:rsidR="00172B7C" w:rsidRPr="000A6F80">
              <w:t xml:space="preserve">ommission will review the 2018 IRP work </w:t>
            </w:r>
            <w:r w:rsidR="00431FE1" w:rsidRPr="000A6F80">
              <w:t>plan</w:t>
            </w:r>
            <w:r w:rsidR="00172B7C" w:rsidRPr="000A6F80">
              <w:t xml:space="preserve">. The work </w:t>
            </w:r>
            <w:r w:rsidR="00431FE1" w:rsidRPr="000A6F80">
              <w:t>plan</w:t>
            </w:r>
            <w:r w:rsidR="00172B7C" w:rsidRPr="000A6F80">
              <w:t xml:space="preserve"> must outline the content of the </w:t>
            </w:r>
            <w:r w:rsidR="00431FE1" w:rsidRPr="000A6F80">
              <w:t xml:space="preserve">IRP </w:t>
            </w:r>
            <w:r w:rsidR="00172B7C" w:rsidRPr="000A6F80">
              <w:t xml:space="preserve">to be developed by the utility and the method for assessing potential resources, including conservation. </w:t>
            </w:r>
          </w:p>
        </w:tc>
      </w:tr>
      <w:tr w:rsidR="00172B7C" w:rsidRPr="000A6F80" w14:paraId="727BD656" w14:textId="77777777" w:rsidTr="00101BA5">
        <w:tc>
          <w:tcPr>
            <w:tcW w:w="1310" w:type="dxa"/>
            <w:tcBorders>
              <w:top w:val="single" w:sz="4" w:space="0" w:color="auto"/>
              <w:left w:val="single" w:sz="4" w:space="0" w:color="auto"/>
              <w:bottom w:val="single" w:sz="4" w:space="0" w:color="auto"/>
              <w:right w:val="single" w:sz="4" w:space="0" w:color="auto"/>
            </w:tcBorders>
            <w:hideMark/>
          </w:tcPr>
          <w:p w14:paraId="5D66A967" w14:textId="77777777" w:rsidR="00172B7C" w:rsidRPr="000A6F80" w:rsidRDefault="00172B7C" w:rsidP="00000118">
            <w:r w:rsidRPr="000A6F80">
              <w:t>Q1-2018</w:t>
            </w:r>
          </w:p>
        </w:tc>
        <w:tc>
          <w:tcPr>
            <w:tcW w:w="1496" w:type="dxa"/>
            <w:tcBorders>
              <w:top w:val="single" w:sz="4" w:space="0" w:color="auto"/>
              <w:left w:val="single" w:sz="4" w:space="0" w:color="auto"/>
              <w:bottom w:val="single" w:sz="4" w:space="0" w:color="auto"/>
              <w:right w:val="single" w:sz="4" w:space="0" w:color="auto"/>
            </w:tcBorders>
            <w:hideMark/>
          </w:tcPr>
          <w:p w14:paraId="467DB6B9" w14:textId="26703B16" w:rsidR="00172B7C" w:rsidRPr="000A6F80" w:rsidRDefault="00B40C2F" w:rsidP="00000118">
            <w:r w:rsidRPr="000A6F80">
              <w:t>C</w:t>
            </w:r>
            <w:r w:rsidR="00A52463" w:rsidRPr="000A6F80">
              <w:t>onservation Potential Assessment</w:t>
            </w:r>
          </w:p>
        </w:tc>
        <w:tc>
          <w:tcPr>
            <w:tcW w:w="6639" w:type="dxa"/>
            <w:tcBorders>
              <w:top w:val="single" w:sz="4" w:space="0" w:color="auto"/>
              <w:left w:val="single" w:sz="4" w:space="0" w:color="auto"/>
              <w:bottom w:val="single" w:sz="4" w:space="0" w:color="auto"/>
              <w:right w:val="single" w:sz="4" w:space="0" w:color="auto"/>
            </w:tcBorders>
            <w:hideMark/>
          </w:tcPr>
          <w:p w14:paraId="5FD7BD08" w14:textId="77777777" w:rsidR="00172B7C" w:rsidRPr="000A6F80" w:rsidRDefault="00172B7C" w:rsidP="00000118">
            <w:pPr>
              <w:rPr>
                <w:bCs/>
              </w:rPr>
            </w:pPr>
            <w:r w:rsidRPr="000A6F80">
              <w:rPr>
                <w:bCs/>
              </w:rPr>
              <w:t>The consultant will finalize CPA, which will be included as part of the 2018 IRP.</w:t>
            </w:r>
          </w:p>
        </w:tc>
      </w:tr>
      <w:tr w:rsidR="00172B7C" w:rsidRPr="000A6F80" w14:paraId="28B15275" w14:textId="77777777" w:rsidTr="00101BA5">
        <w:tc>
          <w:tcPr>
            <w:tcW w:w="1310" w:type="dxa"/>
            <w:tcBorders>
              <w:top w:val="single" w:sz="4" w:space="0" w:color="auto"/>
              <w:left w:val="single" w:sz="4" w:space="0" w:color="auto"/>
              <w:bottom w:val="single" w:sz="4" w:space="0" w:color="auto"/>
              <w:right w:val="single" w:sz="4" w:space="0" w:color="auto"/>
            </w:tcBorders>
            <w:hideMark/>
          </w:tcPr>
          <w:p w14:paraId="13DA99CE" w14:textId="77777777" w:rsidR="00172B7C" w:rsidRPr="000A6F80" w:rsidRDefault="00172B7C" w:rsidP="00000118">
            <w:r w:rsidRPr="000A6F80">
              <w:t>Q2-2018</w:t>
            </w:r>
          </w:p>
        </w:tc>
        <w:tc>
          <w:tcPr>
            <w:tcW w:w="1496" w:type="dxa"/>
            <w:tcBorders>
              <w:top w:val="single" w:sz="4" w:space="0" w:color="auto"/>
              <w:left w:val="single" w:sz="4" w:space="0" w:color="auto"/>
              <w:bottom w:val="single" w:sz="4" w:space="0" w:color="auto"/>
              <w:right w:val="single" w:sz="4" w:space="0" w:color="auto"/>
            </w:tcBorders>
            <w:hideMark/>
          </w:tcPr>
          <w:p w14:paraId="444B315A" w14:textId="77777777" w:rsidR="00172B7C" w:rsidRPr="000A6F80" w:rsidRDefault="00172B7C" w:rsidP="00000118">
            <w:r w:rsidRPr="000A6F80">
              <w:t>Calculate Economic Potential in 2018 IRP</w:t>
            </w:r>
          </w:p>
        </w:tc>
        <w:tc>
          <w:tcPr>
            <w:tcW w:w="6639" w:type="dxa"/>
            <w:tcBorders>
              <w:top w:val="single" w:sz="4" w:space="0" w:color="auto"/>
              <w:left w:val="single" w:sz="4" w:space="0" w:color="auto"/>
              <w:bottom w:val="single" w:sz="4" w:space="0" w:color="auto"/>
              <w:right w:val="single" w:sz="4" w:space="0" w:color="auto"/>
            </w:tcBorders>
            <w:hideMark/>
          </w:tcPr>
          <w:p w14:paraId="13B12868" w14:textId="77777777" w:rsidR="00172B7C" w:rsidRPr="000A6F80" w:rsidRDefault="00172B7C" w:rsidP="00000118">
            <w:r w:rsidRPr="000A6F80">
              <w:t>Using the Northwest Power and Conservation Council’s four-step methodology for calculating conservation potential, Cascade should calculate the economic potential within the IRP, but outside of the CPA:</w:t>
            </w:r>
          </w:p>
          <w:p w14:paraId="0E67E80A" w14:textId="77777777" w:rsidR="00172B7C" w:rsidRPr="000A6F80" w:rsidRDefault="00172B7C" w:rsidP="00000118">
            <w:pPr>
              <w:pStyle w:val="ListParagraph"/>
              <w:numPr>
                <w:ilvl w:val="0"/>
                <w:numId w:val="6"/>
              </w:numPr>
            </w:pPr>
            <w:r w:rsidRPr="000A6F80">
              <w:rPr>
                <w:b/>
              </w:rPr>
              <w:t>Economic achievable potential.</w:t>
            </w:r>
            <w:r w:rsidRPr="000A6F80">
              <w:t xml:space="preserve"> Establish the economic achievable potential, which is the conservation potential that is cost-effective, reliable, and feasible, by comparing the total cost of the conservation measures to the cost of </w:t>
            </w:r>
            <w:r w:rsidRPr="000A6F80">
              <w:lastRenderedPageBreak/>
              <w:t>other resources available to meet expected demand, using an integrated portfolio approach or the benefit-cost ratio approach.</w:t>
            </w:r>
          </w:p>
          <w:p w14:paraId="433D7B55" w14:textId="24E59CB1" w:rsidR="00172B7C" w:rsidRPr="000A6F80" w:rsidRDefault="00172B7C" w:rsidP="006330B2">
            <w:pPr>
              <w:pStyle w:val="ListParagraph"/>
              <w:numPr>
                <w:ilvl w:val="0"/>
                <w:numId w:val="6"/>
              </w:numPr>
            </w:pPr>
            <w:r w:rsidRPr="000A6F80">
              <w:rPr>
                <w:b/>
              </w:rPr>
              <w:t xml:space="preserve">Total resource cost (TRC). </w:t>
            </w:r>
            <w:r w:rsidRPr="000A6F80">
              <w:t>First, analyze the impacts of a program on a utility and its ratepayers and use a properly balanced TRC, including but not limited to analysis of: expected carbon policies, capacity (supply and distribution), monetized non-energy benefits, and conservation credit adder.</w:t>
            </w:r>
            <w:r w:rsidR="00160CAE" w:rsidRPr="000A6F80">
              <w:t xml:space="preserve"> As temporarily allowed by the c</w:t>
            </w:r>
            <w:r w:rsidRPr="000A6F80">
              <w:t>ommission’s Policy Statement on Gas Conservation Programs, the utility cost test (UCT) may also be used to adjust economic achievable potential.</w:t>
            </w:r>
            <w:r w:rsidRPr="000A6F80">
              <w:rPr>
                <w:rStyle w:val="FootnoteReference"/>
              </w:rPr>
              <w:footnoteReference w:id="9"/>
            </w:r>
          </w:p>
        </w:tc>
      </w:tr>
    </w:tbl>
    <w:p w14:paraId="35B51F88" w14:textId="77777777" w:rsidR="00172B7C" w:rsidRDefault="00172B7C" w:rsidP="00172B7C"/>
    <w:p w14:paraId="13B4919E" w14:textId="122F2686" w:rsidR="00F657E1" w:rsidRDefault="00172B7C" w:rsidP="00172B7C">
      <w:pPr>
        <w:rPr>
          <w:rFonts w:eastAsia="Calibri"/>
        </w:rPr>
      </w:pPr>
      <w:r>
        <w:rPr>
          <w:rFonts w:eastAsia="Calibri"/>
        </w:rPr>
        <w:t xml:space="preserve">In </w:t>
      </w:r>
      <w:r w:rsidR="000B2A9D">
        <w:rPr>
          <w:rFonts w:eastAsia="Calibri"/>
        </w:rPr>
        <w:t>comments filed</w:t>
      </w:r>
      <w:r>
        <w:rPr>
          <w:rFonts w:eastAsia="Calibri"/>
        </w:rPr>
        <w:t xml:space="preserve"> February 24, 2017</w:t>
      </w:r>
      <w:r w:rsidR="00FE1D3B">
        <w:rPr>
          <w:rFonts w:eastAsia="Calibri"/>
        </w:rPr>
        <w:t>,</w:t>
      </w:r>
      <w:r w:rsidR="00162A40">
        <w:rPr>
          <w:rFonts w:eastAsia="Calibri"/>
        </w:rPr>
        <w:t xml:space="preserve"> in the company’s </w:t>
      </w:r>
      <w:r w:rsidR="0096783D">
        <w:rPr>
          <w:rFonts w:eastAsia="Calibri"/>
        </w:rPr>
        <w:t xml:space="preserve">2016 </w:t>
      </w:r>
      <w:r w:rsidR="00162A40">
        <w:rPr>
          <w:rFonts w:eastAsia="Calibri"/>
        </w:rPr>
        <w:t>IRP docket</w:t>
      </w:r>
      <w:r>
        <w:rPr>
          <w:rFonts w:eastAsia="Calibri"/>
        </w:rPr>
        <w:t xml:space="preserve">, </w:t>
      </w:r>
      <w:r w:rsidR="000B2A9D">
        <w:rPr>
          <w:rFonts w:eastAsia="Calibri"/>
        </w:rPr>
        <w:t>Public Counsel supported Cascade</w:t>
      </w:r>
      <w:r>
        <w:rPr>
          <w:rFonts w:eastAsia="Calibri"/>
        </w:rPr>
        <w:t xml:space="preserve"> pursuing </w:t>
      </w:r>
      <w:r w:rsidRPr="000A75CB">
        <w:rPr>
          <w:rFonts w:eastAsia="Calibri"/>
        </w:rPr>
        <w:t xml:space="preserve">a </w:t>
      </w:r>
      <w:r w:rsidR="00FF1BB4">
        <w:rPr>
          <w:rFonts w:eastAsia="Calibri"/>
        </w:rPr>
        <w:t xml:space="preserve">more </w:t>
      </w:r>
      <w:r w:rsidRPr="000A75CB">
        <w:rPr>
          <w:rFonts w:eastAsia="Calibri"/>
        </w:rPr>
        <w:t>accurate conservation potential assessment</w:t>
      </w:r>
      <w:r>
        <w:rPr>
          <w:rFonts w:eastAsia="Calibri"/>
        </w:rPr>
        <w:t xml:space="preserve"> and retooling </w:t>
      </w:r>
      <w:r w:rsidR="006C607E">
        <w:rPr>
          <w:rFonts w:eastAsia="Calibri"/>
        </w:rPr>
        <w:t xml:space="preserve">of </w:t>
      </w:r>
      <w:r>
        <w:rPr>
          <w:rFonts w:eastAsia="Calibri"/>
        </w:rPr>
        <w:t>the conservation program model, utilizing NWPCC’s conservation potential calculation methodology.</w:t>
      </w:r>
      <w:r>
        <w:rPr>
          <w:rStyle w:val="FootnoteReference"/>
          <w:rFonts w:eastAsia="Calibri"/>
        </w:rPr>
        <w:footnoteReference w:id="10"/>
      </w:r>
      <w:r>
        <w:rPr>
          <w:rFonts w:eastAsia="Calibri"/>
        </w:rPr>
        <w:t xml:space="preserve"> </w:t>
      </w:r>
    </w:p>
    <w:p w14:paraId="55CE2CA8" w14:textId="77777777" w:rsidR="00F657E1" w:rsidRDefault="00F657E1" w:rsidP="00172B7C">
      <w:pPr>
        <w:rPr>
          <w:rFonts w:eastAsia="Calibri"/>
        </w:rPr>
      </w:pPr>
    </w:p>
    <w:p w14:paraId="1FEA7079" w14:textId="01E4E6FE" w:rsidR="00172B7C" w:rsidRDefault="00172ED0" w:rsidP="00172B7C">
      <w:pPr>
        <w:rPr>
          <w:rFonts w:eastAsia="Calibri"/>
        </w:rPr>
      </w:pPr>
      <w:r>
        <w:rPr>
          <w:rFonts w:eastAsia="Calibri"/>
        </w:rPr>
        <w:t xml:space="preserve">Public Counsel </w:t>
      </w:r>
      <w:r w:rsidR="00430523">
        <w:rPr>
          <w:rFonts w:eastAsia="Calibri"/>
        </w:rPr>
        <w:t>note</w:t>
      </w:r>
      <w:r w:rsidR="00146CD6">
        <w:rPr>
          <w:rFonts w:eastAsia="Calibri"/>
        </w:rPr>
        <w:t>s</w:t>
      </w:r>
      <w:r w:rsidR="00162A40">
        <w:rPr>
          <w:rFonts w:eastAsia="Calibri"/>
        </w:rPr>
        <w:t xml:space="preserve"> that </w:t>
      </w:r>
      <w:r>
        <w:rPr>
          <w:rFonts w:eastAsia="Calibri"/>
        </w:rPr>
        <w:t>r</w:t>
      </w:r>
      <w:r w:rsidR="00172B7C" w:rsidRPr="000A75CB">
        <w:rPr>
          <w:rFonts w:eastAsia="Calibri"/>
        </w:rPr>
        <w:t xml:space="preserve">atepayers should be shielded from the costs associated with the </w:t>
      </w:r>
      <w:r w:rsidR="004F5B8A">
        <w:rPr>
          <w:rFonts w:eastAsia="Calibri"/>
        </w:rPr>
        <w:t xml:space="preserve">new </w:t>
      </w:r>
      <w:r w:rsidR="00172B7C" w:rsidRPr="000A75CB">
        <w:rPr>
          <w:rFonts w:eastAsia="Calibri"/>
        </w:rPr>
        <w:t>assessment</w:t>
      </w:r>
      <w:r w:rsidR="00F657E1">
        <w:rPr>
          <w:rFonts w:eastAsia="Calibri"/>
        </w:rPr>
        <w:t xml:space="preserve"> and revision of the program model</w:t>
      </w:r>
      <w:r w:rsidR="00172B7C">
        <w:rPr>
          <w:rFonts w:eastAsia="Calibri"/>
        </w:rPr>
        <w:t xml:space="preserve">. </w:t>
      </w:r>
      <w:r>
        <w:rPr>
          <w:rFonts w:eastAsia="Calibri"/>
        </w:rPr>
        <w:t xml:space="preserve">Although </w:t>
      </w:r>
      <w:r w:rsidR="00AA2C63">
        <w:rPr>
          <w:rFonts w:eastAsia="Calibri"/>
        </w:rPr>
        <w:t>c</w:t>
      </w:r>
      <w:r w:rsidR="000B2FCB">
        <w:rPr>
          <w:rFonts w:eastAsia="Calibri"/>
        </w:rPr>
        <w:t xml:space="preserve">ommission </w:t>
      </w:r>
      <w:r>
        <w:rPr>
          <w:rFonts w:eastAsia="Calibri"/>
        </w:rPr>
        <w:t>staff understands this view</w:t>
      </w:r>
      <w:r w:rsidR="00E62228">
        <w:rPr>
          <w:rFonts w:eastAsia="Calibri"/>
        </w:rPr>
        <w:t>point</w:t>
      </w:r>
      <w:r>
        <w:rPr>
          <w:rFonts w:eastAsia="Calibri"/>
        </w:rPr>
        <w:t>, r</w:t>
      </w:r>
      <w:r w:rsidR="00172B7C">
        <w:rPr>
          <w:rFonts w:eastAsia="Calibri"/>
        </w:rPr>
        <w:t>ecovery of the CPA and software model costs through the conservation cost recovery tariff is in line with the practice of other utilities.</w:t>
      </w:r>
      <w:r w:rsidR="006635BF">
        <w:rPr>
          <w:rFonts w:eastAsia="Calibri"/>
        </w:rPr>
        <w:t xml:space="preserve"> </w:t>
      </w:r>
      <w:r w:rsidR="00172B7C">
        <w:rPr>
          <w:rFonts w:eastAsia="Calibri"/>
        </w:rPr>
        <w:t>Overall, Public Counsel supports</w:t>
      </w:r>
      <w:r w:rsidR="00172B7C" w:rsidRPr="00877EEC">
        <w:rPr>
          <w:rFonts w:eastAsia="Calibri"/>
        </w:rPr>
        <w:t xml:space="preserve"> staff’s recommendation that Cascade’s 2017 A</w:t>
      </w:r>
      <w:r w:rsidR="00172B7C">
        <w:rPr>
          <w:rFonts w:eastAsia="Calibri"/>
        </w:rPr>
        <w:t xml:space="preserve">nnual Conservation </w:t>
      </w:r>
      <w:r w:rsidR="00431FE1">
        <w:rPr>
          <w:rFonts w:eastAsia="Calibri"/>
        </w:rPr>
        <w:t>Plan</w:t>
      </w:r>
      <w:r w:rsidR="00172B7C">
        <w:rPr>
          <w:rFonts w:eastAsia="Calibri"/>
        </w:rPr>
        <w:t xml:space="preserve"> </w:t>
      </w:r>
      <w:r w:rsidR="00172B7C" w:rsidRPr="00877EEC">
        <w:rPr>
          <w:rFonts w:eastAsia="Calibri"/>
        </w:rPr>
        <w:t>be acknowledged</w:t>
      </w:r>
      <w:r w:rsidR="00172B7C">
        <w:rPr>
          <w:rFonts w:eastAsia="Calibri"/>
        </w:rPr>
        <w:t xml:space="preserve">, </w:t>
      </w:r>
      <w:r w:rsidR="00172B7C" w:rsidRPr="00877EEC">
        <w:rPr>
          <w:rFonts w:eastAsia="Calibri"/>
        </w:rPr>
        <w:t>under the condition that t</w:t>
      </w:r>
      <w:r w:rsidR="00F43B9A">
        <w:rPr>
          <w:rFonts w:eastAsia="Calibri"/>
        </w:rPr>
        <w:t>he c</w:t>
      </w:r>
      <w:r w:rsidR="00172B7C">
        <w:rPr>
          <w:rFonts w:eastAsia="Calibri"/>
        </w:rPr>
        <w:t>ompany agrees to work with s</w:t>
      </w:r>
      <w:r w:rsidR="00172B7C" w:rsidRPr="00877EEC">
        <w:rPr>
          <w:rFonts w:eastAsia="Calibri"/>
        </w:rPr>
        <w:t xml:space="preserve">taff and the </w:t>
      </w:r>
      <w:r w:rsidR="00D55575">
        <w:rPr>
          <w:rFonts w:eastAsia="Calibri"/>
        </w:rPr>
        <w:t xml:space="preserve">advisory group </w:t>
      </w:r>
      <w:r w:rsidR="00172B7C" w:rsidRPr="00877EEC">
        <w:rPr>
          <w:rFonts w:eastAsia="Calibri"/>
        </w:rPr>
        <w:t>to address concerns with the conservation potential assessment</w:t>
      </w:r>
      <w:r w:rsidR="004F5A36">
        <w:rPr>
          <w:rFonts w:eastAsia="Calibri"/>
        </w:rPr>
        <w:t xml:space="preserve"> and model</w:t>
      </w:r>
      <w:r w:rsidR="00172B7C" w:rsidRPr="00877EEC">
        <w:rPr>
          <w:rFonts w:eastAsia="Calibri"/>
        </w:rPr>
        <w:t>.</w:t>
      </w:r>
    </w:p>
    <w:p w14:paraId="65013A4C" w14:textId="77777777" w:rsidR="00B153FC" w:rsidRDefault="00B153FC" w:rsidP="00B153FC">
      <w:pPr>
        <w:rPr>
          <w:rFonts w:eastAsia="Calibri"/>
          <w:b/>
          <w:i/>
        </w:rPr>
      </w:pPr>
    </w:p>
    <w:p w14:paraId="6D11BC16" w14:textId="6E2F5BCB" w:rsidR="00B153FC" w:rsidRDefault="00B153FC" w:rsidP="00B153FC">
      <w:pPr>
        <w:rPr>
          <w:rFonts w:eastAsia="Calibri"/>
        </w:rPr>
      </w:pPr>
      <w:r w:rsidRPr="00B962A3">
        <w:rPr>
          <w:rFonts w:eastAsia="Calibri"/>
          <w:b/>
          <w:i/>
        </w:rPr>
        <w:t>Supplemental Budget Analysis</w:t>
      </w:r>
      <w:r>
        <w:rPr>
          <w:rFonts w:eastAsia="Calibri"/>
          <w:b/>
          <w:i/>
        </w:rPr>
        <w:t xml:space="preserve">. </w:t>
      </w:r>
      <w:r w:rsidRPr="00B962A3">
        <w:rPr>
          <w:rFonts w:eastAsia="Calibri"/>
        </w:rPr>
        <w:t xml:space="preserve">During the 2017 annual conservation </w:t>
      </w:r>
      <w:r w:rsidR="00EF4809">
        <w:rPr>
          <w:rFonts w:eastAsia="Calibri"/>
        </w:rPr>
        <w:t>p</w:t>
      </w:r>
      <w:r>
        <w:rPr>
          <w:rFonts w:eastAsia="Calibri"/>
        </w:rPr>
        <w:t>lan</w:t>
      </w:r>
      <w:r w:rsidRPr="00B962A3">
        <w:rPr>
          <w:rFonts w:eastAsia="Calibri"/>
        </w:rPr>
        <w:t xml:space="preserve"> cycle, staff identified a need to analyze each utility’s budget allocations as an additional metric of program success</w:t>
      </w:r>
      <w:r>
        <w:rPr>
          <w:rFonts w:eastAsia="Calibri"/>
        </w:rPr>
        <w:t xml:space="preserve"> and worked with the company to categorize expenditures</w:t>
      </w:r>
      <w:r w:rsidRPr="00B962A3">
        <w:rPr>
          <w:rFonts w:eastAsia="Calibri"/>
        </w:rPr>
        <w:t>. Each company was asked to provide data on the programs’ 2017 direct benefit to customer</w:t>
      </w:r>
      <w:r>
        <w:rPr>
          <w:rFonts w:eastAsia="Calibri"/>
        </w:rPr>
        <w:t xml:space="preserve">s </w:t>
      </w:r>
      <w:r w:rsidRPr="00B962A3">
        <w:rPr>
          <w:rFonts w:eastAsia="Calibri"/>
        </w:rPr>
        <w:t>(DBtC) ratio along with an ex</w:t>
      </w:r>
      <w:r>
        <w:rPr>
          <w:rFonts w:eastAsia="Calibri"/>
        </w:rPr>
        <w:t>plan</w:t>
      </w:r>
      <w:r w:rsidRPr="00B962A3">
        <w:rPr>
          <w:rFonts w:eastAsia="Calibri"/>
        </w:rPr>
        <w:t>ation of why the ratio was appropriate for the 2017 conservation program.</w:t>
      </w:r>
      <w:r>
        <w:rPr>
          <w:rStyle w:val="FootnoteReference"/>
          <w:rFonts w:eastAsia="Calibri"/>
        </w:rPr>
        <w:footnoteReference w:id="11"/>
      </w:r>
      <w:r w:rsidRPr="00B962A3">
        <w:rPr>
          <w:rFonts w:eastAsia="Calibri"/>
        </w:rPr>
        <w:t xml:space="preserve"> </w:t>
      </w:r>
    </w:p>
    <w:p w14:paraId="5C699100" w14:textId="77777777" w:rsidR="00B153FC" w:rsidRDefault="00B153FC" w:rsidP="00B153FC">
      <w:pPr>
        <w:rPr>
          <w:rFonts w:eastAsia="Calibri"/>
        </w:rPr>
      </w:pPr>
    </w:p>
    <w:p w14:paraId="58EC9453" w14:textId="2FB87071" w:rsidR="00B153FC" w:rsidRDefault="00B153FC" w:rsidP="00B153FC">
      <w:pPr>
        <w:rPr>
          <w:rFonts w:eastAsia="Calibri"/>
        </w:rPr>
      </w:pPr>
      <w:r>
        <w:rPr>
          <w:rFonts w:eastAsia="Calibri"/>
        </w:rPr>
        <w:t xml:space="preserve">Cascade’s </w:t>
      </w:r>
      <w:r w:rsidRPr="00B962A3">
        <w:rPr>
          <w:rFonts w:eastAsia="Calibri"/>
        </w:rPr>
        <w:t>direct benefit t</w:t>
      </w:r>
      <w:r>
        <w:rPr>
          <w:rFonts w:eastAsia="Calibri"/>
        </w:rPr>
        <w:t>o cu</w:t>
      </w:r>
      <w:r w:rsidR="006A5890">
        <w:rPr>
          <w:rFonts w:eastAsia="Calibri"/>
        </w:rPr>
        <w:t>stomer ratio is approximately 57</w:t>
      </w:r>
      <w:r>
        <w:rPr>
          <w:rFonts w:eastAsia="Calibri"/>
        </w:rPr>
        <w:t xml:space="preserve"> percent, which was achieved by the company re-</w:t>
      </w:r>
      <w:r w:rsidRPr="00B962A3">
        <w:rPr>
          <w:rFonts w:eastAsia="Calibri"/>
        </w:rPr>
        <w:t>categoriz</w:t>
      </w:r>
      <w:r>
        <w:rPr>
          <w:rFonts w:eastAsia="Calibri"/>
        </w:rPr>
        <w:t>ing</w:t>
      </w:r>
      <w:r w:rsidRPr="00B962A3">
        <w:rPr>
          <w:rFonts w:eastAsia="Calibri"/>
        </w:rPr>
        <w:t xml:space="preserve"> </w:t>
      </w:r>
      <w:r>
        <w:rPr>
          <w:rFonts w:eastAsia="Calibri"/>
        </w:rPr>
        <w:t xml:space="preserve">$83,500 </w:t>
      </w:r>
      <w:r w:rsidRPr="00B962A3">
        <w:rPr>
          <w:rFonts w:eastAsia="Calibri"/>
        </w:rPr>
        <w:t>overhead as</w:t>
      </w:r>
      <w:r>
        <w:rPr>
          <w:rFonts w:eastAsia="Calibri"/>
        </w:rPr>
        <w:t xml:space="preserve"> a direct benefit to customer, a</w:t>
      </w:r>
      <w:r w:rsidRPr="00B962A3">
        <w:rPr>
          <w:rFonts w:eastAsia="Calibri"/>
        </w:rPr>
        <w:t xml:space="preserve">nd </w:t>
      </w:r>
      <w:r>
        <w:rPr>
          <w:rFonts w:eastAsia="Calibri"/>
        </w:rPr>
        <w:t xml:space="preserve">removing </w:t>
      </w:r>
      <w:r w:rsidRPr="00B962A3">
        <w:rPr>
          <w:rFonts w:eastAsia="Calibri"/>
        </w:rPr>
        <w:t>Northwest Energy Efficiency Alliance (NEEA) from consideration</w:t>
      </w:r>
      <w:r>
        <w:rPr>
          <w:rFonts w:eastAsia="Calibri"/>
        </w:rPr>
        <w:t xml:space="preserve"> in calculating portfolio level cost effectiveness. </w:t>
      </w:r>
      <w:r w:rsidRPr="00B962A3">
        <w:rPr>
          <w:rFonts w:eastAsia="Calibri"/>
        </w:rPr>
        <w:t>Unfortunately, 5</w:t>
      </w:r>
      <w:r w:rsidR="006A5890">
        <w:rPr>
          <w:rFonts w:eastAsia="Calibri"/>
        </w:rPr>
        <w:t>7</w:t>
      </w:r>
      <w:r w:rsidRPr="00B962A3">
        <w:rPr>
          <w:rFonts w:eastAsia="Calibri"/>
        </w:rPr>
        <w:t xml:space="preserve"> percent does not meet the </w:t>
      </w:r>
      <w:r>
        <w:rPr>
          <w:rFonts w:eastAsia="Calibri"/>
        </w:rPr>
        <w:t xml:space="preserve">60 percent threshold. Staff </w:t>
      </w:r>
      <w:r>
        <w:rPr>
          <w:rFonts w:eastAsia="Calibri"/>
        </w:rPr>
        <w:lastRenderedPageBreak/>
        <w:t xml:space="preserve">concluded the </w:t>
      </w:r>
      <w:r w:rsidRPr="00B962A3">
        <w:rPr>
          <w:rFonts w:eastAsia="Calibri"/>
        </w:rPr>
        <w:t>ratio is sufficient</w:t>
      </w:r>
      <w:r>
        <w:rPr>
          <w:rFonts w:eastAsia="Calibri"/>
        </w:rPr>
        <w:t xml:space="preserve"> at this time</w:t>
      </w:r>
      <w:r w:rsidRPr="00B962A3">
        <w:rPr>
          <w:rFonts w:eastAsia="Calibri"/>
        </w:rPr>
        <w:t xml:space="preserve">, provided that the </w:t>
      </w:r>
      <w:r>
        <w:rPr>
          <w:rFonts w:eastAsia="Calibri"/>
        </w:rPr>
        <w:t xml:space="preserve">2017 </w:t>
      </w:r>
      <w:r w:rsidRPr="00B962A3">
        <w:rPr>
          <w:rFonts w:eastAsia="Calibri"/>
        </w:rPr>
        <w:t>conservation target is met</w:t>
      </w:r>
      <w:r w:rsidR="00613C27">
        <w:rPr>
          <w:rFonts w:eastAsia="Calibri"/>
        </w:rPr>
        <w:t>, and will continue to work with the company to reach 60 percent</w:t>
      </w:r>
      <w:r w:rsidRPr="00B962A3">
        <w:rPr>
          <w:rFonts w:eastAsia="Calibri"/>
        </w:rPr>
        <w:t>.</w:t>
      </w:r>
    </w:p>
    <w:p w14:paraId="1E029B01" w14:textId="77777777" w:rsidR="00B153FC" w:rsidRDefault="00B153FC" w:rsidP="00214284">
      <w:pPr>
        <w:rPr>
          <w:b/>
          <w:u w:val="single"/>
        </w:rPr>
      </w:pPr>
    </w:p>
    <w:p w14:paraId="68CA638E" w14:textId="77777777" w:rsidR="00214284" w:rsidRPr="00982A94" w:rsidRDefault="00214284" w:rsidP="00214284">
      <w:pPr>
        <w:rPr>
          <w:b/>
          <w:u w:val="single"/>
        </w:rPr>
      </w:pPr>
      <w:r w:rsidRPr="00982A94">
        <w:rPr>
          <w:b/>
          <w:u w:val="single"/>
        </w:rPr>
        <w:t>Conclusion</w:t>
      </w:r>
    </w:p>
    <w:p w14:paraId="375A40AA" w14:textId="77777777" w:rsidR="00214284" w:rsidRDefault="00214284" w:rsidP="00214284"/>
    <w:p w14:paraId="1C6F79D3" w14:textId="1557B8AC" w:rsidR="00214284" w:rsidRDefault="00432879" w:rsidP="00214284">
      <w:pPr>
        <w:rPr>
          <w:sz w:val="22"/>
          <w:szCs w:val="22"/>
        </w:rPr>
      </w:pPr>
      <w:r>
        <w:t xml:space="preserve">Take no action, acknowledging receipt of the 2017 Annual Conservation </w:t>
      </w:r>
      <w:r w:rsidR="00431FE1">
        <w:t>Plan</w:t>
      </w:r>
      <w:r>
        <w:t xml:space="preserve"> on </w:t>
      </w:r>
      <w:r w:rsidR="009C3785">
        <w:t>November 30</w:t>
      </w:r>
      <w:r w:rsidR="00F55F8F">
        <w:t>,</w:t>
      </w:r>
      <w:r w:rsidR="009C3785">
        <w:t xml:space="preserve"> </w:t>
      </w:r>
      <w:r w:rsidR="00F55F8F">
        <w:t>2016, in Docket UG-161253.</w:t>
      </w:r>
    </w:p>
    <w:p w14:paraId="7BA152BD" w14:textId="77777777" w:rsidR="00214284" w:rsidRDefault="00214284" w:rsidP="00214284"/>
    <w:p w14:paraId="76F01A9D" w14:textId="77777777" w:rsidR="00047803" w:rsidRDefault="00047803"/>
    <w:sectPr w:rsidR="00047803" w:rsidSect="00432879">
      <w:headerReference w:type="default" r:id="rId11"/>
      <w:foot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C7F5F" w14:textId="77777777" w:rsidR="0033118E" w:rsidRDefault="0033118E" w:rsidP="00214284">
      <w:r>
        <w:separator/>
      </w:r>
    </w:p>
  </w:endnote>
  <w:endnote w:type="continuationSeparator" w:id="0">
    <w:p w14:paraId="74E5F2A4" w14:textId="77777777" w:rsidR="0033118E" w:rsidRDefault="0033118E" w:rsidP="002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11253"/>
      <w:docPartObj>
        <w:docPartGallery w:val="Page Numbers (Bottom of Page)"/>
        <w:docPartUnique/>
      </w:docPartObj>
    </w:sdtPr>
    <w:sdtEndPr>
      <w:rPr>
        <w:noProof/>
      </w:rPr>
    </w:sdtEndPr>
    <w:sdtContent>
      <w:p w14:paraId="682CD7CD" w14:textId="77777777" w:rsidR="00000118" w:rsidRDefault="00000118">
        <w:pPr>
          <w:pStyle w:val="Footer"/>
          <w:jc w:val="right"/>
        </w:pPr>
        <w:r>
          <w:fldChar w:fldCharType="begin"/>
        </w:r>
        <w:r>
          <w:instrText xml:space="preserve"> PAGE   \* MERGEFORMAT </w:instrText>
        </w:r>
        <w:r>
          <w:fldChar w:fldCharType="separate"/>
        </w:r>
        <w:r w:rsidR="006F2FBF">
          <w:rPr>
            <w:noProof/>
          </w:rPr>
          <w:t>6</w:t>
        </w:r>
        <w:r>
          <w:rPr>
            <w:noProof/>
          </w:rPr>
          <w:fldChar w:fldCharType="end"/>
        </w:r>
      </w:p>
    </w:sdtContent>
  </w:sdt>
  <w:p w14:paraId="1B5FC8E3" w14:textId="77777777" w:rsidR="00000118" w:rsidRDefault="00000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2F70D" w14:textId="77777777" w:rsidR="0033118E" w:rsidRDefault="0033118E" w:rsidP="00214284">
      <w:r>
        <w:separator/>
      </w:r>
    </w:p>
  </w:footnote>
  <w:footnote w:type="continuationSeparator" w:id="0">
    <w:p w14:paraId="5DC99C7E" w14:textId="77777777" w:rsidR="0033118E" w:rsidRDefault="0033118E" w:rsidP="00214284">
      <w:r>
        <w:continuationSeparator/>
      </w:r>
    </w:p>
  </w:footnote>
  <w:footnote w:id="1">
    <w:p w14:paraId="751568C7" w14:textId="4A5CCF48" w:rsidR="00000118" w:rsidRDefault="00000118" w:rsidP="00214284">
      <w:pPr>
        <w:pStyle w:val="FootnoteText"/>
      </w:pPr>
      <w:r>
        <w:rPr>
          <w:rStyle w:val="FootnoteReference"/>
        </w:rPr>
        <w:footnoteRef/>
      </w:r>
      <w:r>
        <w:t xml:space="preserve"> </w:t>
      </w:r>
      <w:r w:rsidRPr="0022286D">
        <w:rPr>
          <w:i/>
        </w:rPr>
        <w:t>WUTC v. Cascade Natural Gas Corporation</w:t>
      </w:r>
      <w:r>
        <w:t xml:space="preserve">, </w:t>
      </w:r>
      <w:r w:rsidR="00F16E85">
        <w:t>D</w:t>
      </w:r>
      <w:r>
        <w:t>ocket UG-152286, Order 04, ¶10 (July 7, 2016).</w:t>
      </w:r>
    </w:p>
  </w:footnote>
  <w:footnote w:id="2">
    <w:p w14:paraId="51399EFB" w14:textId="7A74A1EC" w:rsidR="00000118" w:rsidRDefault="00000118" w:rsidP="00172B7C">
      <w:pPr>
        <w:pStyle w:val="FootnoteText"/>
      </w:pPr>
      <w:r>
        <w:rPr>
          <w:rStyle w:val="FootnoteReference"/>
        </w:rPr>
        <w:footnoteRef/>
      </w:r>
      <w:r>
        <w:t xml:space="preserve"> </w:t>
      </w:r>
      <w:r>
        <w:rPr>
          <w:i/>
        </w:rPr>
        <w:t xml:space="preserve">2016 Washington Conservation Plan, </w:t>
      </w:r>
      <w:r>
        <w:t xml:space="preserve">Docket </w:t>
      </w:r>
      <w:r w:rsidRPr="004C56A3">
        <w:t>UE-</w:t>
      </w:r>
      <w:r>
        <w:t>152354, CNGC 2016 Conservation Plan (December 14, 2015), Table 1.</w:t>
      </w:r>
    </w:p>
  </w:footnote>
  <w:footnote w:id="3">
    <w:p w14:paraId="0000EDF9" w14:textId="6F424BD5" w:rsidR="001E1CA3" w:rsidRDefault="001E1CA3">
      <w:pPr>
        <w:pStyle w:val="FootnoteText"/>
      </w:pPr>
      <w:r>
        <w:rPr>
          <w:rStyle w:val="FootnoteReference"/>
        </w:rPr>
        <w:footnoteRef/>
      </w:r>
      <w:r>
        <w:t xml:space="preserve"> </w:t>
      </w:r>
      <w:r w:rsidR="00121332">
        <w:t>T</w:t>
      </w:r>
      <w:r>
        <w:t xml:space="preserve">he company will no longer </w:t>
      </w:r>
      <w:r w:rsidR="00121332">
        <w:t xml:space="preserve">be </w:t>
      </w:r>
      <w:r>
        <w:t xml:space="preserve">using a third party contractor to deliver residential program; </w:t>
      </w:r>
      <w:r w:rsidR="004F1827">
        <w:t>an</w:t>
      </w:r>
      <w:r>
        <w:t xml:space="preserve"> overlap in 2016 </w:t>
      </w:r>
      <w:r w:rsidR="004F1827">
        <w:t xml:space="preserve">occurred </w:t>
      </w:r>
      <w:r>
        <w:t xml:space="preserve">during the transition into company-managed </w:t>
      </w:r>
      <w:r w:rsidR="00AE04BA">
        <w:t xml:space="preserve">residential </w:t>
      </w:r>
      <w:r>
        <w:t>program delivery.</w:t>
      </w:r>
    </w:p>
  </w:footnote>
  <w:footnote w:id="4">
    <w:p w14:paraId="3AD0260C" w14:textId="538C0A0E" w:rsidR="00000118" w:rsidRDefault="00000118">
      <w:pPr>
        <w:pStyle w:val="FootnoteText"/>
      </w:pPr>
      <w:r>
        <w:rPr>
          <w:rStyle w:val="FootnoteReference"/>
        </w:rPr>
        <w:footnoteRef/>
      </w:r>
      <w:r>
        <w:t xml:space="preserve"> </w:t>
      </w:r>
      <w:r w:rsidR="00CB52E1">
        <w:t>The cost of the new conservation potential assessment a</w:t>
      </w:r>
      <w:r>
        <w:t>nd model development will be determined by the request for proposal (RFP) responses, which are anticipated in the second quarter of 2017.</w:t>
      </w:r>
    </w:p>
  </w:footnote>
  <w:footnote w:id="5">
    <w:p w14:paraId="603D4506" w14:textId="39182463" w:rsidR="0027119C" w:rsidRDefault="0027119C">
      <w:pPr>
        <w:pStyle w:val="FootnoteText"/>
      </w:pPr>
      <w:r>
        <w:rPr>
          <w:rStyle w:val="FootnoteReference"/>
        </w:rPr>
        <w:footnoteRef/>
      </w:r>
      <w:r>
        <w:t xml:space="preserve"> </w:t>
      </w:r>
      <w:r w:rsidRPr="0027119C">
        <w:rPr>
          <w:i/>
        </w:rPr>
        <w:t>Id</w:t>
      </w:r>
      <w:r>
        <w:t>.</w:t>
      </w:r>
    </w:p>
  </w:footnote>
  <w:footnote w:id="6">
    <w:p w14:paraId="6813D815" w14:textId="712DE78F" w:rsidR="00000118" w:rsidRDefault="00000118">
      <w:pPr>
        <w:pStyle w:val="FootnoteText"/>
      </w:pPr>
      <w:r>
        <w:rPr>
          <w:rStyle w:val="FootnoteReference"/>
        </w:rPr>
        <w:footnoteRef/>
      </w:r>
      <w:r>
        <w:t xml:space="preserve"> Calendar year 2017 is estimated to have a UCT cost-effectiveness at a portfolio level of 1.6, excluding low-income programs from this calculation.  </w:t>
      </w:r>
    </w:p>
  </w:footnote>
  <w:footnote w:id="7">
    <w:p w14:paraId="79F6A7BF" w14:textId="501F6A1D" w:rsidR="00000118" w:rsidRDefault="00000118" w:rsidP="00C765AF">
      <w:pPr>
        <w:pStyle w:val="FootnoteText"/>
      </w:pPr>
      <w:r>
        <w:rPr>
          <w:rStyle w:val="FootnoteReference"/>
        </w:rPr>
        <w:footnoteRef/>
      </w:r>
      <w:r>
        <w:t xml:space="preserve"> </w:t>
      </w:r>
      <w:r w:rsidRPr="0022286D">
        <w:rPr>
          <w:i/>
        </w:rPr>
        <w:t>WUTC v. Cascade Natural Gas Corporation</w:t>
      </w:r>
      <w:r>
        <w:t xml:space="preserve">, </w:t>
      </w:r>
      <w:r w:rsidR="00F16E85">
        <w:t>D</w:t>
      </w:r>
      <w:r>
        <w:t>ocket UG-152286, Order 04, ¶10 (July 7, 2016).</w:t>
      </w:r>
    </w:p>
  </w:footnote>
  <w:footnote w:id="8">
    <w:p w14:paraId="607CBBA9" w14:textId="3CA7C416" w:rsidR="00D9357C" w:rsidRDefault="00D9357C">
      <w:pPr>
        <w:pStyle w:val="FootnoteText"/>
      </w:pPr>
      <w:r>
        <w:rPr>
          <w:rStyle w:val="FootnoteReference"/>
        </w:rPr>
        <w:footnoteRef/>
      </w:r>
      <w:r w:rsidR="0045028A">
        <w:t xml:space="preserve"> </w:t>
      </w:r>
      <w:r>
        <w:t>Docket UG-160453.</w:t>
      </w:r>
    </w:p>
  </w:footnote>
  <w:footnote w:id="9">
    <w:p w14:paraId="008773C2" w14:textId="77777777" w:rsidR="00000118" w:rsidRDefault="00000118" w:rsidP="00172B7C">
      <w:pPr>
        <w:pStyle w:val="FootnoteText"/>
      </w:pPr>
      <w:r>
        <w:rPr>
          <w:rStyle w:val="FootnoteReference"/>
        </w:rPr>
        <w:footnoteRef/>
      </w:r>
      <w:r>
        <w:t xml:space="preserve"> </w:t>
      </w:r>
      <w:r>
        <w:rPr>
          <w:i/>
        </w:rPr>
        <w:t>Policy Statement on the Evaluation of the Cost-effectiveness of Natural Gas Conservation Programs</w:t>
      </w:r>
      <w:r>
        <w:t>, Docket    UG-121207 (October 2013).</w:t>
      </w:r>
    </w:p>
  </w:footnote>
  <w:footnote w:id="10">
    <w:p w14:paraId="7FE988CD" w14:textId="13B62E4D" w:rsidR="00000118" w:rsidRDefault="00000118" w:rsidP="00172B7C">
      <w:pPr>
        <w:pStyle w:val="FootnoteText"/>
      </w:pPr>
      <w:r>
        <w:rPr>
          <w:rStyle w:val="FootnoteReference"/>
        </w:rPr>
        <w:footnoteRef/>
      </w:r>
      <w:r>
        <w:t xml:space="preserve"> </w:t>
      </w:r>
      <w:r w:rsidRPr="00655C1D">
        <w:rPr>
          <w:i/>
        </w:rPr>
        <w:t>Cascade Natural Gas Corporation’s 2016 IRP</w:t>
      </w:r>
      <w:r>
        <w:t xml:space="preserve">, </w:t>
      </w:r>
      <w:r>
        <w:rPr>
          <w:rFonts w:eastAsia="Calibri"/>
        </w:rPr>
        <w:t>Docket UG-160453.</w:t>
      </w:r>
    </w:p>
  </w:footnote>
  <w:footnote w:id="11">
    <w:p w14:paraId="07032081" w14:textId="77777777" w:rsidR="00B153FC" w:rsidRDefault="00B153FC" w:rsidP="00B153FC">
      <w:pPr>
        <w:pStyle w:val="FootnoteText"/>
      </w:pPr>
      <w:r>
        <w:rPr>
          <w:rStyle w:val="FootnoteReference"/>
        </w:rPr>
        <w:footnoteRef/>
      </w:r>
      <w:r>
        <w:t xml:space="preserve"> Direct benefits to customers includes but is not limited to: customer incentives, rebates, bill credits, credits on purchases, payments to community action agencies, free efficiency measures, and upstream incentives to partners or trade allies.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3D14" w14:textId="3FABAA31" w:rsidR="00000118" w:rsidRPr="00777586" w:rsidRDefault="00000118" w:rsidP="00432879">
    <w:pPr>
      <w:pStyle w:val="Header"/>
      <w:rPr>
        <w:sz w:val="20"/>
        <w:szCs w:val="20"/>
      </w:rPr>
    </w:pPr>
    <w:r w:rsidRPr="00777586">
      <w:rPr>
        <w:sz w:val="20"/>
        <w:szCs w:val="20"/>
      </w:rPr>
      <w:t>D</w:t>
    </w:r>
    <w:r>
      <w:rPr>
        <w:sz w:val="20"/>
        <w:szCs w:val="20"/>
      </w:rPr>
      <w:t>OCKET UG-161253</w:t>
    </w:r>
  </w:p>
  <w:p w14:paraId="4255FFB5" w14:textId="2D0B0F83" w:rsidR="00000118" w:rsidRPr="00777586" w:rsidRDefault="00000118" w:rsidP="00432879">
    <w:pPr>
      <w:pStyle w:val="Header"/>
      <w:rPr>
        <w:sz w:val="20"/>
        <w:szCs w:val="20"/>
      </w:rPr>
    </w:pPr>
    <w:r>
      <w:rPr>
        <w:sz w:val="20"/>
        <w:szCs w:val="20"/>
      </w:rPr>
      <w:t>March 16, 2017</w:t>
    </w:r>
  </w:p>
  <w:p w14:paraId="783F9B9E" w14:textId="77777777" w:rsidR="00000118" w:rsidRPr="00777586" w:rsidRDefault="00000118" w:rsidP="00432879">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6F2FBF">
      <w:rPr>
        <w:rStyle w:val="PageNumber"/>
        <w:noProof/>
        <w:sz w:val="20"/>
        <w:szCs w:val="20"/>
      </w:rPr>
      <w:t>6</w:t>
    </w:r>
    <w:r w:rsidRPr="00777586">
      <w:rPr>
        <w:rStyle w:val="PageNumber"/>
        <w:sz w:val="20"/>
        <w:szCs w:val="20"/>
      </w:rPr>
      <w:fldChar w:fldCharType="end"/>
    </w:r>
  </w:p>
  <w:p w14:paraId="3B41E693" w14:textId="77777777" w:rsidR="00000118" w:rsidRPr="00E05888" w:rsidRDefault="00000118" w:rsidP="00432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2C7"/>
    <w:multiLevelType w:val="hybridMultilevel"/>
    <w:tmpl w:val="2C7A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E1B4C"/>
    <w:multiLevelType w:val="hybridMultilevel"/>
    <w:tmpl w:val="F62C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E0E1D"/>
    <w:multiLevelType w:val="hybridMultilevel"/>
    <w:tmpl w:val="5160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80C04"/>
    <w:multiLevelType w:val="hybridMultilevel"/>
    <w:tmpl w:val="100E6850"/>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D418A"/>
    <w:multiLevelType w:val="hybridMultilevel"/>
    <w:tmpl w:val="3406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84"/>
    <w:rsid w:val="00000118"/>
    <w:rsid w:val="00001C20"/>
    <w:rsid w:val="00005BCC"/>
    <w:rsid w:val="00010228"/>
    <w:rsid w:val="00014E9C"/>
    <w:rsid w:val="00015176"/>
    <w:rsid w:val="00015EC5"/>
    <w:rsid w:val="00020392"/>
    <w:rsid w:val="00033AE7"/>
    <w:rsid w:val="0003526E"/>
    <w:rsid w:val="00047803"/>
    <w:rsid w:val="00064A1F"/>
    <w:rsid w:val="000741F8"/>
    <w:rsid w:val="00077850"/>
    <w:rsid w:val="00092CBA"/>
    <w:rsid w:val="000A4BD6"/>
    <w:rsid w:val="000A5748"/>
    <w:rsid w:val="000A64C1"/>
    <w:rsid w:val="000A6F80"/>
    <w:rsid w:val="000A75CB"/>
    <w:rsid w:val="000B0397"/>
    <w:rsid w:val="000B2A9D"/>
    <w:rsid w:val="000B2FCB"/>
    <w:rsid w:val="000B51C2"/>
    <w:rsid w:val="000C1AE1"/>
    <w:rsid w:val="000C1BBE"/>
    <w:rsid w:val="000C5B0B"/>
    <w:rsid w:val="000C6C8C"/>
    <w:rsid w:val="000D13EB"/>
    <w:rsid w:val="000D144A"/>
    <w:rsid w:val="000D37A5"/>
    <w:rsid w:val="000D3B97"/>
    <w:rsid w:val="000D4B3B"/>
    <w:rsid w:val="000D6951"/>
    <w:rsid w:val="000D6AFC"/>
    <w:rsid w:val="000E0962"/>
    <w:rsid w:val="000E09F8"/>
    <w:rsid w:val="000E3A3E"/>
    <w:rsid w:val="000F46A0"/>
    <w:rsid w:val="00101BA5"/>
    <w:rsid w:val="0010340F"/>
    <w:rsid w:val="00113CB7"/>
    <w:rsid w:val="00114C4F"/>
    <w:rsid w:val="00121332"/>
    <w:rsid w:val="00123ADE"/>
    <w:rsid w:val="00132931"/>
    <w:rsid w:val="00132A5A"/>
    <w:rsid w:val="00132AD8"/>
    <w:rsid w:val="001341F5"/>
    <w:rsid w:val="00134EA4"/>
    <w:rsid w:val="00135646"/>
    <w:rsid w:val="0014011B"/>
    <w:rsid w:val="001462FC"/>
    <w:rsid w:val="00146CD6"/>
    <w:rsid w:val="00153108"/>
    <w:rsid w:val="00154E17"/>
    <w:rsid w:val="001553F8"/>
    <w:rsid w:val="00157C10"/>
    <w:rsid w:val="00160CAE"/>
    <w:rsid w:val="00162A40"/>
    <w:rsid w:val="00172344"/>
    <w:rsid w:val="00172B7C"/>
    <w:rsid w:val="00172ED0"/>
    <w:rsid w:val="001754E8"/>
    <w:rsid w:val="001816A3"/>
    <w:rsid w:val="00183EB9"/>
    <w:rsid w:val="00184122"/>
    <w:rsid w:val="00186798"/>
    <w:rsid w:val="00194F4E"/>
    <w:rsid w:val="0019569A"/>
    <w:rsid w:val="00197A2E"/>
    <w:rsid w:val="001A3527"/>
    <w:rsid w:val="001B450F"/>
    <w:rsid w:val="001B5ACA"/>
    <w:rsid w:val="001B5B8F"/>
    <w:rsid w:val="001C3AFC"/>
    <w:rsid w:val="001C6505"/>
    <w:rsid w:val="001C6D7B"/>
    <w:rsid w:val="001C764C"/>
    <w:rsid w:val="001D04AC"/>
    <w:rsid w:val="001D3C16"/>
    <w:rsid w:val="001D3F4B"/>
    <w:rsid w:val="001D5C35"/>
    <w:rsid w:val="001D6FB5"/>
    <w:rsid w:val="001E1CA3"/>
    <w:rsid w:val="001E7253"/>
    <w:rsid w:val="001F2142"/>
    <w:rsid w:val="001F76F6"/>
    <w:rsid w:val="00210EE1"/>
    <w:rsid w:val="00214284"/>
    <w:rsid w:val="0022306A"/>
    <w:rsid w:val="002240C6"/>
    <w:rsid w:val="00226064"/>
    <w:rsid w:val="0023124C"/>
    <w:rsid w:val="0023279E"/>
    <w:rsid w:val="00241216"/>
    <w:rsid w:val="00253F1A"/>
    <w:rsid w:val="00256901"/>
    <w:rsid w:val="002577A0"/>
    <w:rsid w:val="00257C86"/>
    <w:rsid w:val="002600CC"/>
    <w:rsid w:val="0026354E"/>
    <w:rsid w:val="0027119C"/>
    <w:rsid w:val="00273E3F"/>
    <w:rsid w:val="002743DE"/>
    <w:rsid w:val="002745A5"/>
    <w:rsid w:val="0027588B"/>
    <w:rsid w:val="0027655B"/>
    <w:rsid w:val="002777B4"/>
    <w:rsid w:val="002807BE"/>
    <w:rsid w:val="002813E5"/>
    <w:rsid w:val="002846CE"/>
    <w:rsid w:val="00286868"/>
    <w:rsid w:val="00291855"/>
    <w:rsid w:val="002923FF"/>
    <w:rsid w:val="00295454"/>
    <w:rsid w:val="002A09B5"/>
    <w:rsid w:val="002A5135"/>
    <w:rsid w:val="002A70D3"/>
    <w:rsid w:val="002A7903"/>
    <w:rsid w:val="002B0C2E"/>
    <w:rsid w:val="002B1242"/>
    <w:rsid w:val="002B38B4"/>
    <w:rsid w:val="002B76FF"/>
    <w:rsid w:val="002C3C1B"/>
    <w:rsid w:val="002C6F00"/>
    <w:rsid w:val="002D12D7"/>
    <w:rsid w:val="002D2567"/>
    <w:rsid w:val="002E0FF9"/>
    <w:rsid w:val="002E2876"/>
    <w:rsid w:val="002E4805"/>
    <w:rsid w:val="002F30FF"/>
    <w:rsid w:val="002F68B1"/>
    <w:rsid w:val="00301C58"/>
    <w:rsid w:val="003066DA"/>
    <w:rsid w:val="00314282"/>
    <w:rsid w:val="00315B81"/>
    <w:rsid w:val="003236AC"/>
    <w:rsid w:val="003257E0"/>
    <w:rsid w:val="00325E7C"/>
    <w:rsid w:val="0032617E"/>
    <w:rsid w:val="0033118E"/>
    <w:rsid w:val="00333100"/>
    <w:rsid w:val="003438F1"/>
    <w:rsid w:val="00344826"/>
    <w:rsid w:val="0035242C"/>
    <w:rsid w:val="003544D8"/>
    <w:rsid w:val="00372FC2"/>
    <w:rsid w:val="00373708"/>
    <w:rsid w:val="00375F4E"/>
    <w:rsid w:val="003833C7"/>
    <w:rsid w:val="003934B8"/>
    <w:rsid w:val="00397166"/>
    <w:rsid w:val="003A05D1"/>
    <w:rsid w:val="003A1AA3"/>
    <w:rsid w:val="003B3694"/>
    <w:rsid w:val="003B3DA6"/>
    <w:rsid w:val="003B42E2"/>
    <w:rsid w:val="003B634A"/>
    <w:rsid w:val="003C26F6"/>
    <w:rsid w:val="003C3246"/>
    <w:rsid w:val="003C3BD7"/>
    <w:rsid w:val="003C4414"/>
    <w:rsid w:val="003C60E5"/>
    <w:rsid w:val="003C6A33"/>
    <w:rsid w:val="003D13D5"/>
    <w:rsid w:val="003D3724"/>
    <w:rsid w:val="003D6FF7"/>
    <w:rsid w:val="003F4C78"/>
    <w:rsid w:val="003F54DC"/>
    <w:rsid w:val="00402BCC"/>
    <w:rsid w:val="00410A31"/>
    <w:rsid w:val="00421C0C"/>
    <w:rsid w:val="004243A3"/>
    <w:rsid w:val="004301CD"/>
    <w:rsid w:val="00430523"/>
    <w:rsid w:val="0043115F"/>
    <w:rsid w:val="0043129D"/>
    <w:rsid w:val="00431FE1"/>
    <w:rsid w:val="00432879"/>
    <w:rsid w:val="00436661"/>
    <w:rsid w:val="004366B2"/>
    <w:rsid w:val="004404EC"/>
    <w:rsid w:val="004421A5"/>
    <w:rsid w:val="00443E3E"/>
    <w:rsid w:val="0045028A"/>
    <w:rsid w:val="004670F1"/>
    <w:rsid w:val="00472C70"/>
    <w:rsid w:val="004740D1"/>
    <w:rsid w:val="004742F5"/>
    <w:rsid w:val="00476D55"/>
    <w:rsid w:val="0048552F"/>
    <w:rsid w:val="004901EC"/>
    <w:rsid w:val="00495C61"/>
    <w:rsid w:val="00497DFD"/>
    <w:rsid w:val="004A26EB"/>
    <w:rsid w:val="004A43C9"/>
    <w:rsid w:val="004B021F"/>
    <w:rsid w:val="004B0E34"/>
    <w:rsid w:val="004B5856"/>
    <w:rsid w:val="004C64D7"/>
    <w:rsid w:val="004D11A4"/>
    <w:rsid w:val="004D3E6C"/>
    <w:rsid w:val="004D566E"/>
    <w:rsid w:val="004E40CD"/>
    <w:rsid w:val="004F1827"/>
    <w:rsid w:val="004F5A36"/>
    <w:rsid w:val="004F5B8A"/>
    <w:rsid w:val="005014AA"/>
    <w:rsid w:val="005032A9"/>
    <w:rsid w:val="005034EB"/>
    <w:rsid w:val="00504D99"/>
    <w:rsid w:val="00507277"/>
    <w:rsid w:val="00510CB9"/>
    <w:rsid w:val="0051107C"/>
    <w:rsid w:val="00511090"/>
    <w:rsid w:val="0051773B"/>
    <w:rsid w:val="00524586"/>
    <w:rsid w:val="005341FD"/>
    <w:rsid w:val="00542659"/>
    <w:rsid w:val="00546153"/>
    <w:rsid w:val="0054786E"/>
    <w:rsid w:val="00557405"/>
    <w:rsid w:val="0057053C"/>
    <w:rsid w:val="00572FF8"/>
    <w:rsid w:val="005733F5"/>
    <w:rsid w:val="00574241"/>
    <w:rsid w:val="00574C4E"/>
    <w:rsid w:val="00577156"/>
    <w:rsid w:val="005811B6"/>
    <w:rsid w:val="00582785"/>
    <w:rsid w:val="00583823"/>
    <w:rsid w:val="00584426"/>
    <w:rsid w:val="00585819"/>
    <w:rsid w:val="0058679D"/>
    <w:rsid w:val="0059245D"/>
    <w:rsid w:val="00592FFE"/>
    <w:rsid w:val="0059439B"/>
    <w:rsid w:val="00596A4C"/>
    <w:rsid w:val="00597291"/>
    <w:rsid w:val="005A07BC"/>
    <w:rsid w:val="005A4C56"/>
    <w:rsid w:val="005A5BB4"/>
    <w:rsid w:val="005B20DB"/>
    <w:rsid w:val="005B3094"/>
    <w:rsid w:val="005B6098"/>
    <w:rsid w:val="005B6E49"/>
    <w:rsid w:val="005B7627"/>
    <w:rsid w:val="005B77B9"/>
    <w:rsid w:val="005B7994"/>
    <w:rsid w:val="005D199E"/>
    <w:rsid w:val="005D2A14"/>
    <w:rsid w:val="005E3193"/>
    <w:rsid w:val="005E6F0E"/>
    <w:rsid w:val="00600E2D"/>
    <w:rsid w:val="00604DB9"/>
    <w:rsid w:val="00613C27"/>
    <w:rsid w:val="00623996"/>
    <w:rsid w:val="006330B2"/>
    <w:rsid w:val="00643622"/>
    <w:rsid w:val="00655C1D"/>
    <w:rsid w:val="0065650E"/>
    <w:rsid w:val="00660510"/>
    <w:rsid w:val="006635BF"/>
    <w:rsid w:val="0066420E"/>
    <w:rsid w:val="006644B0"/>
    <w:rsid w:val="00666226"/>
    <w:rsid w:val="00672EE7"/>
    <w:rsid w:val="006842B7"/>
    <w:rsid w:val="00685424"/>
    <w:rsid w:val="00686010"/>
    <w:rsid w:val="00686E2F"/>
    <w:rsid w:val="006906DD"/>
    <w:rsid w:val="006A0EBA"/>
    <w:rsid w:val="006A179D"/>
    <w:rsid w:val="006A4080"/>
    <w:rsid w:val="006A5890"/>
    <w:rsid w:val="006B2284"/>
    <w:rsid w:val="006B2502"/>
    <w:rsid w:val="006B49F1"/>
    <w:rsid w:val="006C607E"/>
    <w:rsid w:val="006C6AD6"/>
    <w:rsid w:val="006D00D0"/>
    <w:rsid w:val="006D18DD"/>
    <w:rsid w:val="006D4D6A"/>
    <w:rsid w:val="006D67EB"/>
    <w:rsid w:val="006E178A"/>
    <w:rsid w:val="006F1778"/>
    <w:rsid w:val="006F2FBF"/>
    <w:rsid w:val="007030D9"/>
    <w:rsid w:val="0070770D"/>
    <w:rsid w:val="00710DF7"/>
    <w:rsid w:val="00714725"/>
    <w:rsid w:val="00723E35"/>
    <w:rsid w:val="00726E6B"/>
    <w:rsid w:val="007435A7"/>
    <w:rsid w:val="00747A2C"/>
    <w:rsid w:val="0075035D"/>
    <w:rsid w:val="007544D3"/>
    <w:rsid w:val="0075481B"/>
    <w:rsid w:val="00777E10"/>
    <w:rsid w:val="00794742"/>
    <w:rsid w:val="007A4CA3"/>
    <w:rsid w:val="007B45A5"/>
    <w:rsid w:val="007B4EB7"/>
    <w:rsid w:val="007C0D96"/>
    <w:rsid w:val="007C1498"/>
    <w:rsid w:val="007D4752"/>
    <w:rsid w:val="007D578E"/>
    <w:rsid w:val="007F5A7E"/>
    <w:rsid w:val="007F695D"/>
    <w:rsid w:val="00800DDF"/>
    <w:rsid w:val="0080167D"/>
    <w:rsid w:val="00806895"/>
    <w:rsid w:val="00823AEB"/>
    <w:rsid w:val="00827FEF"/>
    <w:rsid w:val="00836743"/>
    <w:rsid w:val="00837166"/>
    <w:rsid w:val="00843BCE"/>
    <w:rsid w:val="00846E28"/>
    <w:rsid w:val="0085003A"/>
    <w:rsid w:val="00852020"/>
    <w:rsid w:val="008524BF"/>
    <w:rsid w:val="0085556B"/>
    <w:rsid w:val="00855671"/>
    <w:rsid w:val="00857F16"/>
    <w:rsid w:val="008642E3"/>
    <w:rsid w:val="0087159F"/>
    <w:rsid w:val="00875877"/>
    <w:rsid w:val="00877EEC"/>
    <w:rsid w:val="00880CD4"/>
    <w:rsid w:val="00887796"/>
    <w:rsid w:val="008935AE"/>
    <w:rsid w:val="008A35D5"/>
    <w:rsid w:val="008A384A"/>
    <w:rsid w:val="008A58CC"/>
    <w:rsid w:val="008A5CD3"/>
    <w:rsid w:val="008B1225"/>
    <w:rsid w:val="008C5AC9"/>
    <w:rsid w:val="008C7FDD"/>
    <w:rsid w:val="008D07AA"/>
    <w:rsid w:val="008E42C8"/>
    <w:rsid w:val="008F2F84"/>
    <w:rsid w:val="008F7097"/>
    <w:rsid w:val="00904EBC"/>
    <w:rsid w:val="00911E49"/>
    <w:rsid w:val="00913015"/>
    <w:rsid w:val="0091796E"/>
    <w:rsid w:val="00922CC9"/>
    <w:rsid w:val="009253E9"/>
    <w:rsid w:val="0092619A"/>
    <w:rsid w:val="00927457"/>
    <w:rsid w:val="00933EBA"/>
    <w:rsid w:val="009354CA"/>
    <w:rsid w:val="00936F7C"/>
    <w:rsid w:val="00944317"/>
    <w:rsid w:val="00950382"/>
    <w:rsid w:val="009510E4"/>
    <w:rsid w:val="00953C1A"/>
    <w:rsid w:val="00955923"/>
    <w:rsid w:val="00956CE2"/>
    <w:rsid w:val="00956E23"/>
    <w:rsid w:val="0096783D"/>
    <w:rsid w:val="009716A5"/>
    <w:rsid w:val="0097426E"/>
    <w:rsid w:val="009762DB"/>
    <w:rsid w:val="00982A94"/>
    <w:rsid w:val="009833F9"/>
    <w:rsid w:val="00990D04"/>
    <w:rsid w:val="00993F4A"/>
    <w:rsid w:val="009979C3"/>
    <w:rsid w:val="009A6285"/>
    <w:rsid w:val="009B3A6F"/>
    <w:rsid w:val="009B4897"/>
    <w:rsid w:val="009C216F"/>
    <w:rsid w:val="009C3785"/>
    <w:rsid w:val="009C37EF"/>
    <w:rsid w:val="009C61DF"/>
    <w:rsid w:val="009C73FA"/>
    <w:rsid w:val="009D5C13"/>
    <w:rsid w:val="009E060D"/>
    <w:rsid w:val="009E2C01"/>
    <w:rsid w:val="009E51F1"/>
    <w:rsid w:val="009E7891"/>
    <w:rsid w:val="009F66BE"/>
    <w:rsid w:val="009F72D4"/>
    <w:rsid w:val="00A03164"/>
    <w:rsid w:val="00A0412A"/>
    <w:rsid w:val="00A11CA4"/>
    <w:rsid w:val="00A13427"/>
    <w:rsid w:val="00A1347A"/>
    <w:rsid w:val="00A163E5"/>
    <w:rsid w:val="00A1682F"/>
    <w:rsid w:val="00A24EBC"/>
    <w:rsid w:val="00A25042"/>
    <w:rsid w:val="00A25A49"/>
    <w:rsid w:val="00A412B0"/>
    <w:rsid w:val="00A4230D"/>
    <w:rsid w:val="00A46E39"/>
    <w:rsid w:val="00A52463"/>
    <w:rsid w:val="00A61FF5"/>
    <w:rsid w:val="00A671CE"/>
    <w:rsid w:val="00A7641A"/>
    <w:rsid w:val="00A80C34"/>
    <w:rsid w:val="00A93EFA"/>
    <w:rsid w:val="00A95FF4"/>
    <w:rsid w:val="00AA2C63"/>
    <w:rsid w:val="00AA4BDB"/>
    <w:rsid w:val="00AA6B79"/>
    <w:rsid w:val="00AA7A22"/>
    <w:rsid w:val="00AB22F6"/>
    <w:rsid w:val="00AB4524"/>
    <w:rsid w:val="00AB46A6"/>
    <w:rsid w:val="00AB62CC"/>
    <w:rsid w:val="00AC1336"/>
    <w:rsid w:val="00AE04BA"/>
    <w:rsid w:val="00AE37EA"/>
    <w:rsid w:val="00AE6AC9"/>
    <w:rsid w:val="00AF64D2"/>
    <w:rsid w:val="00B02809"/>
    <w:rsid w:val="00B03840"/>
    <w:rsid w:val="00B07551"/>
    <w:rsid w:val="00B109FB"/>
    <w:rsid w:val="00B12667"/>
    <w:rsid w:val="00B153FC"/>
    <w:rsid w:val="00B16E2F"/>
    <w:rsid w:val="00B22F5A"/>
    <w:rsid w:val="00B258C7"/>
    <w:rsid w:val="00B35683"/>
    <w:rsid w:val="00B40C2F"/>
    <w:rsid w:val="00B45959"/>
    <w:rsid w:val="00B52A66"/>
    <w:rsid w:val="00B5543B"/>
    <w:rsid w:val="00B67EE7"/>
    <w:rsid w:val="00B73A47"/>
    <w:rsid w:val="00B75C9E"/>
    <w:rsid w:val="00B86A53"/>
    <w:rsid w:val="00B9197F"/>
    <w:rsid w:val="00B92B9C"/>
    <w:rsid w:val="00B92FCF"/>
    <w:rsid w:val="00B962A3"/>
    <w:rsid w:val="00BA27C8"/>
    <w:rsid w:val="00BA7D11"/>
    <w:rsid w:val="00BB1505"/>
    <w:rsid w:val="00BC1AF4"/>
    <w:rsid w:val="00BC3B02"/>
    <w:rsid w:val="00BC43E9"/>
    <w:rsid w:val="00BD5407"/>
    <w:rsid w:val="00BE78BF"/>
    <w:rsid w:val="00BF080E"/>
    <w:rsid w:val="00C02DD7"/>
    <w:rsid w:val="00C02F85"/>
    <w:rsid w:val="00C0310B"/>
    <w:rsid w:val="00C0405B"/>
    <w:rsid w:val="00C053AA"/>
    <w:rsid w:val="00C064B3"/>
    <w:rsid w:val="00C10BC9"/>
    <w:rsid w:val="00C127FF"/>
    <w:rsid w:val="00C21201"/>
    <w:rsid w:val="00C21F25"/>
    <w:rsid w:val="00C22C84"/>
    <w:rsid w:val="00C2385D"/>
    <w:rsid w:val="00C24F19"/>
    <w:rsid w:val="00C313B8"/>
    <w:rsid w:val="00C37CF1"/>
    <w:rsid w:val="00C43E51"/>
    <w:rsid w:val="00C4653D"/>
    <w:rsid w:val="00C5204E"/>
    <w:rsid w:val="00C62DDD"/>
    <w:rsid w:val="00C713F5"/>
    <w:rsid w:val="00C75809"/>
    <w:rsid w:val="00C765AF"/>
    <w:rsid w:val="00C76BE3"/>
    <w:rsid w:val="00C90353"/>
    <w:rsid w:val="00C90857"/>
    <w:rsid w:val="00CA1AA6"/>
    <w:rsid w:val="00CA6D30"/>
    <w:rsid w:val="00CA76BE"/>
    <w:rsid w:val="00CB091D"/>
    <w:rsid w:val="00CB52E1"/>
    <w:rsid w:val="00CB6FE6"/>
    <w:rsid w:val="00CD0965"/>
    <w:rsid w:val="00CD7989"/>
    <w:rsid w:val="00CE0BBE"/>
    <w:rsid w:val="00CF146D"/>
    <w:rsid w:val="00CF1EFC"/>
    <w:rsid w:val="00CF3944"/>
    <w:rsid w:val="00CF482A"/>
    <w:rsid w:val="00CF5018"/>
    <w:rsid w:val="00D05E78"/>
    <w:rsid w:val="00D12297"/>
    <w:rsid w:val="00D2084A"/>
    <w:rsid w:val="00D22257"/>
    <w:rsid w:val="00D26388"/>
    <w:rsid w:val="00D324BF"/>
    <w:rsid w:val="00D338EE"/>
    <w:rsid w:val="00D542C7"/>
    <w:rsid w:val="00D55575"/>
    <w:rsid w:val="00D55CD3"/>
    <w:rsid w:val="00D60B87"/>
    <w:rsid w:val="00D645CA"/>
    <w:rsid w:val="00D74534"/>
    <w:rsid w:val="00D77B87"/>
    <w:rsid w:val="00D81819"/>
    <w:rsid w:val="00D9357C"/>
    <w:rsid w:val="00D971EC"/>
    <w:rsid w:val="00DA0066"/>
    <w:rsid w:val="00DA5365"/>
    <w:rsid w:val="00DA7153"/>
    <w:rsid w:val="00DA7AA0"/>
    <w:rsid w:val="00DB17F0"/>
    <w:rsid w:val="00DB3C66"/>
    <w:rsid w:val="00DB40B9"/>
    <w:rsid w:val="00DB55EE"/>
    <w:rsid w:val="00DB5A92"/>
    <w:rsid w:val="00DD63A0"/>
    <w:rsid w:val="00DD69F3"/>
    <w:rsid w:val="00DE1555"/>
    <w:rsid w:val="00DE4DDF"/>
    <w:rsid w:val="00E03957"/>
    <w:rsid w:val="00E0705A"/>
    <w:rsid w:val="00E2420E"/>
    <w:rsid w:val="00E24D66"/>
    <w:rsid w:val="00E26556"/>
    <w:rsid w:val="00E2675D"/>
    <w:rsid w:val="00E35ACD"/>
    <w:rsid w:val="00E37C44"/>
    <w:rsid w:val="00E40DD6"/>
    <w:rsid w:val="00E435DA"/>
    <w:rsid w:val="00E4448C"/>
    <w:rsid w:val="00E57B45"/>
    <w:rsid w:val="00E6006C"/>
    <w:rsid w:val="00E62228"/>
    <w:rsid w:val="00E64828"/>
    <w:rsid w:val="00E7043F"/>
    <w:rsid w:val="00E776E8"/>
    <w:rsid w:val="00E8046C"/>
    <w:rsid w:val="00E8469F"/>
    <w:rsid w:val="00E906B7"/>
    <w:rsid w:val="00E9266C"/>
    <w:rsid w:val="00E94181"/>
    <w:rsid w:val="00EA5244"/>
    <w:rsid w:val="00EB089D"/>
    <w:rsid w:val="00EC331A"/>
    <w:rsid w:val="00ED08B6"/>
    <w:rsid w:val="00ED7B34"/>
    <w:rsid w:val="00EF0BC5"/>
    <w:rsid w:val="00EF4809"/>
    <w:rsid w:val="00EF4882"/>
    <w:rsid w:val="00F00FB4"/>
    <w:rsid w:val="00F06153"/>
    <w:rsid w:val="00F14FC5"/>
    <w:rsid w:val="00F16E85"/>
    <w:rsid w:val="00F21818"/>
    <w:rsid w:val="00F2655F"/>
    <w:rsid w:val="00F270CA"/>
    <w:rsid w:val="00F307CE"/>
    <w:rsid w:val="00F37CFD"/>
    <w:rsid w:val="00F43B9A"/>
    <w:rsid w:val="00F549C2"/>
    <w:rsid w:val="00F55F8F"/>
    <w:rsid w:val="00F657B4"/>
    <w:rsid w:val="00F657E1"/>
    <w:rsid w:val="00F66440"/>
    <w:rsid w:val="00F71499"/>
    <w:rsid w:val="00F72963"/>
    <w:rsid w:val="00F76B5F"/>
    <w:rsid w:val="00F92F47"/>
    <w:rsid w:val="00F94C1C"/>
    <w:rsid w:val="00FA3A74"/>
    <w:rsid w:val="00FB0F7C"/>
    <w:rsid w:val="00FB1410"/>
    <w:rsid w:val="00FB2638"/>
    <w:rsid w:val="00FB7904"/>
    <w:rsid w:val="00FC014A"/>
    <w:rsid w:val="00FC4FDD"/>
    <w:rsid w:val="00FC6068"/>
    <w:rsid w:val="00FC6CA7"/>
    <w:rsid w:val="00FD2CB8"/>
    <w:rsid w:val="00FD7910"/>
    <w:rsid w:val="00FE1D3B"/>
    <w:rsid w:val="00FE551B"/>
    <w:rsid w:val="00FF1BB4"/>
    <w:rsid w:val="00FF5DD5"/>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ED6C"/>
  <w15:chartTrackingRefBased/>
  <w15:docId w15:val="{5B7054E5-896D-4FD4-B67F-D4DAA1BC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2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4284"/>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4284"/>
    <w:rPr>
      <w:rFonts w:ascii="Times New Roman" w:eastAsia="Times New Roman" w:hAnsi="Times New Roman" w:cs="Times New Roman"/>
      <w:b/>
      <w:sz w:val="24"/>
      <w:szCs w:val="24"/>
    </w:rPr>
  </w:style>
  <w:style w:type="paragraph" w:styleId="Header">
    <w:name w:val="header"/>
    <w:basedOn w:val="Normal"/>
    <w:link w:val="HeaderChar"/>
    <w:rsid w:val="00214284"/>
    <w:pPr>
      <w:tabs>
        <w:tab w:val="center" w:pos="4320"/>
        <w:tab w:val="right" w:pos="8640"/>
      </w:tabs>
    </w:pPr>
  </w:style>
  <w:style w:type="character" w:customStyle="1" w:styleId="HeaderChar">
    <w:name w:val="Header Char"/>
    <w:basedOn w:val="DefaultParagraphFont"/>
    <w:link w:val="Header"/>
    <w:rsid w:val="00214284"/>
    <w:rPr>
      <w:rFonts w:ascii="Times New Roman" w:eastAsia="Times New Roman" w:hAnsi="Times New Roman" w:cs="Times New Roman"/>
      <w:sz w:val="24"/>
      <w:szCs w:val="24"/>
    </w:rPr>
  </w:style>
  <w:style w:type="paragraph" w:styleId="Footer">
    <w:name w:val="footer"/>
    <w:basedOn w:val="Normal"/>
    <w:link w:val="FooterChar"/>
    <w:uiPriority w:val="99"/>
    <w:rsid w:val="00214284"/>
    <w:pPr>
      <w:tabs>
        <w:tab w:val="center" w:pos="4320"/>
        <w:tab w:val="right" w:pos="8640"/>
      </w:tabs>
    </w:pPr>
  </w:style>
  <w:style w:type="character" w:customStyle="1" w:styleId="FooterChar">
    <w:name w:val="Footer Char"/>
    <w:basedOn w:val="DefaultParagraphFont"/>
    <w:link w:val="Footer"/>
    <w:uiPriority w:val="99"/>
    <w:rsid w:val="00214284"/>
    <w:rPr>
      <w:rFonts w:ascii="Times New Roman" w:eastAsia="Times New Roman" w:hAnsi="Times New Roman" w:cs="Times New Roman"/>
      <w:sz w:val="24"/>
      <w:szCs w:val="24"/>
    </w:rPr>
  </w:style>
  <w:style w:type="character" w:styleId="PageNumber">
    <w:name w:val="page number"/>
    <w:basedOn w:val="DefaultParagraphFont"/>
    <w:rsid w:val="00214284"/>
  </w:style>
  <w:style w:type="paragraph" w:styleId="FootnoteText">
    <w:name w:val="footnote text"/>
    <w:basedOn w:val="Normal"/>
    <w:link w:val="FootnoteTextChar"/>
    <w:uiPriority w:val="99"/>
    <w:rsid w:val="00214284"/>
    <w:rPr>
      <w:sz w:val="20"/>
      <w:szCs w:val="20"/>
    </w:rPr>
  </w:style>
  <w:style w:type="character" w:customStyle="1" w:styleId="FootnoteTextChar">
    <w:name w:val="Footnote Text Char"/>
    <w:basedOn w:val="DefaultParagraphFont"/>
    <w:link w:val="FootnoteText"/>
    <w:uiPriority w:val="99"/>
    <w:rsid w:val="0021428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14284"/>
    <w:rPr>
      <w:vertAlign w:val="superscript"/>
    </w:rPr>
  </w:style>
  <w:style w:type="paragraph" w:styleId="Caption">
    <w:name w:val="caption"/>
    <w:basedOn w:val="Normal"/>
    <w:next w:val="Normal"/>
    <w:uiPriority w:val="35"/>
    <w:unhideWhenUsed/>
    <w:qFormat/>
    <w:rsid w:val="00D77B87"/>
    <w:pPr>
      <w:widowControl w:val="0"/>
      <w:autoSpaceDE w:val="0"/>
      <w:autoSpaceDN w:val="0"/>
      <w:adjustRightInd w:val="0"/>
      <w:spacing w:after="200"/>
    </w:pPr>
    <w:rPr>
      <w:rFonts w:ascii="Courier" w:hAnsi="Courier"/>
      <w:i/>
      <w:iCs/>
      <w:color w:val="44546A" w:themeColor="text2"/>
      <w:sz w:val="18"/>
      <w:szCs w:val="18"/>
    </w:rPr>
  </w:style>
  <w:style w:type="character" w:styleId="CommentReference">
    <w:name w:val="annotation reference"/>
    <w:basedOn w:val="DefaultParagraphFont"/>
    <w:uiPriority w:val="99"/>
    <w:semiHidden/>
    <w:unhideWhenUsed/>
    <w:rsid w:val="000D144A"/>
    <w:rPr>
      <w:sz w:val="16"/>
      <w:szCs w:val="16"/>
    </w:rPr>
  </w:style>
  <w:style w:type="paragraph" w:styleId="CommentText">
    <w:name w:val="annotation text"/>
    <w:basedOn w:val="Normal"/>
    <w:link w:val="CommentTextChar"/>
    <w:uiPriority w:val="99"/>
    <w:semiHidden/>
    <w:unhideWhenUsed/>
    <w:rsid w:val="000D144A"/>
    <w:rPr>
      <w:sz w:val="20"/>
      <w:szCs w:val="20"/>
    </w:rPr>
  </w:style>
  <w:style w:type="character" w:customStyle="1" w:styleId="CommentTextChar">
    <w:name w:val="Comment Text Char"/>
    <w:basedOn w:val="DefaultParagraphFont"/>
    <w:link w:val="CommentText"/>
    <w:uiPriority w:val="99"/>
    <w:semiHidden/>
    <w:rsid w:val="000D14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44A"/>
    <w:rPr>
      <w:b/>
      <w:bCs/>
    </w:rPr>
  </w:style>
  <w:style w:type="character" w:customStyle="1" w:styleId="CommentSubjectChar">
    <w:name w:val="Comment Subject Char"/>
    <w:basedOn w:val="CommentTextChar"/>
    <w:link w:val="CommentSubject"/>
    <w:uiPriority w:val="99"/>
    <w:semiHidden/>
    <w:rsid w:val="000D14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1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44A"/>
    <w:rPr>
      <w:rFonts w:ascii="Segoe UI" w:eastAsia="Times New Roman" w:hAnsi="Segoe UI" w:cs="Segoe UI"/>
      <w:sz w:val="18"/>
      <w:szCs w:val="18"/>
    </w:rPr>
  </w:style>
  <w:style w:type="paragraph" w:styleId="ListParagraph">
    <w:name w:val="List Paragraph"/>
    <w:basedOn w:val="Normal"/>
    <w:uiPriority w:val="34"/>
    <w:qFormat/>
    <w:rsid w:val="00DB17F0"/>
    <w:pPr>
      <w:ind w:left="720"/>
      <w:contextualSpacing/>
    </w:pPr>
  </w:style>
  <w:style w:type="table" w:styleId="TableGrid">
    <w:name w:val="Table Grid"/>
    <w:basedOn w:val="TableNormal"/>
    <w:uiPriority w:val="39"/>
    <w:rsid w:val="00DB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2016-11-30T08:00:00+00:00</OpenedDate>
    <Date1 xmlns="dc463f71-b30c-4ab2-9473-d307f9d35888">2017-03-16T07:00:00+00:00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161253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81AE1401FA4E4FBC5F5EFBF8788DA6" ma:contentTypeVersion="104" ma:contentTypeDescription="" ma:contentTypeScope="" ma:versionID="b0380cf0b5ebc53d14855c9d6ca6dd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BF1FB0-6430-44C5-BF6C-F6E5A1832A50}">
  <ds:schemaRefs>
    <ds:schemaRef ds:uri="http://www.w3.org/XML/1998/namespace"/>
    <ds:schemaRef ds:uri="http://purl.org/dc/dcmitype/"/>
    <ds:schemaRef ds:uri="http://purl.org/dc/terms/"/>
    <ds:schemaRef ds:uri="http://purl.org/dc/elements/1.1/"/>
    <ds:schemaRef ds:uri="http://schemas.openxmlformats.org/package/2006/metadata/core-properties"/>
    <ds:schemaRef ds:uri="27BE91C7-76E9-44B3-83C4-40E19F1B552B"/>
    <ds:schemaRef ds:uri="http://schemas.microsoft.com/office/2006/documentManagement/types"/>
    <ds:schemaRef ds:uri="http://schemas.microsoft.com/office/infopath/2007/PartnerControls"/>
    <ds:schemaRef ds:uri="751276d0-61bc-4dad-b75c-21dfd12630ad"/>
    <ds:schemaRef ds:uri="http://schemas.microsoft.com/office/2006/metadata/properties"/>
  </ds:schemaRefs>
</ds:datastoreItem>
</file>

<file path=customXml/itemProps2.xml><?xml version="1.0" encoding="utf-8"?>
<ds:datastoreItem xmlns:ds="http://schemas.openxmlformats.org/officeDocument/2006/customXml" ds:itemID="{59CAA0F1-AC65-4B0C-8842-6E7CA40132C9}">
  <ds:schemaRefs>
    <ds:schemaRef ds:uri="http://schemas.microsoft.com/sharepoint/v3/contenttype/forms"/>
  </ds:schemaRefs>
</ds:datastoreItem>
</file>

<file path=customXml/itemProps3.xml><?xml version="1.0" encoding="utf-8"?>
<ds:datastoreItem xmlns:ds="http://schemas.openxmlformats.org/officeDocument/2006/customXml" ds:itemID="{558D46A0-6212-49DE-9245-812F9F8DFE37}"/>
</file>

<file path=customXml/itemProps4.xml><?xml version="1.0" encoding="utf-8"?>
<ds:datastoreItem xmlns:ds="http://schemas.openxmlformats.org/officeDocument/2006/customXml" ds:itemID="{FED7FEA8-449A-483E-818F-06B283F1016F}">
  <ds:schemaRefs>
    <ds:schemaRef ds:uri="http://schemas.openxmlformats.org/officeDocument/2006/bibliography"/>
  </ds:schemaRefs>
</ds:datastoreItem>
</file>

<file path=customXml/itemProps5.xml><?xml version="1.0" encoding="utf-8"?>
<ds:datastoreItem xmlns:ds="http://schemas.openxmlformats.org/officeDocument/2006/customXml" ds:itemID="{B2F3A0F0-53FD-4C7C-B8F7-EB00529F48F6}"/>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UG-161253 Memo - Cascade Natural Gas 2017 Annual Conservation Plan </vt:lpstr>
    </vt:vector>
  </TitlesOfParts>
  <Company>Washington Utilities and Transportation Commission</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UG-161253 Memo - Cascade Natural Gas 2017 Annual Conservation Plan</dc:title>
  <dc:subject/>
  <dc:creator>Scanlan, Kathi (UTC)</dc:creator>
  <cp:keywords/>
  <dc:description/>
  <cp:lastModifiedBy>Wyse, Lisa (UTC)</cp:lastModifiedBy>
  <cp:revision>2</cp:revision>
  <cp:lastPrinted>2017-03-06T16:15:00Z</cp:lastPrinted>
  <dcterms:created xsi:type="dcterms:W3CDTF">2017-03-13T23:52:00Z</dcterms:created>
  <dcterms:modified xsi:type="dcterms:W3CDTF">2017-03-13T23:52:00Z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0x0101006E56B4D1795A2E4DB2F0B01679ED314A00AF81AE1401FA4E4FBC5F5EFBF8788DA6</vt:lpwstr>
  </property>
  <property fmtid="{D5CDD505-2E9C-101B-9397-08002B2CF9AE}" pid="3" name="_docset_NoMedatataSyncRequired">
    <vt:lpwstr>False</vt:lpwstr>
  </property>
  <property fmtid="{D5CDD505-2E9C-101B-9397-08002B2CF9AE}" pid="4" name="IsEFSEC">
    <vt:bool>false</vt:bool>
  </property>
</Properties>
</file>