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59110" w14:textId="77777777" w:rsidR="001A19C7" w:rsidRDefault="00B340ED" w:rsidP="00752C1E">
      <w:pPr>
        <w:widowControl w:val="0"/>
        <w:spacing w:before="240" w:after="480"/>
        <w:jc w:val="center"/>
        <w:rPr>
          <w:rFonts w:ascii="Times New Roman" w:hAnsi="Times New Roman"/>
          <w:b/>
          <w:szCs w:val="24"/>
        </w:rPr>
      </w:pPr>
      <w:r>
        <w:rPr>
          <w:rFonts w:ascii="Times New Roman" w:hAnsi="Times New Roman"/>
          <w:b/>
          <w:szCs w:val="24"/>
        </w:rPr>
        <w:t>BEFORE THE WASHINGTON</w:t>
      </w:r>
      <w:r>
        <w:rPr>
          <w:rFonts w:ascii="Times New Roman" w:hAnsi="Times New Roman"/>
          <w:b/>
          <w:szCs w:val="24"/>
        </w:rPr>
        <w:br/>
        <w:t>UTILITIES AND TRANSPORTATION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770"/>
      </w:tblGrid>
      <w:tr w:rsidR="001A19C7" w14:paraId="06C918B6" w14:textId="77777777" w:rsidTr="00BF6103">
        <w:tc>
          <w:tcPr>
            <w:tcW w:w="4698" w:type="dxa"/>
            <w:tcBorders>
              <w:top w:val="nil"/>
              <w:left w:val="nil"/>
              <w:bottom w:val="single" w:sz="4" w:space="0" w:color="auto"/>
              <w:right w:val="single" w:sz="4" w:space="0" w:color="auto"/>
            </w:tcBorders>
          </w:tcPr>
          <w:p w14:paraId="06BAE22A" w14:textId="77777777" w:rsidR="00A60D70" w:rsidRDefault="00A60D70" w:rsidP="006E2EE9">
            <w:pPr>
              <w:widowControl w:val="0"/>
              <w:spacing w:before="240" w:after="240"/>
              <w:ind w:right="-108"/>
              <w:rPr>
                <w:rFonts w:ascii="Times New Roman" w:hAnsi="Times New Roman"/>
                <w:szCs w:val="24"/>
              </w:rPr>
            </w:pPr>
            <w:r>
              <w:rPr>
                <w:rFonts w:ascii="Times New Roman" w:hAnsi="Times New Roman"/>
                <w:szCs w:val="24"/>
              </w:rPr>
              <w:t>In the Matter of</w:t>
            </w:r>
          </w:p>
          <w:p w14:paraId="4A832672" w14:textId="77777777" w:rsidR="00A60D70" w:rsidRDefault="006E2EE9" w:rsidP="006E2EE9">
            <w:pPr>
              <w:widowControl w:val="0"/>
              <w:spacing w:before="240" w:after="240"/>
              <w:ind w:right="-108"/>
              <w:rPr>
                <w:rFonts w:ascii="Times New Roman" w:hAnsi="Times New Roman"/>
                <w:szCs w:val="24"/>
              </w:rPr>
            </w:pPr>
            <w:r>
              <w:rPr>
                <w:rFonts w:ascii="Times New Roman" w:hAnsi="Times New Roman"/>
                <w:szCs w:val="24"/>
              </w:rPr>
              <w:t>PUGET SOUND ENERGY</w:t>
            </w:r>
          </w:p>
          <w:p w14:paraId="2466BE4E" w14:textId="1FE6C6E9" w:rsidR="00740194" w:rsidRDefault="006E2EE9" w:rsidP="006E2EE9">
            <w:pPr>
              <w:widowControl w:val="0"/>
              <w:spacing w:before="240" w:after="240"/>
              <w:ind w:right="-108"/>
              <w:rPr>
                <w:rFonts w:ascii="Times New Roman" w:hAnsi="Times New Roman"/>
                <w:szCs w:val="24"/>
              </w:rPr>
            </w:pPr>
            <w:r w:rsidRPr="006E2EE9">
              <w:rPr>
                <w:rFonts w:ascii="Times New Roman" w:hAnsi="Times New Roman"/>
                <w:szCs w:val="24"/>
              </w:rPr>
              <w:t>Petition for Waiver from Certain</w:t>
            </w:r>
            <w:r>
              <w:rPr>
                <w:rFonts w:ascii="Times New Roman" w:hAnsi="Times New Roman"/>
                <w:szCs w:val="24"/>
              </w:rPr>
              <w:br/>
            </w:r>
            <w:r w:rsidRPr="006E2EE9">
              <w:rPr>
                <w:rFonts w:ascii="Times New Roman" w:hAnsi="Times New Roman"/>
                <w:szCs w:val="24"/>
              </w:rPr>
              <w:t>Req</w:t>
            </w:r>
            <w:r>
              <w:rPr>
                <w:rFonts w:ascii="Times New Roman" w:hAnsi="Times New Roman"/>
                <w:szCs w:val="24"/>
              </w:rPr>
              <w:t>uest for Proposals Requirements</w:t>
            </w:r>
          </w:p>
        </w:tc>
        <w:tc>
          <w:tcPr>
            <w:tcW w:w="4770" w:type="dxa"/>
            <w:tcBorders>
              <w:top w:val="nil"/>
              <w:left w:val="single" w:sz="4" w:space="0" w:color="auto"/>
              <w:bottom w:val="nil"/>
              <w:right w:val="nil"/>
            </w:tcBorders>
          </w:tcPr>
          <w:p w14:paraId="149F767A" w14:textId="4531CC64" w:rsidR="001A19C7" w:rsidRPr="006E2EE9" w:rsidRDefault="006E2EE9" w:rsidP="006E2EE9">
            <w:pPr>
              <w:widowControl w:val="0"/>
              <w:spacing w:before="240" w:after="240"/>
              <w:ind w:left="342"/>
              <w:rPr>
                <w:rFonts w:ascii="Times New Roman" w:hAnsi="Times New Roman"/>
                <w:szCs w:val="24"/>
              </w:rPr>
            </w:pPr>
            <w:r w:rsidRPr="006E2EE9">
              <w:rPr>
                <w:rFonts w:ascii="Times New Roman" w:hAnsi="Times New Roman"/>
                <w:szCs w:val="24"/>
              </w:rPr>
              <w:t>Docket No. </w:t>
            </w:r>
            <w:r w:rsidR="008342DE" w:rsidRPr="006E2EE9">
              <w:rPr>
                <w:rFonts w:ascii="Times New Roman" w:hAnsi="Times New Roman"/>
                <w:szCs w:val="24"/>
              </w:rPr>
              <w:t>UE-</w:t>
            </w:r>
            <w:r w:rsidRPr="006E2EE9">
              <w:rPr>
                <w:rFonts w:ascii="Times New Roman" w:hAnsi="Times New Roman"/>
                <w:szCs w:val="24"/>
              </w:rPr>
              <w:t>16</w:t>
            </w:r>
            <w:r w:rsidR="009164DF">
              <w:rPr>
                <w:rFonts w:ascii="Times New Roman" w:hAnsi="Times New Roman"/>
                <w:szCs w:val="24"/>
              </w:rPr>
              <w:t>0387</w:t>
            </w:r>
          </w:p>
          <w:p w14:paraId="4490EC61" w14:textId="60895FC5" w:rsidR="001A19C7" w:rsidRDefault="006E2EE9" w:rsidP="006E2EE9">
            <w:pPr>
              <w:widowControl w:val="0"/>
              <w:spacing w:before="240" w:after="240"/>
              <w:ind w:left="342"/>
              <w:rPr>
                <w:rFonts w:ascii="Times New Roman" w:hAnsi="Times New Roman"/>
                <w:szCs w:val="24"/>
              </w:rPr>
            </w:pPr>
            <w:r w:rsidRPr="006E2EE9">
              <w:rPr>
                <w:rFonts w:ascii="Times New Roman" w:hAnsi="Times New Roman"/>
                <w:szCs w:val="24"/>
              </w:rPr>
              <w:t>Puget Sound Energy’</w:t>
            </w:r>
            <w:r w:rsidR="008342DE" w:rsidRPr="006E2EE9">
              <w:rPr>
                <w:rFonts w:ascii="Times New Roman" w:hAnsi="Times New Roman"/>
                <w:szCs w:val="24"/>
              </w:rPr>
              <w:t>s</w:t>
            </w:r>
            <w:r w:rsidR="009164DF">
              <w:rPr>
                <w:rFonts w:ascii="Times New Roman" w:hAnsi="Times New Roman"/>
                <w:szCs w:val="24"/>
              </w:rPr>
              <w:t xml:space="preserve"> Amended</w:t>
            </w:r>
            <w:r w:rsidR="008342DE" w:rsidRPr="006E2EE9">
              <w:rPr>
                <w:rFonts w:ascii="Times New Roman" w:hAnsi="Times New Roman"/>
                <w:szCs w:val="24"/>
              </w:rPr>
              <w:t xml:space="preserve"> Petition for Waiver</w:t>
            </w:r>
            <w:r>
              <w:rPr>
                <w:rFonts w:ascii="Times New Roman" w:hAnsi="Times New Roman"/>
                <w:szCs w:val="24"/>
              </w:rPr>
              <w:t> </w:t>
            </w:r>
            <w:r w:rsidR="008342DE" w:rsidRPr="006E2EE9">
              <w:rPr>
                <w:rFonts w:ascii="Times New Roman" w:hAnsi="Times New Roman"/>
                <w:szCs w:val="24"/>
              </w:rPr>
              <w:t>of Certain Requirements Related to</w:t>
            </w:r>
            <w:r>
              <w:rPr>
                <w:rFonts w:ascii="Times New Roman" w:hAnsi="Times New Roman"/>
                <w:szCs w:val="24"/>
              </w:rPr>
              <w:t> </w:t>
            </w:r>
            <w:r w:rsidR="008342DE" w:rsidRPr="006E2EE9">
              <w:rPr>
                <w:rFonts w:ascii="Times New Roman" w:hAnsi="Times New Roman"/>
                <w:szCs w:val="24"/>
              </w:rPr>
              <w:t>Requests for Proposals Contained in WAC</w:t>
            </w:r>
            <w:r>
              <w:rPr>
                <w:rFonts w:ascii="Times New Roman" w:hAnsi="Times New Roman"/>
                <w:szCs w:val="24"/>
              </w:rPr>
              <w:t> </w:t>
            </w:r>
            <w:r w:rsidR="008342DE" w:rsidRPr="006E2EE9">
              <w:rPr>
                <w:rFonts w:ascii="Times New Roman" w:hAnsi="Times New Roman"/>
                <w:szCs w:val="24"/>
              </w:rPr>
              <w:t>480-107</w:t>
            </w:r>
          </w:p>
        </w:tc>
      </w:tr>
    </w:tbl>
    <w:p w14:paraId="6BC5BEEE" w14:textId="37CC75A3" w:rsidR="00FA41B7" w:rsidRDefault="00740194" w:rsidP="00ED531E">
      <w:pPr>
        <w:pStyle w:val="WAP1"/>
        <w:spacing w:before="480"/>
      </w:pPr>
      <w:r>
        <w:tab/>
      </w:r>
      <w:r w:rsidR="008342DE">
        <w:t>In accordance with</w:t>
      </w:r>
      <w:r w:rsidR="008342DE" w:rsidRPr="008342DE">
        <w:t xml:space="preserve"> WAC 480-107-002(3) and WAC 480-07-370(b), </w:t>
      </w:r>
      <w:r w:rsidR="006E2EE9">
        <w:t xml:space="preserve">Puget Sound Energy (“PSE”) </w:t>
      </w:r>
      <w:r w:rsidR="00C73EC8">
        <w:t xml:space="preserve">submits this amended </w:t>
      </w:r>
      <w:r w:rsidR="008342DE" w:rsidRPr="008342DE">
        <w:t xml:space="preserve">petition </w:t>
      </w:r>
      <w:r w:rsidR="00C73EC8">
        <w:t>to</w:t>
      </w:r>
      <w:r w:rsidR="008342DE" w:rsidRPr="008342DE">
        <w:t xml:space="preserve"> the Washington Utilities and Transportation Commission (</w:t>
      </w:r>
      <w:r w:rsidR="006E2EE9">
        <w:t>the “</w:t>
      </w:r>
      <w:r w:rsidR="008342DE" w:rsidRPr="008342DE">
        <w:t>Commission</w:t>
      </w:r>
      <w:r w:rsidR="006E2EE9">
        <w:t>”</w:t>
      </w:r>
      <w:r w:rsidR="008342DE" w:rsidRPr="008342DE">
        <w:t>) for a waiver of certain requirements related to requests for proposals (</w:t>
      </w:r>
      <w:r w:rsidR="006E2EE9">
        <w:t>“</w:t>
      </w:r>
      <w:r w:rsidR="008342DE" w:rsidRPr="008342DE">
        <w:t>RFP</w:t>
      </w:r>
      <w:r w:rsidR="006E2EE9">
        <w:t>”</w:t>
      </w:r>
      <w:r w:rsidR="008342DE" w:rsidRPr="008342DE">
        <w:t>) contained in WAC Chapter</w:t>
      </w:r>
      <w:r w:rsidR="006E2EE9">
        <w:t> </w:t>
      </w:r>
      <w:r w:rsidR="008342DE" w:rsidRPr="008342DE">
        <w:t>480-107.</w:t>
      </w:r>
    </w:p>
    <w:p w14:paraId="1C3A8EE0" w14:textId="77777777" w:rsidR="008342DE" w:rsidRDefault="00A60D70" w:rsidP="00ED531E">
      <w:pPr>
        <w:pStyle w:val="WAP1"/>
      </w:pPr>
      <w:r>
        <w:tab/>
      </w:r>
      <w:r w:rsidR="006E2EE9">
        <w:t xml:space="preserve">PSE </w:t>
      </w:r>
      <w:r w:rsidR="008342DE" w:rsidRPr="00D85DBB">
        <w:t>is an electric company and public service company in the State of Washington within the meaning of RCW</w:t>
      </w:r>
      <w:r w:rsidR="006E2EE9">
        <w:t> </w:t>
      </w:r>
      <w:r w:rsidR="008342DE" w:rsidRPr="00D85DBB">
        <w:t xml:space="preserve">80.04.010, and is subject to the Commission’s jurisdiction with respect to its prices and terms of electric service to retail customers in Washington. </w:t>
      </w:r>
      <w:r w:rsidR="006E2EE9">
        <w:t xml:space="preserve">PSE </w:t>
      </w:r>
      <w:r w:rsidR="008342DE" w:rsidRPr="00D85DBB">
        <w:t xml:space="preserve">provides electric service to approximately </w:t>
      </w:r>
      <w:r w:rsidR="006E2EE9">
        <w:t xml:space="preserve">1.1 million </w:t>
      </w:r>
      <w:r w:rsidR="008342DE" w:rsidRPr="00D85DBB">
        <w:t>retail customers in Washington.</w:t>
      </w:r>
    </w:p>
    <w:p w14:paraId="0D87D5C2" w14:textId="77777777" w:rsidR="007E1937" w:rsidRDefault="007E1937" w:rsidP="007E1937">
      <w:pPr>
        <w:pStyle w:val="WAP1"/>
      </w:pPr>
      <w:r>
        <w:tab/>
        <w:t>PSE is engaged in the business of providing electric and gas service within the State of Washington as a public service company, and is subject to the regulatory authority of the Commission as to its retail rates, service, facilities and practices. Its full name and mailing address for purposes of this proceeding are: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E1937" w14:paraId="76378411" w14:textId="77777777" w:rsidTr="007E1937">
        <w:tc>
          <w:tcPr>
            <w:tcW w:w="4788" w:type="dxa"/>
          </w:tcPr>
          <w:p w14:paraId="2F2037AA" w14:textId="77777777" w:rsidR="007E1937" w:rsidRDefault="007E1937" w:rsidP="007E1937">
            <w:pPr>
              <w:pStyle w:val="WAP1"/>
              <w:numPr>
                <w:ilvl w:val="0"/>
                <w:numId w:val="0"/>
              </w:numPr>
              <w:tabs>
                <w:tab w:val="left" w:pos="990"/>
              </w:tabs>
              <w:spacing w:after="240" w:line="240" w:lineRule="auto"/>
              <w:ind w:left="360"/>
            </w:pPr>
            <w:r>
              <w:t>Puget Sound Energy, Inc.</w:t>
            </w:r>
            <w:r>
              <w:br/>
              <w:t>Attn: Kenneth Johnson</w:t>
            </w:r>
            <w:r>
              <w:br/>
              <w:t>Director, State Regulatory Affairs</w:t>
            </w:r>
            <w:r>
              <w:br/>
              <w:t>P.O. Box 97034</w:t>
            </w:r>
            <w:r>
              <w:br/>
              <w:t>Bellevue, Washington 98009-9734</w:t>
            </w:r>
            <w:r>
              <w:br/>
              <w:t>Phone:</w:t>
            </w:r>
            <w:r>
              <w:tab/>
              <w:t>425.456.2110</w:t>
            </w:r>
            <w:r>
              <w:br/>
              <w:t>Email:</w:t>
            </w:r>
            <w:r>
              <w:tab/>
            </w:r>
            <w:hyperlink r:id="rId12" w:history="1">
              <w:r>
                <w:rPr>
                  <w:rStyle w:val="Hyperlink"/>
                </w:rPr>
                <w:t>ken.s.johnson@pse.com</w:t>
              </w:r>
            </w:hyperlink>
          </w:p>
        </w:tc>
        <w:tc>
          <w:tcPr>
            <w:tcW w:w="4788" w:type="dxa"/>
          </w:tcPr>
          <w:p w14:paraId="0204337A" w14:textId="77777777" w:rsidR="007E1937" w:rsidRDefault="007E1937" w:rsidP="007E1937">
            <w:pPr>
              <w:pStyle w:val="WAP1"/>
              <w:numPr>
                <w:ilvl w:val="0"/>
                <w:numId w:val="0"/>
              </w:numPr>
              <w:tabs>
                <w:tab w:val="left" w:pos="1332"/>
              </w:tabs>
              <w:spacing w:after="240" w:line="240" w:lineRule="auto"/>
              <w:ind w:left="342"/>
            </w:pPr>
            <w:r>
              <w:t>Puget Sound Energy, Inc.</w:t>
            </w:r>
            <w:r>
              <w:br/>
              <w:t>Attn: Sheri Maynard</w:t>
            </w:r>
            <w:r>
              <w:br/>
            </w:r>
            <w:r w:rsidRPr="007E1937">
              <w:t>Assoc. Energy Resource Planning &amp;</w:t>
            </w:r>
            <w:r>
              <w:br/>
              <w:t xml:space="preserve">     </w:t>
            </w:r>
            <w:r w:rsidRPr="007E1937">
              <w:t>Acquisition Analyst</w:t>
            </w:r>
            <w:r>
              <w:br/>
              <w:t>P.O. Box 97034</w:t>
            </w:r>
            <w:r>
              <w:br/>
              <w:t>Bellevue, Washington 98009-9734</w:t>
            </w:r>
            <w:r>
              <w:br/>
              <w:t>Phone:</w:t>
            </w:r>
            <w:r>
              <w:tab/>
              <w:t>425.</w:t>
            </w:r>
            <w:r w:rsidRPr="007E1937">
              <w:t>462</w:t>
            </w:r>
            <w:r>
              <w:t>.</w:t>
            </w:r>
            <w:r w:rsidRPr="007E1937">
              <w:t>3114</w:t>
            </w:r>
            <w:r>
              <w:br/>
              <w:t>Email:</w:t>
            </w:r>
            <w:r>
              <w:tab/>
            </w:r>
            <w:hyperlink r:id="rId13" w:history="1">
              <w:r w:rsidRPr="0038099C">
                <w:rPr>
                  <w:rStyle w:val="Hyperlink"/>
                </w:rPr>
                <w:t>sheri.maynard@pse.com</w:t>
              </w:r>
            </w:hyperlink>
          </w:p>
        </w:tc>
      </w:tr>
    </w:tbl>
    <w:p w14:paraId="4AD27B96" w14:textId="77777777" w:rsidR="008342DE" w:rsidRDefault="00ED531E" w:rsidP="00ED531E">
      <w:pPr>
        <w:pStyle w:val="H1"/>
        <w:keepNext/>
        <w:spacing w:after="240" w:line="240" w:lineRule="auto"/>
      </w:pPr>
      <w:r>
        <w:lastRenderedPageBreak/>
        <w:t>REQUEST FOR WAIVER OF REQUIREMENT TO FILE</w:t>
      </w:r>
      <w:r>
        <w:br/>
        <w:t>REQUEST FOR PROPOSALS FOR SUPPLY-SIDE RESOURCES</w:t>
      </w:r>
    </w:p>
    <w:p w14:paraId="07DBFA32" w14:textId="77777777" w:rsidR="000E1789" w:rsidRDefault="008342DE" w:rsidP="007E1937">
      <w:pPr>
        <w:pStyle w:val="WAP1"/>
        <w:keepLines/>
      </w:pPr>
      <w:r>
        <w:tab/>
        <w:t xml:space="preserve">On </w:t>
      </w:r>
      <w:r w:rsidR="00490348">
        <w:t>November </w:t>
      </w:r>
      <w:r w:rsidR="00362D94">
        <w:t>25</w:t>
      </w:r>
      <w:r w:rsidR="00490348">
        <w:t xml:space="preserve">, 2015, PSE filed its 2015 Integrated Resource Plan (the “2015 IRP”) with the Commission </w:t>
      </w:r>
      <w:r w:rsidR="002331FE">
        <w:t>in Docket No. </w:t>
      </w:r>
      <w:r w:rsidR="002331FE" w:rsidRPr="00490348">
        <w:t>UE-141170</w:t>
      </w:r>
      <w:r w:rsidR="002331FE">
        <w:t xml:space="preserve"> </w:t>
      </w:r>
      <w:r w:rsidR="00490348">
        <w:t>pursuant to WAC</w:t>
      </w:r>
      <w:r w:rsidR="002331FE">
        <w:t> </w:t>
      </w:r>
      <w:r w:rsidR="00490348">
        <w:t>480-100-238</w:t>
      </w:r>
      <w:r>
        <w:t>. The 2015</w:t>
      </w:r>
      <w:r w:rsidR="002331FE">
        <w:t> </w:t>
      </w:r>
      <w:r>
        <w:t xml:space="preserve">IRP </w:t>
      </w:r>
      <w:r w:rsidR="000E1789">
        <w:t>identified an electric peak capacity need for PSE of 154 megawatts (MW) in 2017, as shown on Figure 6-10 of the 2015 IRP, which is reproduced below:</w:t>
      </w:r>
    </w:p>
    <w:p w14:paraId="1D19F555" w14:textId="77777777" w:rsidR="000E1789" w:rsidRDefault="000E1789" w:rsidP="00ED531E">
      <w:pPr>
        <w:pStyle w:val="WAP1"/>
        <w:numPr>
          <w:ilvl w:val="0"/>
          <w:numId w:val="0"/>
        </w:numPr>
      </w:pPr>
      <w:r>
        <w:rPr>
          <w:noProof/>
        </w:rPr>
        <w:drawing>
          <wp:inline distT="0" distB="0" distL="0" distR="0" wp14:anchorId="1B5A70DA" wp14:editId="77A813B0">
            <wp:extent cx="5611906" cy="476324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IRP_2015_Chap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1906" cy="4763247"/>
                    </a:xfrm>
                    <a:prstGeom prst="rect">
                      <a:avLst/>
                    </a:prstGeom>
                  </pic:spPr>
                </pic:pic>
              </a:graphicData>
            </a:graphic>
          </wp:inline>
        </w:drawing>
      </w:r>
    </w:p>
    <w:p w14:paraId="07E574F4" w14:textId="77777777" w:rsidR="000E1789" w:rsidRDefault="00EB373A" w:rsidP="00ED531E">
      <w:pPr>
        <w:pStyle w:val="WAP1"/>
        <w:numPr>
          <w:ilvl w:val="0"/>
          <w:numId w:val="0"/>
        </w:numPr>
      </w:pPr>
      <w:r>
        <w:t>(2015 IRP at page </w:t>
      </w:r>
      <w:r w:rsidR="008E2CB7">
        <w:t>6-18</w:t>
      </w:r>
      <w:r>
        <w:t>.) The 2015 IRP identified the following items, among others, in the electric action plan:</w:t>
      </w:r>
    </w:p>
    <w:p w14:paraId="08C47B87" w14:textId="77777777" w:rsidR="007E1937" w:rsidRDefault="00EB373A" w:rsidP="007E1937">
      <w:pPr>
        <w:pStyle w:val="WAP1"/>
        <w:numPr>
          <w:ilvl w:val="0"/>
          <w:numId w:val="0"/>
        </w:numPr>
        <w:spacing w:line="240" w:lineRule="auto"/>
        <w:ind w:left="1440" w:right="907"/>
        <w:jc w:val="both"/>
        <w:rPr>
          <w:b/>
        </w:rPr>
      </w:pPr>
      <w:r w:rsidRPr="00EB373A">
        <w:rPr>
          <w:b/>
        </w:rPr>
        <w:t>1.</w:t>
      </w:r>
      <w:r w:rsidRPr="00EB373A">
        <w:rPr>
          <w:b/>
        </w:rPr>
        <w:tab/>
        <w:t>Acquire energy efficiency.</w:t>
      </w:r>
    </w:p>
    <w:p w14:paraId="74C39712" w14:textId="77777777" w:rsidR="00EB373A" w:rsidRDefault="00EB373A" w:rsidP="007E1937">
      <w:pPr>
        <w:pStyle w:val="WAP1"/>
        <w:numPr>
          <w:ilvl w:val="0"/>
          <w:numId w:val="0"/>
        </w:numPr>
        <w:spacing w:after="120" w:line="240" w:lineRule="auto"/>
        <w:ind w:left="1440" w:right="900"/>
        <w:jc w:val="both"/>
      </w:pPr>
      <w:r>
        <w:t>Develop 2-year targets and implement programs that will put us on a path to achieve an additional 411 MW of energy efficiency by 2021.</w:t>
      </w:r>
    </w:p>
    <w:p w14:paraId="0E87941D" w14:textId="77777777" w:rsidR="007E1937" w:rsidRPr="007E1937" w:rsidRDefault="00EB373A" w:rsidP="007E1937">
      <w:pPr>
        <w:pStyle w:val="WAP1"/>
        <w:numPr>
          <w:ilvl w:val="0"/>
          <w:numId w:val="0"/>
        </w:numPr>
        <w:spacing w:line="240" w:lineRule="auto"/>
        <w:ind w:left="1440" w:right="907"/>
        <w:jc w:val="both"/>
        <w:rPr>
          <w:b/>
        </w:rPr>
      </w:pPr>
      <w:r w:rsidRPr="00EB373A">
        <w:rPr>
          <w:b/>
        </w:rPr>
        <w:lastRenderedPageBreak/>
        <w:t>2.</w:t>
      </w:r>
      <w:r w:rsidRPr="00EB373A">
        <w:rPr>
          <w:b/>
        </w:rPr>
        <w:tab/>
        <w:t>Acquire demand-response.</w:t>
      </w:r>
    </w:p>
    <w:p w14:paraId="0249D8B5" w14:textId="77777777" w:rsidR="00EB373A" w:rsidRDefault="00EB373A" w:rsidP="007E1937">
      <w:pPr>
        <w:pStyle w:val="WAP1"/>
        <w:numPr>
          <w:ilvl w:val="0"/>
          <w:numId w:val="0"/>
        </w:numPr>
        <w:spacing w:after="120" w:line="240" w:lineRule="auto"/>
        <w:ind w:left="1440" w:right="900"/>
        <w:jc w:val="both"/>
        <w:rPr>
          <w:b/>
        </w:rPr>
      </w:pPr>
      <w:r>
        <w:t>Develop and implement a demand-response acquisition process and issue a Request for</w:t>
      </w:r>
      <w:r>
        <w:rPr>
          <w:b/>
        </w:rPr>
        <w:t xml:space="preserve"> </w:t>
      </w:r>
      <w:r>
        <w:t xml:space="preserve">Proposal (RFP). The analysis supports </w:t>
      </w:r>
      <w:r w:rsidR="00D36146">
        <w:t xml:space="preserve">the </w:t>
      </w:r>
      <w:r>
        <w:t>addition of demand-response by 2021, but these</w:t>
      </w:r>
      <w:r>
        <w:rPr>
          <w:b/>
        </w:rPr>
        <w:t xml:space="preserve"> </w:t>
      </w:r>
      <w:r>
        <w:t>programs don’t fit existing energy efficiency or supply-side resource models.</w:t>
      </w:r>
    </w:p>
    <w:p w14:paraId="660B45C2" w14:textId="77777777" w:rsidR="007E1937" w:rsidRDefault="00EB373A" w:rsidP="007E1937">
      <w:pPr>
        <w:pStyle w:val="WAP1"/>
        <w:numPr>
          <w:ilvl w:val="0"/>
          <w:numId w:val="0"/>
        </w:numPr>
        <w:spacing w:line="240" w:lineRule="auto"/>
        <w:ind w:left="1440" w:right="900"/>
        <w:jc w:val="both"/>
        <w:rPr>
          <w:b/>
        </w:rPr>
      </w:pPr>
      <w:r w:rsidRPr="00EB373A">
        <w:rPr>
          <w:b/>
        </w:rPr>
        <w:t>3.</w:t>
      </w:r>
      <w:r w:rsidRPr="00EB373A">
        <w:rPr>
          <w:b/>
        </w:rPr>
        <w:tab/>
        <w:t>Supply-side resources: Clarify before issuing an all-source RFP.</w:t>
      </w:r>
    </w:p>
    <w:p w14:paraId="5980118C" w14:textId="77777777" w:rsidR="00EB373A" w:rsidRPr="007E1937" w:rsidRDefault="00EB373A" w:rsidP="007E1937">
      <w:pPr>
        <w:pStyle w:val="WAP1"/>
        <w:numPr>
          <w:ilvl w:val="0"/>
          <w:numId w:val="0"/>
        </w:numPr>
        <w:spacing w:after="280" w:line="240" w:lineRule="auto"/>
        <w:ind w:left="1440" w:right="907"/>
        <w:jc w:val="both"/>
        <w:rPr>
          <w:b/>
        </w:rPr>
      </w:pPr>
      <w:r>
        <w:t>Energy efficiency and demand-response additions appear sufficient to meet incremental capacity need until 2021 and additional renewables are not needed until 2023. PSE intends to issue an all-source RFP in 2016, subject to an update to resource needs, most likely in early summer of 2016. This postponement will provide time to incorporate an updated regional adequacy assessment into our resource need, which is scheduled to be completed by the NPCC in the second quarter of 2016.</w:t>
      </w:r>
    </w:p>
    <w:p w14:paraId="212E122F" w14:textId="77777777" w:rsidR="000E1789" w:rsidRDefault="00EB373A" w:rsidP="00ED531E">
      <w:pPr>
        <w:pStyle w:val="WAP1"/>
        <w:numPr>
          <w:ilvl w:val="0"/>
          <w:numId w:val="0"/>
        </w:numPr>
      </w:pPr>
      <w:r>
        <w:t>(2015 IRP at page 1-10.)</w:t>
      </w:r>
    </w:p>
    <w:p w14:paraId="7F7C653E" w14:textId="77777777" w:rsidR="000E1789" w:rsidRDefault="008E2CB7" w:rsidP="00ED531E">
      <w:pPr>
        <w:pStyle w:val="WAP1"/>
      </w:pPr>
      <w:r>
        <w:tab/>
        <w:t>As identified in the quoted language from the electric action plan in the 2015 IRP, PSE’s energy efficiency and demand-response additions appear sufficient to meet incremental capacity need until 2021, and additional renewables are not needed until 2023. In particular, PSE projects the acquisition of 411 MW of conservation and 121 MW of demand response by 2021. (2015 IRP at pages 1-17 and 2-7.) PSE projects that these combined 532 MW of conservation and demand response resources will meet all projected needs until 2021, when PSE projects the need for 277 MW of supply-side resources. (2015 IRP at pages 1-17 and 2-7</w:t>
      </w:r>
      <w:r w:rsidRPr="008E2CB7">
        <w:t>.</w:t>
      </w:r>
      <w:r>
        <w:t>)</w:t>
      </w:r>
    </w:p>
    <w:p w14:paraId="6245095C" w14:textId="77777777" w:rsidR="00752C1E" w:rsidRDefault="00752C1E" w:rsidP="00752C1E">
      <w:pPr>
        <w:pStyle w:val="WAP1"/>
      </w:pPr>
      <w:r>
        <w:tab/>
        <w:t>Additionally, as indicated in the quoted language from the electric action plan in the 2015 IRP, PSE intends to issue an all-source request for proposals in 2016, subject to an update to resource needs. (2015 IRP at page 1-10.) PSE will update its load forecast in the summer of 2016. PSE will also update its capacity need in light of the new load forecast and a new assessment of regional adequacy—expected to be issued by the Northwest Power and Conservation Council in May 2016—prior to deciding whether to issue an all-source request for proposal</w:t>
      </w:r>
      <w:r w:rsidR="00D36146">
        <w:t>s</w:t>
      </w:r>
      <w:r>
        <w:t xml:space="preserve"> in 2016.</w:t>
      </w:r>
      <w:bookmarkStart w:id="0" w:name="_GoBack"/>
      <w:bookmarkEnd w:id="0"/>
    </w:p>
    <w:p w14:paraId="0D8508C8" w14:textId="77777777" w:rsidR="00B06850" w:rsidRDefault="00B06850" w:rsidP="00B06850">
      <w:pPr>
        <w:pStyle w:val="WAP1"/>
      </w:pPr>
      <w:r>
        <w:lastRenderedPageBreak/>
        <w:tab/>
        <w:t>WAC 480-107-002(3) permits the Commission to grant exceptions to the rules governing request for proposals, but only where such exceptions are “consistent with the public interest, the purposes underlying regulation, and applicable statutes.” Additionally, WAC </w:t>
      </w:r>
      <w:r w:rsidRPr="00E74D70">
        <w:t>480-107-015</w:t>
      </w:r>
      <w:r>
        <w:t xml:space="preserve">(3)(a) provides that the requirement for requests for proposals </w:t>
      </w:r>
      <w:r w:rsidRPr="00E74D70">
        <w:t>do not apply when a utility</w:t>
      </w:r>
      <w:r>
        <w:t>’</w:t>
      </w:r>
      <w:r w:rsidRPr="00E74D70">
        <w:t>s integrated resource plan, prepared pursuant to WAC</w:t>
      </w:r>
      <w:r>
        <w:t> </w:t>
      </w:r>
      <w:r w:rsidRPr="00E74D70">
        <w:t>480-100-238, demonstrates that the utility does not need additional capacity within three years.</w:t>
      </w:r>
      <w:r>
        <w:t xml:space="preserve"> Although PSE’s 2015 IRP did project a need for 154 MW of capacity by 2017, PSE projects that such need will be met by PSE’s conservation and demand response resource acquisitions. Therefore, there is no need, at this time, for PSE to conduct a request for proposal of supply-side resources</w:t>
      </w:r>
      <w:r w:rsidRPr="00B06850">
        <w:t xml:space="preserve"> </w:t>
      </w:r>
      <w:r>
        <w:t>for the 2016-2018 period, and PSE’s request for a waiver of WAC 480-107-015(3)(b) with respect to the issuance of a request for proposal for supply-side resources</w:t>
      </w:r>
      <w:r w:rsidRPr="00B06850">
        <w:t xml:space="preserve"> </w:t>
      </w:r>
      <w:r>
        <w:t>is consistent with the public interest, the purposes underlying regulation, and applicable statutes.</w:t>
      </w:r>
    </w:p>
    <w:p w14:paraId="47685CDE" w14:textId="77777777" w:rsidR="009E1AF9" w:rsidRDefault="00731754" w:rsidP="009E1AF9">
      <w:pPr>
        <w:pStyle w:val="WAP1"/>
      </w:pPr>
      <w:r>
        <w:tab/>
        <w:t xml:space="preserve">For the reasons discussed above, PSE requests a waiver of 480-107-015(3)(b) with respect to </w:t>
      </w:r>
      <w:r w:rsidR="00275C96">
        <w:t>the issuance of a request for proposal for supply-side resources</w:t>
      </w:r>
      <w:r>
        <w:t>.</w:t>
      </w:r>
    </w:p>
    <w:p w14:paraId="5C967612" w14:textId="0C0F0346" w:rsidR="009164DF" w:rsidRDefault="009E1AF9" w:rsidP="009E1AF9">
      <w:pPr>
        <w:pStyle w:val="WAP1"/>
      </w:pPr>
      <w:r>
        <w:tab/>
      </w:r>
      <w:r w:rsidR="009164DF">
        <w:t>This amended waiver reflects input from PSE’s Conversation Resource Advisory Group (“CRAG”)</w:t>
      </w:r>
      <w:r>
        <w:t>;</w:t>
      </w:r>
      <w:r w:rsidR="009164DF">
        <w:t xml:space="preserve"> more accurately describes the process</w:t>
      </w:r>
      <w:r w:rsidR="005770B8">
        <w:t>, timing</w:t>
      </w:r>
      <w:r w:rsidR="009164DF">
        <w:t xml:space="preserve"> and issuance of PSE’s Biennial Conversation Plan</w:t>
      </w:r>
      <w:r>
        <w:t>; and provides additional detail as to the reasons behind PSE request to extend the deadline to file PSE’s demand response RFP.</w:t>
      </w:r>
    </w:p>
    <w:p w14:paraId="1F04E508" w14:textId="77777777" w:rsidR="00ED531E" w:rsidRDefault="00ED531E" w:rsidP="00ED531E">
      <w:pPr>
        <w:pStyle w:val="H1"/>
        <w:keepNext/>
        <w:spacing w:after="240" w:line="240" w:lineRule="auto"/>
      </w:pPr>
      <w:r>
        <w:t>REQUEST FOR WAIVER OF REQUIREMENT TO FILE</w:t>
      </w:r>
      <w:r>
        <w:br/>
        <w:t>REQUEST FOR PROPOSALS FOR CONSERVATION RESOURCES</w:t>
      </w:r>
    </w:p>
    <w:p w14:paraId="19D314E9" w14:textId="537F0F45" w:rsidR="007C433F" w:rsidRDefault="007C433F" w:rsidP="00FD784A">
      <w:pPr>
        <w:pStyle w:val="WAP1"/>
      </w:pPr>
      <w:r>
        <w:tab/>
        <w:t>On November </w:t>
      </w:r>
      <w:r w:rsidR="00B97FF3" w:rsidRPr="00B57BAB">
        <w:t>25</w:t>
      </w:r>
      <w:r>
        <w:t>, 2015, PSE filed its 2015 Integrated Resource Plan (the “2015 IRP”) with the Commission in Docket No. </w:t>
      </w:r>
      <w:r w:rsidRPr="00490348">
        <w:t>UE-141170</w:t>
      </w:r>
      <w:r>
        <w:t xml:space="preserve"> pursuant to WAC 480-100-238. The 2015 IRP </w:t>
      </w:r>
      <w:r w:rsidR="00FD784A">
        <w:t xml:space="preserve">informed PSE’s ten-year electric conservation potential and its two-year electric conservation target. </w:t>
      </w:r>
    </w:p>
    <w:p w14:paraId="51D6008A" w14:textId="1D28C44E" w:rsidR="007C433F" w:rsidRDefault="007C433F" w:rsidP="00ED531E">
      <w:pPr>
        <w:pStyle w:val="WAP1"/>
      </w:pPr>
      <w:r>
        <w:lastRenderedPageBreak/>
        <w:tab/>
        <w:t xml:space="preserve">On October 29, 2015 PSE filed its 2016-2017 Biennial Conservation </w:t>
      </w:r>
      <w:r w:rsidR="00C54179">
        <w:t xml:space="preserve">Plan </w:t>
      </w:r>
      <w:r>
        <w:t>with the Commission</w:t>
      </w:r>
      <w:r w:rsidRPr="00BF22E6">
        <w:t xml:space="preserve"> </w:t>
      </w:r>
      <w:r>
        <w:t>in Docket No. UE-152058. The 2016-2017 Biennial</w:t>
      </w:r>
      <w:r w:rsidR="004E3A48">
        <w:t xml:space="preserve"> Conservation </w:t>
      </w:r>
      <w:r w:rsidR="00C54179">
        <w:t xml:space="preserve">Plan </w:t>
      </w:r>
      <w:r w:rsidR="004E3A48">
        <w:t>identified (i) </w:t>
      </w:r>
      <w:r w:rsidR="00FD784A">
        <w:t>a 2016-2025 ten-year achievable conservation potential of 2,770,663 megawatt-hours (“MWh”)</w:t>
      </w:r>
      <w:r w:rsidR="009E1AF9">
        <w:t xml:space="preserve"> </w:t>
      </w:r>
      <w:r w:rsidR="004E3A48">
        <w:t>and (ii) </w:t>
      </w:r>
      <w:r w:rsidR="00FD784A">
        <w:t xml:space="preserve">a 2016-2017 biennial electric conservation target of 537,078 megawatt-hours (MWh) </w:t>
      </w:r>
      <w:r w:rsidR="004E3A48">
        <w:t>for PSE. On December 17</w:t>
      </w:r>
      <w:r w:rsidR="00C54179">
        <w:t>,</w:t>
      </w:r>
      <w:r w:rsidR="004E3A48">
        <w:t xml:space="preserve"> 2015, the Commission issued Order 01 in Docket No. UE-152058 in Docket No. UE-152058 that approved PSE’s 2016-2025 achievable conservation potential and its 2016-2017 biennial conservation target</w:t>
      </w:r>
      <w:r>
        <w:t xml:space="preserve">, subject to conditions attached </w:t>
      </w:r>
      <w:r w:rsidR="00985319">
        <w:t xml:space="preserve">as Appendix A to the </w:t>
      </w:r>
      <w:r w:rsidR="00C54179">
        <w:t>O</w:t>
      </w:r>
      <w:r>
        <w:t>rder</w:t>
      </w:r>
      <w:r w:rsidR="00985319">
        <w:t xml:space="preserve">. </w:t>
      </w:r>
      <w:r>
        <w:t xml:space="preserve">Consistent with PSE’s </w:t>
      </w:r>
      <w:r w:rsidR="00436D6E">
        <w:t xml:space="preserve">established </w:t>
      </w:r>
      <w:r>
        <w:t xml:space="preserve">procedure for </w:t>
      </w:r>
      <w:r w:rsidR="00436D6E">
        <w:t>setting</w:t>
      </w:r>
      <w:r w:rsidR="002E6D93">
        <w:t xml:space="preserve"> its biennial conservation targets and </w:t>
      </w:r>
      <w:r>
        <w:t xml:space="preserve">acquiring conservation resources, PSE issued two </w:t>
      </w:r>
      <w:r w:rsidR="00985319">
        <w:t>request</w:t>
      </w:r>
      <w:r w:rsidR="00B97FF3" w:rsidRPr="00B57BAB">
        <w:t>s</w:t>
      </w:r>
      <w:r w:rsidR="00985319">
        <w:t xml:space="preserve"> for proposals </w:t>
      </w:r>
      <w:r w:rsidR="004D1788">
        <w:t xml:space="preserve">(“RFPs”) </w:t>
      </w:r>
      <w:r w:rsidR="00985319">
        <w:t xml:space="preserve">in </w:t>
      </w:r>
      <w:r>
        <w:t>2015 for energy efficiency programs</w:t>
      </w:r>
      <w:r w:rsidR="00172A80">
        <w:t xml:space="preserve">. </w:t>
      </w:r>
      <w:r w:rsidR="006E4A24">
        <w:t xml:space="preserve">The RFPs were issued </w:t>
      </w:r>
      <w:r w:rsidR="00B1706B">
        <w:t>in June, in order to allow sufficient time to evaluate responses and implement programs in 2016</w:t>
      </w:r>
      <w:r w:rsidR="009E34C7">
        <w:t xml:space="preserve"> for the biennium</w:t>
      </w:r>
      <w:r w:rsidR="00B1706B">
        <w:t xml:space="preserve">. The RFPs were issued </w:t>
      </w:r>
      <w:r w:rsidR="006E4A24">
        <w:t>prior to the filing of the final 2015 IRP</w:t>
      </w:r>
      <w:r w:rsidR="009E34C7">
        <w:t xml:space="preserve"> </w:t>
      </w:r>
      <w:r w:rsidR="006E4A24">
        <w:t xml:space="preserve">due to two Commission-approved IRP filing delays. </w:t>
      </w:r>
      <w:r w:rsidR="002E6D93">
        <w:t>PSE ensured that its CRAG</w:t>
      </w:r>
      <w:r w:rsidR="009E1AF9">
        <w:t xml:space="preserve"> </w:t>
      </w:r>
      <w:r w:rsidR="002E6D93">
        <w:t>was aware of these activities</w:t>
      </w:r>
      <w:r w:rsidR="004D1788">
        <w:t xml:space="preserve"> throughout the 2016-2017 biennial planning process</w:t>
      </w:r>
      <w:r w:rsidR="002E6D93">
        <w:t xml:space="preserve">. Subsequent to Commission approval of the 2016-2017 biennial conservation target, </w:t>
      </w:r>
      <w:r w:rsidR="00172A80">
        <w:t xml:space="preserve">PSE selected </w:t>
      </w:r>
      <w:r>
        <w:t>vendors</w:t>
      </w:r>
      <w:r w:rsidR="00172A80">
        <w:t xml:space="preserve"> </w:t>
      </w:r>
      <w:r>
        <w:t>and implemented the selected programs.</w:t>
      </w:r>
    </w:p>
    <w:p w14:paraId="19DF9C6E" w14:textId="4B1F5BDB" w:rsidR="00275C96" w:rsidRDefault="00172A80" w:rsidP="00275C96">
      <w:pPr>
        <w:pStyle w:val="WAP1"/>
      </w:pPr>
      <w:r>
        <w:tab/>
        <w:t xml:space="preserve">PSE will update the conservation target for </w:t>
      </w:r>
      <w:r w:rsidR="007C433F">
        <w:t>2018</w:t>
      </w:r>
      <w:r w:rsidR="002E6D93">
        <w:t>-2019</w:t>
      </w:r>
      <w:r w:rsidR="007C433F">
        <w:t xml:space="preserve"> </w:t>
      </w:r>
      <w:r w:rsidR="002E6D93">
        <w:t xml:space="preserve">consistent with guidance provided in </w:t>
      </w:r>
      <w:r w:rsidR="006E4A24">
        <w:t xml:space="preserve">its </w:t>
      </w:r>
      <w:r w:rsidR="007C433F">
        <w:t>2017</w:t>
      </w:r>
      <w:r>
        <w:t xml:space="preserve"> Integrated Resource Plan (the “2017 IRP”) </w:t>
      </w:r>
      <w:r w:rsidR="007C433F">
        <w:t xml:space="preserve">and </w:t>
      </w:r>
      <w:r w:rsidR="002E6D93">
        <w:t>with the involvement of the CRAG.</w:t>
      </w:r>
      <w:r w:rsidR="009E1AF9">
        <w:t xml:space="preserve"> </w:t>
      </w:r>
      <w:r w:rsidR="002E6D93">
        <w:t xml:space="preserve">PSE </w:t>
      </w:r>
      <w:r>
        <w:t xml:space="preserve">will </w:t>
      </w:r>
      <w:r w:rsidR="007C433F">
        <w:t>reflect</w:t>
      </w:r>
      <w:r>
        <w:t xml:space="preserve"> the </w:t>
      </w:r>
      <w:r w:rsidR="002E6D93">
        <w:t xml:space="preserve">2018-2019 conservation </w:t>
      </w:r>
      <w:r>
        <w:t xml:space="preserve">target in </w:t>
      </w:r>
      <w:r w:rsidR="002E6D93">
        <w:t xml:space="preserve">its </w:t>
      </w:r>
      <w:r>
        <w:t xml:space="preserve">2018-2019 </w:t>
      </w:r>
      <w:r w:rsidR="007C433F">
        <w:t xml:space="preserve">Biennial </w:t>
      </w:r>
      <w:r>
        <w:t xml:space="preserve">Conservation </w:t>
      </w:r>
      <w:r w:rsidR="002E6D93">
        <w:t>Plan</w:t>
      </w:r>
      <w:r w:rsidR="007C433F">
        <w:t xml:space="preserve">. </w:t>
      </w:r>
      <w:r w:rsidR="006E4A24">
        <w:t xml:space="preserve">In </w:t>
      </w:r>
      <w:r w:rsidR="00B1706B">
        <w:t xml:space="preserve">or about </w:t>
      </w:r>
      <w:r w:rsidR="00526C4A">
        <w:t xml:space="preserve">June </w:t>
      </w:r>
      <w:r w:rsidR="006E4A24">
        <w:t xml:space="preserve">2017, </w:t>
      </w:r>
      <w:r>
        <w:t>PSE will undertake a</w:t>
      </w:r>
      <w:r w:rsidR="006E4A24">
        <w:t>n all-source RFP</w:t>
      </w:r>
      <w:r>
        <w:t xml:space="preserve"> process </w:t>
      </w:r>
      <w:r w:rsidR="007C433F">
        <w:t xml:space="preserve">similar to that used in 2015 to </w:t>
      </w:r>
      <w:r w:rsidR="006E4A24">
        <w:t xml:space="preserve">assess potential programs that can </w:t>
      </w:r>
      <w:r w:rsidR="007C433F">
        <w:t>acquire conservation resources</w:t>
      </w:r>
      <w:r w:rsidR="006E4A24">
        <w:t xml:space="preserve"> beginning </w:t>
      </w:r>
      <w:r w:rsidR="007C433F">
        <w:t>in 201</w:t>
      </w:r>
      <w:r w:rsidR="006E4A24">
        <w:t>8.</w:t>
      </w:r>
      <w:r w:rsidR="007C433F" w:rsidRPr="003E05F1">
        <w:t xml:space="preserve"> </w:t>
      </w:r>
    </w:p>
    <w:p w14:paraId="3280E9D3" w14:textId="11BB5CA0" w:rsidR="00B06850" w:rsidRDefault="00B06850" w:rsidP="00B06850">
      <w:pPr>
        <w:pStyle w:val="WAP1"/>
      </w:pPr>
      <w:r>
        <w:tab/>
        <w:t xml:space="preserve">As discussed above, WAC 480-107-002(3) permits the Commission to grant exceptions to the rules governing request for proposals where such exceptions are consistent with the public interest, the purposes underlying regulation, and applicable statutes. </w:t>
      </w:r>
      <w:r w:rsidR="006E4A24">
        <w:t>As a result of its 2015 RFP</w:t>
      </w:r>
      <w:r w:rsidR="004D1788">
        <w:t xml:space="preserve"> </w:t>
      </w:r>
      <w:r w:rsidR="004D1788">
        <w:lastRenderedPageBreak/>
        <w:t>process</w:t>
      </w:r>
      <w:r w:rsidR="006E4A24">
        <w:t xml:space="preserve">, </w:t>
      </w:r>
      <w:r w:rsidR="004D1788">
        <w:t xml:space="preserve">concluded prior to the filing of its 2015 IRP, </w:t>
      </w:r>
      <w:r>
        <w:t xml:space="preserve">PSE has already </w:t>
      </w:r>
      <w:r w:rsidR="006E4A24">
        <w:t xml:space="preserve">engaged applicable conservation program vendors that will </w:t>
      </w:r>
      <w:r>
        <w:t>procure the necessary conservation resources for the 2016-201</w:t>
      </w:r>
      <w:r w:rsidR="006E4A24">
        <w:t>7</w:t>
      </w:r>
      <w:r>
        <w:t xml:space="preserve"> period. Therefore, there is no need</w:t>
      </w:r>
      <w:r w:rsidR="004D1788">
        <w:t xml:space="preserve"> </w:t>
      </w:r>
      <w:r>
        <w:t>at this time for PSE to conduct a request for proposal of conservation resources for the 2016-201</w:t>
      </w:r>
      <w:r w:rsidR="004D1788">
        <w:t>7</w:t>
      </w:r>
      <w:r>
        <w:t> period</w:t>
      </w:r>
      <w:r w:rsidR="004D1788">
        <w:t>.</w:t>
      </w:r>
      <w:r>
        <w:t xml:space="preserve"> PSE’s request for a waiver of WAC 480-107-015(3)(b) with respect to the issuance of a request for proposal for conservation resources</w:t>
      </w:r>
      <w:r w:rsidRPr="00B06850">
        <w:t xml:space="preserve"> </w:t>
      </w:r>
      <w:r>
        <w:t>is consistent with the public interest, the purposes underlying regulation, and applicable statutes.</w:t>
      </w:r>
    </w:p>
    <w:p w14:paraId="16971088" w14:textId="0F13AF17" w:rsidR="00275C96" w:rsidRDefault="00275C96" w:rsidP="00275C96">
      <w:pPr>
        <w:pStyle w:val="WAP1"/>
      </w:pPr>
      <w:r>
        <w:tab/>
        <w:t xml:space="preserve">PSE requests a waiver of </w:t>
      </w:r>
      <w:r w:rsidR="00B06850">
        <w:t>WAC </w:t>
      </w:r>
      <w:r>
        <w:t xml:space="preserve">480-107-015(3)(b) with respect to the issuance of a request for proposal for conservation resources because PSE has already </w:t>
      </w:r>
      <w:r w:rsidR="004D1788">
        <w:t xml:space="preserve">conducted the necessary requests for proposals and </w:t>
      </w:r>
      <w:r>
        <w:t xml:space="preserve">procured the necessary conservation resources </w:t>
      </w:r>
      <w:r w:rsidR="004D1788">
        <w:t xml:space="preserve">to meet </w:t>
      </w:r>
      <w:r>
        <w:t>the 2016-201</w:t>
      </w:r>
      <w:r w:rsidR="004D1788">
        <w:t>7</w:t>
      </w:r>
      <w:r>
        <w:t xml:space="preserve"> </w:t>
      </w:r>
      <w:r w:rsidR="004D1788">
        <w:t>target</w:t>
      </w:r>
      <w:r>
        <w:t>.</w:t>
      </w:r>
    </w:p>
    <w:p w14:paraId="3C61F2D2" w14:textId="77777777" w:rsidR="00ED531E" w:rsidRDefault="00ED531E" w:rsidP="00ED531E">
      <w:pPr>
        <w:pStyle w:val="H1"/>
        <w:keepNext/>
        <w:spacing w:after="240" w:line="240" w:lineRule="auto"/>
      </w:pPr>
      <w:r>
        <w:t>REQUEST FOR WAIVER OF REQUIREMENT TO FILE</w:t>
      </w:r>
      <w:r>
        <w:br/>
        <w:t>REQUEST FOR PROPOSALS FOR DEMAND RESPONSE RESOURCES</w:t>
      </w:r>
    </w:p>
    <w:p w14:paraId="14AD2BB9" w14:textId="77777777" w:rsidR="00B06850" w:rsidRDefault="00172A80" w:rsidP="00ED531E">
      <w:pPr>
        <w:pStyle w:val="WAP1"/>
      </w:pPr>
      <w:r>
        <w:tab/>
      </w:r>
      <w:r w:rsidR="007C433F">
        <w:t>PSE plans to file a</w:t>
      </w:r>
      <w:r>
        <w:t xml:space="preserve"> request for proposals for </w:t>
      </w:r>
      <w:r w:rsidR="007C433F">
        <w:t xml:space="preserve">demand response resources </w:t>
      </w:r>
      <w:r>
        <w:t xml:space="preserve">with the Commission </w:t>
      </w:r>
      <w:r w:rsidR="007C433F">
        <w:t>no later than June</w:t>
      </w:r>
      <w:r>
        <w:t> </w:t>
      </w:r>
      <w:r w:rsidR="007C433F">
        <w:t>1</w:t>
      </w:r>
      <w:r w:rsidR="001F3A08">
        <w:t>5</w:t>
      </w:r>
      <w:r w:rsidR="007C433F">
        <w:t xml:space="preserve">, 2016. </w:t>
      </w:r>
      <w:r w:rsidR="00ED531E">
        <w:t xml:space="preserve">PSE acknowledges that the filing of such request for proposals </w:t>
      </w:r>
      <w:r w:rsidR="007C433F">
        <w:t xml:space="preserve">will be outside of the 135-day period </w:t>
      </w:r>
      <w:r w:rsidR="00ED531E">
        <w:t xml:space="preserve">required by </w:t>
      </w:r>
      <w:r w:rsidR="007C433F">
        <w:t>WAC 480-107-135(3</w:t>
      </w:r>
      <w:r w:rsidR="00ED531E">
        <w:t>)(</w:t>
      </w:r>
      <w:r w:rsidR="007C433F">
        <w:t>b)</w:t>
      </w:r>
      <w:r w:rsidR="00ED531E">
        <w:t>.</w:t>
      </w:r>
    </w:p>
    <w:p w14:paraId="517A15B2" w14:textId="77777777" w:rsidR="00871CCF" w:rsidRDefault="00B06850" w:rsidP="00871CCF">
      <w:pPr>
        <w:pStyle w:val="WAP1"/>
      </w:pPr>
      <w:r>
        <w:tab/>
        <w:t xml:space="preserve">As discussed above, WAC 480-107-002(3) permits the Commission to grant exceptions to the rules governing request for proposals where such exceptions are consistent with the public interest, the purposes underlying regulation, and applicable statutes. </w:t>
      </w:r>
      <w:r w:rsidR="00871CCF" w:rsidRPr="00871CCF">
        <w:t xml:space="preserve">Although PSE has previously filed demand response RFPs for commercial and industrial programs, this demand response RFP will be the first demand response RFP filed by PSE that will also target residential programs.  In connection with this demand response RFP, PSE is engaged in a strategic planning process and has engaged outside consultants to assist. PSE expects to complete that portion of the strategic planning process that clarifies resource characteristics and customer engagement in </w:t>
      </w:r>
      <w:r w:rsidR="00871CCF" w:rsidRPr="00871CCF">
        <w:lastRenderedPageBreak/>
        <w:t>early June.  PSE will incorporate that information into the demand response RFP for filing on or before June 15, 2016.</w:t>
      </w:r>
    </w:p>
    <w:p w14:paraId="52730BFB" w14:textId="1E5BF346" w:rsidR="00ED531E" w:rsidRDefault="00871CCF" w:rsidP="00871CCF">
      <w:pPr>
        <w:pStyle w:val="WAP1"/>
      </w:pPr>
      <w:r>
        <w:tab/>
      </w:r>
      <w:r w:rsidR="005A6E53">
        <w:t>Therefore</w:t>
      </w:r>
      <w:r w:rsidR="00B06850">
        <w:t xml:space="preserve">, </w:t>
      </w:r>
      <w:r w:rsidR="00ED531E">
        <w:t xml:space="preserve">PSE requires more time to complete the </w:t>
      </w:r>
      <w:r w:rsidR="001F3A08">
        <w:t xml:space="preserve">details of the acquisition </w:t>
      </w:r>
      <w:r w:rsidR="00ED531E">
        <w:t xml:space="preserve">process for the demand response </w:t>
      </w:r>
      <w:r w:rsidR="001F3A08">
        <w:t>resources</w:t>
      </w:r>
      <w:r w:rsidR="00ED531E">
        <w:t xml:space="preserve"> and develop and file the demand response request for proposals</w:t>
      </w:r>
      <w:r w:rsidR="00B06850">
        <w:t>, and PSE’s request for a waiver of WAC 480-107-015(3)(b) to allow PSE to file a request for proposal for demand response resources</w:t>
      </w:r>
      <w:r w:rsidR="00B06850" w:rsidRPr="00B06850">
        <w:t xml:space="preserve"> </w:t>
      </w:r>
      <w:r w:rsidR="00B06850">
        <w:t>with the Commission no later than June 1</w:t>
      </w:r>
      <w:r w:rsidR="001F3A08">
        <w:t>5</w:t>
      </w:r>
      <w:r w:rsidR="00B06850">
        <w:t>, 2016, is consistent with the public interest, the purposes underlying regulation, and applicable statutes.</w:t>
      </w:r>
    </w:p>
    <w:p w14:paraId="229F89BB" w14:textId="77777777" w:rsidR="00ED531E" w:rsidRDefault="00ED531E" w:rsidP="00ED531E">
      <w:pPr>
        <w:pStyle w:val="WAP1"/>
      </w:pPr>
      <w:r>
        <w:tab/>
        <w:t>For the reasons discussed above, PSE requests a limited waiver of 480-107-015(3)(b) that would allow PSE to file a request for proposals for demand response resources with the Commission no later than June 1</w:t>
      </w:r>
      <w:r w:rsidR="003D5DE2">
        <w:t>5</w:t>
      </w:r>
      <w:r>
        <w:t>, 2016.</w:t>
      </w:r>
    </w:p>
    <w:p w14:paraId="5D7393D6" w14:textId="77777777" w:rsidR="008342DE" w:rsidRDefault="00275C96" w:rsidP="00F61C9F">
      <w:pPr>
        <w:pStyle w:val="H1"/>
      </w:pPr>
      <w:r>
        <w:t>CONCLUSION</w:t>
      </w:r>
    </w:p>
    <w:p w14:paraId="35FB6ED5" w14:textId="77777777" w:rsidR="00064472" w:rsidRDefault="008342DE" w:rsidP="00ED531E">
      <w:pPr>
        <w:pStyle w:val="WAP1"/>
      </w:pPr>
      <w:r>
        <w:tab/>
      </w:r>
      <w:r w:rsidR="00275C96">
        <w:t xml:space="preserve">As discussed above, PSE respectfully requests that the </w:t>
      </w:r>
      <w:r>
        <w:t xml:space="preserve">Commission grant </w:t>
      </w:r>
      <w:r w:rsidR="00275C96">
        <w:t xml:space="preserve">PSE’s </w:t>
      </w:r>
      <w:r>
        <w:t xml:space="preserve">petition </w:t>
      </w:r>
      <w:r w:rsidR="00064472">
        <w:t>with respect to each of the following:</w:t>
      </w:r>
    </w:p>
    <w:p w14:paraId="09D79F0C" w14:textId="77777777" w:rsidR="00064472" w:rsidRDefault="00064472" w:rsidP="007E1937">
      <w:pPr>
        <w:pStyle w:val="WAP1"/>
        <w:numPr>
          <w:ilvl w:val="0"/>
          <w:numId w:val="0"/>
        </w:numPr>
        <w:spacing w:after="240" w:line="240" w:lineRule="auto"/>
        <w:ind w:left="2160" w:right="720" w:hanging="720"/>
      </w:pPr>
      <w:r>
        <w:t>(i)</w:t>
      </w:r>
      <w:r>
        <w:tab/>
        <w:t xml:space="preserve">waiver of 480-107-015(3)(b) with respect to the issuance of a request for proposal for supply-side resources because PSE does not project a need for supply-side resources for the 2016-2018 period; </w:t>
      </w:r>
    </w:p>
    <w:p w14:paraId="2FFD55A5" w14:textId="15B59CE8" w:rsidR="007E1937" w:rsidRDefault="007E1937" w:rsidP="007E1937">
      <w:pPr>
        <w:pStyle w:val="WAP1"/>
        <w:numPr>
          <w:ilvl w:val="0"/>
          <w:numId w:val="0"/>
        </w:numPr>
        <w:spacing w:after="240" w:line="240" w:lineRule="auto"/>
        <w:ind w:left="2160" w:right="720" w:hanging="720"/>
      </w:pPr>
      <w:r>
        <w:t>(ii)</w:t>
      </w:r>
      <w:r>
        <w:tab/>
        <w:t xml:space="preserve">waiver of WAC 480-107-015(3)(b) with respect to the issuance of a request for proposal for conservation resources because PSE has already </w:t>
      </w:r>
      <w:r w:rsidR="00436D6E">
        <w:t xml:space="preserve">selected and engaged third party vendors that will contribute to the </w:t>
      </w:r>
      <w:r>
        <w:t>procure</w:t>
      </w:r>
      <w:r w:rsidR="00436D6E">
        <w:t>ment</w:t>
      </w:r>
      <w:r w:rsidR="00AE1304">
        <w:t xml:space="preserve"> of</w:t>
      </w:r>
      <w:r>
        <w:t xml:space="preserve"> the necessary conservation resources for the 2016-201</w:t>
      </w:r>
      <w:r w:rsidR="00436D6E">
        <w:t>7 biennium</w:t>
      </w:r>
      <w:r>
        <w:t xml:space="preserve">; and </w:t>
      </w:r>
    </w:p>
    <w:p w14:paraId="24CB5CF5" w14:textId="480B1427" w:rsidR="007E1937" w:rsidRDefault="007E1937" w:rsidP="007E1937">
      <w:pPr>
        <w:pStyle w:val="WAP1"/>
        <w:numPr>
          <w:ilvl w:val="0"/>
          <w:numId w:val="0"/>
        </w:numPr>
        <w:spacing w:after="240" w:line="240" w:lineRule="auto"/>
        <w:ind w:left="2160" w:right="720" w:hanging="720"/>
      </w:pPr>
      <w:r>
        <w:t>(iii)</w:t>
      </w:r>
      <w:r>
        <w:tab/>
        <w:t>a limited waiver of 480-107-015(3)(b) that would allow PSE to file a request for proposals for demand response resources with the Commission no later than June 1</w:t>
      </w:r>
      <w:r w:rsidR="009A7562">
        <w:t>5</w:t>
      </w:r>
      <w:r>
        <w:t>, 2016.</w:t>
      </w:r>
    </w:p>
    <w:p w14:paraId="28B9D775" w14:textId="7E7C2DF2" w:rsidR="008342DE" w:rsidRDefault="00B57BAB" w:rsidP="009E1AF9">
      <w:pPr>
        <w:pStyle w:val="WAP1"/>
        <w:keepNext/>
        <w:keepLines/>
        <w:numPr>
          <w:ilvl w:val="0"/>
          <w:numId w:val="0"/>
        </w:numPr>
      </w:pPr>
      <w:r>
        <w:lastRenderedPageBreak/>
        <w:t xml:space="preserve">Dated </w:t>
      </w:r>
      <w:r w:rsidR="008342DE">
        <w:t xml:space="preserve">this </w:t>
      </w:r>
      <w:r w:rsidR="00AE1304">
        <w:t>20</w:t>
      </w:r>
      <w:r w:rsidR="009164DF">
        <w:t>th</w:t>
      </w:r>
      <w:r w:rsidR="007E1937">
        <w:t xml:space="preserve"> </w:t>
      </w:r>
      <w:r w:rsidR="008342DE">
        <w:t xml:space="preserve">day of </w:t>
      </w:r>
      <w:r w:rsidR="007E1937">
        <w:t xml:space="preserve">April </w:t>
      </w:r>
      <w:r w:rsidR="008342DE">
        <w:t>201</w:t>
      </w:r>
      <w:r w:rsidR="007E1937">
        <w:t>6</w:t>
      </w:r>
      <w:r w:rsidR="008342DE">
        <w:t>.</w:t>
      </w:r>
    </w:p>
    <w:p w14:paraId="7C8B5CAC" w14:textId="77777777" w:rsidR="003C5B5A" w:rsidRPr="00B57BAB" w:rsidRDefault="00B57BAB" w:rsidP="009E1AF9">
      <w:pPr>
        <w:pStyle w:val="WAP1"/>
        <w:keepNext/>
        <w:keepLines/>
        <w:numPr>
          <w:ilvl w:val="0"/>
          <w:numId w:val="0"/>
        </w:numPr>
        <w:spacing w:before="360" w:after="360"/>
        <w:ind w:left="4320"/>
        <w:rPr>
          <w:b/>
        </w:rPr>
      </w:pPr>
      <w:r w:rsidRPr="00B57BAB">
        <w:rPr>
          <w:b/>
        </w:rPr>
        <w:t>PUGET SOUND ENERGY</w:t>
      </w:r>
    </w:p>
    <w:p w14:paraId="096F2308" w14:textId="4725F347" w:rsidR="00B57BAB" w:rsidRDefault="005F7358" w:rsidP="00B57BAB">
      <w:pPr>
        <w:pStyle w:val="WAP1"/>
        <w:numPr>
          <w:ilvl w:val="0"/>
          <w:numId w:val="0"/>
        </w:numPr>
        <w:tabs>
          <w:tab w:val="right" w:pos="7920"/>
        </w:tabs>
        <w:spacing w:after="240" w:line="240" w:lineRule="auto"/>
        <w:ind w:left="4320"/>
        <w:sectPr w:rsidR="00B57BAB" w:rsidSect="007E19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r w:rsidRPr="005F7358">
        <w:rPr>
          <w:i/>
          <w:u w:val="single"/>
        </w:rPr>
        <w:t>/s/ Ken Johnson</w:t>
      </w:r>
      <w:r w:rsidR="00B57BAB" w:rsidRPr="00B57BAB">
        <w:rPr>
          <w:u w:val="single"/>
        </w:rPr>
        <w:tab/>
      </w:r>
      <w:r w:rsidR="00B57BAB">
        <w:br/>
        <w:t>Ken Johnson</w:t>
      </w:r>
      <w:r w:rsidR="00B57BAB">
        <w:br/>
        <w:t>Director, State Regulatory Affairs</w:t>
      </w:r>
    </w:p>
    <w:p w14:paraId="079F96CB" w14:textId="77777777" w:rsidR="00B57BAB" w:rsidRPr="00B57BAB" w:rsidRDefault="00B57BAB" w:rsidP="00B57BAB">
      <w:pPr>
        <w:keepNext/>
        <w:keepLines/>
        <w:tabs>
          <w:tab w:val="num" w:pos="0"/>
        </w:tabs>
        <w:spacing w:before="240" w:line="240" w:lineRule="exact"/>
        <w:jc w:val="center"/>
        <w:outlineLvl w:val="0"/>
        <w:rPr>
          <w:rFonts w:ascii="Times New Roman" w:eastAsia="Times New Roman" w:hAnsi="Times New Roman"/>
          <w:b/>
        </w:rPr>
      </w:pPr>
      <w:r w:rsidRPr="00B57BAB">
        <w:rPr>
          <w:rFonts w:ascii="Times New Roman" w:eastAsia="Times New Roman" w:hAnsi="Times New Roman"/>
          <w:b/>
        </w:rPr>
        <w:lastRenderedPageBreak/>
        <w:t>VERIFICATION</w:t>
      </w:r>
    </w:p>
    <w:p w14:paraId="106895A8" w14:textId="77777777" w:rsidR="00B57BAB" w:rsidRPr="00B57BAB" w:rsidRDefault="00B57BAB" w:rsidP="00B57BAB">
      <w:pPr>
        <w:tabs>
          <w:tab w:val="left" w:pos="3060"/>
        </w:tabs>
        <w:spacing w:before="240" w:line="240" w:lineRule="atLeast"/>
        <w:rPr>
          <w:rFonts w:ascii="Times New Roman" w:eastAsia="Times New Roman" w:hAnsi="Times New Roman"/>
        </w:rPr>
      </w:pPr>
      <w:r w:rsidRPr="00B57BAB">
        <w:rPr>
          <w:rFonts w:ascii="Times New Roman" w:eastAsia="Times New Roman" w:hAnsi="Times New Roman"/>
        </w:rPr>
        <w:t>STATE OF WASHINGTON</w:t>
      </w:r>
      <w:r w:rsidRPr="00B57BAB">
        <w:rPr>
          <w:rFonts w:ascii="Times New Roman" w:eastAsia="Times New Roman" w:hAnsi="Times New Roman"/>
        </w:rPr>
        <w:tab/>
        <w:t>)</w:t>
      </w:r>
      <w:r w:rsidRPr="00B57BAB">
        <w:rPr>
          <w:rFonts w:ascii="Times New Roman" w:eastAsia="Times New Roman" w:hAnsi="Times New Roman"/>
        </w:rPr>
        <w:br/>
      </w:r>
      <w:r w:rsidRPr="00B57BAB">
        <w:rPr>
          <w:rFonts w:ascii="Times New Roman" w:eastAsia="Times New Roman" w:hAnsi="Times New Roman"/>
        </w:rPr>
        <w:tab/>
        <w:t>) ss.</w:t>
      </w:r>
      <w:r w:rsidRPr="00B57BAB">
        <w:rPr>
          <w:rFonts w:ascii="Times New Roman" w:eastAsia="Times New Roman" w:hAnsi="Times New Roman"/>
        </w:rPr>
        <w:br/>
        <w:t>COUNTY OF KING</w:t>
      </w:r>
      <w:r w:rsidRPr="00B57BAB">
        <w:rPr>
          <w:rFonts w:ascii="Times New Roman" w:eastAsia="Times New Roman" w:hAnsi="Times New Roman"/>
        </w:rPr>
        <w:tab/>
        <w:t>)</w:t>
      </w:r>
    </w:p>
    <w:p w14:paraId="17421272" w14:textId="77777777" w:rsidR="00B57BAB" w:rsidRPr="00B57BAB" w:rsidRDefault="00B57BAB" w:rsidP="00B57BAB">
      <w:pPr>
        <w:spacing w:before="600"/>
        <w:ind w:firstLine="720"/>
        <w:rPr>
          <w:rFonts w:ascii="Times New Roman" w:eastAsia="Times New Roman" w:hAnsi="Times New Roman"/>
          <w:lang w:eastAsia="zh-CN"/>
        </w:rPr>
      </w:pPr>
      <w:r>
        <w:rPr>
          <w:rFonts w:ascii="Times New Roman" w:eastAsia="Times New Roman" w:hAnsi="Times New Roman"/>
          <w:lang w:eastAsia="zh-CN"/>
        </w:rPr>
        <w:t>Roger Garratt</w:t>
      </w:r>
      <w:r w:rsidRPr="00B57BAB">
        <w:rPr>
          <w:rFonts w:ascii="Times New Roman" w:eastAsia="Times New Roman" w:hAnsi="Times New Roman"/>
          <w:lang w:eastAsia="zh-CN"/>
        </w:rPr>
        <w:t>, being first duly sworn, upon oath, deposes and states:</w:t>
      </w:r>
    </w:p>
    <w:p w14:paraId="5CCA4CAB" w14:textId="77777777" w:rsidR="00B57BAB" w:rsidRPr="00B57BAB" w:rsidRDefault="00B57BAB" w:rsidP="00B57BAB">
      <w:pPr>
        <w:spacing w:before="240" w:after="720"/>
        <w:ind w:firstLine="720"/>
        <w:rPr>
          <w:rFonts w:ascii="Times New Roman" w:eastAsia="Times New Roman" w:hAnsi="Times New Roman"/>
          <w:lang w:eastAsia="zh-CN"/>
        </w:rPr>
      </w:pPr>
      <w:r w:rsidRPr="00B57BAB">
        <w:rPr>
          <w:rFonts w:ascii="Times New Roman" w:eastAsia="Times New Roman" w:hAnsi="Times New Roman"/>
          <w:lang w:eastAsia="zh-CN"/>
        </w:rPr>
        <w:t>I am Director of Strategic Initiatives for Puget Sound Energy, I have read the Petition and believe the same to be true and correct to the best of my knowledge.</w:t>
      </w:r>
    </w:p>
    <w:p w14:paraId="57EC313C" w14:textId="34B4A698" w:rsidR="00B57BAB" w:rsidRPr="00B57BAB" w:rsidRDefault="005F7358" w:rsidP="00B57BAB">
      <w:pPr>
        <w:keepLines/>
        <w:tabs>
          <w:tab w:val="left" w:pos="4860"/>
          <w:tab w:val="right" w:pos="9090"/>
        </w:tabs>
        <w:spacing w:before="480" w:line="240" w:lineRule="atLeast"/>
        <w:ind w:left="4320" w:right="187"/>
        <w:rPr>
          <w:rFonts w:ascii="Times New Roman" w:eastAsia="Times New Roman" w:hAnsi="Times New Roman"/>
        </w:rPr>
      </w:pPr>
      <w:r w:rsidRPr="005F7358">
        <w:rPr>
          <w:rFonts w:ascii="Times New Roman" w:eastAsia="Times New Roman" w:hAnsi="Times New Roman"/>
          <w:i/>
          <w:u w:val="single"/>
        </w:rPr>
        <w:t>/s/ Roger Garratt</w:t>
      </w:r>
      <w:r w:rsidR="00B57BAB" w:rsidRPr="00B57BAB">
        <w:rPr>
          <w:rFonts w:ascii="Times New Roman" w:eastAsia="Times New Roman" w:hAnsi="Times New Roman"/>
          <w:u w:val="single"/>
        </w:rPr>
        <w:tab/>
      </w:r>
      <w:r w:rsidR="00B57BAB" w:rsidRPr="00B57BAB">
        <w:rPr>
          <w:rFonts w:ascii="Times New Roman" w:eastAsia="Times New Roman" w:hAnsi="Times New Roman"/>
        </w:rPr>
        <w:br/>
      </w:r>
      <w:r w:rsidR="00B57BAB">
        <w:rPr>
          <w:rFonts w:ascii="Times New Roman" w:eastAsia="Times New Roman" w:hAnsi="Times New Roman"/>
        </w:rPr>
        <w:t>Roger Garratt</w:t>
      </w:r>
    </w:p>
    <w:p w14:paraId="1B29A0F8" w14:textId="29B6D6A8" w:rsidR="00B57BAB" w:rsidRPr="00B57BAB" w:rsidRDefault="00B57BAB" w:rsidP="00B57BAB">
      <w:pPr>
        <w:spacing w:before="600" w:after="240"/>
        <w:rPr>
          <w:rFonts w:ascii="Times New Roman" w:eastAsia="Times New Roman" w:hAnsi="Times New Roman"/>
        </w:rPr>
      </w:pPr>
      <w:r w:rsidRPr="00B57BAB">
        <w:rPr>
          <w:rFonts w:ascii="Times New Roman" w:eastAsia="Times New Roman" w:hAnsi="Times New Roman"/>
        </w:rPr>
        <w:t xml:space="preserve">SUBSCRIBED AND SWORN to before me this </w:t>
      </w:r>
      <w:r w:rsidR="00871CCF">
        <w:t>19</w:t>
      </w:r>
      <w:r w:rsidR="009164DF">
        <w:rPr>
          <w:rFonts w:ascii="Times New Roman" w:eastAsia="Times New Roman" w:hAnsi="Times New Roman"/>
        </w:rPr>
        <w:t>th</w:t>
      </w:r>
      <w:r w:rsidRPr="00B57BAB">
        <w:rPr>
          <w:rFonts w:ascii="Times New Roman" w:eastAsia="Times New Roman" w:hAnsi="Times New Roman"/>
        </w:rPr>
        <w:t xml:space="preserve"> day of </w:t>
      </w:r>
      <w:r>
        <w:rPr>
          <w:rFonts w:ascii="Times New Roman" w:eastAsia="Times New Roman" w:hAnsi="Times New Roman"/>
        </w:rPr>
        <w:t>April</w:t>
      </w:r>
      <w:r w:rsidRPr="00B57BAB">
        <w:rPr>
          <w:rFonts w:ascii="Times New Roman" w:eastAsia="Times New Roman" w:hAnsi="Times New Roman"/>
        </w:rPr>
        <w:t>, 2016.</w:t>
      </w:r>
    </w:p>
    <w:p w14:paraId="2710F93A" w14:textId="48BB7DE7" w:rsidR="00B57BAB" w:rsidRPr="00B57BAB" w:rsidRDefault="005F7358" w:rsidP="00B57BAB">
      <w:pPr>
        <w:keepLines/>
        <w:tabs>
          <w:tab w:val="left" w:pos="4860"/>
          <w:tab w:val="right" w:pos="9090"/>
        </w:tabs>
        <w:spacing w:before="1320"/>
        <w:ind w:left="4320" w:right="187"/>
        <w:rPr>
          <w:rFonts w:ascii="Times New Roman" w:eastAsia="Times New Roman" w:hAnsi="Times New Roman"/>
        </w:rPr>
      </w:pPr>
      <w:r w:rsidRPr="005F7358">
        <w:rPr>
          <w:rFonts w:ascii="Times New Roman" w:eastAsia="Times New Roman" w:hAnsi="Times New Roman"/>
          <w:i/>
          <w:u w:val="single"/>
        </w:rPr>
        <w:t>/s/ Cindy Main</w:t>
      </w:r>
      <w:r w:rsidR="00B57BAB" w:rsidRPr="00B57BAB">
        <w:rPr>
          <w:rFonts w:ascii="Times New Roman" w:eastAsia="Times New Roman" w:hAnsi="Times New Roman"/>
          <w:u w:val="single"/>
        </w:rPr>
        <w:tab/>
      </w:r>
      <w:r w:rsidR="00B57BAB" w:rsidRPr="00B57BAB">
        <w:rPr>
          <w:rFonts w:ascii="Times New Roman" w:eastAsia="Times New Roman" w:hAnsi="Times New Roman"/>
        </w:rPr>
        <w:br/>
        <w:t>NOTARY PUBLIC in and for the State of</w:t>
      </w:r>
      <w:r w:rsidR="00B57BAB" w:rsidRPr="00B57BAB">
        <w:rPr>
          <w:rFonts w:ascii="Times New Roman" w:eastAsia="Times New Roman" w:hAnsi="Times New Roman"/>
        </w:rPr>
        <w:br/>
        <w:t xml:space="preserve">Washington, residing at </w:t>
      </w:r>
      <w:r>
        <w:rPr>
          <w:rFonts w:ascii="Times New Roman" w:eastAsia="Times New Roman" w:hAnsi="Times New Roman"/>
        </w:rPr>
        <w:t>Kirkland, Washington</w:t>
      </w:r>
      <w:r w:rsidR="00B57BAB" w:rsidRPr="00B57BAB">
        <w:rPr>
          <w:rFonts w:ascii="Times New Roman" w:eastAsia="Times New Roman" w:hAnsi="Times New Roman"/>
        </w:rPr>
        <w:br/>
        <w:t>My Commission Expires:</w:t>
      </w:r>
      <w:r w:rsidR="009E1AF9">
        <w:rPr>
          <w:rFonts w:ascii="Times New Roman" w:eastAsia="Times New Roman" w:hAnsi="Times New Roman"/>
        </w:rPr>
        <w:t xml:space="preserve">  </w:t>
      </w:r>
      <w:r w:rsidRPr="005F7358">
        <w:rPr>
          <w:rFonts w:ascii="Times New Roman" w:eastAsia="Times New Roman" w:hAnsi="Times New Roman"/>
        </w:rPr>
        <w:t>9-29-2019</w:t>
      </w:r>
    </w:p>
    <w:p w14:paraId="5135E336" w14:textId="1B016876" w:rsidR="008342DE" w:rsidRPr="00B57BAB" w:rsidRDefault="005F7358" w:rsidP="00B57BAB">
      <w:pPr>
        <w:keepLines/>
        <w:tabs>
          <w:tab w:val="left" w:pos="4860"/>
          <w:tab w:val="right" w:pos="9090"/>
        </w:tabs>
        <w:spacing w:before="480"/>
        <w:ind w:left="4320" w:right="187"/>
        <w:rPr>
          <w:rFonts w:ascii="Times New Roman" w:eastAsia="Times New Roman" w:hAnsi="Times New Roman"/>
        </w:rPr>
      </w:pPr>
      <w:r>
        <w:rPr>
          <w:rFonts w:ascii="Times New Roman" w:eastAsia="Times New Roman" w:hAnsi="Times New Roman"/>
          <w:u w:val="single"/>
        </w:rPr>
        <w:t>Cindy Main</w:t>
      </w:r>
      <w:r w:rsidR="00B57BAB" w:rsidRPr="00B57BAB">
        <w:rPr>
          <w:rFonts w:ascii="Times New Roman" w:eastAsia="Times New Roman" w:hAnsi="Times New Roman"/>
          <w:u w:val="single"/>
        </w:rPr>
        <w:tab/>
      </w:r>
      <w:r w:rsidR="00B57BAB" w:rsidRPr="00B57BAB">
        <w:rPr>
          <w:rFonts w:ascii="Times New Roman" w:eastAsia="Times New Roman" w:hAnsi="Times New Roman"/>
        </w:rPr>
        <w:br/>
        <w:t>[Print Notary Name]</w:t>
      </w:r>
    </w:p>
    <w:sectPr w:rsidR="008342DE" w:rsidRPr="00B57BAB" w:rsidSect="00FC40CD">
      <w:footerReference w:type="default" r:id="rId21"/>
      <w:footerReference w:type="first" r:id="rId2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BC2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FBFB2" w14:textId="77777777" w:rsidR="009E1AF9" w:rsidRDefault="009E1AF9">
      <w:r>
        <w:separator/>
      </w:r>
    </w:p>
  </w:endnote>
  <w:endnote w:type="continuationSeparator" w:id="0">
    <w:p w14:paraId="3A75C584" w14:textId="77777777" w:rsidR="009E1AF9" w:rsidRDefault="009E1AF9">
      <w:r>
        <w:continuationSeparator/>
      </w:r>
    </w:p>
  </w:endnote>
  <w:endnote w:type="continuationNotice" w:id="1">
    <w:p w14:paraId="0C287E23" w14:textId="77777777" w:rsidR="009E1AF9" w:rsidRDefault="009E1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C14B" w14:textId="77777777" w:rsidR="0078156D" w:rsidRDefault="00781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9AE6" w14:textId="002FE379" w:rsidR="00E20208" w:rsidRDefault="007E1937" w:rsidP="007E1937">
    <w:pPr>
      <w:pStyle w:val="Footer"/>
      <w:tabs>
        <w:tab w:val="clear" w:pos="4680"/>
      </w:tabs>
    </w:pPr>
    <w:r>
      <w:t>PSE’s</w:t>
    </w:r>
    <w:r w:rsidR="009164DF">
      <w:t xml:space="preserve"> Amended</w:t>
    </w:r>
    <w:r>
      <w:t xml:space="preserve"> </w:t>
    </w:r>
    <w:r w:rsidRPr="007E1937">
      <w:t xml:space="preserve">Petition for Waiver of Certain Requirements </w:t>
    </w:r>
    <w:r>
      <w:tab/>
    </w:r>
    <w:sdt>
      <w:sdtPr>
        <w:id w:val="13195927"/>
        <w:docPartObj>
          <w:docPartGallery w:val="Page Numbers (Bottom of Page)"/>
          <w:docPartUnique/>
        </w:docPartObj>
      </w:sdtPr>
      <w:sdtEndPr/>
      <w:sdtContent>
        <w:r>
          <w:t xml:space="preserve">Page </w:t>
        </w:r>
        <w:r>
          <w:fldChar w:fldCharType="begin"/>
        </w:r>
        <w:r>
          <w:instrText xml:space="preserve"> PAGE   \* MERGEFORMAT </w:instrText>
        </w:r>
        <w:r>
          <w:fldChar w:fldCharType="separate"/>
        </w:r>
        <w:r w:rsidR="005F7358">
          <w:rPr>
            <w:noProof/>
          </w:rPr>
          <w:t>3</w:t>
        </w:r>
        <w:r>
          <w:rPr>
            <w:noProof/>
          </w:rPr>
          <w:fldChar w:fldCharType="end"/>
        </w:r>
      </w:sdtContent>
    </w:sdt>
    <w:r>
      <w:br/>
    </w:r>
    <w:r w:rsidRPr="007E1937">
      <w:t>Related to Requests for Proposals Contained in WAC 480-107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AE4E" w14:textId="77777777" w:rsidR="0078156D" w:rsidRDefault="007815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30060"/>
      <w:docPartObj>
        <w:docPartGallery w:val="Page Numbers (Bottom of Page)"/>
        <w:docPartUnique/>
      </w:docPartObj>
    </w:sdtPr>
    <w:sdtEndPr>
      <w:rPr>
        <w:noProof/>
      </w:rPr>
    </w:sdtEndPr>
    <w:sdtContent>
      <w:p w14:paraId="03695ED8" w14:textId="77777777" w:rsidR="00FC40CD" w:rsidRDefault="00B57BAB" w:rsidP="00FC40CD">
        <w:pPr>
          <w:pStyle w:val="Footer"/>
          <w:jc w:val="center"/>
        </w:pPr>
        <w:r>
          <w:t xml:space="preserve">- </w:t>
        </w:r>
        <w:r>
          <w:fldChar w:fldCharType="begin"/>
        </w:r>
        <w:r>
          <w:instrText xml:space="preserve"> PAGE   \* MERGEFORMAT </w:instrText>
        </w:r>
        <w:r>
          <w:fldChar w:fldCharType="separate"/>
        </w:r>
        <w:r w:rsidR="005460AD">
          <w:rPr>
            <w:noProof/>
          </w:rPr>
          <w:t>9</w:t>
        </w:r>
        <w:r>
          <w:rPr>
            <w:noProof/>
          </w:rPr>
          <w:fldChar w:fldCharType="end"/>
        </w:r>
        <w: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92335" w14:textId="77777777" w:rsidR="00B57BAB" w:rsidRDefault="00B57BAB" w:rsidP="00B57BAB">
    <w:pPr>
      <w:pStyle w:val="Footer"/>
      <w:tabs>
        <w:tab w:val="clear" w:pos="4680"/>
      </w:tabs>
    </w:pPr>
    <w:r>
      <w:t>Verification</w:t>
    </w:r>
    <w:r>
      <w:tab/>
    </w:r>
    <w:sdt>
      <w:sdtPr>
        <w:id w:val="1444267283"/>
        <w:docPartObj>
          <w:docPartGallery w:val="Page Numbers (Bottom of Page)"/>
          <w:docPartUnique/>
        </w:docPartObj>
      </w:sdtPr>
      <w:sdtEndPr/>
      <w:sdtContent>
        <w:r>
          <w:t xml:space="preserve">Page </w:t>
        </w:r>
        <w:r>
          <w:fldChar w:fldCharType="begin"/>
        </w:r>
        <w:r>
          <w:instrText xml:space="preserve"> PAGE   \* MERGEFORMAT </w:instrText>
        </w:r>
        <w:r>
          <w:fldChar w:fldCharType="separate"/>
        </w:r>
        <w:r w:rsidR="005F7358">
          <w:rPr>
            <w:noProof/>
          </w:rPr>
          <w:t>9</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E03EF" w14:textId="77777777" w:rsidR="009E1AF9" w:rsidRDefault="009E1AF9">
      <w:r>
        <w:separator/>
      </w:r>
    </w:p>
  </w:footnote>
  <w:footnote w:type="continuationSeparator" w:id="0">
    <w:p w14:paraId="2D7136B7" w14:textId="77777777" w:rsidR="009E1AF9" w:rsidRDefault="009E1AF9">
      <w:r>
        <w:continuationSeparator/>
      </w:r>
    </w:p>
  </w:footnote>
  <w:footnote w:type="continuationNotice" w:id="1">
    <w:p w14:paraId="611EFCB9" w14:textId="77777777" w:rsidR="009E1AF9" w:rsidRDefault="009E1A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871F5" w14:textId="77777777" w:rsidR="0078156D" w:rsidRDefault="00781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F4046" w14:textId="77777777" w:rsidR="0078156D" w:rsidRDefault="00781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CF781" w14:textId="77777777" w:rsidR="0078156D" w:rsidRDefault="0078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2D"/>
    <w:multiLevelType w:val="hybridMultilevel"/>
    <w:tmpl w:val="089E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5BB"/>
    <w:multiLevelType w:val="hybridMultilevel"/>
    <w:tmpl w:val="33409D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F042EB2"/>
    <w:multiLevelType w:val="hybridMultilevel"/>
    <w:tmpl w:val="90569CF8"/>
    <w:lvl w:ilvl="0" w:tplc="60D2C4A2">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B844B40"/>
    <w:multiLevelType w:val="hybridMultilevel"/>
    <w:tmpl w:val="2A402006"/>
    <w:lvl w:ilvl="0" w:tplc="55D8CA1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1E61184B"/>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9D00D1"/>
    <w:multiLevelType w:val="hybridMultilevel"/>
    <w:tmpl w:val="EA381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22576E0"/>
    <w:multiLevelType w:val="hybridMultilevel"/>
    <w:tmpl w:val="5F20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8901D3"/>
    <w:multiLevelType w:val="hybridMultilevel"/>
    <w:tmpl w:val="4260B030"/>
    <w:lvl w:ilvl="0" w:tplc="0409000F">
      <w:start w:val="1"/>
      <w:numFmt w:val="decimal"/>
      <w:lvlText w:val="%1."/>
      <w:lvlJc w:val="left"/>
      <w:pPr>
        <w:ind w:left="11520" w:hanging="360"/>
      </w:p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8">
    <w:nsid w:val="3E5F7638"/>
    <w:multiLevelType w:val="hybridMultilevel"/>
    <w:tmpl w:val="E4D0ABE8"/>
    <w:lvl w:ilvl="0" w:tplc="5A2CD3CC">
      <w:start w:val="1"/>
      <w:numFmt w:val="upperRoman"/>
      <w:pStyle w:val="H1"/>
      <w:lvlText w:val="%1."/>
      <w:lvlJc w:val="left"/>
      <w:pPr>
        <w:ind w:left="414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nsid w:val="45DC3F99"/>
    <w:multiLevelType w:val="multilevel"/>
    <w:tmpl w:val="344479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nsid w:val="4EB06EE1"/>
    <w:multiLevelType w:val="hybridMultilevel"/>
    <w:tmpl w:val="415015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F143E2"/>
    <w:multiLevelType w:val="hybridMultilevel"/>
    <w:tmpl w:val="0C4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35727"/>
    <w:multiLevelType w:val="multilevel"/>
    <w:tmpl w:val="78560072"/>
    <w:numStyleLink w:val="Style2"/>
  </w:abstractNum>
  <w:abstractNum w:abstractNumId="14">
    <w:nsid w:val="53DF4C25"/>
    <w:multiLevelType w:val="multilevel"/>
    <w:tmpl w:val="CED6A474"/>
    <w:lvl w:ilvl="0">
      <w:start w:val="1"/>
      <w:numFmt w:val="decimal"/>
      <w:lvlText w:val="%1."/>
      <w:lvlJc w:val="left"/>
      <w:pPr>
        <w:ind w:left="2880" w:hanging="2160"/>
      </w:pPr>
      <w:rPr>
        <w:rFonts w:hint="default"/>
        <w:b w:val="0"/>
        <w:i/>
      </w:rPr>
    </w:lvl>
    <w:lvl w:ilvl="1">
      <w:start w:val="1"/>
      <w:numFmt w:val="upperLetter"/>
      <w:lvlText w:val="%2."/>
      <w:lvlJc w:val="left"/>
      <w:pPr>
        <w:ind w:left="4320" w:hanging="720"/>
      </w:pPr>
      <w:rPr>
        <w:rFonts w:hint="default"/>
      </w:rPr>
    </w:lvl>
    <w:lvl w:ilvl="2">
      <w:start w:val="1"/>
      <w:numFmt w:val="decimal"/>
      <w:lvlText w:val="%3."/>
      <w:lvlJc w:val="left"/>
      <w:pPr>
        <w:tabs>
          <w:tab w:val="num" w:pos="4320"/>
        </w:tabs>
        <w:ind w:left="5040" w:hanging="720"/>
      </w:pPr>
      <w:rPr>
        <w:rFonts w:hint="default"/>
      </w:rPr>
    </w:lvl>
    <w:lvl w:ilvl="3">
      <w:start w:val="1"/>
      <w:numFmt w:val="lowerLetter"/>
      <w:lvlText w:val="%4."/>
      <w:lvlJc w:val="left"/>
      <w:pPr>
        <w:tabs>
          <w:tab w:val="num" w:pos="5040"/>
        </w:tabs>
        <w:ind w:left="5760" w:hanging="720"/>
      </w:pPr>
      <w:rPr>
        <w:rFonts w:hint="default"/>
      </w:rPr>
    </w:lvl>
    <w:lvl w:ilvl="4">
      <w:start w:val="1"/>
      <w:numFmt w:val="lowerRoman"/>
      <w:lvlText w:val="%5."/>
      <w:lvlJc w:val="left"/>
      <w:pPr>
        <w:ind w:left="6480" w:hanging="72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5">
    <w:nsid w:val="541033B2"/>
    <w:multiLevelType w:val="hybridMultilevel"/>
    <w:tmpl w:val="F3D25670"/>
    <w:lvl w:ilvl="0" w:tplc="7FD0E822">
      <w:start w:val="1"/>
      <w:numFmt w:val="decimal"/>
      <w:lvlText w:val="%1"/>
      <w:lvlJc w:val="left"/>
      <w:pPr>
        <w:ind w:left="11520" w:hanging="720"/>
      </w:pPr>
      <w:rPr>
        <w:rFonts w:ascii="Times New Roman" w:hAnsi="Times New Roman" w:hint="default"/>
        <w:b w:val="0"/>
        <w:i/>
        <w:sz w:val="24"/>
      </w:rPr>
    </w:lvl>
    <w:lvl w:ilvl="1" w:tplc="04090019">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16">
    <w:nsid w:val="57301A7B"/>
    <w:multiLevelType w:val="hybridMultilevel"/>
    <w:tmpl w:val="33D85418"/>
    <w:lvl w:ilvl="0" w:tplc="AF168FAE">
      <w:start w:val="1"/>
      <w:numFmt w:val="decimal"/>
      <w:lvlText w:val="%1."/>
      <w:lvlJc w:val="left"/>
      <w:pPr>
        <w:ind w:left="36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882706"/>
    <w:multiLevelType w:val="hybridMultilevel"/>
    <w:tmpl w:val="973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15E5F"/>
    <w:multiLevelType w:val="hybridMultilevel"/>
    <w:tmpl w:val="CB306F06"/>
    <w:lvl w:ilvl="0" w:tplc="4EE8821E">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6A1C78EB"/>
    <w:multiLevelType w:val="hybridMultilevel"/>
    <w:tmpl w:val="10DAE9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A0E54"/>
    <w:multiLevelType w:val="hybridMultilevel"/>
    <w:tmpl w:val="578E504E"/>
    <w:lvl w:ilvl="0" w:tplc="E8A00208">
      <w:start w:val="1"/>
      <w:numFmt w:val="decimal"/>
      <w:lvlText w:val="%1."/>
      <w:lvlJc w:val="left"/>
      <w:pPr>
        <w:ind w:left="468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nsid w:val="727D69F8"/>
    <w:multiLevelType w:val="multilevel"/>
    <w:tmpl w:val="2496E5C4"/>
    <w:lvl w:ilvl="0">
      <w:start w:val="1"/>
      <w:numFmt w:val="bullet"/>
      <w:lvlText w:val=""/>
      <w:lvlJc w:val="left"/>
      <w:pPr>
        <w:tabs>
          <w:tab w:val="num" w:pos="2160"/>
        </w:tabs>
        <w:ind w:left="1440" w:hanging="720"/>
      </w:pPr>
      <w:rPr>
        <w:rFonts w:ascii="Symbol" w:hAnsi="Symbol" w:hint="default"/>
        <w:b w:val="0"/>
        <w:i w:val="0"/>
      </w:rPr>
    </w:lvl>
    <w:lvl w:ilvl="1">
      <w:start w:val="1"/>
      <w:numFmt w:val="decimal"/>
      <w:lvlText w:val="%2."/>
      <w:lvlJc w:val="left"/>
      <w:pPr>
        <w:ind w:left="6480" w:hanging="720"/>
      </w:pPr>
      <w:rPr>
        <w:rFonts w:hint="default"/>
      </w:rPr>
    </w:lvl>
    <w:lvl w:ilvl="2">
      <w:start w:val="1"/>
      <w:numFmt w:val="decimal"/>
      <w:lvlText w:val="%3."/>
      <w:lvlJc w:val="left"/>
      <w:pPr>
        <w:tabs>
          <w:tab w:val="num" w:pos="6480"/>
        </w:tabs>
        <w:ind w:left="7200" w:hanging="720"/>
      </w:pPr>
      <w:rPr>
        <w:rFonts w:hint="default"/>
      </w:rPr>
    </w:lvl>
    <w:lvl w:ilvl="3">
      <w:start w:val="1"/>
      <w:numFmt w:val="lowerLetter"/>
      <w:lvlText w:val="%4."/>
      <w:lvlJc w:val="left"/>
      <w:pPr>
        <w:tabs>
          <w:tab w:val="num" w:pos="7200"/>
        </w:tabs>
        <w:ind w:left="7920" w:hanging="720"/>
      </w:pPr>
      <w:rPr>
        <w:rFonts w:hint="default"/>
      </w:rPr>
    </w:lvl>
    <w:lvl w:ilvl="4">
      <w:start w:val="1"/>
      <w:numFmt w:val="lowerRoman"/>
      <w:lvlText w:val="%5."/>
      <w:lvlJc w:val="left"/>
      <w:pPr>
        <w:ind w:left="8640" w:hanging="72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22">
    <w:nsid w:val="729229F7"/>
    <w:multiLevelType w:val="multilevel"/>
    <w:tmpl w:val="02C23ABA"/>
    <w:lvl w:ilvl="0">
      <w:start w:val="1"/>
      <w:numFmt w:val="decimal"/>
      <w:lvlText w:val="%1."/>
      <w:lvlJc w:val="left"/>
      <w:pPr>
        <w:tabs>
          <w:tab w:val="num" w:pos="720"/>
        </w:tabs>
        <w:ind w:left="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75FD36C7"/>
    <w:multiLevelType w:val="hybridMultilevel"/>
    <w:tmpl w:val="414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6DD5"/>
    <w:multiLevelType w:val="multilevel"/>
    <w:tmpl w:val="2E5E3DC4"/>
    <w:lvl w:ilvl="0">
      <w:start w:val="1"/>
      <w:numFmt w:val="decimal"/>
      <w:lvlText w:val="%1."/>
      <w:lvlJc w:val="left"/>
      <w:pPr>
        <w:tabs>
          <w:tab w:val="num" w:pos="1440"/>
        </w:tabs>
        <w:ind w:left="720" w:hanging="720"/>
      </w:pPr>
      <w:rPr>
        <w:rFonts w:hint="default"/>
        <w:b w:val="0"/>
        <w:i/>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5">
    <w:nsid w:val="787C0F75"/>
    <w:multiLevelType w:val="hybridMultilevel"/>
    <w:tmpl w:val="6B9CB8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CB91511"/>
    <w:multiLevelType w:val="hybridMultilevel"/>
    <w:tmpl w:val="0E0E9668"/>
    <w:lvl w:ilvl="0" w:tplc="DB8C3240">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4"/>
  </w:num>
  <w:num w:numId="3">
    <w:abstractNumId w:val="16"/>
  </w:num>
  <w:num w:numId="4">
    <w:abstractNumId w:val="20"/>
  </w:num>
  <w:num w:numId="5">
    <w:abstractNumId w:val="18"/>
  </w:num>
  <w:num w:numId="6">
    <w:abstractNumId w:val="7"/>
  </w:num>
  <w:num w:numId="7">
    <w:abstractNumId w:val="1"/>
  </w:num>
  <w:num w:numId="8">
    <w:abstractNumId w:val="13"/>
  </w:num>
  <w:num w:numId="9">
    <w:abstractNumId w:val="10"/>
  </w:num>
  <w:num w:numId="10">
    <w:abstractNumId w:val="14"/>
  </w:num>
  <w:num w:numId="11">
    <w:abstractNumId w:val="22"/>
  </w:num>
  <w:num w:numId="12">
    <w:abstractNumId w:val="24"/>
  </w:num>
  <w:num w:numId="13">
    <w:abstractNumId w:val="19"/>
  </w:num>
  <w:num w:numId="14">
    <w:abstractNumId w:val="21"/>
  </w:num>
  <w:num w:numId="15">
    <w:abstractNumId w:val="15"/>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3"/>
  </w:num>
  <w:num w:numId="23">
    <w:abstractNumId w:val="2"/>
  </w:num>
  <w:num w:numId="24">
    <w:abstractNumId w:val="2"/>
  </w:num>
  <w:num w:numId="25">
    <w:abstractNumId w:val="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6"/>
  </w:num>
  <w:num w:numId="31">
    <w:abstractNumId w:val="5"/>
  </w:num>
  <w:num w:numId="32">
    <w:abstractNumId w:val="12"/>
  </w:num>
  <w:num w:numId="33">
    <w:abstractNumId w:val="0"/>
  </w:num>
  <w:num w:numId="34">
    <w:abstractNumId w:val="23"/>
  </w:num>
  <w:num w:numId="35">
    <w:abstractNumId w:val="17"/>
  </w:num>
  <w:num w:numId="3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C7"/>
    <w:rsid w:val="00035E50"/>
    <w:rsid w:val="00064472"/>
    <w:rsid w:val="00064C19"/>
    <w:rsid w:val="00074866"/>
    <w:rsid w:val="000E1789"/>
    <w:rsid w:val="0012689A"/>
    <w:rsid w:val="00172A80"/>
    <w:rsid w:val="001804D3"/>
    <w:rsid w:val="001A0412"/>
    <w:rsid w:val="001A19C7"/>
    <w:rsid w:val="001F3A08"/>
    <w:rsid w:val="002331FE"/>
    <w:rsid w:val="00266CFB"/>
    <w:rsid w:val="00275C96"/>
    <w:rsid w:val="00286A11"/>
    <w:rsid w:val="00292FF3"/>
    <w:rsid w:val="002D020A"/>
    <w:rsid w:val="002E6D93"/>
    <w:rsid w:val="0030285B"/>
    <w:rsid w:val="0030703E"/>
    <w:rsid w:val="00311DD8"/>
    <w:rsid w:val="0033471D"/>
    <w:rsid w:val="00337970"/>
    <w:rsid w:val="00362D94"/>
    <w:rsid w:val="003B0AF0"/>
    <w:rsid w:val="003C05BB"/>
    <w:rsid w:val="003C5B5A"/>
    <w:rsid w:val="003D5DE2"/>
    <w:rsid w:val="00413CFB"/>
    <w:rsid w:val="0042286E"/>
    <w:rsid w:val="00436D6E"/>
    <w:rsid w:val="0044020F"/>
    <w:rsid w:val="00471654"/>
    <w:rsid w:val="00483936"/>
    <w:rsid w:val="00490348"/>
    <w:rsid w:val="004B0501"/>
    <w:rsid w:val="004B64C6"/>
    <w:rsid w:val="004D1788"/>
    <w:rsid w:val="004E3A48"/>
    <w:rsid w:val="004E3D5A"/>
    <w:rsid w:val="005079FD"/>
    <w:rsid w:val="005130A1"/>
    <w:rsid w:val="00526C4A"/>
    <w:rsid w:val="0054595E"/>
    <w:rsid w:val="005460AD"/>
    <w:rsid w:val="00561BF0"/>
    <w:rsid w:val="00572F59"/>
    <w:rsid w:val="005770B8"/>
    <w:rsid w:val="00595639"/>
    <w:rsid w:val="005A2046"/>
    <w:rsid w:val="005A570B"/>
    <w:rsid w:val="005A6E53"/>
    <w:rsid w:val="005C76B9"/>
    <w:rsid w:val="005D00D6"/>
    <w:rsid w:val="005D0490"/>
    <w:rsid w:val="005F3EBF"/>
    <w:rsid w:val="005F4871"/>
    <w:rsid w:val="005F7358"/>
    <w:rsid w:val="00605B29"/>
    <w:rsid w:val="0062002C"/>
    <w:rsid w:val="00622810"/>
    <w:rsid w:val="00625D9F"/>
    <w:rsid w:val="00657CCF"/>
    <w:rsid w:val="006D2D7E"/>
    <w:rsid w:val="006D7D76"/>
    <w:rsid w:val="006E2EE9"/>
    <w:rsid w:val="006E496A"/>
    <w:rsid w:val="006E4A24"/>
    <w:rsid w:val="007261AA"/>
    <w:rsid w:val="00731754"/>
    <w:rsid w:val="00740194"/>
    <w:rsid w:val="00752C1E"/>
    <w:rsid w:val="00756491"/>
    <w:rsid w:val="00757D36"/>
    <w:rsid w:val="00771D84"/>
    <w:rsid w:val="0078156D"/>
    <w:rsid w:val="0079382E"/>
    <w:rsid w:val="007B06EC"/>
    <w:rsid w:val="007B58BE"/>
    <w:rsid w:val="007C2409"/>
    <w:rsid w:val="007C3DE7"/>
    <w:rsid w:val="007C433F"/>
    <w:rsid w:val="007E1937"/>
    <w:rsid w:val="007E2E2A"/>
    <w:rsid w:val="00804AAD"/>
    <w:rsid w:val="008342DE"/>
    <w:rsid w:val="00870149"/>
    <w:rsid w:val="00871CCF"/>
    <w:rsid w:val="008B43D1"/>
    <w:rsid w:val="008E2CB7"/>
    <w:rsid w:val="00900C12"/>
    <w:rsid w:val="00911A46"/>
    <w:rsid w:val="009164DF"/>
    <w:rsid w:val="00953BF8"/>
    <w:rsid w:val="00985319"/>
    <w:rsid w:val="009A7562"/>
    <w:rsid w:val="009D318B"/>
    <w:rsid w:val="009E1AF9"/>
    <w:rsid w:val="009E34C7"/>
    <w:rsid w:val="009F1DF4"/>
    <w:rsid w:val="00A53747"/>
    <w:rsid w:val="00A60D70"/>
    <w:rsid w:val="00A74F4D"/>
    <w:rsid w:val="00A82970"/>
    <w:rsid w:val="00AB3070"/>
    <w:rsid w:val="00AD03A4"/>
    <w:rsid w:val="00AD1023"/>
    <w:rsid w:val="00AE0227"/>
    <w:rsid w:val="00AE1304"/>
    <w:rsid w:val="00AF3344"/>
    <w:rsid w:val="00B06850"/>
    <w:rsid w:val="00B1706B"/>
    <w:rsid w:val="00B340ED"/>
    <w:rsid w:val="00B57BAB"/>
    <w:rsid w:val="00B909FA"/>
    <w:rsid w:val="00B97FF3"/>
    <w:rsid w:val="00BF3374"/>
    <w:rsid w:val="00BF6103"/>
    <w:rsid w:val="00C54179"/>
    <w:rsid w:val="00C73EC8"/>
    <w:rsid w:val="00CC24A4"/>
    <w:rsid w:val="00CD19D9"/>
    <w:rsid w:val="00D36146"/>
    <w:rsid w:val="00DC0D8C"/>
    <w:rsid w:val="00DE1A3A"/>
    <w:rsid w:val="00DF4ABF"/>
    <w:rsid w:val="00E112D4"/>
    <w:rsid w:val="00E13664"/>
    <w:rsid w:val="00E20208"/>
    <w:rsid w:val="00E5796D"/>
    <w:rsid w:val="00E72B34"/>
    <w:rsid w:val="00E74D70"/>
    <w:rsid w:val="00EB373A"/>
    <w:rsid w:val="00ED531E"/>
    <w:rsid w:val="00EE32BE"/>
    <w:rsid w:val="00EF0872"/>
    <w:rsid w:val="00F55727"/>
    <w:rsid w:val="00F61C9F"/>
    <w:rsid w:val="00F835F6"/>
    <w:rsid w:val="00F8583C"/>
    <w:rsid w:val="00F93191"/>
    <w:rsid w:val="00FA0D6B"/>
    <w:rsid w:val="00FA26DC"/>
    <w:rsid w:val="00FA41B7"/>
    <w:rsid w:val="00FD7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C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footnote text"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ED531E"/>
    <w:pPr>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D531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2EE9"/>
    <w:pPr>
      <w:jc w:val="left"/>
    </w:pPr>
  </w:style>
  <w:style w:type="paragraph" w:customStyle="1" w:styleId="singleindent">
    <w:name w:val="single indent"/>
    <w:basedOn w:val="NormalIndent"/>
    <w:rsid w:val="007E1937"/>
    <w:pPr>
      <w:spacing w:before="240"/>
      <w:ind w:right="720"/>
    </w:pPr>
    <w:rPr>
      <w:rFonts w:ascii="Times New Roman" w:eastAsia="Times New Roman" w:hAnsi="Times New Roman"/>
      <w:szCs w:val="24"/>
    </w:rPr>
  </w:style>
  <w:style w:type="paragraph" w:styleId="NormalIndent">
    <w:name w:val="Normal Indent"/>
    <w:basedOn w:val="Normal"/>
    <w:rsid w:val="007E193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footnote text"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C7"/>
    <w:pPr>
      <w:jc w:val="left"/>
    </w:pPr>
    <w:rPr>
      <w:rFonts w:ascii="Times" w:eastAsia="Times" w:hAnsi="Times" w:cs="Times New Roman"/>
      <w:sz w:val="24"/>
      <w:szCs w:val="20"/>
    </w:rPr>
  </w:style>
  <w:style w:type="paragraph" w:styleId="Heading1">
    <w:name w:val="heading 1"/>
    <w:basedOn w:val="Normal"/>
    <w:next w:val="Normal"/>
    <w:link w:val="Heading1Char"/>
    <w:rsid w:val="001A1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1A19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19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A19C7"/>
    <w:pPr>
      <w:spacing w:before="240"/>
    </w:pPr>
    <w:rPr>
      <w:szCs w:val="24"/>
    </w:rPr>
  </w:style>
  <w:style w:type="paragraph" w:styleId="ListParagraph">
    <w:name w:val="List Paragraph"/>
    <w:basedOn w:val="Normal"/>
    <w:link w:val="ListParagraphChar"/>
    <w:uiPriority w:val="34"/>
    <w:qFormat/>
    <w:rsid w:val="001A19C7"/>
    <w:pPr>
      <w:ind w:left="720"/>
      <w:contextualSpacing/>
    </w:pPr>
  </w:style>
  <w:style w:type="paragraph" w:styleId="Header">
    <w:name w:val="header"/>
    <w:basedOn w:val="Normal"/>
    <w:link w:val="HeaderChar"/>
    <w:uiPriority w:val="99"/>
    <w:unhideWhenUsed/>
    <w:rsid w:val="001A19C7"/>
    <w:pPr>
      <w:tabs>
        <w:tab w:val="center" w:pos="4680"/>
        <w:tab w:val="right" w:pos="9360"/>
      </w:tabs>
    </w:pPr>
  </w:style>
  <w:style w:type="character" w:customStyle="1" w:styleId="HeaderChar">
    <w:name w:val="Header Char"/>
    <w:basedOn w:val="DefaultParagraphFont"/>
    <w:link w:val="Header"/>
    <w:uiPriority w:val="99"/>
    <w:rsid w:val="001A19C7"/>
    <w:rPr>
      <w:rFonts w:ascii="Times" w:eastAsia="Times" w:hAnsi="Times" w:cs="Times New Roman"/>
      <w:sz w:val="24"/>
      <w:szCs w:val="20"/>
    </w:rPr>
  </w:style>
  <w:style w:type="paragraph" w:styleId="Footer">
    <w:name w:val="footer"/>
    <w:basedOn w:val="Normal"/>
    <w:link w:val="FooterChar"/>
    <w:unhideWhenUsed/>
    <w:rsid w:val="001A19C7"/>
    <w:pPr>
      <w:tabs>
        <w:tab w:val="center" w:pos="4680"/>
        <w:tab w:val="right" w:pos="9360"/>
      </w:tabs>
    </w:pPr>
  </w:style>
  <w:style w:type="character" w:customStyle="1" w:styleId="FooterChar">
    <w:name w:val="Footer Char"/>
    <w:basedOn w:val="DefaultParagraphFont"/>
    <w:link w:val="Footer"/>
    <w:uiPriority w:val="99"/>
    <w:rsid w:val="001A19C7"/>
    <w:rPr>
      <w:rFonts w:ascii="Times" w:eastAsia="Times" w:hAnsi="Times" w:cs="Times New Roman"/>
      <w:sz w:val="24"/>
      <w:szCs w:val="20"/>
    </w:rPr>
  </w:style>
  <w:style w:type="paragraph" w:customStyle="1" w:styleId="WashingtonParagraphs">
    <w:name w:val="Washington Paragraphs"/>
    <w:basedOn w:val="ListParagraph"/>
    <w:rsid w:val="001A19C7"/>
    <w:pPr>
      <w:numPr>
        <w:numId w:val="5"/>
      </w:numPr>
      <w:tabs>
        <w:tab w:val="left" w:pos="720"/>
        <w:tab w:val="left" w:pos="1440"/>
      </w:tabs>
      <w:spacing w:line="480" w:lineRule="auto"/>
      <w:jc w:val="both"/>
    </w:pPr>
    <w:rPr>
      <w:rFonts w:ascii="Times New Roman" w:hAnsi="Times New Roman"/>
    </w:rPr>
  </w:style>
  <w:style w:type="numbering" w:customStyle="1" w:styleId="Style2">
    <w:name w:val="Style2"/>
    <w:uiPriority w:val="99"/>
    <w:rsid w:val="001A19C7"/>
    <w:pPr>
      <w:numPr>
        <w:numId w:val="9"/>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nhideWhenUsed/>
    <w:qFormat/>
    <w:rsid w:val="001A19C7"/>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rsid w:val="001A19C7"/>
    <w:rPr>
      <w:rFonts w:ascii="Times New Roman" w:eastAsia="Times" w:hAnsi="Times New Roman" w:cs="Times New Roman"/>
      <w:sz w:val="20"/>
      <w:szCs w:val="20"/>
    </w:rPr>
  </w:style>
  <w:style w:type="character" w:styleId="FootnoteReference">
    <w:name w:val="footnote reference"/>
    <w:basedOn w:val="DefaultParagraphFont"/>
    <w:unhideWhenUsed/>
    <w:rsid w:val="001A19C7"/>
    <w:rPr>
      <w:vertAlign w:val="superscript"/>
    </w:rPr>
  </w:style>
  <w:style w:type="paragraph" w:styleId="BalloonText">
    <w:name w:val="Balloon Text"/>
    <w:basedOn w:val="Normal"/>
    <w:link w:val="BalloonTextChar"/>
    <w:uiPriority w:val="99"/>
    <w:semiHidden/>
    <w:unhideWhenUsed/>
    <w:rsid w:val="001A19C7"/>
    <w:rPr>
      <w:rFonts w:ascii="Tahoma" w:hAnsi="Tahoma"/>
      <w:sz w:val="16"/>
      <w:szCs w:val="16"/>
    </w:rPr>
  </w:style>
  <w:style w:type="character" w:customStyle="1" w:styleId="BalloonTextChar">
    <w:name w:val="Balloon Text Char"/>
    <w:basedOn w:val="DefaultParagraphFont"/>
    <w:link w:val="BalloonText"/>
    <w:uiPriority w:val="99"/>
    <w:semiHidden/>
    <w:rsid w:val="001A19C7"/>
    <w:rPr>
      <w:rFonts w:ascii="Tahoma" w:eastAsia="Times" w:hAnsi="Tahoma" w:cs="Times New Roman"/>
      <w:sz w:val="16"/>
      <w:szCs w:val="16"/>
    </w:rPr>
  </w:style>
  <w:style w:type="paragraph" w:styleId="NormalWeb">
    <w:name w:val="Normal (Web)"/>
    <w:basedOn w:val="Normal"/>
    <w:uiPriority w:val="99"/>
    <w:semiHidden/>
    <w:unhideWhenUsed/>
    <w:rsid w:val="001A19C7"/>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1A19C7"/>
    <w:rPr>
      <w:sz w:val="16"/>
      <w:szCs w:val="16"/>
    </w:rPr>
  </w:style>
  <w:style w:type="paragraph" w:styleId="CommentText">
    <w:name w:val="annotation text"/>
    <w:basedOn w:val="Normal"/>
    <w:link w:val="CommentTextChar"/>
    <w:uiPriority w:val="99"/>
    <w:semiHidden/>
    <w:unhideWhenUsed/>
    <w:rsid w:val="001A19C7"/>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A19C7"/>
    <w:rPr>
      <w:sz w:val="20"/>
      <w:szCs w:val="20"/>
    </w:rPr>
  </w:style>
  <w:style w:type="paragraph" w:styleId="CommentSubject">
    <w:name w:val="annotation subject"/>
    <w:basedOn w:val="CommentText"/>
    <w:next w:val="CommentText"/>
    <w:link w:val="CommentSubjectChar"/>
    <w:uiPriority w:val="99"/>
    <w:semiHidden/>
    <w:unhideWhenUsed/>
    <w:rsid w:val="001A19C7"/>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1A19C7"/>
    <w:rPr>
      <w:rFonts w:ascii="Times" w:eastAsia="Times" w:hAnsi="Times" w:cs="Times New Roman"/>
      <w:b/>
      <w:bCs/>
      <w:sz w:val="20"/>
      <w:szCs w:val="20"/>
    </w:rPr>
  </w:style>
  <w:style w:type="paragraph" w:styleId="TableofAuthorities">
    <w:name w:val="table of authorities"/>
    <w:basedOn w:val="Normal"/>
    <w:next w:val="Normal"/>
    <w:uiPriority w:val="99"/>
    <w:unhideWhenUsed/>
    <w:rsid w:val="001A19C7"/>
    <w:pPr>
      <w:ind w:left="240" w:hanging="240"/>
    </w:pPr>
    <w:rPr>
      <w:rFonts w:asciiTheme="minorHAnsi" w:hAnsiTheme="minorHAnsi" w:cstheme="minorHAnsi"/>
      <w:sz w:val="20"/>
    </w:rPr>
  </w:style>
  <w:style w:type="paragraph" w:styleId="TOAHeading">
    <w:name w:val="toa heading"/>
    <w:basedOn w:val="Normal"/>
    <w:next w:val="Normal"/>
    <w:uiPriority w:val="99"/>
    <w:unhideWhenUsed/>
    <w:rsid w:val="001A19C7"/>
    <w:pPr>
      <w:spacing w:before="240" w:after="120"/>
    </w:pPr>
    <w:rPr>
      <w:rFonts w:asciiTheme="minorHAnsi" w:hAnsiTheme="minorHAnsi" w:cstheme="minorHAnsi"/>
      <w:b/>
      <w:bCs/>
      <w:caps/>
      <w:sz w:val="20"/>
    </w:rPr>
  </w:style>
  <w:style w:type="character" w:styleId="Hyperlink">
    <w:name w:val="Hyperlink"/>
    <w:basedOn w:val="DefaultParagraphFont"/>
    <w:rsid w:val="001A19C7"/>
    <w:rPr>
      <w:color w:val="0000FF"/>
      <w:u w:val="single"/>
    </w:rPr>
  </w:style>
  <w:style w:type="paragraph" w:customStyle="1" w:styleId="plain">
    <w:name w:val="plain"/>
    <w:basedOn w:val="Normal"/>
    <w:rsid w:val="001A19C7"/>
    <w:pPr>
      <w:spacing w:line="240" w:lineRule="atLeast"/>
    </w:pPr>
    <w:rPr>
      <w:rFonts w:ascii="Times New Roman" w:eastAsia="Times New Roman" w:hAnsi="Times New Roman"/>
    </w:rPr>
  </w:style>
  <w:style w:type="paragraph" w:customStyle="1" w:styleId="normalblock">
    <w:name w:val="normal block"/>
    <w:basedOn w:val="Normal"/>
    <w:rsid w:val="001A19C7"/>
    <w:pPr>
      <w:spacing w:line="480" w:lineRule="atLeast"/>
    </w:pPr>
    <w:rPr>
      <w:rFonts w:ascii="Times New Roman" w:eastAsia="Times New Roman" w:hAnsi="Times New Roman"/>
    </w:rPr>
  </w:style>
  <w:style w:type="character" w:styleId="PageNumber">
    <w:name w:val="page number"/>
    <w:basedOn w:val="DefaultParagraphFont"/>
    <w:rsid w:val="001A19C7"/>
  </w:style>
  <w:style w:type="character" w:styleId="LineNumber">
    <w:name w:val="line number"/>
    <w:basedOn w:val="DefaultParagraphFont"/>
    <w:uiPriority w:val="99"/>
    <w:semiHidden/>
    <w:unhideWhenUsed/>
    <w:rsid w:val="001A19C7"/>
  </w:style>
  <w:style w:type="paragraph" w:customStyle="1" w:styleId="WAParagraph">
    <w:name w:val="WA Paragraph"/>
    <w:basedOn w:val="ListParagraph"/>
    <w:link w:val="WAParagraphChar"/>
    <w:qFormat/>
    <w:rsid w:val="001A19C7"/>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rsid w:val="001A19C7"/>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sid w:val="001A19C7"/>
    <w:rPr>
      <w:rFonts w:ascii="Times" w:eastAsia="Times" w:hAnsi="Times" w:cs="Times New Roman"/>
      <w:sz w:val="24"/>
      <w:szCs w:val="20"/>
    </w:rPr>
  </w:style>
  <w:style w:type="character" w:customStyle="1" w:styleId="WAParagraphChar">
    <w:name w:val="WA Paragraph Char"/>
    <w:basedOn w:val="ListParagraphChar"/>
    <w:link w:val="WAParagraph"/>
    <w:rsid w:val="001A19C7"/>
    <w:rPr>
      <w:rFonts w:ascii="Times New Roman" w:eastAsia="Times" w:hAnsi="Times New Roman" w:cs="Times New Roman"/>
      <w:sz w:val="24"/>
      <w:szCs w:val="24"/>
    </w:rPr>
  </w:style>
  <w:style w:type="paragraph" w:customStyle="1" w:styleId="WAP1">
    <w:name w:val="WA P1"/>
    <w:basedOn w:val="ListParagraph"/>
    <w:link w:val="WAP1Char"/>
    <w:qFormat/>
    <w:rsid w:val="00ED531E"/>
    <w:pPr>
      <w:numPr>
        <w:numId w:val="21"/>
      </w:numPr>
      <w:tabs>
        <w:tab w:val="clear" w:pos="360"/>
        <w:tab w:val="num" w:pos="720"/>
      </w:tabs>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sid w:val="001A19C7"/>
    <w:rPr>
      <w:rFonts w:ascii="Times New Roman" w:eastAsia="Times" w:hAnsi="Times New Roman" w:cs="Times New Roman"/>
      <w:bCs/>
      <w:iCs/>
      <w:color w:val="000000"/>
      <w:sz w:val="24"/>
      <w:szCs w:val="24"/>
    </w:rPr>
  </w:style>
  <w:style w:type="table" w:styleId="TableGrid">
    <w:name w:val="Table Grid"/>
    <w:basedOn w:val="TableNormal"/>
    <w:uiPriority w:val="59"/>
    <w:rsid w:val="001A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D531E"/>
    <w:rPr>
      <w:rFonts w:ascii="Times New Roman" w:eastAsia="Times" w:hAnsi="Times New Roman" w:cs="Times New Roman"/>
      <w:sz w:val="24"/>
      <w:szCs w:val="24"/>
    </w:rPr>
  </w:style>
  <w:style w:type="paragraph" w:customStyle="1" w:styleId="H2">
    <w:name w:val="H2"/>
    <w:basedOn w:val="Normal"/>
    <w:link w:val="H2Char"/>
    <w:qFormat/>
    <w:rsid w:val="00F93191"/>
    <w:pPr>
      <w:keepNext/>
      <w:tabs>
        <w:tab w:val="left" w:pos="0"/>
      </w:tabs>
      <w:spacing w:line="480" w:lineRule="auto"/>
      <w:ind w:left="720" w:hanging="720"/>
    </w:pPr>
    <w:rPr>
      <w:rFonts w:ascii="Times New Roman" w:hAnsi="Times New Roman"/>
      <w:b/>
      <w:szCs w:val="24"/>
    </w:rPr>
  </w:style>
  <w:style w:type="paragraph" w:customStyle="1" w:styleId="H1">
    <w:name w:val="H1"/>
    <w:basedOn w:val="Normal"/>
    <w:link w:val="H1Char"/>
    <w:qFormat/>
    <w:rsid w:val="0042286E"/>
    <w:pPr>
      <w:numPr>
        <w:numId w:val="18"/>
      </w:numPr>
      <w:tabs>
        <w:tab w:val="left" w:pos="0"/>
      </w:tabs>
      <w:spacing w:line="480" w:lineRule="auto"/>
      <w:ind w:left="0" w:firstLine="0"/>
      <w:jc w:val="center"/>
    </w:pPr>
    <w:rPr>
      <w:rFonts w:ascii="Times New Roman" w:hAnsi="Times New Roman"/>
      <w:b/>
      <w:szCs w:val="24"/>
    </w:rPr>
  </w:style>
  <w:style w:type="character" w:customStyle="1" w:styleId="H2Char">
    <w:name w:val="H2 Char"/>
    <w:basedOn w:val="DefaultParagraphFont"/>
    <w:link w:val="H2"/>
    <w:rsid w:val="00F93191"/>
    <w:rPr>
      <w:rFonts w:ascii="Times New Roman" w:eastAsia="Times" w:hAnsi="Times New Roman" w:cs="Times New Roman"/>
      <w:b/>
      <w:sz w:val="24"/>
      <w:szCs w:val="24"/>
    </w:rPr>
  </w:style>
  <w:style w:type="paragraph" w:customStyle="1" w:styleId="H3">
    <w:name w:val="H3"/>
    <w:basedOn w:val="Normal"/>
    <w:link w:val="H3Char"/>
    <w:qFormat/>
    <w:rsid w:val="00F93191"/>
    <w:pPr>
      <w:keepNext/>
      <w:spacing w:line="480" w:lineRule="auto"/>
      <w:ind w:left="1440" w:hanging="720"/>
    </w:pPr>
    <w:rPr>
      <w:rFonts w:ascii="Times New Roman" w:hAnsi="Times New Roman"/>
      <w:b/>
      <w:szCs w:val="24"/>
    </w:rPr>
  </w:style>
  <w:style w:type="character" w:customStyle="1" w:styleId="H1Char">
    <w:name w:val="H1 Char"/>
    <w:basedOn w:val="DefaultParagraphFont"/>
    <w:link w:val="H1"/>
    <w:rsid w:val="0042286E"/>
    <w:rPr>
      <w:rFonts w:ascii="Times New Roman" w:eastAsia="Times" w:hAnsi="Times New Roman" w:cs="Times New Roman"/>
      <w:b/>
      <w:sz w:val="24"/>
      <w:szCs w:val="24"/>
    </w:rPr>
  </w:style>
  <w:style w:type="character" w:customStyle="1" w:styleId="H3Char">
    <w:name w:val="H3 Char"/>
    <w:basedOn w:val="DefaultParagraphFont"/>
    <w:link w:val="H3"/>
    <w:rsid w:val="00F93191"/>
    <w:rPr>
      <w:rFonts w:ascii="Times New Roman" w:eastAsia="Times" w:hAnsi="Times New Roman" w:cs="Times New Roman"/>
      <w:b/>
      <w:sz w:val="24"/>
      <w:szCs w:val="24"/>
    </w:rPr>
  </w:style>
  <w:style w:type="paragraph" w:styleId="Revision">
    <w:name w:val="Revision"/>
    <w:hidden/>
    <w:uiPriority w:val="99"/>
    <w:semiHidden/>
    <w:rsid w:val="001A19C7"/>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sid w:val="001A19C7"/>
    <w:rPr>
      <w:rFonts w:ascii="Tahoma" w:hAnsi="Tahoma" w:cs="Tahoma"/>
      <w:sz w:val="16"/>
      <w:szCs w:val="16"/>
    </w:rPr>
  </w:style>
  <w:style w:type="character" w:customStyle="1" w:styleId="DocumentMapChar">
    <w:name w:val="Document Map Char"/>
    <w:basedOn w:val="DefaultParagraphFont"/>
    <w:link w:val="DocumentMap"/>
    <w:uiPriority w:val="99"/>
    <w:semiHidden/>
    <w:rsid w:val="001A19C7"/>
    <w:rPr>
      <w:rFonts w:ascii="Tahoma" w:eastAsia="Times" w:hAnsi="Tahoma" w:cs="Tahoma"/>
      <w:sz w:val="16"/>
      <w:szCs w:val="16"/>
    </w:rPr>
  </w:style>
  <w:style w:type="character" w:customStyle="1" w:styleId="Heading3Char">
    <w:name w:val="Heading 3 Char"/>
    <w:basedOn w:val="DefaultParagraphFont"/>
    <w:link w:val="Heading3"/>
    <w:uiPriority w:val="9"/>
    <w:rsid w:val="001A19C7"/>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rsid w:val="001A19C7"/>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rsid w:val="001A19C7"/>
    <w:pPr>
      <w:keepNext/>
      <w:keepLines/>
      <w:spacing w:after="240"/>
    </w:pPr>
    <w:rPr>
      <w:rFonts w:ascii="Times New Roman" w:eastAsia="Times New Roman" w:hAnsi="Times New Roman"/>
      <w:b/>
      <w:smallCaps/>
      <w:szCs w:val="24"/>
    </w:rPr>
  </w:style>
  <w:style w:type="paragraph" w:customStyle="1" w:styleId="BATOAEntry">
    <w:name w:val="BA TOA Entry"/>
    <w:basedOn w:val="Normal"/>
    <w:rsid w:val="001A19C7"/>
    <w:pPr>
      <w:keepLines/>
      <w:tabs>
        <w:tab w:val="right" w:leader="dot" w:pos="9360"/>
      </w:tabs>
      <w:spacing w:after="240"/>
      <w:ind w:left="360" w:right="720" w:hanging="360"/>
    </w:pPr>
    <w:rPr>
      <w:rFonts w:ascii="Times New Roman" w:eastAsia="Times New Roman" w:hAnsi="Times New Roman"/>
      <w:szCs w:val="24"/>
    </w:rPr>
  </w:style>
  <w:style w:type="paragraph" w:customStyle="1" w:styleId="BADraft">
    <w:name w:val="BA Draft"/>
    <w:basedOn w:val="BodyText"/>
    <w:rsid w:val="001A19C7"/>
    <w:pPr>
      <w:keepLines/>
      <w:widowControl w:val="0"/>
      <w:spacing w:after="0"/>
    </w:pPr>
    <w:rPr>
      <w:rFonts w:ascii="Times New Roman" w:eastAsia="Times New Roman" w:hAnsi="Times New Roman"/>
      <w:szCs w:val="24"/>
    </w:rPr>
  </w:style>
  <w:style w:type="paragraph" w:styleId="BodyText">
    <w:name w:val="Body Text"/>
    <w:basedOn w:val="Normal"/>
    <w:link w:val="BodyTextChar"/>
    <w:rsid w:val="001A19C7"/>
    <w:pPr>
      <w:spacing w:after="120"/>
    </w:pPr>
  </w:style>
  <w:style w:type="character" w:customStyle="1" w:styleId="BodyTextChar">
    <w:name w:val="Body Text Char"/>
    <w:basedOn w:val="DefaultParagraphFont"/>
    <w:link w:val="BodyText"/>
    <w:rsid w:val="001A19C7"/>
    <w:rPr>
      <w:rFonts w:ascii="Times" w:eastAsia="Times" w:hAnsi="Times" w:cs="Times New Roman"/>
      <w:sz w:val="24"/>
      <w:szCs w:val="20"/>
    </w:rPr>
  </w:style>
  <w:style w:type="paragraph" w:customStyle="1" w:styleId="BATOATitle">
    <w:name w:val="BA TOA Title"/>
    <w:basedOn w:val="Normal"/>
    <w:rsid w:val="001A19C7"/>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rsid w:val="001A19C7"/>
    <w:pPr>
      <w:tabs>
        <w:tab w:val="left" w:pos="720"/>
        <w:tab w:val="right" w:leader="dot" w:pos="9350"/>
      </w:tabs>
      <w:spacing w:after="100"/>
    </w:pPr>
  </w:style>
  <w:style w:type="paragraph" w:styleId="TOC9">
    <w:name w:val="toc 9"/>
    <w:basedOn w:val="Normal"/>
    <w:next w:val="Normal"/>
    <w:autoRedefine/>
    <w:rsid w:val="001A19C7"/>
    <w:pPr>
      <w:spacing w:after="100"/>
      <w:ind w:left="1920"/>
    </w:pPr>
  </w:style>
  <w:style w:type="character" w:customStyle="1" w:styleId="Heading1Char">
    <w:name w:val="Heading 1 Char"/>
    <w:basedOn w:val="DefaultParagraphFont"/>
    <w:link w:val="Heading1"/>
    <w:rsid w:val="001A19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19C7"/>
    <w:pPr>
      <w:spacing w:line="276" w:lineRule="auto"/>
      <w:outlineLvl w:val="9"/>
    </w:pPr>
  </w:style>
  <w:style w:type="paragraph" w:styleId="TOC2">
    <w:name w:val="toc 2"/>
    <w:basedOn w:val="Normal"/>
    <w:next w:val="Normal"/>
    <w:autoRedefine/>
    <w:uiPriority w:val="39"/>
    <w:unhideWhenUsed/>
    <w:qFormat/>
    <w:rsid w:val="001A19C7"/>
    <w:pPr>
      <w:tabs>
        <w:tab w:val="left" w:pos="1080"/>
        <w:tab w:val="right" w:leader="dot" w:pos="9350"/>
      </w:tabs>
      <w:spacing w:after="100" w:line="276" w:lineRule="auto"/>
      <w:ind w:left="1080" w:hanging="45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rsid w:val="001A19C7"/>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rsid w:val="001A19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E2EE9"/>
    <w:pPr>
      <w:jc w:val="left"/>
    </w:pPr>
  </w:style>
  <w:style w:type="paragraph" w:customStyle="1" w:styleId="singleindent">
    <w:name w:val="single indent"/>
    <w:basedOn w:val="NormalIndent"/>
    <w:rsid w:val="007E1937"/>
    <w:pPr>
      <w:spacing w:before="240"/>
      <w:ind w:right="720"/>
    </w:pPr>
    <w:rPr>
      <w:rFonts w:ascii="Times New Roman" w:eastAsia="Times New Roman" w:hAnsi="Times New Roman"/>
      <w:szCs w:val="24"/>
    </w:rPr>
  </w:style>
  <w:style w:type="paragraph" w:styleId="NormalIndent">
    <w:name w:val="Normal Indent"/>
    <w:basedOn w:val="Normal"/>
    <w:rsid w:val="007E19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1158">
      <w:bodyDiv w:val="1"/>
      <w:marLeft w:val="0"/>
      <w:marRight w:val="0"/>
      <w:marTop w:val="0"/>
      <w:marBottom w:val="0"/>
      <w:divBdr>
        <w:top w:val="none" w:sz="0" w:space="0" w:color="auto"/>
        <w:left w:val="none" w:sz="0" w:space="0" w:color="auto"/>
        <w:bottom w:val="none" w:sz="0" w:space="0" w:color="auto"/>
        <w:right w:val="none" w:sz="0" w:space="0" w:color="auto"/>
      </w:divBdr>
    </w:div>
    <w:div w:id="491915380">
      <w:bodyDiv w:val="1"/>
      <w:marLeft w:val="0"/>
      <w:marRight w:val="0"/>
      <w:marTop w:val="0"/>
      <w:marBottom w:val="0"/>
      <w:divBdr>
        <w:top w:val="none" w:sz="0" w:space="0" w:color="auto"/>
        <w:left w:val="none" w:sz="0" w:space="0" w:color="auto"/>
        <w:bottom w:val="none" w:sz="0" w:space="0" w:color="auto"/>
        <w:right w:val="none" w:sz="0" w:space="0" w:color="auto"/>
      </w:divBdr>
    </w:div>
    <w:div w:id="525216969">
      <w:bodyDiv w:val="1"/>
      <w:marLeft w:val="0"/>
      <w:marRight w:val="0"/>
      <w:marTop w:val="0"/>
      <w:marBottom w:val="0"/>
      <w:divBdr>
        <w:top w:val="none" w:sz="0" w:space="0" w:color="auto"/>
        <w:left w:val="none" w:sz="0" w:space="0" w:color="auto"/>
        <w:bottom w:val="none" w:sz="0" w:space="0" w:color="auto"/>
        <w:right w:val="none" w:sz="0" w:space="0" w:color="auto"/>
      </w:divBdr>
    </w:div>
    <w:div w:id="636103408">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390498832">
      <w:bodyDiv w:val="1"/>
      <w:marLeft w:val="0"/>
      <w:marRight w:val="0"/>
      <w:marTop w:val="0"/>
      <w:marBottom w:val="0"/>
      <w:divBdr>
        <w:top w:val="none" w:sz="0" w:space="0" w:color="auto"/>
        <w:left w:val="none" w:sz="0" w:space="0" w:color="auto"/>
        <w:bottom w:val="none" w:sz="0" w:space="0" w:color="auto"/>
        <w:right w:val="none" w:sz="0" w:space="0" w:color="auto"/>
      </w:divBdr>
    </w:div>
    <w:div w:id="1504975719">
      <w:bodyDiv w:val="1"/>
      <w:marLeft w:val="0"/>
      <w:marRight w:val="0"/>
      <w:marTop w:val="0"/>
      <w:marBottom w:val="0"/>
      <w:divBdr>
        <w:top w:val="none" w:sz="0" w:space="0" w:color="auto"/>
        <w:left w:val="none" w:sz="0" w:space="0" w:color="auto"/>
        <w:bottom w:val="none" w:sz="0" w:space="0" w:color="auto"/>
        <w:right w:val="none" w:sz="0" w:space="0" w:color="auto"/>
      </w:divBdr>
    </w:div>
    <w:div w:id="1549025861">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46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eri.maynard@ps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mailto:ken.s.johnson@pse.com"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Amendment</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140</IndustryCode>
    <CaseStatus xmlns="dc463f71-b30c-4ab2-9473-d307f9d35888">Closed</CaseStatus>
    <OpenedDate xmlns="dc463f71-b30c-4ab2-9473-d307f9d35888">2016-04-01T07:00:00+00:00</OpenedDate>
    <Date1 xmlns="dc463f71-b30c-4ab2-9473-d307f9d35888">2016-04-20T07:00:00+00:00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DE60D55E296047961C61F522780DE1" ma:contentTypeVersion="104" ma:contentTypeDescription="" ma:contentTypeScope="" ma:versionID="61f05f6df1fa3443bd905623b6ff2c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704BCD3-3F14-4AFE-AB4C-210066D9C4B9}"/>
</file>

<file path=customXml/itemProps2.xml><?xml version="1.0" encoding="utf-8"?>
<ds:datastoreItem xmlns:ds="http://schemas.openxmlformats.org/officeDocument/2006/customXml" ds:itemID="{F301219D-DE7D-4B50-B6CA-F75990DD0FBA}"/>
</file>

<file path=customXml/itemProps3.xml><?xml version="1.0" encoding="utf-8"?>
<ds:datastoreItem xmlns:ds="http://schemas.openxmlformats.org/officeDocument/2006/customXml" ds:itemID="{B02CAD09-83CF-4AEB-9362-5E7076442534}"/>
</file>

<file path=customXml/itemProps4.xml><?xml version="1.0" encoding="utf-8"?>
<ds:datastoreItem xmlns:ds="http://schemas.openxmlformats.org/officeDocument/2006/customXml" ds:itemID="{7D95D48B-2B8C-408A-BB60-4D263D45E144}"/>
</file>

<file path=docProps/app.xml><?xml version="1.0" encoding="utf-8"?>
<Properties xmlns="http://schemas.openxmlformats.org/officeDocument/2006/extended-properties" xmlns:vt="http://schemas.openxmlformats.org/officeDocument/2006/docPropsVTypes">
  <Template>Normal.dotm</Template>
  <TotalTime>0</TotalTime>
  <Pages>9</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2016-04-20T22:04:00Z</dcterms:created>
  <dcterms:modified xsi:type="dcterms:W3CDTF">2016-04-20T22:10:00Z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GEAAO+/T9t20xwm4eo2qPF+YrFuIXanyFsGKImPaiOdML/2rkZTN5vVzX+oiLEJKA5vLGnZmT22ZWg3u
slGj7Xuzt8G9ycoOHSrJk2W4yK9KcDzB7XSNg60KJKKmOTyMDb7LF5VymlK+OceAi2e+e4mVCF+s
sJaK+xm0z3vj8mLQFhXCPJnWZ5EwHB0Q2jS7xL90M7DLbxkj6eBlBLUSoMjA0kF4ETunq2ui7qMt
Sh0vUyyyBkY++2Feu</vt:lpwstr>
  </property>
  <property fmtid="{D5CDD505-2E9C-101B-9397-08002B2CF9AE}" pid="3" name="MAIL_MSG_ID2">
    <vt:lpwstr>7bgIXNL7nay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0x0101006E56B4D1795A2E4DB2F0B01679ED314A00B7DE60D55E296047961C61F522780DE1</vt:lpwstr>
  </property>
  <property fmtid="{D5CDD505-2E9C-101B-9397-08002B2CF9AE}" pid="7" name="_docset_NoMedatataSyncRequired">
    <vt:lpwstr>False</vt:lpwstr>
  </property>
</Properties>
</file>