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7374F" w14:textId="77777777" w:rsidR="0000339A" w:rsidRDefault="0000339A" w:rsidP="0000339A">
      <w:bookmarkStart w:id="0" w:name="_GoBack"/>
      <w:bookmarkEnd w:id="0"/>
      <w:r>
        <w:t>June 23, 2016</w:t>
      </w:r>
    </w:p>
    <w:p w14:paraId="71E1AB16" w14:textId="77777777" w:rsidR="0000339A" w:rsidRDefault="0000339A" w:rsidP="0000339A"/>
    <w:p w14:paraId="25994C3B" w14:textId="77777777" w:rsidR="0000339A" w:rsidRDefault="0000339A" w:rsidP="0000339A"/>
    <w:p w14:paraId="050E41BD" w14:textId="77777777" w:rsidR="0000339A" w:rsidRDefault="0000339A" w:rsidP="0000339A"/>
    <w:p w14:paraId="796D5F94" w14:textId="0FC4BC7A" w:rsidR="0000339A" w:rsidRDefault="0000339A" w:rsidP="0000339A">
      <w:r>
        <w:t>Thomas A</w:t>
      </w:r>
      <w:r w:rsidR="001B39A4">
        <w:t>.</w:t>
      </w:r>
      <w:r>
        <w:t xml:space="preserve"> Boatman</w:t>
      </w:r>
    </w:p>
    <w:p w14:paraId="73F8A2E1" w14:textId="77777777" w:rsidR="0000339A" w:rsidRDefault="0000339A" w:rsidP="0000339A">
      <w:r>
        <w:t>Jefferson County Department of Public Works</w:t>
      </w:r>
    </w:p>
    <w:p w14:paraId="248D8428" w14:textId="77777777" w:rsidR="0000339A" w:rsidRDefault="0000339A" w:rsidP="0000339A">
      <w:r>
        <w:t>Solid Waste Manager</w:t>
      </w:r>
    </w:p>
    <w:p w14:paraId="6413B417" w14:textId="77777777" w:rsidR="0000339A" w:rsidRDefault="0000339A" w:rsidP="0000339A">
      <w:r>
        <w:t>263 Sheridan St.</w:t>
      </w:r>
    </w:p>
    <w:p w14:paraId="62F0D415" w14:textId="5802CB10" w:rsidR="0000339A" w:rsidRDefault="0000339A" w:rsidP="0000339A">
      <w:r>
        <w:t>Port Townsend, WA  98368</w:t>
      </w:r>
    </w:p>
    <w:p w14:paraId="4C0521E3" w14:textId="77777777" w:rsidR="0000339A" w:rsidRDefault="0000339A" w:rsidP="0000339A"/>
    <w:p w14:paraId="5B27C30E" w14:textId="77777777" w:rsidR="0000339A" w:rsidRDefault="0000339A" w:rsidP="0000339A">
      <w:pPr>
        <w:rPr>
          <w:b/>
        </w:rPr>
      </w:pPr>
      <w:r w:rsidRPr="00CB4346">
        <w:rPr>
          <w:b/>
        </w:rPr>
        <w:t>RE:</w:t>
      </w:r>
      <w:r>
        <w:rPr>
          <w:b/>
        </w:rPr>
        <w:tab/>
      </w:r>
      <w:r w:rsidRPr="00CB4346">
        <w:rPr>
          <w:b/>
        </w:rPr>
        <w:t xml:space="preserve">Jefferson County Comprehensive Solid Waste Management Plan </w:t>
      </w:r>
      <w:r>
        <w:rPr>
          <w:b/>
        </w:rPr>
        <w:t xml:space="preserve">Revised Cost                  </w:t>
      </w:r>
    </w:p>
    <w:p w14:paraId="7BF1EFC2" w14:textId="12BC0F22" w:rsidR="0000339A" w:rsidRPr="00CB4346" w:rsidRDefault="0000339A" w:rsidP="0000339A">
      <w:pPr>
        <w:rPr>
          <w:b/>
        </w:rPr>
      </w:pPr>
      <w:r>
        <w:rPr>
          <w:b/>
        </w:rPr>
        <w:tab/>
        <w:t xml:space="preserve">Assessment Questionnaire </w:t>
      </w:r>
      <w:r w:rsidRPr="00CB4346">
        <w:rPr>
          <w:b/>
        </w:rPr>
        <w:t>TG-160343</w:t>
      </w:r>
    </w:p>
    <w:p w14:paraId="0B87CDB5" w14:textId="77777777" w:rsidR="0000339A" w:rsidRDefault="0000339A" w:rsidP="0000339A"/>
    <w:p w14:paraId="73EB3F57" w14:textId="77777777" w:rsidR="0000339A" w:rsidRDefault="0000339A" w:rsidP="0000339A">
      <w:r>
        <w:t>Dear Mr. Boatman:</w:t>
      </w:r>
    </w:p>
    <w:p w14:paraId="22E9DB5A" w14:textId="77777777" w:rsidR="0000339A" w:rsidRDefault="0000339A" w:rsidP="0000339A"/>
    <w:p w14:paraId="0090D128" w14:textId="77777777" w:rsidR="0000339A" w:rsidRDefault="0000339A" w:rsidP="0000339A">
      <w:r>
        <w:t xml:space="preserve">The Washington Utilities and Transportation Commission (commission) has completed its review of the revised cost assessment questionnaire for the preliminary draft of the Jefferson County Comprehensive Solid Waste Management Plan Update (Plan), submitted May 20, 2016.  The county revised the cost assessment questionnaire in the Plan due to a mistake in the way that future tipping fee increases were originally shown.  </w:t>
      </w:r>
    </w:p>
    <w:p w14:paraId="4EB4AD9E" w14:textId="77777777" w:rsidR="0000339A" w:rsidRDefault="0000339A" w:rsidP="0000339A"/>
    <w:p w14:paraId="0475682F" w14:textId="0D06FB95" w:rsidR="0000339A" w:rsidRDefault="0000339A" w:rsidP="0000339A">
      <w:r>
        <w:t>The revised cost assessment questionnaire in the 2016 – 2021 Plan proposes to increase tip fees from 2016 to 2019. As a result, there will be a rate impact to ratepayers served by regulated solid waste collection companies in Jefferson County.</w:t>
      </w:r>
    </w:p>
    <w:p w14:paraId="272A9397" w14:textId="77777777" w:rsidR="0000339A" w:rsidRDefault="0000339A" w:rsidP="0000339A"/>
    <w:tbl>
      <w:tblPr>
        <w:tblStyle w:val="PlainTable5"/>
        <w:tblW w:w="10080" w:type="dxa"/>
        <w:tblLayout w:type="fixed"/>
        <w:tblLook w:val="04A0" w:firstRow="1" w:lastRow="0" w:firstColumn="1" w:lastColumn="0" w:noHBand="0" w:noVBand="1"/>
      </w:tblPr>
      <w:tblGrid>
        <w:gridCol w:w="2696"/>
        <w:gridCol w:w="1078"/>
        <w:gridCol w:w="1078"/>
        <w:gridCol w:w="1078"/>
        <w:gridCol w:w="1085"/>
        <w:gridCol w:w="1080"/>
        <w:gridCol w:w="1085"/>
        <w:gridCol w:w="900"/>
      </w:tblGrid>
      <w:tr w:rsidR="0000339A" w:rsidRPr="00202A3B" w14:paraId="03FF79FD" w14:textId="77777777" w:rsidTr="008117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6" w:type="dxa"/>
          </w:tcPr>
          <w:p w14:paraId="276CCA65" w14:textId="77777777" w:rsidR="0000339A" w:rsidRPr="00202A3B" w:rsidRDefault="0000339A" w:rsidP="00F06270">
            <w:pPr>
              <w:rPr>
                <w:sz w:val="22"/>
              </w:rPr>
            </w:pPr>
          </w:p>
        </w:tc>
        <w:tc>
          <w:tcPr>
            <w:tcW w:w="1078" w:type="dxa"/>
          </w:tcPr>
          <w:p w14:paraId="139D438F" w14:textId="77777777" w:rsidR="0000339A" w:rsidRPr="00202A3B" w:rsidRDefault="0000339A" w:rsidP="00F06270">
            <w:pPr>
              <w:jc w:val="center"/>
              <w:cnfStyle w:val="100000000000" w:firstRow="1" w:lastRow="0" w:firstColumn="0" w:lastColumn="0" w:oddVBand="0" w:evenVBand="0" w:oddHBand="0" w:evenHBand="0" w:firstRowFirstColumn="0" w:firstRowLastColumn="0" w:lastRowFirstColumn="0" w:lastRowLastColumn="0"/>
              <w:rPr>
                <w:b/>
                <w:sz w:val="22"/>
              </w:rPr>
            </w:pPr>
            <w:r w:rsidRPr="00202A3B">
              <w:rPr>
                <w:b/>
                <w:sz w:val="22"/>
              </w:rPr>
              <w:t>2016</w:t>
            </w:r>
          </w:p>
        </w:tc>
        <w:tc>
          <w:tcPr>
            <w:tcW w:w="1078" w:type="dxa"/>
          </w:tcPr>
          <w:p w14:paraId="133587A3" w14:textId="77777777" w:rsidR="0000339A" w:rsidRPr="00202A3B" w:rsidRDefault="0000339A" w:rsidP="00F06270">
            <w:pPr>
              <w:jc w:val="center"/>
              <w:cnfStyle w:val="100000000000" w:firstRow="1" w:lastRow="0" w:firstColumn="0" w:lastColumn="0" w:oddVBand="0" w:evenVBand="0" w:oddHBand="0" w:evenHBand="0" w:firstRowFirstColumn="0" w:firstRowLastColumn="0" w:lastRowFirstColumn="0" w:lastRowLastColumn="0"/>
              <w:rPr>
                <w:b/>
                <w:sz w:val="22"/>
              </w:rPr>
            </w:pPr>
            <w:r w:rsidRPr="00202A3B">
              <w:rPr>
                <w:b/>
                <w:sz w:val="22"/>
              </w:rPr>
              <w:t>2017</w:t>
            </w:r>
          </w:p>
        </w:tc>
        <w:tc>
          <w:tcPr>
            <w:tcW w:w="1078" w:type="dxa"/>
          </w:tcPr>
          <w:p w14:paraId="07A14505" w14:textId="77777777" w:rsidR="0000339A" w:rsidRPr="00202A3B" w:rsidRDefault="0000339A" w:rsidP="00F06270">
            <w:pPr>
              <w:jc w:val="center"/>
              <w:cnfStyle w:val="100000000000" w:firstRow="1" w:lastRow="0" w:firstColumn="0" w:lastColumn="0" w:oddVBand="0" w:evenVBand="0" w:oddHBand="0" w:evenHBand="0" w:firstRowFirstColumn="0" w:firstRowLastColumn="0" w:lastRowFirstColumn="0" w:lastRowLastColumn="0"/>
              <w:rPr>
                <w:b/>
                <w:sz w:val="22"/>
              </w:rPr>
            </w:pPr>
            <w:r w:rsidRPr="00202A3B">
              <w:rPr>
                <w:b/>
                <w:sz w:val="22"/>
              </w:rPr>
              <w:t>2018</w:t>
            </w:r>
          </w:p>
        </w:tc>
        <w:tc>
          <w:tcPr>
            <w:tcW w:w="1085" w:type="dxa"/>
          </w:tcPr>
          <w:p w14:paraId="50E18B43" w14:textId="77777777" w:rsidR="0000339A" w:rsidRPr="00202A3B" w:rsidRDefault="0000339A" w:rsidP="00F06270">
            <w:pPr>
              <w:jc w:val="center"/>
              <w:cnfStyle w:val="100000000000" w:firstRow="1" w:lastRow="0" w:firstColumn="0" w:lastColumn="0" w:oddVBand="0" w:evenVBand="0" w:oddHBand="0" w:evenHBand="0" w:firstRowFirstColumn="0" w:firstRowLastColumn="0" w:lastRowFirstColumn="0" w:lastRowLastColumn="0"/>
              <w:rPr>
                <w:b/>
                <w:sz w:val="22"/>
              </w:rPr>
            </w:pPr>
            <w:r w:rsidRPr="00202A3B">
              <w:rPr>
                <w:b/>
                <w:sz w:val="22"/>
              </w:rPr>
              <w:t>2019</w:t>
            </w:r>
          </w:p>
        </w:tc>
        <w:tc>
          <w:tcPr>
            <w:tcW w:w="1080" w:type="dxa"/>
          </w:tcPr>
          <w:p w14:paraId="77A856E3" w14:textId="77777777" w:rsidR="0000339A" w:rsidRPr="00202A3B" w:rsidRDefault="0000339A" w:rsidP="00F06270">
            <w:pPr>
              <w:jc w:val="center"/>
              <w:cnfStyle w:val="100000000000" w:firstRow="1" w:lastRow="0" w:firstColumn="0" w:lastColumn="0" w:oddVBand="0" w:evenVBand="0" w:oddHBand="0" w:evenHBand="0" w:firstRowFirstColumn="0" w:firstRowLastColumn="0" w:lastRowFirstColumn="0" w:lastRowLastColumn="0"/>
              <w:rPr>
                <w:b/>
                <w:sz w:val="22"/>
              </w:rPr>
            </w:pPr>
            <w:r w:rsidRPr="00202A3B">
              <w:rPr>
                <w:b/>
                <w:sz w:val="22"/>
              </w:rPr>
              <w:t>2020</w:t>
            </w:r>
          </w:p>
        </w:tc>
        <w:tc>
          <w:tcPr>
            <w:tcW w:w="1085" w:type="dxa"/>
          </w:tcPr>
          <w:p w14:paraId="101A4298" w14:textId="77777777" w:rsidR="0000339A" w:rsidRPr="00202A3B" w:rsidRDefault="0000339A" w:rsidP="00F06270">
            <w:pPr>
              <w:jc w:val="center"/>
              <w:cnfStyle w:val="100000000000" w:firstRow="1" w:lastRow="0" w:firstColumn="0" w:lastColumn="0" w:oddVBand="0" w:evenVBand="0" w:oddHBand="0" w:evenHBand="0" w:firstRowFirstColumn="0" w:firstRowLastColumn="0" w:lastRowFirstColumn="0" w:lastRowLastColumn="0"/>
              <w:rPr>
                <w:b/>
                <w:sz w:val="22"/>
              </w:rPr>
            </w:pPr>
            <w:r w:rsidRPr="00202A3B">
              <w:rPr>
                <w:b/>
                <w:sz w:val="22"/>
              </w:rPr>
              <w:t>2021</w:t>
            </w:r>
          </w:p>
        </w:tc>
        <w:tc>
          <w:tcPr>
            <w:tcW w:w="895" w:type="dxa"/>
          </w:tcPr>
          <w:p w14:paraId="5A798C12" w14:textId="77777777" w:rsidR="0000339A" w:rsidRPr="00202A3B" w:rsidRDefault="0000339A" w:rsidP="00F06270">
            <w:pPr>
              <w:jc w:val="center"/>
              <w:cnfStyle w:val="100000000000" w:firstRow="1" w:lastRow="0" w:firstColumn="0" w:lastColumn="0" w:oddVBand="0" w:evenVBand="0" w:oddHBand="0" w:evenHBand="0" w:firstRowFirstColumn="0" w:firstRowLastColumn="0" w:lastRowFirstColumn="0" w:lastRowLastColumn="0"/>
              <w:rPr>
                <w:b/>
                <w:sz w:val="22"/>
              </w:rPr>
            </w:pPr>
            <w:r w:rsidRPr="00202A3B">
              <w:rPr>
                <w:b/>
                <w:sz w:val="22"/>
              </w:rPr>
              <w:t>Total</w:t>
            </w:r>
          </w:p>
        </w:tc>
      </w:tr>
      <w:tr w:rsidR="0000339A" w:rsidRPr="00202A3B" w14:paraId="107D97C4" w14:textId="77777777" w:rsidTr="00811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tcPr>
          <w:p w14:paraId="7AF7A484" w14:textId="77777777" w:rsidR="0000339A" w:rsidRPr="00202A3B" w:rsidRDefault="0000339A" w:rsidP="00F06270">
            <w:pPr>
              <w:jc w:val="left"/>
              <w:rPr>
                <w:b/>
                <w:i w:val="0"/>
                <w:sz w:val="22"/>
              </w:rPr>
            </w:pPr>
            <w:r w:rsidRPr="00202A3B">
              <w:rPr>
                <w:b/>
                <w:i w:val="0"/>
                <w:sz w:val="22"/>
              </w:rPr>
              <w:t>Projected Disposal Fees</w:t>
            </w:r>
          </w:p>
        </w:tc>
        <w:tc>
          <w:tcPr>
            <w:tcW w:w="1078" w:type="dxa"/>
          </w:tcPr>
          <w:p w14:paraId="096F5258"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p>
        </w:tc>
        <w:tc>
          <w:tcPr>
            <w:tcW w:w="1078" w:type="dxa"/>
          </w:tcPr>
          <w:p w14:paraId="0EB6AD26"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p>
        </w:tc>
        <w:tc>
          <w:tcPr>
            <w:tcW w:w="1078" w:type="dxa"/>
          </w:tcPr>
          <w:p w14:paraId="111D409B"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p>
        </w:tc>
        <w:tc>
          <w:tcPr>
            <w:tcW w:w="1085" w:type="dxa"/>
          </w:tcPr>
          <w:p w14:paraId="2A443DD2"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p>
        </w:tc>
        <w:tc>
          <w:tcPr>
            <w:tcW w:w="1080" w:type="dxa"/>
          </w:tcPr>
          <w:p w14:paraId="17046E05"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p>
        </w:tc>
        <w:tc>
          <w:tcPr>
            <w:tcW w:w="1085" w:type="dxa"/>
          </w:tcPr>
          <w:p w14:paraId="1FFD694B"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p>
        </w:tc>
        <w:tc>
          <w:tcPr>
            <w:tcW w:w="900" w:type="dxa"/>
          </w:tcPr>
          <w:p w14:paraId="57BD33EB"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p>
        </w:tc>
      </w:tr>
      <w:tr w:rsidR="0000339A" w:rsidRPr="00202A3B" w14:paraId="2F7CEC44" w14:textId="77777777" w:rsidTr="0081170E">
        <w:tc>
          <w:tcPr>
            <w:cnfStyle w:val="001000000000" w:firstRow="0" w:lastRow="0" w:firstColumn="1" w:lastColumn="0" w:oddVBand="0" w:evenVBand="0" w:oddHBand="0" w:evenHBand="0" w:firstRowFirstColumn="0" w:firstRowLastColumn="0" w:lastRowFirstColumn="0" w:lastRowLastColumn="0"/>
            <w:tcW w:w="2696" w:type="dxa"/>
          </w:tcPr>
          <w:p w14:paraId="3D33E211" w14:textId="77777777" w:rsidR="0000339A" w:rsidRPr="00202A3B" w:rsidRDefault="0000339A" w:rsidP="00F06270">
            <w:pPr>
              <w:jc w:val="left"/>
              <w:rPr>
                <w:i w:val="0"/>
                <w:sz w:val="22"/>
              </w:rPr>
            </w:pPr>
            <w:r w:rsidRPr="00202A3B">
              <w:rPr>
                <w:i w:val="0"/>
                <w:sz w:val="22"/>
              </w:rPr>
              <w:t>Per Ton Disposal Cost</w:t>
            </w:r>
          </w:p>
        </w:tc>
        <w:tc>
          <w:tcPr>
            <w:tcW w:w="1078" w:type="dxa"/>
          </w:tcPr>
          <w:p w14:paraId="0A7471EF"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r w:rsidRPr="00202A3B">
              <w:t>$</w:t>
            </w:r>
            <w:r>
              <w:t>151.30</w:t>
            </w:r>
          </w:p>
        </w:tc>
        <w:tc>
          <w:tcPr>
            <w:tcW w:w="1078" w:type="dxa"/>
          </w:tcPr>
          <w:p w14:paraId="30438371"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r>
              <w:t>$155.08</w:t>
            </w:r>
          </w:p>
        </w:tc>
        <w:tc>
          <w:tcPr>
            <w:tcW w:w="1078" w:type="dxa"/>
          </w:tcPr>
          <w:p w14:paraId="29164092"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r w:rsidRPr="00202A3B">
              <w:t>$</w:t>
            </w:r>
            <w:r>
              <w:t>158.96</w:t>
            </w:r>
          </w:p>
        </w:tc>
        <w:tc>
          <w:tcPr>
            <w:tcW w:w="1085" w:type="dxa"/>
          </w:tcPr>
          <w:p w14:paraId="55B7F58F"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r w:rsidRPr="00202A3B">
              <w:t>$</w:t>
            </w:r>
            <w:r>
              <w:t>162.93</w:t>
            </w:r>
          </w:p>
        </w:tc>
        <w:tc>
          <w:tcPr>
            <w:tcW w:w="1080" w:type="dxa"/>
          </w:tcPr>
          <w:p w14:paraId="0D544498"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r w:rsidRPr="00202A3B">
              <w:t>$</w:t>
            </w:r>
            <w:r>
              <w:t>162.93</w:t>
            </w:r>
          </w:p>
        </w:tc>
        <w:tc>
          <w:tcPr>
            <w:tcW w:w="1085" w:type="dxa"/>
          </w:tcPr>
          <w:p w14:paraId="74D8464B"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r w:rsidRPr="00202A3B">
              <w:t>$</w:t>
            </w:r>
            <w:r>
              <w:t>162.93</w:t>
            </w:r>
          </w:p>
        </w:tc>
        <w:tc>
          <w:tcPr>
            <w:tcW w:w="900" w:type="dxa"/>
          </w:tcPr>
          <w:p w14:paraId="280DAB9A"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p>
        </w:tc>
      </w:tr>
      <w:tr w:rsidR="0000339A" w:rsidRPr="00202A3B" w14:paraId="4853CA4E" w14:textId="77777777" w:rsidTr="00811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tcPr>
          <w:p w14:paraId="6680C4D1" w14:textId="77777777" w:rsidR="0000339A" w:rsidRPr="00202A3B" w:rsidRDefault="0000339A" w:rsidP="00F06270">
            <w:pPr>
              <w:jc w:val="left"/>
              <w:rPr>
                <w:i w:val="0"/>
                <w:sz w:val="22"/>
              </w:rPr>
            </w:pPr>
            <w:r w:rsidRPr="00202A3B">
              <w:rPr>
                <w:i w:val="0"/>
                <w:sz w:val="22"/>
              </w:rPr>
              <w:t>Per Ton Increase</w:t>
            </w:r>
          </w:p>
        </w:tc>
        <w:tc>
          <w:tcPr>
            <w:tcW w:w="1078" w:type="dxa"/>
          </w:tcPr>
          <w:p w14:paraId="750B7724"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r w:rsidRPr="00202A3B">
              <w:t>$</w:t>
            </w:r>
            <w:r>
              <w:t>3.69</w:t>
            </w:r>
          </w:p>
        </w:tc>
        <w:tc>
          <w:tcPr>
            <w:tcW w:w="1078" w:type="dxa"/>
          </w:tcPr>
          <w:p w14:paraId="53E68B86"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r w:rsidRPr="00202A3B">
              <w:t>$</w:t>
            </w:r>
            <w:r>
              <w:t>3.78</w:t>
            </w:r>
          </w:p>
        </w:tc>
        <w:tc>
          <w:tcPr>
            <w:tcW w:w="1078" w:type="dxa"/>
          </w:tcPr>
          <w:p w14:paraId="4E837FCD"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r w:rsidRPr="00202A3B">
              <w:t>$</w:t>
            </w:r>
            <w:r>
              <w:t>3.88</w:t>
            </w:r>
          </w:p>
        </w:tc>
        <w:tc>
          <w:tcPr>
            <w:tcW w:w="1085" w:type="dxa"/>
          </w:tcPr>
          <w:p w14:paraId="25CAB96F"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r w:rsidRPr="00202A3B">
              <w:t>$</w:t>
            </w:r>
            <w:r>
              <w:t>3.97</w:t>
            </w:r>
          </w:p>
        </w:tc>
        <w:tc>
          <w:tcPr>
            <w:tcW w:w="1080" w:type="dxa"/>
          </w:tcPr>
          <w:p w14:paraId="6D38A89E"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r w:rsidRPr="00202A3B">
              <w:t>$</w:t>
            </w:r>
            <w:r>
              <w:t>0.00</w:t>
            </w:r>
          </w:p>
        </w:tc>
        <w:tc>
          <w:tcPr>
            <w:tcW w:w="1085" w:type="dxa"/>
          </w:tcPr>
          <w:p w14:paraId="31A9B8AD"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r w:rsidRPr="00202A3B">
              <w:t>$0.00</w:t>
            </w:r>
          </w:p>
        </w:tc>
        <w:tc>
          <w:tcPr>
            <w:tcW w:w="900" w:type="dxa"/>
          </w:tcPr>
          <w:p w14:paraId="571E8150"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r w:rsidRPr="00202A3B">
              <w:t>$</w:t>
            </w:r>
            <w:r>
              <w:t>15.32</w:t>
            </w:r>
          </w:p>
        </w:tc>
      </w:tr>
      <w:tr w:rsidR="0000339A" w:rsidRPr="00202A3B" w14:paraId="73196985" w14:textId="77777777" w:rsidTr="0081170E">
        <w:tc>
          <w:tcPr>
            <w:cnfStyle w:val="001000000000" w:firstRow="0" w:lastRow="0" w:firstColumn="1" w:lastColumn="0" w:oddVBand="0" w:evenVBand="0" w:oddHBand="0" w:evenHBand="0" w:firstRowFirstColumn="0" w:firstRowLastColumn="0" w:lastRowFirstColumn="0" w:lastRowLastColumn="0"/>
            <w:tcW w:w="2696" w:type="dxa"/>
          </w:tcPr>
          <w:p w14:paraId="5184EFEC" w14:textId="77777777" w:rsidR="0000339A" w:rsidRPr="00202A3B" w:rsidRDefault="0000339A" w:rsidP="00F06270">
            <w:pPr>
              <w:jc w:val="left"/>
              <w:rPr>
                <w:i w:val="0"/>
                <w:sz w:val="22"/>
              </w:rPr>
            </w:pPr>
          </w:p>
        </w:tc>
        <w:tc>
          <w:tcPr>
            <w:tcW w:w="1078" w:type="dxa"/>
          </w:tcPr>
          <w:p w14:paraId="73F5058D"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p>
        </w:tc>
        <w:tc>
          <w:tcPr>
            <w:tcW w:w="1078" w:type="dxa"/>
          </w:tcPr>
          <w:p w14:paraId="19E2E3BE"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p>
        </w:tc>
        <w:tc>
          <w:tcPr>
            <w:tcW w:w="1078" w:type="dxa"/>
          </w:tcPr>
          <w:p w14:paraId="3047AAB2"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p>
        </w:tc>
        <w:tc>
          <w:tcPr>
            <w:tcW w:w="1085" w:type="dxa"/>
          </w:tcPr>
          <w:p w14:paraId="486C2AC2"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p>
        </w:tc>
        <w:tc>
          <w:tcPr>
            <w:tcW w:w="1080" w:type="dxa"/>
          </w:tcPr>
          <w:p w14:paraId="78B121E0"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p>
        </w:tc>
        <w:tc>
          <w:tcPr>
            <w:tcW w:w="1085" w:type="dxa"/>
          </w:tcPr>
          <w:p w14:paraId="3E6D8091"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p>
        </w:tc>
        <w:tc>
          <w:tcPr>
            <w:tcW w:w="900" w:type="dxa"/>
          </w:tcPr>
          <w:p w14:paraId="09EA0DA0"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p>
        </w:tc>
      </w:tr>
      <w:tr w:rsidR="0000339A" w:rsidRPr="00202A3B" w14:paraId="4C611B3A" w14:textId="77777777" w:rsidTr="00811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tcPr>
          <w:p w14:paraId="30F20E93" w14:textId="77777777" w:rsidR="0000339A" w:rsidRPr="00202A3B" w:rsidRDefault="0000339A" w:rsidP="00F06270">
            <w:pPr>
              <w:jc w:val="left"/>
              <w:rPr>
                <w:b/>
                <w:i w:val="0"/>
                <w:sz w:val="22"/>
              </w:rPr>
            </w:pPr>
            <w:r w:rsidRPr="00202A3B">
              <w:rPr>
                <w:b/>
                <w:i w:val="0"/>
                <w:sz w:val="22"/>
              </w:rPr>
              <w:t>Projected Rate Increases</w:t>
            </w:r>
          </w:p>
        </w:tc>
        <w:tc>
          <w:tcPr>
            <w:tcW w:w="1078" w:type="dxa"/>
          </w:tcPr>
          <w:p w14:paraId="5125EF99"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p>
        </w:tc>
        <w:tc>
          <w:tcPr>
            <w:tcW w:w="1078" w:type="dxa"/>
          </w:tcPr>
          <w:p w14:paraId="3765A463"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p>
        </w:tc>
        <w:tc>
          <w:tcPr>
            <w:tcW w:w="1078" w:type="dxa"/>
          </w:tcPr>
          <w:p w14:paraId="516041B5"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p>
        </w:tc>
        <w:tc>
          <w:tcPr>
            <w:tcW w:w="1085" w:type="dxa"/>
          </w:tcPr>
          <w:p w14:paraId="74C58B20"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p>
        </w:tc>
        <w:tc>
          <w:tcPr>
            <w:tcW w:w="1080" w:type="dxa"/>
          </w:tcPr>
          <w:p w14:paraId="59774AAD"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p>
        </w:tc>
        <w:tc>
          <w:tcPr>
            <w:tcW w:w="1085" w:type="dxa"/>
          </w:tcPr>
          <w:p w14:paraId="5078B905"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p>
        </w:tc>
        <w:tc>
          <w:tcPr>
            <w:tcW w:w="900" w:type="dxa"/>
          </w:tcPr>
          <w:p w14:paraId="425EDD6B"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p>
        </w:tc>
      </w:tr>
      <w:tr w:rsidR="0000339A" w:rsidRPr="00202A3B" w14:paraId="1093DB53" w14:textId="77777777" w:rsidTr="0081170E">
        <w:tc>
          <w:tcPr>
            <w:cnfStyle w:val="001000000000" w:firstRow="0" w:lastRow="0" w:firstColumn="1" w:lastColumn="0" w:oddVBand="0" w:evenVBand="0" w:oddHBand="0" w:evenHBand="0" w:firstRowFirstColumn="0" w:firstRowLastColumn="0" w:lastRowFirstColumn="0" w:lastRowLastColumn="0"/>
            <w:tcW w:w="2696" w:type="dxa"/>
          </w:tcPr>
          <w:p w14:paraId="445E533E" w14:textId="77777777" w:rsidR="0000339A" w:rsidRPr="00202A3B" w:rsidRDefault="0000339A" w:rsidP="00F06270">
            <w:pPr>
              <w:jc w:val="left"/>
              <w:rPr>
                <w:sz w:val="22"/>
              </w:rPr>
            </w:pPr>
            <w:r w:rsidRPr="00202A3B">
              <w:rPr>
                <w:sz w:val="22"/>
              </w:rPr>
              <w:t>Residential</w:t>
            </w:r>
          </w:p>
        </w:tc>
        <w:tc>
          <w:tcPr>
            <w:tcW w:w="1078" w:type="dxa"/>
          </w:tcPr>
          <w:p w14:paraId="71AC3CD3"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p>
        </w:tc>
        <w:tc>
          <w:tcPr>
            <w:tcW w:w="1078" w:type="dxa"/>
          </w:tcPr>
          <w:p w14:paraId="77A6598B"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p>
        </w:tc>
        <w:tc>
          <w:tcPr>
            <w:tcW w:w="1078" w:type="dxa"/>
          </w:tcPr>
          <w:p w14:paraId="43C6231B"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p>
        </w:tc>
        <w:tc>
          <w:tcPr>
            <w:tcW w:w="1085" w:type="dxa"/>
          </w:tcPr>
          <w:p w14:paraId="233D9528"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p>
        </w:tc>
        <w:tc>
          <w:tcPr>
            <w:tcW w:w="1080" w:type="dxa"/>
          </w:tcPr>
          <w:p w14:paraId="0C8FEAEA"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p>
        </w:tc>
        <w:tc>
          <w:tcPr>
            <w:tcW w:w="1085" w:type="dxa"/>
          </w:tcPr>
          <w:p w14:paraId="0833BC26"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p>
        </w:tc>
        <w:tc>
          <w:tcPr>
            <w:tcW w:w="900" w:type="dxa"/>
          </w:tcPr>
          <w:p w14:paraId="43C5A691"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p>
        </w:tc>
      </w:tr>
      <w:tr w:rsidR="0000339A" w:rsidRPr="00202A3B" w14:paraId="2511A17E" w14:textId="77777777" w:rsidTr="00811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tcPr>
          <w:p w14:paraId="1351C00B" w14:textId="77777777" w:rsidR="0000339A" w:rsidRPr="00202A3B" w:rsidRDefault="0000339A" w:rsidP="00F06270">
            <w:pPr>
              <w:jc w:val="left"/>
              <w:rPr>
                <w:i w:val="0"/>
                <w:sz w:val="22"/>
              </w:rPr>
            </w:pPr>
            <w:r w:rsidRPr="00202A3B">
              <w:rPr>
                <w:i w:val="0"/>
                <w:sz w:val="22"/>
              </w:rPr>
              <w:t>Monthly rate for one 32-gallon can per week service</w:t>
            </w:r>
          </w:p>
        </w:tc>
        <w:tc>
          <w:tcPr>
            <w:tcW w:w="1078" w:type="dxa"/>
          </w:tcPr>
          <w:p w14:paraId="42412503"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r w:rsidRPr="00202A3B">
              <w:t>$</w:t>
            </w:r>
            <w:r>
              <w:t>0.27</w:t>
            </w:r>
          </w:p>
        </w:tc>
        <w:tc>
          <w:tcPr>
            <w:tcW w:w="1078" w:type="dxa"/>
          </w:tcPr>
          <w:p w14:paraId="5835B4B6"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r w:rsidRPr="00202A3B">
              <w:t>$0.</w:t>
            </w:r>
            <w:r>
              <w:t>28</w:t>
            </w:r>
          </w:p>
        </w:tc>
        <w:tc>
          <w:tcPr>
            <w:tcW w:w="1078" w:type="dxa"/>
          </w:tcPr>
          <w:p w14:paraId="1F62950B"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r w:rsidRPr="00202A3B">
              <w:t>$0.</w:t>
            </w:r>
            <w:r>
              <w:t>29</w:t>
            </w:r>
          </w:p>
        </w:tc>
        <w:tc>
          <w:tcPr>
            <w:tcW w:w="1085" w:type="dxa"/>
          </w:tcPr>
          <w:p w14:paraId="23FC8231"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r w:rsidRPr="00202A3B">
              <w:t>$0.</w:t>
            </w:r>
            <w:r>
              <w:t>29</w:t>
            </w:r>
          </w:p>
        </w:tc>
        <w:tc>
          <w:tcPr>
            <w:tcW w:w="1080" w:type="dxa"/>
          </w:tcPr>
          <w:p w14:paraId="291B584F"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r w:rsidRPr="00202A3B">
              <w:t>$0.</w:t>
            </w:r>
            <w:r>
              <w:t>00</w:t>
            </w:r>
          </w:p>
        </w:tc>
        <w:tc>
          <w:tcPr>
            <w:tcW w:w="1085" w:type="dxa"/>
          </w:tcPr>
          <w:p w14:paraId="1917A59E"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r w:rsidRPr="00202A3B">
              <w:t>$0.00</w:t>
            </w:r>
          </w:p>
        </w:tc>
        <w:tc>
          <w:tcPr>
            <w:tcW w:w="900" w:type="dxa"/>
          </w:tcPr>
          <w:p w14:paraId="3B396CD9"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r w:rsidRPr="00202A3B">
              <w:t>$</w:t>
            </w:r>
            <w:r>
              <w:t>1.13</w:t>
            </w:r>
          </w:p>
        </w:tc>
      </w:tr>
      <w:tr w:rsidR="0000339A" w:rsidRPr="00202A3B" w14:paraId="6D12A9EC" w14:textId="77777777" w:rsidTr="0081170E">
        <w:tc>
          <w:tcPr>
            <w:cnfStyle w:val="001000000000" w:firstRow="0" w:lastRow="0" w:firstColumn="1" w:lastColumn="0" w:oddVBand="0" w:evenVBand="0" w:oddHBand="0" w:evenHBand="0" w:firstRowFirstColumn="0" w:firstRowLastColumn="0" w:lastRowFirstColumn="0" w:lastRowLastColumn="0"/>
            <w:tcW w:w="2696" w:type="dxa"/>
          </w:tcPr>
          <w:p w14:paraId="306D1E64" w14:textId="77777777" w:rsidR="0000339A" w:rsidRPr="00202A3B" w:rsidRDefault="0000339A" w:rsidP="00F06270">
            <w:pPr>
              <w:jc w:val="left"/>
              <w:rPr>
                <w:sz w:val="22"/>
              </w:rPr>
            </w:pPr>
            <w:r w:rsidRPr="00202A3B">
              <w:rPr>
                <w:sz w:val="22"/>
              </w:rPr>
              <w:t>Commercial</w:t>
            </w:r>
          </w:p>
        </w:tc>
        <w:tc>
          <w:tcPr>
            <w:tcW w:w="1078" w:type="dxa"/>
          </w:tcPr>
          <w:p w14:paraId="65339DF8"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p>
        </w:tc>
        <w:tc>
          <w:tcPr>
            <w:tcW w:w="1078" w:type="dxa"/>
          </w:tcPr>
          <w:p w14:paraId="0840236A"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p>
        </w:tc>
        <w:tc>
          <w:tcPr>
            <w:tcW w:w="1078" w:type="dxa"/>
          </w:tcPr>
          <w:p w14:paraId="1F9B57B3"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p>
        </w:tc>
        <w:tc>
          <w:tcPr>
            <w:tcW w:w="1085" w:type="dxa"/>
          </w:tcPr>
          <w:p w14:paraId="25803EBA"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p>
        </w:tc>
        <w:tc>
          <w:tcPr>
            <w:tcW w:w="1080" w:type="dxa"/>
          </w:tcPr>
          <w:p w14:paraId="43F33119"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p>
        </w:tc>
        <w:tc>
          <w:tcPr>
            <w:tcW w:w="1085" w:type="dxa"/>
          </w:tcPr>
          <w:p w14:paraId="63AF6984"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p>
        </w:tc>
        <w:tc>
          <w:tcPr>
            <w:tcW w:w="900" w:type="dxa"/>
          </w:tcPr>
          <w:p w14:paraId="5B6FDA32" w14:textId="77777777" w:rsidR="0000339A" w:rsidRPr="00202A3B" w:rsidRDefault="0000339A" w:rsidP="00F06270">
            <w:pPr>
              <w:jc w:val="right"/>
              <w:cnfStyle w:val="000000000000" w:firstRow="0" w:lastRow="0" w:firstColumn="0" w:lastColumn="0" w:oddVBand="0" w:evenVBand="0" w:oddHBand="0" w:evenHBand="0" w:firstRowFirstColumn="0" w:firstRowLastColumn="0" w:lastRowFirstColumn="0" w:lastRowLastColumn="0"/>
            </w:pPr>
          </w:p>
        </w:tc>
      </w:tr>
      <w:tr w:rsidR="0000339A" w:rsidRPr="00202A3B" w14:paraId="7CCE1F3E" w14:textId="77777777" w:rsidTr="00811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tcPr>
          <w:p w14:paraId="000DA2F2" w14:textId="77777777" w:rsidR="0000339A" w:rsidRPr="00202A3B" w:rsidRDefault="0000339A" w:rsidP="00F06270">
            <w:pPr>
              <w:jc w:val="left"/>
              <w:rPr>
                <w:i w:val="0"/>
                <w:sz w:val="22"/>
              </w:rPr>
            </w:pPr>
            <w:r w:rsidRPr="00202A3B">
              <w:rPr>
                <w:i w:val="0"/>
                <w:sz w:val="22"/>
              </w:rPr>
              <w:t>Monthly rate for one-yard per pick up service</w:t>
            </w:r>
          </w:p>
        </w:tc>
        <w:tc>
          <w:tcPr>
            <w:tcW w:w="1078" w:type="dxa"/>
          </w:tcPr>
          <w:p w14:paraId="2630DA15"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r w:rsidRPr="00202A3B">
              <w:t>$</w:t>
            </w:r>
            <w:r>
              <w:t>1.40</w:t>
            </w:r>
          </w:p>
        </w:tc>
        <w:tc>
          <w:tcPr>
            <w:tcW w:w="1078" w:type="dxa"/>
          </w:tcPr>
          <w:p w14:paraId="3B2B2C00"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r w:rsidRPr="00202A3B">
              <w:t>$</w:t>
            </w:r>
            <w:r>
              <w:t>1.43</w:t>
            </w:r>
          </w:p>
        </w:tc>
        <w:tc>
          <w:tcPr>
            <w:tcW w:w="1078" w:type="dxa"/>
          </w:tcPr>
          <w:p w14:paraId="0243D159"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r w:rsidRPr="00202A3B">
              <w:t>$</w:t>
            </w:r>
            <w:r>
              <w:t>1.47</w:t>
            </w:r>
          </w:p>
        </w:tc>
        <w:tc>
          <w:tcPr>
            <w:tcW w:w="1085" w:type="dxa"/>
          </w:tcPr>
          <w:p w14:paraId="7EC2F289"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r w:rsidRPr="00202A3B">
              <w:t>$</w:t>
            </w:r>
            <w:r>
              <w:t>1.51</w:t>
            </w:r>
          </w:p>
        </w:tc>
        <w:tc>
          <w:tcPr>
            <w:tcW w:w="1080" w:type="dxa"/>
          </w:tcPr>
          <w:p w14:paraId="17DF5C3F"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r w:rsidRPr="00202A3B">
              <w:t>$</w:t>
            </w:r>
            <w:r>
              <w:t>0.00</w:t>
            </w:r>
          </w:p>
        </w:tc>
        <w:tc>
          <w:tcPr>
            <w:tcW w:w="1085" w:type="dxa"/>
          </w:tcPr>
          <w:p w14:paraId="6EE2ABA2"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r w:rsidRPr="00202A3B">
              <w:t>$0.00</w:t>
            </w:r>
          </w:p>
        </w:tc>
        <w:tc>
          <w:tcPr>
            <w:tcW w:w="900" w:type="dxa"/>
          </w:tcPr>
          <w:p w14:paraId="08DF6263" w14:textId="77777777" w:rsidR="0000339A" w:rsidRPr="00202A3B" w:rsidRDefault="0000339A" w:rsidP="00F06270">
            <w:pPr>
              <w:jc w:val="right"/>
              <w:cnfStyle w:val="000000100000" w:firstRow="0" w:lastRow="0" w:firstColumn="0" w:lastColumn="0" w:oddVBand="0" w:evenVBand="0" w:oddHBand="1" w:evenHBand="0" w:firstRowFirstColumn="0" w:firstRowLastColumn="0" w:lastRowFirstColumn="0" w:lastRowLastColumn="0"/>
            </w:pPr>
            <w:r w:rsidRPr="00202A3B">
              <w:t>$</w:t>
            </w:r>
            <w:r>
              <w:t>5.81</w:t>
            </w:r>
          </w:p>
        </w:tc>
      </w:tr>
    </w:tbl>
    <w:p w14:paraId="74C6B21D" w14:textId="77777777" w:rsidR="005B3E7D" w:rsidRDefault="005B3E7D" w:rsidP="0000339A"/>
    <w:p w14:paraId="0AC0A3DF" w14:textId="3F0063F1" w:rsidR="0000339A" w:rsidRDefault="0000339A" w:rsidP="0000339A">
      <w:r>
        <w:t xml:space="preserve">Staff has no further comment on the revised cost assessment questionnaire. Please direct questions or comments to Ann LaRue at 360-664-1245 or by email at </w:t>
      </w:r>
      <w:hyperlink r:id="rId11" w:history="1">
        <w:r w:rsidRPr="00365662">
          <w:rPr>
            <w:rStyle w:val="Hyperlink"/>
          </w:rPr>
          <w:t>ann.larue@utc.wa.gov</w:t>
        </w:r>
      </w:hyperlink>
      <w:r>
        <w:t>.</w:t>
      </w:r>
    </w:p>
    <w:p w14:paraId="1B5B6932" w14:textId="77777777" w:rsidR="0000339A" w:rsidRDefault="0000339A" w:rsidP="0000339A"/>
    <w:p w14:paraId="1CDF6C12" w14:textId="77777777" w:rsidR="0000339A" w:rsidRDefault="0000339A" w:rsidP="0000339A">
      <w:r>
        <w:t>Sincerely,</w:t>
      </w:r>
    </w:p>
    <w:p w14:paraId="4241BE43" w14:textId="77777777" w:rsidR="0000339A" w:rsidRDefault="0000339A" w:rsidP="0000339A"/>
    <w:p w14:paraId="6F2CF45E" w14:textId="77777777" w:rsidR="0000339A" w:rsidRDefault="0000339A" w:rsidP="0000339A"/>
    <w:p w14:paraId="2AA7A6CC" w14:textId="77777777" w:rsidR="0000339A" w:rsidRDefault="0000339A" w:rsidP="0000339A"/>
    <w:p w14:paraId="7CB6A245" w14:textId="77777777" w:rsidR="0000339A" w:rsidRDefault="0000339A" w:rsidP="0000339A">
      <w:r>
        <w:t>Steve King</w:t>
      </w:r>
    </w:p>
    <w:p w14:paraId="057C19D2" w14:textId="77777777" w:rsidR="0000339A" w:rsidRDefault="0000339A" w:rsidP="0000339A">
      <w:r>
        <w:t>Executive Secretary</w:t>
      </w:r>
    </w:p>
    <w:p w14:paraId="04F73E5F" w14:textId="77777777" w:rsidR="0000339A" w:rsidRDefault="0000339A" w:rsidP="0000339A"/>
    <w:p w14:paraId="1C207504" w14:textId="77777777" w:rsidR="0000339A" w:rsidRDefault="0000339A" w:rsidP="0000339A"/>
    <w:p w14:paraId="2435DE44" w14:textId="77777777" w:rsidR="0000339A" w:rsidRDefault="0000339A" w:rsidP="0000339A">
      <w:r>
        <w:t>cc: Tami Ramsey, Department of Ecology, Regional Planner</w:t>
      </w:r>
    </w:p>
    <w:p w14:paraId="419C98F1" w14:textId="77777777" w:rsidR="0000339A" w:rsidRDefault="0000339A" w:rsidP="0000339A">
      <w:pPr>
        <w:ind w:left="360"/>
      </w:pPr>
      <w:r>
        <w:t>Rick Hlavka, Green Solutions</w:t>
      </w:r>
    </w:p>
    <w:p w14:paraId="5D38128E" w14:textId="77777777" w:rsidR="00121610" w:rsidRPr="00F84BFD" w:rsidRDefault="00F84BFD" w:rsidP="00F84BFD">
      <w:pPr>
        <w:tabs>
          <w:tab w:val="left" w:pos="6262"/>
        </w:tabs>
      </w:pPr>
      <w:r>
        <w:tab/>
      </w:r>
    </w:p>
    <w:sectPr w:rsidR="00121610" w:rsidRPr="00F84BFD" w:rsidSect="005046BA">
      <w:headerReference w:type="default" r:id="rId12"/>
      <w:headerReference w:type="first" r:id="rId13"/>
      <w:footerReference w:type="first" r:id="rId14"/>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E4279" w14:textId="77777777" w:rsidR="0043223A" w:rsidRDefault="0043223A" w:rsidP="00AB61BF">
      <w:r>
        <w:separator/>
      </w:r>
    </w:p>
  </w:endnote>
  <w:endnote w:type="continuationSeparator" w:id="0">
    <w:p w14:paraId="69757E97" w14:textId="77777777" w:rsidR="0043223A" w:rsidRDefault="0043223A"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8B0F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87B77" w14:textId="77777777" w:rsidR="0043223A" w:rsidRDefault="0043223A" w:rsidP="00AB61BF">
      <w:r>
        <w:separator/>
      </w:r>
    </w:p>
  </w:footnote>
  <w:footnote w:type="continuationSeparator" w:id="0">
    <w:p w14:paraId="7E629584" w14:textId="77777777" w:rsidR="0043223A" w:rsidRDefault="0043223A"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0E24D" w14:textId="7A30204F" w:rsidR="0000339A" w:rsidRPr="0000339A" w:rsidRDefault="005E0AB6">
    <w:pPr>
      <w:pStyle w:val="Header"/>
      <w:rPr>
        <w:sz w:val="20"/>
        <w:szCs w:val="20"/>
      </w:rPr>
    </w:pPr>
    <w:r>
      <w:rPr>
        <w:sz w:val="20"/>
        <w:szCs w:val="20"/>
      </w:rPr>
      <w:t xml:space="preserve">Letter to </w:t>
    </w:r>
    <w:r w:rsidR="0000339A">
      <w:rPr>
        <w:sz w:val="20"/>
        <w:szCs w:val="20"/>
      </w:rPr>
      <w:t xml:space="preserve">Thomas A. </w:t>
    </w:r>
    <w:r w:rsidR="0000339A" w:rsidRPr="0000339A">
      <w:rPr>
        <w:sz w:val="20"/>
        <w:szCs w:val="20"/>
      </w:rPr>
      <w:t>Boatman</w:t>
    </w:r>
  </w:p>
  <w:p w14:paraId="4C944D2F" w14:textId="22414DA3" w:rsidR="0000339A" w:rsidRPr="0000339A" w:rsidRDefault="0000339A">
    <w:pPr>
      <w:pStyle w:val="Header"/>
      <w:rPr>
        <w:sz w:val="20"/>
        <w:szCs w:val="20"/>
      </w:rPr>
    </w:pPr>
    <w:r>
      <w:rPr>
        <w:sz w:val="20"/>
        <w:szCs w:val="20"/>
      </w:rPr>
      <w:t>TG-160343</w:t>
    </w:r>
  </w:p>
  <w:p w14:paraId="756E6CF8" w14:textId="5509CC61" w:rsidR="0000339A" w:rsidRPr="0000339A" w:rsidRDefault="0000339A">
    <w:pPr>
      <w:pStyle w:val="Header"/>
      <w:rPr>
        <w:sz w:val="20"/>
        <w:szCs w:val="20"/>
      </w:rPr>
    </w:pPr>
    <w:r w:rsidRPr="0000339A">
      <w:rPr>
        <w:sz w:val="20"/>
        <w:szCs w:val="20"/>
      </w:rPr>
      <w:t xml:space="preserve">Page </w:t>
    </w:r>
    <w:r w:rsidRPr="0000339A">
      <w:rPr>
        <w:sz w:val="20"/>
        <w:szCs w:val="20"/>
      </w:rPr>
      <w:fldChar w:fldCharType="begin"/>
    </w:r>
    <w:r w:rsidRPr="0000339A">
      <w:rPr>
        <w:sz w:val="20"/>
        <w:szCs w:val="20"/>
      </w:rPr>
      <w:instrText xml:space="preserve"> PAGE   \* MERGEFORMAT </w:instrText>
    </w:r>
    <w:r w:rsidRPr="0000339A">
      <w:rPr>
        <w:sz w:val="20"/>
        <w:szCs w:val="20"/>
      </w:rPr>
      <w:fldChar w:fldCharType="separate"/>
    </w:r>
    <w:r w:rsidR="00C90ED4">
      <w:rPr>
        <w:noProof/>
        <w:sz w:val="20"/>
        <w:szCs w:val="20"/>
      </w:rPr>
      <w:t>2</w:t>
    </w:r>
    <w:r w:rsidRPr="0000339A">
      <w:rPr>
        <w:noProof/>
        <w:sz w:val="20"/>
        <w:szCs w:val="20"/>
      </w:rPr>
      <w:fldChar w:fldCharType="end"/>
    </w:r>
  </w:p>
  <w:p w14:paraId="48A6B0B3" w14:textId="77777777" w:rsidR="0000339A" w:rsidRDefault="0000339A">
    <w:pPr>
      <w:pStyle w:val="Header"/>
      <w:rPr>
        <w:sz w:val="20"/>
        <w:szCs w:val="20"/>
      </w:rPr>
    </w:pPr>
  </w:p>
  <w:p w14:paraId="7B8482C2" w14:textId="77777777" w:rsidR="0000339A" w:rsidRPr="0000339A" w:rsidRDefault="0000339A">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B0B25"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B677F41" w14:textId="77777777" w:rsidR="00AB61BF" w:rsidRDefault="00AB61BF" w:rsidP="00AB61BF">
    <w:pPr>
      <w:rPr>
        <w:sz w:val="14"/>
      </w:rPr>
    </w:pPr>
  </w:p>
  <w:p w14:paraId="7C89C144"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BC85A31" w14:textId="77777777" w:rsidR="00AB61BF" w:rsidRDefault="00AB61BF" w:rsidP="00AB61BF">
    <w:pPr>
      <w:jc w:val="center"/>
      <w:rPr>
        <w:color w:val="008000"/>
        <w:sz w:val="8"/>
      </w:rPr>
    </w:pPr>
  </w:p>
  <w:p w14:paraId="6038F9D1"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04D4B5F9" w14:textId="77777777" w:rsidR="00AB61BF" w:rsidRDefault="00AB61BF" w:rsidP="00AB61BF">
    <w:pPr>
      <w:jc w:val="center"/>
      <w:rPr>
        <w:i/>
        <w:color w:val="008000"/>
        <w:sz w:val="8"/>
      </w:rPr>
    </w:pPr>
  </w:p>
  <w:p w14:paraId="6F55CC46"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498A89D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2D628CF" w14:textId="77777777" w:rsidR="00AB61BF" w:rsidRDefault="00AB61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04227D"/>
    <w:multiLevelType w:val="hybridMultilevel"/>
    <w:tmpl w:val="7FF09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339A"/>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711E4"/>
    <w:rsid w:val="001804DD"/>
    <w:rsid w:val="001A38CA"/>
    <w:rsid w:val="001B14D3"/>
    <w:rsid w:val="001B39A4"/>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223A"/>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046BA"/>
    <w:rsid w:val="00531C07"/>
    <w:rsid w:val="00533DD6"/>
    <w:rsid w:val="00534FE3"/>
    <w:rsid w:val="00535863"/>
    <w:rsid w:val="005431AE"/>
    <w:rsid w:val="0054755F"/>
    <w:rsid w:val="00572F1D"/>
    <w:rsid w:val="005763F7"/>
    <w:rsid w:val="0058130D"/>
    <w:rsid w:val="00595A18"/>
    <w:rsid w:val="005B3230"/>
    <w:rsid w:val="005B3E7D"/>
    <w:rsid w:val="005B4E86"/>
    <w:rsid w:val="005C3742"/>
    <w:rsid w:val="005E0AB6"/>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C5E20"/>
    <w:rsid w:val="007F6D68"/>
    <w:rsid w:val="0081170E"/>
    <w:rsid w:val="008230E3"/>
    <w:rsid w:val="00826FEA"/>
    <w:rsid w:val="0083782A"/>
    <w:rsid w:val="00856CAA"/>
    <w:rsid w:val="008C283E"/>
    <w:rsid w:val="008D4F02"/>
    <w:rsid w:val="008F1B59"/>
    <w:rsid w:val="008F76F4"/>
    <w:rsid w:val="009246E4"/>
    <w:rsid w:val="00944B34"/>
    <w:rsid w:val="00963952"/>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0ED4"/>
    <w:rsid w:val="00C9626E"/>
    <w:rsid w:val="00CA017A"/>
    <w:rsid w:val="00CA75BF"/>
    <w:rsid w:val="00CE37D5"/>
    <w:rsid w:val="00CF33A3"/>
    <w:rsid w:val="00CF7C80"/>
    <w:rsid w:val="00D32561"/>
    <w:rsid w:val="00D57864"/>
    <w:rsid w:val="00D91265"/>
    <w:rsid w:val="00DB7A1B"/>
    <w:rsid w:val="00E142E7"/>
    <w:rsid w:val="00E228DB"/>
    <w:rsid w:val="00E95575"/>
    <w:rsid w:val="00EA03FE"/>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table" w:styleId="PlainTable5">
    <w:name w:val="Plain Table 5"/>
    <w:basedOn w:val="TableNormal"/>
    <w:uiPriority w:val="45"/>
    <w:rsid w:val="000033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00339A"/>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811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larue@utc.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385A366FE7D048AC5F01A30A7E1B6F" ma:contentTypeVersion="104" ma:contentTypeDescription="" ma:contentTypeScope="" ma:versionID="978df0940234bb49f5e47af45816eab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TG</Prefix>
    <DocumentSetType xmlns="dc463f71-b30c-4ab2-9473-d307f9d35888">Delegated Letter</DocumentSetType>
    <IsConfidential xmlns="dc463f71-b30c-4ab2-9473-d307f9d35888">false</IsConfidential>
    <AgendaOrder xmlns="dc463f71-b30c-4ab2-9473-d307f9d35888">false</AgendaOrder>
    <CaseType xmlns="dc463f71-b30c-4ab2-9473-d307f9d35888">Plan</CaseType>
    <IndustryCode xmlns="dc463f71-b30c-4ab2-9473-d307f9d35888">227</IndustryCode>
    <CaseStatus xmlns="dc463f71-b30c-4ab2-9473-d307f9d35888">Closed</CaseStatus>
    <OpenedDate xmlns="dc463f71-b30c-4ab2-9473-d307f9d35888">2016-03-28T07:00:00+00:00</OpenedDate>
    <Date1 xmlns="dc463f71-b30c-4ab2-9473-d307f9d35888">2016-06-23T07:00:00+00:00</Date1>
    <IsDocumentOrder xmlns="dc463f71-b30c-4ab2-9473-d307f9d35888" xsi:nil="true"/>
    <IsHighlyConfidential xmlns="dc463f71-b30c-4ab2-9473-d307f9d35888">false</IsHighlyConfidential>
    <CaseCompanyNames xmlns="dc463f71-b30c-4ab2-9473-d307f9d35888">Jefferson County</CaseCompanyNames>
    <DocketNumber xmlns="dc463f71-b30c-4ab2-9473-d307f9d35888">160343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59EE9DB-B601-47B5-AD97-6B19B32E89AD}"/>
</file>

<file path=customXml/itemProps2.xml><?xml version="1.0" encoding="utf-8"?>
<ds:datastoreItem xmlns:ds="http://schemas.openxmlformats.org/officeDocument/2006/customXml" ds:itemID="{2877D07A-09EB-4326-9FDE-10869578EA5D}"/>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FE4D3EE7-B4C5-4096-8FE5-8087CA440263}"/>
</file>

<file path=customXml/itemProps5.xml><?xml version="1.0" encoding="utf-8"?>
<ds:datastoreItem xmlns:ds="http://schemas.openxmlformats.org/officeDocument/2006/customXml" ds:itemID="{D4D21186-BB63-4DE9-8AF1-40396A9E1C44}"/>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Order</vt:lpstr>
    </vt:vector>
  </TitlesOfParts>
  <Company>Washington Utilities and Transportation Commission</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dc:title>
  <dc:creator>Information Services</dc:creator>
  <cp:lastModifiedBy>Kern, Cathy (UTC)</cp:lastModifiedBy>
  <cp:revision>2</cp:revision>
  <cp:lastPrinted>2009-09-23T22:56:00Z</cp:lastPrinted>
  <dcterms:created xsi:type="dcterms:W3CDTF">2016-06-22T23:20:00Z</dcterms:created>
  <dcterms:modified xsi:type="dcterms:W3CDTF">2016-06-22T23:20:00Z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0x0101006E56B4D1795A2E4DB2F0B01679ED314A009E385A366FE7D048AC5F01A30A7E1B6F</vt:lpwstr>
  </property>
  <property fmtid="{D5CDD505-2E9C-101B-9397-08002B2CF9AE}" pid="3" name="Status">
    <vt:lpwstr>Templates</vt:lpwstr>
  </property>
  <property fmtid="{D5CDD505-2E9C-101B-9397-08002B2CF9AE}" pid="4" name="_docset_NoMedatataSyncRequired">
    <vt:lpwstr>False</vt:lpwstr>
  </property>
</Properties>
</file>