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0F6E174F"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C73105">
        <w:t>17</w:t>
      </w:r>
      <w:r w:rsidR="008A4054" w:rsidRPr="005440CF">
        <w:t>, 201</w:t>
      </w:r>
      <w:r w:rsidR="00C73105">
        <w:t>5</w:t>
      </w:r>
    </w:p>
    <w:p w14:paraId="1121CBA8" w14:textId="77777777" w:rsidR="00DF6ADE" w:rsidRDefault="00DF6ADE" w:rsidP="00FF75F4"/>
    <w:p w14:paraId="2F211E0B" w14:textId="49565AE8" w:rsidR="00657DEE" w:rsidRPr="005440CF" w:rsidRDefault="00657DEE" w:rsidP="00FF75F4">
      <w:r w:rsidRPr="005440CF">
        <w:t>Item Number</w:t>
      </w:r>
      <w:r w:rsidR="003F2771">
        <w:t>s</w:t>
      </w:r>
      <w:r w:rsidRPr="005440CF">
        <w:t>:</w:t>
      </w:r>
      <w:r w:rsidRPr="005440CF">
        <w:tab/>
      </w:r>
      <w:r w:rsidR="00CA2C70">
        <w:t>A2</w:t>
      </w:r>
      <w:r w:rsidR="00DF6ADE">
        <w:t xml:space="preserve"> and F</w:t>
      </w:r>
      <w:r w:rsidR="00CA2C70">
        <w:t>2</w:t>
      </w:r>
    </w:p>
    <w:p w14:paraId="2F211E0C" w14:textId="77777777" w:rsidR="00657DEE" w:rsidRPr="005440CF" w:rsidRDefault="00657DEE" w:rsidP="00FF75F4"/>
    <w:p w14:paraId="2F211E0D" w14:textId="4C220EA3"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C73105">
        <w:rPr>
          <w:b/>
        </w:rPr>
        <w:t>52058</w:t>
      </w:r>
      <w:r w:rsidR="003B26AE">
        <w:rPr>
          <w:b/>
        </w:rPr>
        <w:t xml:space="preserve"> and </w:t>
      </w:r>
      <w:r w:rsidR="00C73105">
        <w:rPr>
          <w:b/>
        </w:rPr>
        <w:t>UE</w:t>
      </w:r>
      <w:r w:rsidR="00000FCF">
        <w:rPr>
          <w:b/>
        </w:rPr>
        <w:t>-</w:t>
      </w:r>
      <w:r w:rsidR="00B90DC3">
        <w:rPr>
          <w:b/>
        </w:rPr>
        <w:t>152042</w:t>
      </w:r>
    </w:p>
    <w:p w14:paraId="2F211E0E" w14:textId="77777777" w:rsidR="00040CE3" w:rsidRDefault="00040CE3" w:rsidP="00FF75F4"/>
    <w:p w14:paraId="2F211E0F" w14:textId="05696031"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2F211E11" w14:textId="24D830A4" w:rsidR="003329DB" w:rsidRDefault="00657DEE" w:rsidP="00FF75F4">
      <w:r w:rsidRPr="005440CF">
        <w:t>Staff:</w:t>
      </w:r>
      <w:r w:rsidRPr="005440CF">
        <w:tab/>
      </w:r>
      <w:r w:rsidRPr="005440CF">
        <w:tab/>
      </w:r>
      <w:r w:rsidRPr="005440CF">
        <w:tab/>
      </w:r>
      <w:r w:rsidR="00C73105">
        <w:t>Brad Cebulko</w:t>
      </w:r>
      <w:r w:rsidR="00000FCF">
        <w:t>, Regulatory Analyst</w:t>
      </w:r>
    </w:p>
    <w:p w14:paraId="14CEC416" w14:textId="0BF3FF17" w:rsidR="00C73105" w:rsidRDefault="00C73105" w:rsidP="00FF75F4">
      <w:r>
        <w:tab/>
      </w:r>
      <w:r>
        <w:tab/>
      </w:r>
      <w:r>
        <w:tab/>
        <w:t>Jennifer Snyder, Regulatory Analyst</w:t>
      </w:r>
      <w:r>
        <w:tab/>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2F211E14" w14:textId="369BEB21" w:rsidR="009B62BA" w:rsidRDefault="00000FCF" w:rsidP="009652E7">
      <w:r>
        <w:t xml:space="preserve">Issue an order approving Puget Sound Energy’s (PSE’s) </w:t>
      </w:r>
      <w:r w:rsidR="001168EB">
        <w:t>10</w:t>
      </w:r>
      <w:r>
        <w:t>-year conservation potential</w:t>
      </w:r>
      <w:r w:rsidR="001168EB">
        <w:t xml:space="preserve"> of </w:t>
      </w:r>
      <w:r w:rsidR="00B90DC3">
        <w:t>2,715,486</w:t>
      </w:r>
      <w:r w:rsidR="00027B12">
        <w:t xml:space="preserve"> megawatt-hours (MWh)</w:t>
      </w:r>
      <w:r>
        <w:t xml:space="preserve"> and biennial conservation target</w:t>
      </w:r>
      <w:r w:rsidR="001168EB">
        <w:t xml:space="preserve"> of </w:t>
      </w:r>
      <w:r w:rsidR="00DF6ADE">
        <w:t>537,078</w:t>
      </w:r>
      <w:r w:rsidR="00027B12" w:rsidRPr="00CD74CC">
        <w:t xml:space="preserve"> MWh</w:t>
      </w:r>
      <w:r>
        <w:t xml:space="preserve">, subject to </w:t>
      </w:r>
      <w:r w:rsidR="00433A8C">
        <w:t xml:space="preserve">the </w:t>
      </w:r>
      <w:r>
        <w:t>conditions</w:t>
      </w:r>
      <w:r w:rsidR="00433A8C">
        <w:t xml:space="preserve"> in Attachment A</w:t>
      </w:r>
      <w:r>
        <w:t xml:space="preserve">, and </w:t>
      </w:r>
      <w:r w:rsidR="009B62BA">
        <w:t>allowing tariff revisions filed by PSE in Docket UE-</w:t>
      </w:r>
      <w:r w:rsidR="00B90DC3">
        <w:t>152042</w:t>
      </w:r>
      <w:r w:rsidR="009B62BA">
        <w:t xml:space="preserve"> to take effect </w:t>
      </w:r>
      <w:r w:rsidR="001168EB">
        <w:t>Jan</w:t>
      </w:r>
      <w:r w:rsidR="003617FE">
        <w:t xml:space="preserve">uary </w:t>
      </w:r>
      <w:r w:rsidR="00C73105">
        <w:t>1, 2016</w:t>
      </w:r>
      <w:r w:rsidR="009B62BA">
        <w:t>, by operation of law.</w:t>
      </w:r>
    </w:p>
    <w:p w14:paraId="2F211E15" w14:textId="77777777" w:rsidR="000F05C4" w:rsidRPr="00CD74CC" w:rsidRDefault="00CA5322" w:rsidP="005A60BD">
      <w:pPr>
        <w:pStyle w:val="Heading1"/>
        <w:rPr>
          <w:u w:val="single"/>
        </w:rPr>
      </w:pPr>
      <w:r>
        <w:rPr>
          <w:u w:val="single"/>
        </w:rPr>
        <w:t>Background</w:t>
      </w:r>
    </w:p>
    <w:p w14:paraId="2F211E16" w14:textId="604548A5" w:rsidR="00CE51EA" w:rsidRPr="00515633" w:rsidRDefault="00C40BED" w:rsidP="000F05C4">
      <w:pPr>
        <w:rPr>
          <w:highlight w:val="yellow"/>
        </w:rPr>
      </w:pPr>
      <w:r w:rsidRPr="004B4ED5">
        <w:t xml:space="preserve">On </w:t>
      </w:r>
      <w:r w:rsidR="00C73105">
        <w:t>October 29, 2015</w:t>
      </w:r>
      <w:r w:rsidRPr="004B4ED5">
        <w:t>, PSE filed its “201</w:t>
      </w:r>
      <w:r w:rsidR="00C73105">
        <w:t>6</w:t>
      </w:r>
      <w:r w:rsidRPr="004B4ED5">
        <w:t>-201</w:t>
      </w:r>
      <w:r w:rsidR="00C73105">
        <w:t>7</w:t>
      </w:r>
      <w:r w:rsidRPr="004B4ED5">
        <w:t xml:space="preserve"> Biennial Conservation Plan”</w:t>
      </w:r>
      <w:r w:rsidR="00CB3FE8" w:rsidRPr="004B4ED5">
        <w:t xml:space="preserve"> (BCP</w:t>
      </w:r>
      <w:r w:rsidR="00CD74CC">
        <w:t xml:space="preserve"> or Plan</w:t>
      </w:r>
      <w:r w:rsidR="00CB3FE8" w:rsidRPr="004B4ED5">
        <w:t>)</w:t>
      </w:r>
      <w:r w:rsidR="00CD74CC">
        <w:t xml:space="preserve"> with the Washington Utilities and Transportation Commission (commission)</w:t>
      </w:r>
      <w:r w:rsidR="001363A7">
        <w:t xml:space="preserve"> under Docket UE-1</w:t>
      </w:r>
      <w:r w:rsidR="00C73105">
        <w:t>52058</w:t>
      </w:r>
      <w:r w:rsidR="00CD3FC6">
        <w:t xml:space="preserve">. </w:t>
      </w:r>
      <w:r w:rsidR="00CD74CC">
        <w:t xml:space="preserve">The Plan </w:t>
      </w:r>
      <w:r w:rsidRPr="004B4ED5">
        <w:t>identifie</w:t>
      </w:r>
      <w:r w:rsidR="00CD74CC">
        <w:t>s</w:t>
      </w:r>
      <w:r w:rsidRPr="00CD74CC">
        <w:t xml:space="preserve"> a 201</w:t>
      </w:r>
      <w:r w:rsidR="00C73105">
        <w:t>6</w:t>
      </w:r>
      <w:r w:rsidRPr="00CD74CC">
        <w:t>-202</w:t>
      </w:r>
      <w:r w:rsidR="00C73105">
        <w:t>5</w:t>
      </w:r>
      <w:r w:rsidRPr="00CD74CC">
        <w:t xml:space="preserve"> achievable conservation potential</w:t>
      </w:r>
      <w:r w:rsidR="00CD74CC">
        <w:t xml:space="preserve"> of </w:t>
      </w:r>
      <w:r w:rsidR="00B90DC3">
        <w:t xml:space="preserve">2,715,486 </w:t>
      </w:r>
      <w:r w:rsidR="00CD74CC" w:rsidRPr="00CD74CC">
        <w:t>megawatt-hours (MWh)</w:t>
      </w:r>
      <w:r w:rsidRPr="00CD74CC">
        <w:t xml:space="preserve">, </w:t>
      </w:r>
      <w:r w:rsidR="00CD74CC">
        <w:t xml:space="preserve">a </w:t>
      </w:r>
      <w:r w:rsidRPr="00CD74CC">
        <w:t>201</w:t>
      </w:r>
      <w:r w:rsidR="00C73105">
        <w:t>6</w:t>
      </w:r>
      <w:r w:rsidRPr="00CD74CC">
        <w:t>-201</w:t>
      </w:r>
      <w:r w:rsidR="00C73105">
        <w:t>7</w:t>
      </w:r>
      <w:r w:rsidRPr="00CD74CC">
        <w:t xml:space="preserve"> biennial conservation </w:t>
      </w:r>
      <w:r w:rsidR="00341972">
        <w:t>target</w:t>
      </w:r>
      <w:r w:rsidR="00CD74CC">
        <w:t xml:space="preserve"> of </w:t>
      </w:r>
      <w:r w:rsidR="00DF6ADE" w:rsidRPr="00DF6ADE">
        <w:t xml:space="preserve">537,078 </w:t>
      </w:r>
      <w:r w:rsidR="00CD74CC" w:rsidRPr="00CD74CC">
        <w:t>MWh</w:t>
      </w:r>
      <w:r w:rsidRPr="00CD74CC">
        <w:t>, and business plan to implement conservation programs to achieve th</w:t>
      </w:r>
      <w:r w:rsidR="00CD74CC">
        <w:t>at</w:t>
      </w:r>
      <w:r w:rsidRPr="00CD74CC">
        <w:t xml:space="preserve"> target.</w:t>
      </w:r>
      <w:r w:rsidR="00CD3FC6">
        <w:t xml:space="preserve"> Staff filed responsive comments on the Plan on Dec</w:t>
      </w:r>
      <w:r w:rsidR="003617FE">
        <w:t xml:space="preserve">ember </w:t>
      </w:r>
      <w:r w:rsidR="00C73105">
        <w:t>3, 2015</w:t>
      </w:r>
      <w:r w:rsidR="00CD3FC6">
        <w:t>.</w:t>
      </w:r>
    </w:p>
    <w:p w14:paraId="2F211E17" w14:textId="77777777" w:rsidR="00604FFF" w:rsidRDefault="00604FFF" w:rsidP="000F05C4">
      <w:pPr>
        <w:rPr>
          <w:highlight w:val="yellow"/>
        </w:rPr>
      </w:pPr>
    </w:p>
    <w:p w14:paraId="2F211E18" w14:textId="6954D5B8" w:rsidR="001363A7" w:rsidRPr="001363A7" w:rsidRDefault="001363A7" w:rsidP="000F05C4">
      <w:r>
        <w:t xml:space="preserve">Also on </w:t>
      </w:r>
      <w:r w:rsidR="00FA0DD0">
        <w:t>October 27</w:t>
      </w:r>
      <w:r w:rsidR="00B90DC3">
        <w:t>, 2015</w:t>
      </w:r>
      <w:r>
        <w:t>, PSE filed tariff changes under Docket UE-1</w:t>
      </w:r>
      <w:r w:rsidR="00B90DC3">
        <w:t>52</w:t>
      </w:r>
      <w:r w:rsidR="00C031DF">
        <w:t>042</w:t>
      </w:r>
      <w:r>
        <w:t xml:space="preserve"> to provide for continuation of PSE’s e</w:t>
      </w:r>
      <w:r w:rsidR="00F33C95">
        <w:t>l</w:t>
      </w:r>
      <w:r>
        <w:t xml:space="preserve">ectric conservation programs, which are set to expire on </w:t>
      </w:r>
      <w:r w:rsidR="001168EB">
        <w:t>Dec</w:t>
      </w:r>
      <w:r w:rsidR="003617FE">
        <w:t xml:space="preserve">ember </w:t>
      </w:r>
      <w:r w:rsidR="00B90DC3">
        <w:t>31, 2015</w:t>
      </w:r>
      <w:r w:rsidR="00CD3FC6">
        <w:t xml:space="preserve">. </w:t>
      </w:r>
      <w:r w:rsidR="00E8228B">
        <w:t xml:space="preserve">The tariff changes make a couple of minor programmatic changes, but do not effect rates. </w:t>
      </w:r>
    </w:p>
    <w:p w14:paraId="2F211E19" w14:textId="77777777" w:rsidR="00604FFF" w:rsidRPr="00515633" w:rsidRDefault="00604FFF" w:rsidP="00604FFF">
      <w:pPr>
        <w:rPr>
          <w:highlight w:val="yellow"/>
        </w:rPr>
      </w:pPr>
    </w:p>
    <w:p w14:paraId="52EE9960" w14:textId="11DF7420" w:rsidR="00294540" w:rsidRPr="001363A7" w:rsidRDefault="00B90DC3" w:rsidP="00604FFF">
      <w:r>
        <w:t>PSE serves approximately 1.2</w:t>
      </w:r>
      <w:r w:rsidR="00604FFF" w:rsidRPr="001363A7">
        <w:t xml:space="preserve"> million electric customers in Island, King, Kitsap, Kittitas, Pierce, Skagit, Thurston and Whatcom counties. </w:t>
      </w:r>
    </w:p>
    <w:p w14:paraId="2F211E1B" w14:textId="77777777" w:rsidR="00604FFF" w:rsidRPr="00515633" w:rsidRDefault="00604FFF" w:rsidP="00520CC1">
      <w:pPr>
        <w:rPr>
          <w:highlight w:val="yellow"/>
        </w:rPr>
      </w:pPr>
    </w:p>
    <w:p w14:paraId="2F211E1C" w14:textId="77777777" w:rsidR="000B6FA5" w:rsidRPr="00CA5322" w:rsidRDefault="001363A7" w:rsidP="00520CC1">
      <w:pPr>
        <w:rPr>
          <w:b/>
        </w:rPr>
      </w:pPr>
      <w:r w:rsidRPr="00CA5322">
        <w:rPr>
          <w:b/>
        </w:rPr>
        <w:t xml:space="preserve">Biennial Conservation Target </w:t>
      </w:r>
      <w:r w:rsidR="00BE498D">
        <w:rPr>
          <w:b/>
        </w:rPr>
        <w:t>and Portfolio Savings</w:t>
      </w:r>
    </w:p>
    <w:p w14:paraId="5F01E9BE" w14:textId="77777777" w:rsidR="00294540" w:rsidRDefault="00294540" w:rsidP="007A36E7"/>
    <w:p w14:paraId="2F211E1D" w14:textId="09F311BF" w:rsidR="0044594A" w:rsidRPr="00CA5322" w:rsidRDefault="007A36E7" w:rsidP="007A36E7">
      <w:r>
        <w:t xml:space="preserve">As described in </w:t>
      </w:r>
      <w:r w:rsidR="0068300C">
        <w:t>s</w:t>
      </w:r>
      <w:r>
        <w:t xml:space="preserve">taff </w:t>
      </w:r>
      <w:r w:rsidR="0068300C">
        <w:t>c</w:t>
      </w:r>
      <w:r>
        <w:t xml:space="preserve">omments, PSE conducted a </w:t>
      </w:r>
      <w:r w:rsidR="0068300C">
        <w:t>c</w:t>
      </w:r>
      <w:r>
        <w:t xml:space="preserve">onservation </w:t>
      </w:r>
      <w:r w:rsidR="0068300C">
        <w:t>p</w:t>
      </w:r>
      <w:r>
        <w:t xml:space="preserve">otential </w:t>
      </w:r>
      <w:r w:rsidR="0068300C">
        <w:t>a</w:t>
      </w:r>
      <w:r w:rsidR="00D127E0">
        <w:t>ssessment</w:t>
      </w:r>
      <w:r w:rsidR="0068300C">
        <w:t xml:space="preserve"> study</w:t>
      </w:r>
      <w:r w:rsidR="00D127E0">
        <w:t>, which</w:t>
      </w:r>
      <w:r>
        <w:t xml:space="preserve"> evaluated the 2016-2025 achievable conservation potential resulting in a 10-year potential of 2,715,486 MWh. The two-year share of PSE’s 10-year potential is 554,132 MWh (63.3 aMW) including 11,035 MWh of distribution efficiency. PSE then made a couple of adjustments to derive its biennial conservation target. First, PSE’s </w:t>
      </w:r>
      <w:r w:rsidR="0068300C">
        <w:t xml:space="preserve">study </w:t>
      </w:r>
      <w:r>
        <w:t xml:space="preserve">does not include behavioral savings, so the company added 5,722 MWh of projected savings from its existing Home Energy Reports initiative to the target. Next, PSE subtracted 22,776 MWh of savings attributable to NEEA programs from the biennial conservation target, for the reasons discussed </w:t>
      </w:r>
      <w:r w:rsidR="008C6BB0">
        <w:t>in staff’s December 3 comments</w:t>
      </w:r>
      <w:r>
        <w:t>. These adjustments resulted in a 2016-2017 biennial conservation target of 537,078 MWh (61.3 aMW).</w:t>
      </w:r>
    </w:p>
    <w:p w14:paraId="2F211E21" w14:textId="77777777" w:rsidR="00433A8C" w:rsidRDefault="00433A8C" w:rsidP="0044594A"/>
    <w:p w14:paraId="2F211E22" w14:textId="51A5DE6A" w:rsidR="00341972" w:rsidRPr="00084184" w:rsidRDefault="00341972" w:rsidP="003E36BB">
      <w:pPr>
        <w:spacing w:after="240" w:line="264" w:lineRule="auto"/>
        <w:ind w:left="900" w:right="720" w:hanging="900"/>
        <w:rPr>
          <w:b/>
        </w:rPr>
      </w:pPr>
      <w:r w:rsidRPr="00084184">
        <w:rPr>
          <w:b/>
        </w:rPr>
        <w:t xml:space="preserve">Table </w:t>
      </w:r>
      <w:r>
        <w:rPr>
          <w:b/>
        </w:rPr>
        <w:t>1</w:t>
      </w:r>
      <w:r w:rsidRPr="00084184">
        <w:rPr>
          <w:b/>
        </w:rPr>
        <w:t xml:space="preserve">. Development of </w:t>
      </w:r>
      <w:r>
        <w:rPr>
          <w:b/>
        </w:rPr>
        <w:t>PSE</w:t>
      </w:r>
      <w:r w:rsidR="00695D26">
        <w:rPr>
          <w:b/>
        </w:rPr>
        <w:t>’s 2016-2017</w:t>
      </w:r>
      <w:r w:rsidRPr="00084184">
        <w:rPr>
          <w:b/>
        </w:rPr>
        <w:t xml:space="preserve"> Biennial Conservation Target</w:t>
      </w:r>
      <w:r w:rsidR="00BE498D">
        <w:rPr>
          <w:b/>
        </w:rPr>
        <w:t xml:space="preserve">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341972" w:rsidRPr="009355D6" w14:paraId="2F211E25" w14:textId="77777777" w:rsidTr="003E36BB">
        <w:trPr>
          <w:trHeight w:val="379"/>
        </w:trPr>
        <w:tc>
          <w:tcPr>
            <w:tcW w:w="5203" w:type="dxa"/>
            <w:tcMar>
              <w:top w:w="0" w:type="dxa"/>
              <w:left w:w="108" w:type="dxa"/>
              <w:bottom w:w="0" w:type="dxa"/>
              <w:right w:w="108" w:type="dxa"/>
            </w:tcMar>
            <w:vAlign w:val="bottom"/>
            <w:hideMark/>
          </w:tcPr>
          <w:p w14:paraId="2F211E2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2181" w:type="dxa"/>
            <w:tcMar>
              <w:top w:w="0" w:type="dxa"/>
              <w:left w:w="108" w:type="dxa"/>
              <w:bottom w:w="0" w:type="dxa"/>
              <w:right w:w="108" w:type="dxa"/>
            </w:tcMar>
            <w:hideMark/>
          </w:tcPr>
          <w:p w14:paraId="2F211E2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2F211E28" w14:textId="77777777" w:rsidTr="003E36BB">
        <w:trPr>
          <w:trHeight w:val="269"/>
        </w:trPr>
        <w:tc>
          <w:tcPr>
            <w:tcW w:w="5203" w:type="dxa"/>
            <w:tcMar>
              <w:top w:w="0" w:type="dxa"/>
              <w:left w:w="108" w:type="dxa"/>
              <w:bottom w:w="0" w:type="dxa"/>
              <w:right w:w="108" w:type="dxa"/>
            </w:tcMar>
            <w:hideMark/>
          </w:tcPr>
          <w:p w14:paraId="2F211E26" w14:textId="77777777" w:rsidR="00341972" w:rsidRPr="009355D6" w:rsidRDefault="00341972" w:rsidP="00341972">
            <w:pPr>
              <w:spacing w:line="264" w:lineRule="auto"/>
              <w:ind w:right="720"/>
            </w:pPr>
            <w:r>
              <w:t xml:space="preserve">End-Use </w:t>
            </w:r>
            <w:r w:rsidRPr="009355D6">
              <w:t>Efficiency</w:t>
            </w:r>
            <w:r>
              <w:t xml:space="preserve"> Measures</w:t>
            </w:r>
            <w:r w:rsidRPr="009355D6">
              <w:t xml:space="preserve"> (CPA)</w:t>
            </w:r>
          </w:p>
        </w:tc>
        <w:tc>
          <w:tcPr>
            <w:tcW w:w="2181" w:type="dxa"/>
            <w:tcMar>
              <w:top w:w="0" w:type="dxa"/>
              <w:left w:w="108" w:type="dxa"/>
              <w:bottom w:w="0" w:type="dxa"/>
              <w:right w:w="108" w:type="dxa"/>
            </w:tcMar>
            <w:hideMark/>
          </w:tcPr>
          <w:p w14:paraId="2F211E27" w14:textId="6CA50C5D" w:rsidR="00AB28F3" w:rsidRPr="009355D6" w:rsidRDefault="00AB28F3" w:rsidP="00AB28F3">
            <w:pPr>
              <w:spacing w:line="264" w:lineRule="auto"/>
              <w:ind w:right="720"/>
              <w:jc w:val="right"/>
            </w:pPr>
            <w:r>
              <w:t>554,132</w:t>
            </w:r>
          </w:p>
        </w:tc>
      </w:tr>
      <w:tr w:rsidR="00341972" w:rsidRPr="009355D6" w14:paraId="2F211E2B" w14:textId="77777777" w:rsidTr="003E36BB">
        <w:trPr>
          <w:trHeight w:val="314"/>
        </w:trPr>
        <w:tc>
          <w:tcPr>
            <w:tcW w:w="5203" w:type="dxa"/>
            <w:tcMar>
              <w:top w:w="0" w:type="dxa"/>
              <w:left w:w="108" w:type="dxa"/>
              <w:bottom w:w="0" w:type="dxa"/>
              <w:right w:w="108" w:type="dxa"/>
            </w:tcMar>
            <w:hideMark/>
          </w:tcPr>
          <w:p w14:paraId="2F211E29" w14:textId="77777777" w:rsidR="00341972" w:rsidRPr="009355D6" w:rsidRDefault="00341972" w:rsidP="00341972">
            <w:pPr>
              <w:spacing w:line="264" w:lineRule="auto"/>
              <w:ind w:right="720"/>
            </w:pPr>
            <w:r w:rsidRPr="009355D6">
              <w:t>Less NEEA</w:t>
            </w:r>
          </w:p>
        </w:tc>
        <w:tc>
          <w:tcPr>
            <w:tcW w:w="2181" w:type="dxa"/>
            <w:tcMar>
              <w:top w:w="0" w:type="dxa"/>
              <w:left w:w="108" w:type="dxa"/>
              <w:bottom w:w="0" w:type="dxa"/>
              <w:right w:w="108" w:type="dxa"/>
            </w:tcMar>
            <w:hideMark/>
          </w:tcPr>
          <w:p w14:paraId="2F211E2A" w14:textId="162DEF8B" w:rsidR="00341972" w:rsidRPr="009355D6" w:rsidRDefault="00AB28F3" w:rsidP="00341972">
            <w:pPr>
              <w:spacing w:line="264" w:lineRule="auto"/>
              <w:ind w:right="720"/>
              <w:jc w:val="right"/>
            </w:pPr>
            <w:r>
              <w:t>(22,776)</w:t>
            </w:r>
          </w:p>
        </w:tc>
      </w:tr>
      <w:tr w:rsidR="00341972" w:rsidRPr="009355D6" w14:paraId="2F211E31" w14:textId="77777777" w:rsidTr="003E36BB">
        <w:trPr>
          <w:trHeight w:val="305"/>
        </w:trPr>
        <w:tc>
          <w:tcPr>
            <w:tcW w:w="5203" w:type="dxa"/>
            <w:tcMar>
              <w:top w:w="0" w:type="dxa"/>
              <w:left w:w="108" w:type="dxa"/>
              <w:bottom w:w="0" w:type="dxa"/>
              <w:right w:w="108" w:type="dxa"/>
            </w:tcMar>
            <w:hideMark/>
          </w:tcPr>
          <w:p w14:paraId="2F211E2F" w14:textId="77777777" w:rsidR="00341972" w:rsidRPr="00125C1B" w:rsidRDefault="00341972" w:rsidP="00341972">
            <w:pPr>
              <w:spacing w:line="264" w:lineRule="auto"/>
              <w:ind w:right="720"/>
            </w:pPr>
            <w:r w:rsidRPr="00125C1B">
              <w:t xml:space="preserve">Plus </w:t>
            </w:r>
            <w:r>
              <w:t>Existing Home Energy Reports</w:t>
            </w:r>
          </w:p>
        </w:tc>
        <w:tc>
          <w:tcPr>
            <w:tcW w:w="2181" w:type="dxa"/>
            <w:tcMar>
              <w:top w:w="0" w:type="dxa"/>
              <w:left w:w="108" w:type="dxa"/>
              <w:bottom w:w="0" w:type="dxa"/>
              <w:right w:w="108" w:type="dxa"/>
            </w:tcMar>
            <w:hideMark/>
          </w:tcPr>
          <w:p w14:paraId="2F211E30" w14:textId="2A96EA72" w:rsidR="00341972" w:rsidRPr="009355D6" w:rsidRDefault="00AB28F3" w:rsidP="00341972">
            <w:pPr>
              <w:spacing w:line="264" w:lineRule="auto"/>
              <w:ind w:right="720"/>
              <w:jc w:val="right"/>
            </w:pPr>
            <w:r>
              <w:t>5,722</w:t>
            </w:r>
          </w:p>
        </w:tc>
      </w:tr>
      <w:tr w:rsidR="00341972" w:rsidRPr="009355D6" w14:paraId="2F211E34" w14:textId="77777777" w:rsidTr="003E36BB">
        <w:trPr>
          <w:trHeight w:val="99"/>
        </w:trPr>
        <w:tc>
          <w:tcPr>
            <w:tcW w:w="5203" w:type="dxa"/>
            <w:tcMar>
              <w:top w:w="0" w:type="dxa"/>
              <w:left w:w="108" w:type="dxa"/>
              <w:bottom w:w="0" w:type="dxa"/>
              <w:right w:w="108" w:type="dxa"/>
            </w:tcMar>
            <w:hideMark/>
          </w:tcPr>
          <w:p w14:paraId="2F211E32" w14:textId="1D9DA7CA" w:rsidR="00341972" w:rsidRPr="009355D6" w:rsidRDefault="00B90DC3" w:rsidP="00341972">
            <w:pPr>
              <w:spacing w:line="264" w:lineRule="auto"/>
              <w:ind w:right="720"/>
              <w:rPr>
                <w:b/>
                <w:bCs/>
              </w:rPr>
            </w:pPr>
            <w:r>
              <w:rPr>
                <w:b/>
                <w:bCs/>
              </w:rPr>
              <w:t>2016</w:t>
            </w:r>
            <w:r w:rsidR="00341972">
              <w:rPr>
                <w:b/>
                <w:bCs/>
              </w:rPr>
              <w:t>-20</w:t>
            </w:r>
            <w:r>
              <w:rPr>
                <w:b/>
                <w:bCs/>
              </w:rPr>
              <w:t>17</w:t>
            </w:r>
            <w:r w:rsidR="00341972" w:rsidRPr="009355D6">
              <w:rPr>
                <w:b/>
                <w:bCs/>
              </w:rPr>
              <w:t xml:space="preserve"> </w:t>
            </w:r>
            <w:r w:rsidR="00341972">
              <w:rPr>
                <w:b/>
                <w:bCs/>
              </w:rPr>
              <w:t>Biennial Conservation</w:t>
            </w:r>
            <w:r w:rsidR="00341972" w:rsidRPr="009355D6">
              <w:rPr>
                <w:b/>
                <w:bCs/>
              </w:rPr>
              <w:t xml:space="preserve"> Target</w:t>
            </w:r>
          </w:p>
        </w:tc>
        <w:tc>
          <w:tcPr>
            <w:tcW w:w="2181" w:type="dxa"/>
            <w:tcMar>
              <w:top w:w="0" w:type="dxa"/>
              <w:left w:w="108" w:type="dxa"/>
              <w:bottom w:w="0" w:type="dxa"/>
              <w:right w:w="108" w:type="dxa"/>
            </w:tcMar>
            <w:hideMark/>
          </w:tcPr>
          <w:p w14:paraId="2F211E33" w14:textId="340E543A" w:rsidR="00BE498D" w:rsidRPr="009355D6" w:rsidRDefault="00AB28F3" w:rsidP="00BE498D">
            <w:pPr>
              <w:spacing w:line="264" w:lineRule="auto"/>
              <w:ind w:right="720"/>
              <w:jc w:val="right"/>
              <w:rPr>
                <w:b/>
                <w:bCs/>
              </w:rPr>
            </w:pPr>
            <w:r>
              <w:rPr>
                <w:b/>
                <w:bCs/>
              </w:rPr>
              <w:t>537,078</w:t>
            </w:r>
          </w:p>
        </w:tc>
      </w:tr>
      <w:tr w:rsidR="00BE498D" w:rsidRPr="009355D6" w14:paraId="2F211E37" w14:textId="77777777" w:rsidTr="003E36BB">
        <w:trPr>
          <w:trHeight w:val="99"/>
        </w:trPr>
        <w:tc>
          <w:tcPr>
            <w:tcW w:w="5203" w:type="dxa"/>
            <w:tcMar>
              <w:top w:w="0" w:type="dxa"/>
              <w:left w:w="108" w:type="dxa"/>
              <w:bottom w:w="0" w:type="dxa"/>
              <w:right w:w="108" w:type="dxa"/>
            </w:tcMar>
          </w:tcPr>
          <w:p w14:paraId="2F211E35" w14:textId="77777777" w:rsidR="00BE498D" w:rsidRPr="00BE498D" w:rsidRDefault="00BE498D" w:rsidP="00341972">
            <w:pPr>
              <w:spacing w:line="264" w:lineRule="auto"/>
              <w:ind w:right="720"/>
              <w:rPr>
                <w:bCs/>
              </w:rPr>
            </w:pPr>
            <w:r>
              <w:rPr>
                <w:bCs/>
              </w:rPr>
              <w:t xml:space="preserve">Plus </w:t>
            </w:r>
            <w:r w:rsidRPr="00BE498D">
              <w:rPr>
                <w:bCs/>
              </w:rPr>
              <w:t>Decoupling Commitment (</w:t>
            </w:r>
            <w:r>
              <w:rPr>
                <w:bCs/>
              </w:rPr>
              <w:t>5%)</w:t>
            </w:r>
          </w:p>
        </w:tc>
        <w:tc>
          <w:tcPr>
            <w:tcW w:w="2181" w:type="dxa"/>
            <w:tcMar>
              <w:top w:w="0" w:type="dxa"/>
              <w:left w:w="108" w:type="dxa"/>
              <w:bottom w:w="0" w:type="dxa"/>
              <w:right w:w="108" w:type="dxa"/>
            </w:tcMar>
          </w:tcPr>
          <w:p w14:paraId="2F211E36" w14:textId="3929DFF4" w:rsidR="00BE498D" w:rsidRPr="00BE498D" w:rsidRDefault="00AB28F3" w:rsidP="00BE498D">
            <w:pPr>
              <w:spacing w:line="264" w:lineRule="auto"/>
              <w:ind w:right="720"/>
              <w:jc w:val="right"/>
              <w:rPr>
                <w:bCs/>
              </w:rPr>
            </w:pPr>
            <w:r>
              <w:rPr>
                <w:bCs/>
              </w:rPr>
              <w:t>27,993</w:t>
            </w:r>
          </w:p>
        </w:tc>
      </w:tr>
      <w:tr w:rsidR="00716014" w:rsidRPr="009355D6" w14:paraId="3813394A" w14:textId="77777777" w:rsidTr="003E36BB">
        <w:trPr>
          <w:trHeight w:val="99"/>
        </w:trPr>
        <w:tc>
          <w:tcPr>
            <w:tcW w:w="5203" w:type="dxa"/>
            <w:tcMar>
              <w:top w:w="0" w:type="dxa"/>
              <w:left w:w="108" w:type="dxa"/>
              <w:bottom w:w="0" w:type="dxa"/>
              <w:right w:w="108" w:type="dxa"/>
            </w:tcMar>
          </w:tcPr>
          <w:p w14:paraId="087118EF" w14:textId="35A68179" w:rsidR="00716014" w:rsidRDefault="00BD5C3D" w:rsidP="00BD5C3D">
            <w:pPr>
              <w:spacing w:line="264" w:lineRule="auto"/>
              <w:ind w:right="720"/>
              <w:rPr>
                <w:bCs/>
              </w:rPr>
            </w:pPr>
            <w:r>
              <w:rPr>
                <w:bCs/>
              </w:rPr>
              <w:t>Plus NEEA</w:t>
            </w:r>
          </w:p>
        </w:tc>
        <w:tc>
          <w:tcPr>
            <w:tcW w:w="2181" w:type="dxa"/>
            <w:tcMar>
              <w:top w:w="0" w:type="dxa"/>
              <w:left w:w="108" w:type="dxa"/>
              <w:bottom w:w="0" w:type="dxa"/>
              <w:right w:w="108" w:type="dxa"/>
            </w:tcMar>
          </w:tcPr>
          <w:p w14:paraId="75D6449D" w14:textId="4FC1D01B" w:rsidR="00716014" w:rsidRDefault="00BD5C3D" w:rsidP="00BE498D">
            <w:pPr>
              <w:spacing w:line="264" w:lineRule="auto"/>
              <w:ind w:right="720"/>
              <w:jc w:val="right"/>
              <w:rPr>
                <w:bCs/>
              </w:rPr>
            </w:pPr>
            <w:r>
              <w:rPr>
                <w:bCs/>
              </w:rPr>
              <w:t>22,776</w:t>
            </w:r>
          </w:p>
        </w:tc>
      </w:tr>
      <w:tr w:rsidR="00BE498D" w:rsidRPr="009355D6" w14:paraId="2F211E3A" w14:textId="77777777" w:rsidTr="003E36BB">
        <w:trPr>
          <w:trHeight w:val="99"/>
        </w:trPr>
        <w:tc>
          <w:tcPr>
            <w:tcW w:w="5203" w:type="dxa"/>
            <w:tcMar>
              <w:top w:w="0" w:type="dxa"/>
              <w:left w:w="108" w:type="dxa"/>
              <w:bottom w:w="0" w:type="dxa"/>
              <w:right w:w="108" w:type="dxa"/>
            </w:tcMar>
          </w:tcPr>
          <w:p w14:paraId="2F211E38" w14:textId="00E2D90E" w:rsidR="00BE498D" w:rsidRDefault="00BE498D" w:rsidP="00AB28F3">
            <w:pPr>
              <w:spacing w:line="264" w:lineRule="auto"/>
              <w:ind w:right="720"/>
              <w:rPr>
                <w:bCs/>
              </w:rPr>
            </w:pPr>
            <w:r>
              <w:rPr>
                <w:bCs/>
              </w:rPr>
              <w:t xml:space="preserve">Plus </w:t>
            </w:r>
            <w:r w:rsidR="00AB28F3">
              <w:rPr>
                <w:bCs/>
              </w:rPr>
              <w:t xml:space="preserve">Home </w:t>
            </w:r>
            <w:r>
              <w:rPr>
                <w:bCs/>
              </w:rPr>
              <w:t>Energy Reports pilot</w:t>
            </w:r>
            <w:r w:rsidR="00F636D9">
              <w:rPr>
                <w:bCs/>
              </w:rPr>
              <w:t>s</w:t>
            </w:r>
          </w:p>
        </w:tc>
        <w:tc>
          <w:tcPr>
            <w:tcW w:w="2181" w:type="dxa"/>
            <w:tcMar>
              <w:top w:w="0" w:type="dxa"/>
              <w:left w:w="108" w:type="dxa"/>
              <w:bottom w:w="0" w:type="dxa"/>
              <w:right w:w="108" w:type="dxa"/>
            </w:tcMar>
          </w:tcPr>
          <w:p w14:paraId="2F211E39" w14:textId="20CB5EEA" w:rsidR="00BE498D" w:rsidRDefault="00AB28F3" w:rsidP="00BE498D">
            <w:pPr>
              <w:spacing w:line="264" w:lineRule="auto"/>
              <w:ind w:right="720"/>
              <w:jc w:val="right"/>
              <w:rPr>
                <w:bCs/>
              </w:rPr>
            </w:pPr>
            <w:r>
              <w:rPr>
                <w:bCs/>
              </w:rPr>
              <w:t>17,347</w:t>
            </w:r>
          </w:p>
        </w:tc>
      </w:tr>
      <w:tr w:rsidR="00BE498D" w:rsidRPr="009355D6" w14:paraId="2F211E3D" w14:textId="77777777" w:rsidTr="003E36BB">
        <w:trPr>
          <w:trHeight w:val="99"/>
        </w:trPr>
        <w:tc>
          <w:tcPr>
            <w:tcW w:w="5203" w:type="dxa"/>
            <w:tcMar>
              <w:top w:w="0" w:type="dxa"/>
              <w:left w:w="108" w:type="dxa"/>
              <w:bottom w:w="0" w:type="dxa"/>
              <w:right w:w="108" w:type="dxa"/>
            </w:tcMar>
          </w:tcPr>
          <w:p w14:paraId="2F211E3B" w14:textId="12B12620" w:rsidR="00BE498D" w:rsidRPr="00BE498D" w:rsidRDefault="00B90DC3" w:rsidP="00341972">
            <w:pPr>
              <w:spacing w:line="264" w:lineRule="auto"/>
              <w:ind w:right="720"/>
              <w:rPr>
                <w:b/>
                <w:bCs/>
              </w:rPr>
            </w:pPr>
            <w:r>
              <w:rPr>
                <w:b/>
                <w:bCs/>
              </w:rPr>
              <w:t>2016-2017</w:t>
            </w:r>
            <w:r w:rsidR="00BE498D">
              <w:rPr>
                <w:b/>
                <w:bCs/>
              </w:rPr>
              <w:t xml:space="preserve"> Total Portfolio Savings</w:t>
            </w:r>
          </w:p>
        </w:tc>
        <w:tc>
          <w:tcPr>
            <w:tcW w:w="2181" w:type="dxa"/>
            <w:tcMar>
              <w:top w:w="0" w:type="dxa"/>
              <w:left w:w="108" w:type="dxa"/>
              <w:bottom w:w="0" w:type="dxa"/>
              <w:right w:w="108" w:type="dxa"/>
            </w:tcMar>
          </w:tcPr>
          <w:p w14:paraId="2F211E3C" w14:textId="0AD9F1FB" w:rsidR="00BE498D" w:rsidRPr="00BE498D" w:rsidRDefault="00AB28F3" w:rsidP="00BE498D">
            <w:pPr>
              <w:spacing w:line="264" w:lineRule="auto"/>
              <w:ind w:right="720"/>
              <w:jc w:val="right"/>
              <w:rPr>
                <w:b/>
                <w:bCs/>
              </w:rPr>
            </w:pPr>
            <w:r>
              <w:rPr>
                <w:b/>
                <w:bCs/>
              </w:rPr>
              <w:t>605,194</w:t>
            </w:r>
          </w:p>
        </w:tc>
      </w:tr>
    </w:tbl>
    <w:p w14:paraId="2F211E3E" w14:textId="77777777" w:rsidR="00DB6F04" w:rsidRPr="00CA5322" w:rsidRDefault="00DB6F04" w:rsidP="0044594A"/>
    <w:p w14:paraId="2F211E3F" w14:textId="5AEE2037" w:rsidR="00DB6F04" w:rsidRDefault="00433A8C" w:rsidP="0044594A">
      <w:r>
        <w:t>PSE discussed these adjustments with the Conservation Resources Advisory Group (CRAG) during the months leading up to the filing of the BCP</w:t>
      </w:r>
      <w:r w:rsidR="00CD3FC6">
        <w:t xml:space="preserve">. </w:t>
      </w:r>
    </w:p>
    <w:p w14:paraId="2F211E40" w14:textId="77777777" w:rsidR="00433A8C" w:rsidRPr="00CA5322" w:rsidRDefault="00433A8C" w:rsidP="0044594A"/>
    <w:p w14:paraId="2F211E41" w14:textId="77777777" w:rsidR="00DB6F04" w:rsidRPr="00BE498D" w:rsidRDefault="00BE498D" w:rsidP="0044594A">
      <w:pPr>
        <w:rPr>
          <w:b/>
        </w:rPr>
      </w:pPr>
      <w:r>
        <w:rPr>
          <w:b/>
        </w:rPr>
        <w:t>Biennial Budget and Cost-Effectiveness</w:t>
      </w:r>
    </w:p>
    <w:p w14:paraId="2F211E42" w14:textId="77777777" w:rsidR="00BE498D" w:rsidRDefault="00BE498D" w:rsidP="0044594A"/>
    <w:p w14:paraId="2F211E43" w14:textId="2C0E2926" w:rsidR="00343083" w:rsidRDefault="00433A8C" w:rsidP="0044594A">
      <w:r>
        <w:t>The BCP provides budget details regarding PSE’s plan for achieving the savings identified in its biennial conservation target and total portfolio</w:t>
      </w:r>
      <w:r w:rsidR="00CD3FC6">
        <w:t xml:space="preserve">. </w:t>
      </w:r>
      <w:r w:rsidR="00D127E0">
        <w:t>Table 2, below, is a</w:t>
      </w:r>
      <w:r>
        <w:t xml:space="preserve"> summary of these details</w:t>
      </w:r>
      <w:r w:rsidR="00CD3FC6">
        <w:t xml:space="preserve">. </w:t>
      </w:r>
      <w:r w:rsidR="009278CE">
        <w:t>PSE’s 2016-2017</w:t>
      </w:r>
      <w:r>
        <w:t xml:space="preserve"> budget is </w:t>
      </w:r>
      <w:r w:rsidRPr="00433A8C">
        <w:t>$</w:t>
      </w:r>
      <w:r w:rsidR="0062084E">
        <w:t>198,985,000</w:t>
      </w:r>
      <w:r>
        <w:t xml:space="preserve">, approximately </w:t>
      </w:r>
      <w:r w:rsidR="0062084E">
        <w:t xml:space="preserve">five </w:t>
      </w:r>
      <w:r w:rsidR="009278CE">
        <w:t>percent</w:t>
      </w:r>
      <w:r w:rsidR="0062084E">
        <w:t xml:space="preserve"> greater </w:t>
      </w:r>
      <w:r w:rsidR="009278CE">
        <w:t>than the budget for the 2014-2015</w:t>
      </w:r>
      <w:r>
        <w:t xml:space="preserve"> b</w:t>
      </w:r>
      <w:r w:rsidR="00343083">
        <w:t>iennium</w:t>
      </w:r>
      <w:r w:rsidR="00657E4F">
        <w:t xml:space="preserve">. </w:t>
      </w:r>
      <w:r w:rsidR="00343083">
        <w:t xml:space="preserve">PSE’s expected </w:t>
      </w:r>
      <w:r w:rsidR="009278CE">
        <w:t>total portfolio savings for 2016-2017</w:t>
      </w:r>
      <w:r w:rsidR="00343083">
        <w:t xml:space="preserve"> are </w:t>
      </w:r>
      <w:r w:rsidR="00657E4F">
        <w:t>lower</w:t>
      </w:r>
      <w:r w:rsidR="009278CE">
        <w:t xml:space="preserve"> than the 2014-2015</w:t>
      </w:r>
      <w:r w:rsidR="00343083">
        <w:t xml:space="preserve"> biennium</w:t>
      </w:r>
      <w:r w:rsidR="00657E4F">
        <w:t xml:space="preserve">, however, the biennial target is greater than the previous biennium. This oddity is due to a decrease in expected NEEA </w:t>
      </w:r>
      <w:r w:rsidR="00D127E0">
        <w:t>savings, which</w:t>
      </w:r>
      <w:r w:rsidR="00657E4F">
        <w:t xml:space="preserve"> are removed from the </w:t>
      </w:r>
      <w:r w:rsidR="00172D15">
        <w:t>penalty target.</w:t>
      </w:r>
    </w:p>
    <w:p w14:paraId="2F211E44" w14:textId="77777777" w:rsidR="00343083" w:rsidRDefault="00343083" w:rsidP="0044594A"/>
    <w:p w14:paraId="2F211E4B" w14:textId="0BDF28B0" w:rsidR="00343083" w:rsidRDefault="00B90DC3" w:rsidP="0044594A">
      <w:r>
        <w:t xml:space="preserve">PSE expects its </w:t>
      </w:r>
      <w:r w:rsidR="00343083">
        <w:t xml:space="preserve">portfolio </w:t>
      </w:r>
      <w:r>
        <w:t>to achieve</w:t>
      </w:r>
      <w:r w:rsidR="00343083">
        <w:t xml:space="preserve"> a Total Resource Cost (TRC) ratio of </w:t>
      </w:r>
      <w:r w:rsidR="00A429A1">
        <w:t>1.</w:t>
      </w:r>
      <w:r w:rsidR="0068300C">
        <w:t>7</w:t>
      </w:r>
      <w:r w:rsidR="00A429A1">
        <w:t xml:space="preserve"> </w:t>
      </w:r>
      <w:r w:rsidR="00343083">
        <w:t xml:space="preserve">and a Utility Cost Test (UCT) ratio of </w:t>
      </w:r>
      <w:r w:rsidR="00A429A1">
        <w:t>2.2</w:t>
      </w:r>
      <w:r w:rsidR="00343083">
        <w:t>, indicating that the portfolio is still cost-effective</w:t>
      </w:r>
      <w:r w:rsidR="00CD3FC6">
        <w:t>.</w:t>
      </w:r>
    </w:p>
    <w:p w14:paraId="2F211E4C" w14:textId="77777777" w:rsidR="00C85128" w:rsidRPr="00CA5322" w:rsidRDefault="00C85128" w:rsidP="0044594A"/>
    <w:p w14:paraId="2F211E4D" w14:textId="36AF9099" w:rsidR="0092599F" w:rsidRPr="00FF511B" w:rsidRDefault="00BE498D" w:rsidP="003E36BB">
      <w:pPr>
        <w:spacing w:after="240" w:line="264" w:lineRule="auto"/>
        <w:ind w:right="720"/>
        <w:rPr>
          <w:b/>
        </w:rPr>
      </w:pPr>
      <w:r>
        <w:rPr>
          <w:b/>
        </w:rPr>
        <w:t xml:space="preserve">Table 2. </w:t>
      </w:r>
      <w:r w:rsidR="0092599F" w:rsidRPr="00FF511B">
        <w:rPr>
          <w:b/>
        </w:rPr>
        <w:t xml:space="preserve">Savings and Budgets from </w:t>
      </w:r>
      <w:r w:rsidR="0092599F">
        <w:rPr>
          <w:b/>
        </w:rPr>
        <w:t xml:space="preserve">PSE’s </w:t>
      </w:r>
      <w:r w:rsidR="0092599F" w:rsidRPr="00FF511B">
        <w:rPr>
          <w:b/>
        </w:rPr>
        <w:t>2014-2015</w:t>
      </w:r>
      <w:r w:rsidR="009278CE">
        <w:rPr>
          <w:b/>
        </w:rPr>
        <w:t xml:space="preserve"> and 2016-2017</w:t>
      </w:r>
      <w:r w:rsidR="0092599F" w:rsidRPr="00FF511B">
        <w:rPr>
          <w:b/>
        </w:rPr>
        <w:t xml:space="preserve"> BCPs.</w:t>
      </w:r>
    </w:p>
    <w:tbl>
      <w:tblPr>
        <w:tblStyle w:val="TableGrid"/>
        <w:tblW w:w="0" w:type="auto"/>
        <w:tblInd w:w="173" w:type="dxa"/>
        <w:tblLook w:val="04A0" w:firstRow="1" w:lastRow="0" w:firstColumn="1" w:lastColumn="0" w:noHBand="0" w:noVBand="1"/>
      </w:tblPr>
      <w:tblGrid>
        <w:gridCol w:w="2411"/>
        <w:gridCol w:w="1739"/>
        <w:gridCol w:w="1644"/>
        <w:gridCol w:w="1767"/>
        <w:gridCol w:w="1616"/>
      </w:tblGrid>
      <w:tr w:rsidR="0092599F" w:rsidRPr="009355D6" w14:paraId="2F211E55" w14:textId="77777777" w:rsidTr="003E36BB">
        <w:tc>
          <w:tcPr>
            <w:tcW w:w="2448" w:type="dxa"/>
            <w:vAlign w:val="bottom"/>
          </w:tcPr>
          <w:p w14:paraId="2F211E4E" w14:textId="77777777" w:rsidR="0092599F" w:rsidRPr="009355D6" w:rsidRDefault="0092599F" w:rsidP="00BE498D">
            <w:pPr>
              <w:rPr>
                <w:b/>
              </w:rPr>
            </w:pPr>
            <w:r w:rsidRPr="009355D6">
              <w:rPr>
                <w:b/>
              </w:rPr>
              <w:t>Program</w:t>
            </w:r>
          </w:p>
        </w:tc>
        <w:tc>
          <w:tcPr>
            <w:tcW w:w="1890" w:type="dxa"/>
            <w:vAlign w:val="bottom"/>
          </w:tcPr>
          <w:p w14:paraId="2F211E4F" w14:textId="77777777" w:rsidR="0092599F" w:rsidRPr="009355D6" w:rsidRDefault="0092599F" w:rsidP="00341972">
            <w:pPr>
              <w:jc w:val="center"/>
              <w:rPr>
                <w:b/>
              </w:rPr>
            </w:pPr>
            <w:r>
              <w:rPr>
                <w:b/>
              </w:rPr>
              <w:t>2014-20</w:t>
            </w:r>
            <w:r w:rsidRPr="009355D6">
              <w:rPr>
                <w:b/>
              </w:rPr>
              <w:t>15</w:t>
            </w:r>
          </w:p>
          <w:p w14:paraId="2F211E50" w14:textId="77777777" w:rsidR="0092599F" w:rsidRPr="009355D6" w:rsidRDefault="0092599F" w:rsidP="00341972">
            <w:pPr>
              <w:jc w:val="center"/>
              <w:rPr>
                <w:b/>
              </w:rPr>
            </w:pPr>
            <w:r w:rsidRPr="009355D6">
              <w:rPr>
                <w:b/>
              </w:rPr>
              <w:t>Projected Savings</w:t>
            </w:r>
            <w:r>
              <w:rPr>
                <w:b/>
              </w:rPr>
              <w:t xml:space="preserve"> (MWh)</w:t>
            </w:r>
          </w:p>
        </w:tc>
        <w:tc>
          <w:tcPr>
            <w:tcW w:w="1674" w:type="dxa"/>
            <w:vAlign w:val="bottom"/>
          </w:tcPr>
          <w:p w14:paraId="2F211E51" w14:textId="44DE4499" w:rsidR="0092599F" w:rsidRPr="009355D6" w:rsidRDefault="0092599F" w:rsidP="00341972">
            <w:pPr>
              <w:jc w:val="center"/>
              <w:rPr>
                <w:b/>
              </w:rPr>
            </w:pPr>
            <w:r>
              <w:rPr>
                <w:b/>
              </w:rPr>
              <w:t>2014-20</w:t>
            </w:r>
            <w:r w:rsidRPr="009355D6">
              <w:rPr>
                <w:b/>
              </w:rPr>
              <w:t>15 Budget</w:t>
            </w:r>
          </w:p>
        </w:tc>
        <w:tc>
          <w:tcPr>
            <w:tcW w:w="1926" w:type="dxa"/>
            <w:vAlign w:val="bottom"/>
          </w:tcPr>
          <w:p w14:paraId="2F211E52" w14:textId="37817FBB" w:rsidR="0092599F" w:rsidRPr="009355D6" w:rsidRDefault="009278CE" w:rsidP="00341972">
            <w:pPr>
              <w:jc w:val="center"/>
              <w:rPr>
                <w:b/>
              </w:rPr>
            </w:pPr>
            <w:r>
              <w:rPr>
                <w:b/>
              </w:rPr>
              <w:t>2016</w:t>
            </w:r>
            <w:r w:rsidR="0092599F">
              <w:rPr>
                <w:b/>
              </w:rPr>
              <w:t>-20</w:t>
            </w:r>
            <w:r>
              <w:rPr>
                <w:b/>
              </w:rPr>
              <w:t>17</w:t>
            </w:r>
          </w:p>
          <w:p w14:paraId="2F211E53" w14:textId="77777777" w:rsidR="0092599F" w:rsidRPr="009355D6" w:rsidRDefault="0092599F" w:rsidP="00341972">
            <w:pPr>
              <w:jc w:val="center"/>
              <w:rPr>
                <w:b/>
              </w:rPr>
            </w:pPr>
            <w:r w:rsidRPr="009355D6">
              <w:rPr>
                <w:b/>
              </w:rPr>
              <w:t>Projected Savings</w:t>
            </w:r>
            <w:r>
              <w:rPr>
                <w:b/>
              </w:rPr>
              <w:t xml:space="preserve"> (MWh)</w:t>
            </w:r>
          </w:p>
        </w:tc>
        <w:tc>
          <w:tcPr>
            <w:tcW w:w="1638" w:type="dxa"/>
            <w:vAlign w:val="bottom"/>
          </w:tcPr>
          <w:p w14:paraId="2F211E54" w14:textId="73F8A67B" w:rsidR="0092599F" w:rsidRPr="009355D6" w:rsidRDefault="009278CE" w:rsidP="00341972">
            <w:pPr>
              <w:jc w:val="center"/>
              <w:rPr>
                <w:b/>
              </w:rPr>
            </w:pPr>
            <w:r>
              <w:rPr>
                <w:b/>
              </w:rPr>
              <w:t>2016</w:t>
            </w:r>
            <w:r w:rsidR="0092599F">
              <w:rPr>
                <w:b/>
              </w:rPr>
              <w:t>-20</w:t>
            </w:r>
            <w:r>
              <w:rPr>
                <w:b/>
              </w:rPr>
              <w:t>17</w:t>
            </w:r>
            <w:r w:rsidR="0092599F" w:rsidRPr="009355D6">
              <w:rPr>
                <w:b/>
              </w:rPr>
              <w:t xml:space="preserve"> Budget</w:t>
            </w:r>
          </w:p>
        </w:tc>
      </w:tr>
      <w:tr w:rsidR="0092599F" w:rsidRPr="009355D6" w14:paraId="2F211E5B" w14:textId="77777777" w:rsidTr="003E36BB">
        <w:tc>
          <w:tcPr>
            <w:tcW w:w="2448" w:type="dxa"/>
          </w:tcPr>
          <w:p w14:paraId="2F211E56" w14:textId="77777777" w:rsidR="0092599F" w:rsidRPr="009C48F3" w:rsidRDefault="0092599F" w:rsidP="00341972">
            <w:pPr>
              <w:rPr>
                <w:i/>
              </w:rPr>
            </w:pPr>
            <w:r w:rsidRPr="009C48F3">
              <w:rPr>
                <w:i/>
              </w:rPr>
              <w:t>Residential</w:t>
            </w:r>
          </w:p>
        </w:tc>
        <w:tc>
          <w:tcPr>
            <w:tcW w:w="1890" w:type="dxa"/>
            <w:vAlign w:val="bottom"/>
          </w:tcPr>
          <w:p w14:paraId="2F211E57" w14:textId="77777777" w:rsidR="0092599F" w:rsidRPr="009C48F3" w:rsidRDefault="0092599F" w:rsidP="00341972">
            <w:pPr>
              <w:jc w:val="right"/>
              <w:rPr>
                <w:i/>
              </w:rPr>
            </w:pPr>
          </w:p>
        </w:tc>
        <w:tc>
          <w:tcPr>
            <w:tcW w:w="1674" w:type="dxa"/>
            <w:vAlign w:val="bottom"/>
          </w:tcPr>
          <w:p w14:paraId="2F211E58" w14:textId="041A48F6" w:rsidR="0092599F" w:rsidRPr="009C48F3" w:rsidRDefault="009C48F3" w:rsidP="00341972">
            <w:pPr>
              <w:jc w:val="right"/>
              <w:rPr>
                <w:i/>
              </w:rPr>
            </w:pPr>
            <w:r>
              <w:rPr>
                <w:i/>
              </w:rPr>
              <w:t>$85,200,200</w:t>
            </w:r>
          </w:p>
        </w:tc>
        <w:tc>
          <w:tcPr>
            <w:tcW w:w="1926" w:type="dxa"/>
            <w:vAlign w:val="bottom"/>
          </w:tcPr>
          <w:p w14:paraId="2F211E59" w14:textId="2686DC3F" w:rsidR="0092599F" w:rsidRPr="009C48F3" w:rsidRDefault="009C48F3" w:rsidP="00341972">
            <w:pPr>
              <w:jc w:val="right"/>
              <w:rPr>
                <w:i/>
              </w:rPr>
            </w:pPr>
            <w:r w:rsidRPr="009C48F3">
              <w:rPr>
                <w:i/>
              </w:rPr>
              <w:t>252,844</w:t>
            </w:r>
          </w:p>
        </w:tc>
        <w:tc>
          <w:tcPr>
            <w:tcW w:w="1638" w:type="dxa"/>
            <w:vAlign w:val="bottom"/>
          </w:tcPr>
          <w:p w14:paraId="2F211E5A" w14:textId="69C570C6" w:rsidR="0092599F" w:rsidRPr="009C48F3" w:rsidRDefault="009C48F3" w:rsidP="00341972">
            <w:pPr>
              <w:jc w:val="right"/>
              <w:rPr>
                <w:i/>
              </w:rPr>
            </w:pPr>
            <w:r w:rsidRPr="009C48F3">
              <w:rPr>
                <w:i/>
              </w:rPr>
              <w:t>$84,168,816</w:t>
            </w:r>
          </w:p>
        </w:tc>
      </w:tr>
      <w:tr w:rsidR="0092599F" w:rsidRPr="009355D6" w14:paraId="2F211E61" w14:textId="77777777" w:rsidTr="003E36BB">
        <w:tc>
          <w:tcPr>
            <w:tcW w:w="2448" w:type="dxa"/>
          </w:tcPr>
          <w:p w14:paraId="2F211E5C" w14:textId="77777777" w:rsidR="0092599F" w:rsidRPr="00F3503C" w:rsidRDefault="0092599F" w:rsidP="00341972">
            <w:pPr>
              <w:rPr>
                <w:i/>
              </w:rPr>
            </w:pPr>
            <w:r w:rsidRPr="00F3503C">
              <w:rPr>
                <w:i/>
              </w:rPr>
              <w:t>Low-income</w:t>
            </w:r>
          </w:p>
        </w:tc>
        <w:tc>
          <w:tcPr>
            <w:tcW w:w="1890" w:type="dxa"/>
            <w:vAlign w:val="bottom"/>
          </w:tcPr>
          <w:p w14:paraId="2F211E5D" w14:textId="77777777" w:rsidR="0092599F" w:rsidRPr="00F3503C" w:rsidRDefault="0092599F" w:rsidP="00341972">
            <w:pPr>
              <w:jc w:val="right"/>
              <w:rPr>
                <w:i/>
              </w:rPr>
            </w:pPr>
            <w:r w:rsidRPr="00F3503C">
              <w:rPr>
                <w:i/>
              </w:rPr>
              <w:t>3,140</w:t>
            </w:r>
          </w:p>
        </w:tc>
        <w:tc>
          <w:tcPr>
            <w:tcW w:w="1674" w:type="dxa"/>
            <w:vAlign w:val="bottom"/>
          </w:tcPr>
          <w:p w14:paraId="2F211E5E" w14:textId="77777777" w:rsidR="0092599F" w:rsidRPr="00F3503C" w:rsidRDefault="0092599F" w:rsidP="00341972">
            <w:pPr>
              <w:jc w:val="right"/>
              <w:rPr>
                <w:i/>
              </w:rPr>
            </w:pPr>
            <w:r w:rsidRPr="00F3503C">
              <w:rPr>
                <w:i/>
              </w:rPr>
              <w:t>$6,198,000</w:t>
            </w:r>
          </w:p>
        </w:tc>
        <w:tc>
          <w:tcPr>
            <w:tcW w:w="1926" w:type="dxa"/>
            <w:vAlign w:val="bottom"/>
          </w:tcPr>
          <w:p w14:paraId="2F211E5F" w14:textId="0DF6471F" w:rsidR="0092599F" w:rsidRPr="00F3503C" w:rsidRDefault="00F3503C" w:rsidP="00341972">
            <w:pPr>
              <w:jc w:val="right"/>
              <w:rPr>
                <w:i/>
              </w:rPr>
            </w:pPr>
            <w:r w:rsidRPr="00F3503C">
              <w:rPr>
                <w:i/>
              </w:rPr>
              <w:t>3,120</w:t>
            </w:r>
          </w:p>
        </w:tc>
        <w:tc>
          <w:tcPr>
            <w:tcW w:w="1638" w:type="dxa"/>
            <w:vAlign w:val="bottom"/>
          </w:tcPr>
          <w:p w14:paraId="2F211E60" w14:textId="19F5BDBA" w:rsidR="0092599F" w:rsidRPr="00F3503C" w:rsidRDefault="00F3503C" w:rsidP="00341972">
            <w:pPr>
              <w:jc w:val="right"/>
              <w:rPr>
                <w:i/>
              </w:rPr>
            </w:pPr>
            <w:r w:rsidRPr="00F3503C">
              <w:rPr>
                <w:i/>
              </w:rPr>
              <w:t>$6,761,963</w:t>
            </w:r>
          </w:p>
        </w:tc>
      </w:tr>
      <w:tr w:rsidR="0092599F" w:rsidRPr="009355D6" w14:paraId="2F211E67" w14:textId="77777777" w:rsidTr="003E36BB">
        <w:tc>
          <w:tcPr>
            <w:tcW w:w="2448" w:type="dxa"/>
          </w:tcPr>
          <w:p w14:paraId="2F211E62" w14:textId="77777777" w:rsidR="0092599F" w:rsidRPr="00F3503C" w:rsidRDefault="0092599F" w:rsidP="00341972">
            <w:pPr>
              <w:rPr>
                <w:i/>
              </w:rPr>
            </w:pPr>
            <w:r w:rsidRPr="00F3503C">
              <w:rPr>
                <w:i/>
              </w:rPr>
              <w:t>Home Energy Reports</w:t>
            </w:r>
            <w:r w:rsidRPr="00F3503C">
              <w:rPr>
                <w:rStyle w:val="FootnoteReference"/>
                <w:i/>
              </w:rPr>
              <w:footnoteReference w:id="1"/>
            </w:r>
          </w:p>
        </w:tc>
        <w:tc>
          <w:tcPr>
            <w:tcW w:w="1890" w:type="dxa"/>
            <w:vAlign w:val="bottom"/>
          </w:tcPr>
          <w:p w14:paraId="2F211E63" w14:textId="77777777" w:rsidR="0092599F" w:rsidRPr="00F3503C" w:rsidRDefault="0092599F" w:rsidP="00341972">
            <w:pPr>
              <w:jc w:val="right"/>
              <w:rPr>
                <w:i/>
              </w:rPr>
            </w:pPr>
            <w:r w:rsidRPr="00F3503C">
              <w:rPr>
                <w:i/>
              </w:rPr>
              <w:t>6,420</w:t>
            </w:r>
          </w:p>
        </w:tc>
        <w:tc>
          <w:tcPr>
            <w:tcW w:w="1674" w:type="dxa"/>
            <w:vAlign w:val="bottom"/>
          </w:tcPr>
          <w:p w14:paraId="2F211E64" w14:textId="77777777" w:rsidR="0092599F" w:rsidRPr="00F3503C" w:rsidRDefault="0092599F" w:rsidP="00341972">
            <w:pPr>
              <w:jc w:val="right"/>
              <w:rPr>
                <w:i/>
              </w:rPr>
            </w:pPr>
            <w:r w:rsidRPr="00F3503C">
              <w:rPr>
                <w:i/>
              </w:rPr>
              <w:t>$320,300</w:t>
            </w:r>
          </w:p>
        </w:tc>
        <w:tc>
          <w:tcPr>
            <w:tcW w:w="1926" w:type="dxa"/>
            <w:vAlign w:val="bottom"/>
          </w:tcPr>
          <w:p w14:paraId="2F211E65" w14:textId="1863B81F" w:rsidR="0092599F" w:rsidRPr="00F3503C" w:rsidRDefault="00F3503C" w:rsidP="00341972">
            <w:pPr>
              <w:jc w:val="right"/>
              <w:rPr>
                <w:i/>
              </w:rPr>
            </w:pPr>
            <w:r w:rsidRPr="00F3503C">
              <w:rPr>
                <w:i/>
              </w:rPr>
              <w:t>5,722</w:t>
            </w:r>
          </w:p>
        </w:tc>
        <w:tc>
          <w:tcPr>
            <w:tcW w:w="1638" w:type="dxa"/>
            <w:vAlign w:val="bottom"/>
          </w:tcPr>
          <w:p w14:paraId="2F211E66" w14:textId="53E77802" w:rsidR="0092599F" w:rsidRPr="00F3503C" w:rsidRDefault="00F3503C" w:rsidP="00341972">
            <w:pPr>
              <w:jc w:val="right"/>
              <w:rPr>
                <w:i/>
              </w:rPr>
            </w:pPr>
            <w:r w:rsidRPr="00F3503C">
              <w:rPr>
                <w:i/>
              </w:rPr>
              <w:t>$229,221</w:t>
            </w:r>
          </w:p>
        </w:tc>
      </w:tr>
      <w:tr w:rsidR="0092599F" w:rsidRPr="009355D6" w14:paraId="2F211E6D" w14:textId="77777777" w:rsidTr="003E36BB">
        <w:tc>
          <w:tcPr>
            <w:tcW w:w="2448" w:type="dxa"/>
          </w:tcPr>
          <w:p w14:paraId="2F211E68" w14:textId="77777777" w:rsidR="0092599F" w:rsidRPr="00A429A1" w:rsidRDefault="0092599F" w:rsidP="00341972">
            <w:pPr>
              <w:rPr>
                <w:b/>
              </w:rPr>
            </w:pPr>
            <w:r w:rsidRPr="00A429A1">
              <w:rPr>
                <w:b/>
              </w:rPr>
              <w:t>Residential Total</w:t>
            </w:r>
          </w:p>
        </w:tc>
        <w:tc>
          <w:tcPr>
            <w:tcW w:w="1890" w:type="dxa"/>
            <w:vAlign w:val="bottom"/>
          </w:tcPr>
          <w:p w14:paraId="2F211E69" w14:textId="77777777" w:rsidR="0092599F" w:rsidRPr="00A429A1" w:rsidRDefault="0092599F" w:rsidP="00341972">
            <w:pPr>
              <w:jc w:val="right"/>
              <w:rPr>
                <w:b/>
              </w:rPr>
            </w:pPr>
            <w:r w:rsidRPr="00A429A1">
              <w:rPr>
                <w:b/>
              </w:rPr>
              <w:t>263,930</w:t>
            </w:r>
          </w:p>
        </w:tc>
        <w:tc>
          <w:tcPr>
            <w:tcW w:w="1674" w:type="dxa"/>
            <w:vAlign w:val="bottom"/>
          </w:tcPr>
          <w:p w14:paraId="2F211E6A" w14:textId="77777777" w:rsidR="0092599F" w:rsidRPr="00A429A1" w:rsidRDefault="0092599F" w:rsidP="00341972">
            <w:pPr>
              <w:jc w:val="right"/>
              <w:rPr>
                <w:b/>
              </w:rPr>
            </w:pPr>
            <w:r w:rsidRPr="00A429A1">
              <w:rPr>
                <w:b/>
              </w:rPr>
              <w:t>$91,718,500</w:t>
            </w:r>
          </w:p>
        </w:tc>
        <w:tc>
          <w:tcPr>
            <w:tcW w:w="1926" w:type="dxa"/>
            <w:vAlign w:val="bottom"/>
          </w:tcPr>
          <w:p w14:paraId="2F211E6B" w14:textId="500AEE65" w:rsidR="0092599F" w:rsidRPr="00A429A1" w:rsidRDefault="00A429A1" w:rsidP="00341972">
            <w:pPr>
              <w:jc w:val="right"/>
              <w:rPr>
                <w:b/>
              </w:rPr>
            </w:pPr>
            <w:r>
              <w:rPr>
                <w:b/>
              </w:rPr>
              <w:t>261,686</w:t>
            </w:r>
          </w:p>
        </w:tc>
        <w:tc>
          <w:tcPr>
            <w:tcW w:w="1638" w:type="dxa"/>
            <w:vAlign w:val="bottom"/>
          </w:tcPr>
          <w:p w14:paraId="2F211E6C" w14:textId="70DFC66C" w:rsidR="0092599F" w:rsidRPr="00A429A1" w:rsidRDefault="00A429A1" w:rsidP="00341972">
            <w:pPr>
              <w:jc w:val="right"/>
              <w:rPr>
                <w:b/>
              </w:rPr>
            </w:pPr>
            <w:r w:rsidRPr="00A429A1">
              <w:rPr>
                <w:b/>
              </w:rPr>
              <w:t>$91,160,000</w:t>
            </w:r>
          </w:p>
        </w:tc>
      </w:tr>
      <w:tr w:rsidR="0092599F" w:rsidRPr="009355D6" w14:paraId="2F211E73" w14:textId="77777777" w:rsidTr="003E36BB">
        <w:tc>
          <w:tcPr>
            <w:tcW w:w="2448" w:type="dxa"/>
          </w:tcPr>
          <w:p w14:paraId="2F211E6E" w14:textId="77777777" w:rsidR="0092599F" w:rsidRPr="009355D6" w:rsidRDefault="0092599F" w:rsidP="00341972">
            <w:r w:rsidRPr="009355D6">
              <w:t>Non-Residential</w:t>
            </w:r>
          </w:p>
        </w:tc>
        <w:tc>
          <w:tcPr>
            <w:tcW w:w="1890" w:type="dxa"/>
            <w:vAlign w:val="bottom"/>
          </w:tcPr>
          <w:p w14:paraId="2F211E6F" w14:textId="77777777" w:rsidR="0092599F" w:rsidRPr="009355D6" w:rsidRDefault="0092599F" w:rsidP="00341972">
            <w:pPr>
              <w:jc w:val="right"/>
            </w:pPr>
            <w:r>
              <w:t>243,130</w:t>
            </w:r>
          </w:p>
        </w:tc>
        <w:tc>
          <w:tcPr>
            <w:tcW w:w="1674" w:type="dxa"/>
            <w:vAlign w:val="bottom"/>
          </w:tcPr>
          <w:p w14:paraId="2F211E70" w14:textId="77777777" w:rsidR="0092599F" w:rsidRPr="009355D6" w:rsidRDefault="0092599F" w:rsidP="00341972">
            <w:pPr>
              <w:jc w:val="right"/>
            </w:pPr>
            <w:r>
              <w:t>$68,414,800</w:t>
            </w:r>
          </w:p>
        </w:tc>
        <w:tc>
          <w:tcPr>
            <w:tcW w:w="1926" w:type="dxa"/>
            <w:vAlign w:val="bottom"/>
          </w:tcPr>
          <w:p w14:paraId="2F211E71" w14:textId="175680D4" w:rsidR="0092599F" w:rsidRPr="009355D6" w:rsidRDefault="00A429A1" w:rsidP="00341972">
            <w:pPr>
              <w:jc w:val="right"/>
            </w:pPr>
            <w:r>
              <w:t>300,103</w:t>
            </w:r>
          </w:p>
        </w:tc>
        <w:tc>
          <w:tcPr>
            <w:tcW w:w="1638" w:type="dxa"/>
            <w:vAlign w:val="bottom"/>
          </w:tcPr>
          <w:p w14:paraId="2F211E72" w14:textId="48400BCE" w:rsidR="0092599F" w:rsidRPr="009355D6" w:rsidRDefault="00A429A1" w:rsidP="00341972">
            <w:pPr>
              <w:jc w:val="right"/>
            </w:pPr>
            <w:r>
              <w:t>$75,632,000</w:t>
            </w:r>
          </w:p>
        </w:tc>
      </w:tr>
      <w:tr w:rsidR="0092599F" w:rsidRPr="009355D6" w14:paraId="2F211E79" w14:textId="77777777" w:rsidTr="003E36BB">
        <w:tc>
          <w:tcPr>
            <w:tcW w:w="2448" w:type="dxa"/>
          </w:tcPr>
          <w:p w14:paraId="2F211E74" w14:textId="69522F02" w:rsidR="0092599F" w:rsidRPr="009355D6" w:rsidRDefault="0092599F" w:rsidP="00341972">
            <w:r w:rsidRPr="009355D6">
              <w:t>Pilots</w:t>
            </w:r>
            <w:r w:rsidR="00751109">
              <w:rPr>
                <w:rStyle w:val="FootnoteReference"/>
              </w:rPr>
              <w:footnoteReference w:id="2"/>
            </w:r>
          </w:p>
        </w:tc>
        <w:tc>
          <w:tcPr>
            <w:tcW w:w="1890" w:type="dxa"/>
            <w:vAlign w:val="bottom"/>
          </w:tcPr>
          <w:p w14:paraId="2F211E75" w14:textId="0641E16D" w:rsidR="0092599F" w:rsidRPr="009355D6" w:rsidRDefault="0092599F" w:rsidP="00751109">
            <w:pPr>
              <w:jc w:val="right"/>
            </w:pPr>
            <w:r>
              <w:t>35,330</w:t>
            </w:r>
          </w:p>
        </w:tc>
        <w:tc>
          <w:tcPr>
            <w:tcW w:w="1674" w:type="dxa"/>
            <w:vAlign w:val="bottom"/>
          </w:tcPr>
          <w:p w14:paraId="2F211E76" w14:textId="77777777" w:rsidR="0092599F" w:rsidRPr="009355D6" w:rsidRDefault="0092599F" w:rsidP="00341972">
            <w:pPr>
              <w:jc w:val="right"/>
            </w:pPr>
            <w:r>
              <w:t>$2,870,100</w:t>
            </w:r>
          </w:p>
        </w:tc>
        <w:tc>
          <w:tcPr>
            <w:tcW w:w="1926" w:type="dxa"/>
            <w:vAlign w:val="bottom"/>
          </w:tcPr>
          <w:p w14:paraId="2F211E77" w14:textId="403C3B92" w:rsidR="0092599F" w:rsidRPr="009355D6" w:rsidRDefault="00A429A1" w:rsidP="00341972">
            <w:pPr>
              <w:jc w:val="right"/>
            </w:pPr>
            <w:r>
              <w:t>17,347</w:t>
            </w:r>
          </w:p>
        </w:tc>
        <w:tc>
          <w:tcPr>
            <w:tcW w:w="1638" w:type="dxa"/>
            <w:vAlign w:val="bottom"/>
          </w:tcPr>
          <w:p w14:paraId="2F211E78" w14:textId="4537A637" w:rsidR="0092599F" w:rsidRPr="009355D6" w:rsidRDefault="00A429A1" w:rsidP="00341972">
            <w:pPr>
              <w:jc w:val="right"/>
            </w:pPr>
            <w:r>
              <w:t>$977,000</w:t>
            </w:r>
          </w:p>
        </w:tc>
      </w:tr>
      <w:tr w:rsidR="0092599F" w:rsidRPr="009355D6" w14:paraId="2F211E7F" w14:textId="77777777" w:rsidTr="003E36BB">
        <w:tc>
          <w:tcPr>
            <w:tcW w:w="2448" w:type="dxa"/>
          </w:tcPr>
          <w:p w14:paraId="2F211E7A" w14:textId="77777777" w:rsidR="0092599F" w:rsidRPr="009355D6" w:rsidRDefault="0092599F" w:rsidP="00341972">
            <w:r>
              <w:t>Regional</w:t>
            </w:r>
            <w:r>
              <w:rPr>
                <w:rStyle w:val="FootnoteReference"/>
              </w:rPr>
              <w:footnoteReference w:id="3"/>
            </w:r>
          </w:p>
        </w:tc>
        <w:tc>
          <w:tcPr>
            <w:tcW w:w="1890" w:type="dxa"/>
            <w:vAlign w:val="bottom"/>
          </w:tcPr>
          <w:p w14:paraId="2F211E7B" w14:textId="77777777" w:rsidR="0092599F" w:rsidRPr="009355D6" w:rsidRDefault="0092599F" w:rsidP="00341972">
            <w:pPr>
              <w:jc w:val="right"/>
            </w:pPr>
            <w:r>
              <w:t>78,730</w:t>
            </w:r>
          </w:p>
        </w:tc>
        <w:tc>
          <w:tcPr>
            <w:tcW w:w="1674" w:type="dxa"/>
            <w:vAlign w:val="bottom"/>
          </w:tcPr>
          <w:p w14:paraId="2F211E7C" w14:textId="77777777" w:rsidR="0092599F" w:rsidRPr="009355D6" w:rsidRDefault="0092599F" w:rsidP="00341972">
            <w:pPr>
              <w:jc w:val="right"/>
            </w:pPr>
            <w:r>
              <w:t>$10,843,100</w:t>
            </w:r>
          </w:p>
        </w:tc>
        <w:tc>
          <w:tcPr>
            <w:tcW w:w="1926" w:type="dxa"/>
            <w:vAlign w:val="bottom"/>
          </w:tcPr>
          <w:p w14:paraId="2F211E7D" w14:textId="300DEF47" w:rsidR="0092599F" w:rsidRPr="009355D6" w:rsidRDefault="00A429A1" w:rsidP="00341972">
            <w:pPr>
              <w:jc w:val="right"/>
            </w:pPr>
            <w:r>
              <w:t>26,057</w:t>
            </w:r>
          </w:p>
        </w:tc>
        <w:tc>
          <w:tcPr>
            <w:tcW w:w="1638" w:type="dxa"/>
            <w:vAlign w:val="bottom"/>
          </w:tcPr>
          <w:p w14:paraId="2F211E7E" w14:textId="2EC7EF70" w:rsidR="0092599F" w:rsidRPr="009355D6" w:rsidRDefault="00A429A1" w:rsidP="00341972">
            <w:pPr>
              <w:jc w:val="right"/>
            </w:pPr>
            <w:r>
              <w:t>$10,400,000</w:t>
            </w:r>
          </w:p>
        </w:tc>
      </w:tr>
      <w:tr w:rsidR="0092599F" w:rsidRPr="009355D6" w14:paraId="2F211E85" w14:textId="77777777" w:rsidTr="003E36BB">
        <w:tc>
          <w:tcPr>
            <w:tcW w:w="2448" w:type="dxa"/>
          </w:tcPr>
          <w:p w14:paraId="2F211E80" w14:textId="77777777" w:rsidR="0092599F" w:rsidRPr="00810777" w:rsidRDefault="0092599F" w:rsidP="00341972">
            <w:r>
              <w:t>A</w:t>
            </w:r>
            <w:r w:rsidRPr="00810777">
              <w:t>dmin</w:t>
            </w:r>
            <w:r>
              <w:t>istration/Other</w:t>
            </w:r>
          </w:p>
        </w:tc>
        <w:tc>
          <w:tcPr>
            <w:tcW w:w="1890" w:type="dxa"/>
            <w:vAlign w:val="bottom"/>
          </w:tcPr>
          <w:p w14:paraId="2F211E81" w14:textId="77777777" w:rsidR="0092599F" w:rsidRPr="009355D6" w:rsidRDefault="0092599F" w:rsidP="00341972">
            <w:pPr>
              <w:jc w:val="right"/>
            </w:pPr>
            <w:r>
              <w:t>-</w:t>
            </w:r>
          </w:p>
        </w:tc>
        <w:tc>
          <w:tcPr>
            <w:tcW w:w="1674" w:type="dxa"/>
            <w:vAlign w:val="bottom"/>
          </w:tcPr>
          <w:p w14:paraId="2F211E82" w14:textId="77777777" w:rsidR="0092599F" w:rsidRPr="009355D6" w:rsidRDefault="0092599F" w:rsidP="00341972">
            <w:pPr>
              <w:jc w:val="right"/>
            </w:pPr>
            <w:r>
              <w:t>$14,937,600</w:t>
            </w:r>
          </w:p>
        </w:tc>
        <w:tc>
          <w:tcPr>
            <w:tcW w:w="1926" w:type="dxa"/>
            <w:vAlign w:val="bottom"/>
          </w:tcPr>
          <w:p w14:paraId="2F211E83" w14:textId="7F6DB1A5" w:rsidR="0092599F" w:rsidRPr="009355D6" w:rsidRDefault="009C48F3" w:rsidP="00341972">
            <w:pPr>
              <w:jc w:val="right"/>
            </w:pPr>
            <w:r>
              <w:t>-</w:t>
            </w:r>
          </w:p>
        </w:tc>
        <w:tc>
          <w:tcPr>
            <w:tcW w:w="1638" w:type="dxa"/>
            <w:vAlign w:val="bottom"/>
          </w:tcPr>
          <w:p w14:paraId="2F211E84" w14:textId="325FB0E7" w:rsidR="0092599F" w:rsidRPr="009355D6" w:rsidRDefault="00EC6F58" w:rsidP="00341972">
            <w:pPr>
              <w:jc w:val="right"/>
            </w:pPr>
            <w:r>
              <w:t>$20,816,000</w:t>
            </w:r>
          </w:p>
        </w:tc>
      </w:tr>
      <w:tr w:rsidR="0092599F" w:rsidRPr="00810777" w14:paraId="2F211E8B" w14:textId="77777777" w:rsidTr="003E36BB">
        <w:tc>
          <w:tcPr>
            <w:tcW w:w="2448" w:type="dxa"/>
          </w:tcPr>
          <w:p w14:paraId="2F211E86" w14:textId="77777777" w:rsidR="0092599F" w:rsidRPr="00810777" w:rsidRDefault="0092599F" w:rsidP="00341972">
            <w:pPr>
              <w:rPr>
                <w:b/>
              </w:rPr>
            </w:pPr>
            <w:r w:rsidRPr="00810777">
              <w:rPr>
                <w:b/>
              </w:rPr>
              <w:t>Total</w:t>
            </w:r>
          </w:p>
        </w:tc>
        <w:tc>
          <w:tcPr>
            <w:tcW w:w="1890" w:type="dxa"/>
            <w:vAlign w:val="bottom"/>
          </w:tcPr>
          <w:p w14:paraId="2F211E87" w14:textId="77777777" w:rsidR="0092599F" w:rsidRPr="00810777" w:rsidRDefault="0092599F" w:rsidP="00341972">
            <w:pPr>
              <w:jc w:val="right"/>
              <w:rPr>
                <w:b/>
              </w:rPr>
            </w:pPr>
            <w:r w:rsidRPr="00810777">
              <w:rPr>
                <w:b/>
              </w:rPr>
              <w:t>621,120</w:t>
            </w:r>
            <w:r w:rsidRPr="00810777">
              <w:rPr>
                <w:rStyle w:val="FootnoteReference"/>
              </w:rPr>
              <w:footnoteReference w:id="4"/>
            </w:r>
          </w:p>
        </w:tc>
        <w:tc>
          <w:tcPr>
            <w:tcW w:w="1674" w:type="dxa"/>
            <w:vAlign w:val="bottom"/>
          </w:tcPr>
          <w:p w14:paraId="2F211E88" w14:textId="77777777" w:rsidR="0092599F" w:rsidRPr="00810777" w:rsidRDefault="0092599F" w:rsidP="00341972">
            <w:pPr>
              <w:jc w:val="right"/>
              <w:rPr>
                <w:b/>
              </w:rPr>
            </w:pPr>
            <w:r w:rsidRPr="00810777">
              <w:rPr>
                <w:b/>
              </w:rPr>
              <w:t>$188,784,100</w:t>
            </w:r>
          </w:p>
        </w:tc>
        <w:tc>
          <w:tcPr>
            <w:tcW w:w="1926" w:type="dxa"/>
            <w:vAlign w:val="bottom"/>
          </w:tcPr>
          <w:p w14:paraId="2F211E89" w14:textId="2BB8D594" w:rsidR="0092599F" w:rsidRPr="00810777" w:rsidRDefault="00A429A1" w:rsidP="00341972">
            <w:pPr>
              <w:jc w:val="right"/>
              <w:rPr>
                <w:b/>
              </w:rPr>
            </w:pPr>
            <w:r>
              <w:rPr>
                <w:b/>
              </w:rPr>
              <w:t>605,194</w:t>
            </w:r>
          </w:p>
        </w:tc>
        <w:tc>
          <w:tcPr>
            <w:tcW w:w="1638" w:type="dxa"/>
            <w:vAlign w:val="bottom"/>
          </w:tcPr>
          <w:p w14:paraId="2F211E8A" w14:textId="35343B55" w:rsidR="0092599F" w:rsidRPr="00810777" w:rsidRDefault="00A22171" w:rsidP="00341972">
            <w:pPr>
              <w:jc w:val="right"/>
              <w:rPr>
                <w:b/>
              </w:rPr>
            </w:pPr>
            <w:r>
              <w:rPr>
                <w:b/>
              </w:rPr>
              <w:t>$198,985</w:t>
            </w:r>
            <w:r w:rsidR="00A429A1">
              <w:rPr>
                <w:b/>
              </w:rPr>
              <w:t>,000</w:t>
            </w:r>
          </w:p>
        </w:tc>
      </w:tr>
    </w:tbl>
    <w:p w14:paraId="2F211E91" w14:textId="77777777" w:rsidR="00BE498D" w:rsidRDefault="00BE498D" w:rsidP="002C179B">
      <w:pPr>
        <w:rPr>
          <w:b/>
        </w:rPr>
      </w:pPr>
    </w:p>
    <w:p w14:paraId="2F211E92" w14:textId="77777777" w:rsidR="00BE498D" w:rsidRDefault="00BE498D" w:rsidP="002C179B">
      <w:pPr>
        <w:rPr>
          <w:b/>
        </w:rPr>
      </w:pPr>
      <w:r>
        <w:rPr>
          <w:b/>
        </w:rPr>
        <w:t>Conditions List</w:t>
      </w:r>
    </w:p>
    <w:p w14:paraId="7CD72612" w14:textId="645F3AEF" w:rsidR="00B90DC3" w:rsidRDefault="00B90DC3" w:rsidP="002C179B">
      <w:pPr>
        <w:rPr>
          <w:b/>
        </w:rPr>
      </w:pPr>
    </w:p>
    <w:p w14:paraId="01870C60" w14:textId="69B37B4D" w:rsidR="005674D5" w:rsidRDefault="008D7425" w:rsidP="005674D5">
      <w:r>
        <w:t xml:space="preserve">This is the first </w:t>
      </w:r>
      <w:r w:rsidR="00EA4BE8">
        <w:t xml:space="preserve">Plan to be filed since the </w:t>
      </w:r>
      <w:r w:rsidR="007A0722">
        <w:t>c</w:t>
      </w:r>
      <w:r w:rsidR="00EA4BE8">
        <w:t xml:space="preserve">ommission adopted a new rule for Energy Independence Act enforcement, where many of the </w:t>
      </w:r>
      <w:r w:rsidR="00D127E0">
        <w:t>existing</w:t>
      </w:r>
      <w:r w:rsidR="00EA4BE8">
        <w:t xml:space="preserve"> condition items were codified into rule. </w:t>
      </w:r>
      <w:r w:rsidR="00D127E0">
        <w:t>Subsequently</w:t>
      </w:r>
      <w:r w:rsidR="00EA4BE8">
        <w:t xml:space="preserve">, </w:t>
      </w:r>
      <w:r w:rsidR="007A0722">
        <w:t>s</w:t>
      </w:r>
      <w:r w:rsidR="005674D5">
        <w:t>taff worked with</w:t>
      </w:r>
      <w:r w:rsidR="00C406AA">
        <w:t xml:space="preserve"> PSE and CRAG members to</w:t>
      </w:r>
      <w:r w:rsidR="005674D5">
        <w:t xml:space="preserve"> </w:t>
      </w:r>
      <w:r w:rsidR="00EA4BE8">
        <w:t>eliminate duplicative condition items</w:t>
      </w:r>
      <w:r w:rsidR="005674D5">
        <w:t xml:space="preserve"> for PSE’s conservation pro</w:t>
      </w:r>
      <w:r w:rsidR="00C406AA">
        <w:t>grams in the 2016-2017 bie</w:t>
      </w:r>
      <w:r w:rsidR="00EF4187">
        <w:t xml:space="preserve">nnium and refine the list </w:t>
      </w:r>
      <w:r w:rsidR="00C406AA">
        <w:t>to meet the CRAG’s present needs.</w:t>
      </w:r>
      <w:r w:rsidR="005674D5">
        <w:t xml:space="preserve"> </w:t>
      </w:r>
      <w:r w:rsidR="00C406AA">
        <w:t>T</w:t>
      </w:r>
      <w:r w:rsidR="00EF1B6F">
        <w:t>he resulting conditions list is</w:t>
      </w:r>
      <w:r w:rsidR="00C406AA">
        <w:t xml:space="preserve"> included as</w:t>
      </w:r>
      <w:r w:rsidR="005674D5">
        <w:t xml:space="preserve"> Attachment A.</w:t>
      </w:r>
    </w:p>
    <w:p w14:paraId="0DC9C812" w14:textId="7BEC7BF4" w:rsidR="008D7425" w:rsidRDefault="008D7425" w:rsidP="00526189"/>
    <w:p w14:paraId="2F211E9A" w14:textId="77777777" w:rsidR="00DF27F5"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00A25785" w14:textId="77777777" w:rsidR="00294540" w:rsidRPr="00526189" w:rsidRDefault="00294540" w:rsidP="00526189">
      <w:pPr>
        <w:rPr>
          <w:b/>
        </w:rPr>
      </w:pPr>
    </w:p>
    <w:p w14:paraId="72F2690A" w14:textId="7A5C1DC6" w:rsidR="005674D5" w:rsidRDefault="00CE086F" w:rsidP="00D127E0">
      <w:r w:rsidRPr="00CE086F">
        <w:t>To implement the programs described in the BCP, PSE filed tari</w:t>
      </w:r>
      <w:r>
        <w:t>ff revisions in Docket U</w:t>
      </w:r>
      <w:r w:rsidR="0068300C">
        <w:t>E</w:t>
      </w:r>
      <w:r>
        <w:t>-152042</w:t>
      </w:r>
      <w:r w:rsidRPr="00CE086F">
        <w:t>. The</w:t>
      </w:r>
      <w:r w:rsidR="008F0F41">
        <w:t xml:space="preserve"> majority of the</w:t>
      </w:r>
      <w:r w:rsidRPr="00CE086F">
        <w:t xml:space="preserve"> revisions reflect updated effective dates, text clarifications and minor administrative changes, and do not impact rates.</w:t>
      </w:r>
      <w:r w:rsidR="008F0F41">
        <w:t xml:space="preserve"> The company did make two programmatic changes. Schedules 262 and 1262, electric and natural gas Commercial and Industrial Incentive Program were changed to allow farm users in schedules 8, 10</w:t>
      </w:r>
      <w:r w:rsidR="00D127E0">
        <w:t>, 11</w:t>
      </w:r>
      <w:r w:rsidR="008F0F41">
        <w:t xml:space="preserve">, and 12 to use the program. Schedules 250, 251, 252, 258, 262, and 1262 struck language that required customers in Schedules 40, 46, and 49 who are </w:t>
      </w:r>
      <w:r w:rsidR="00D127E0">
        <w:t>eligible</w:t>
      </w:r>
      <w:r w:rsidR="008F0F41">
        <w:t xml:space="preserve"> for participation in the Schedule 258 Large Power User Self Directed Program to fully utilize their Schedule 258 funding allocation prior to using other incentive money first. Staff agrees with the company’s tariff changes. </w:t>
      </w:r>
    </w:p>
    <w:p w14:paraId="14F84734" w14:textId="0CD2CCA4" w:rsidR="001363A7" w:rsidRDefault="001363A7" w:rsidP="00B7606F">
      <w:pPr>
        <w:pStyle w:val="Heading1"/>
      </w:pPr>
      <w:r w:rsidRPr="0092599F">
        <w:t>Stakeholder Comments</w:t>
      </w:r>
    </w:p>
    <w:p w14:paraId="760F56C4" w14:textId="3AEF210D" w:rsidR="00BC434F" w:rsidRDefault="00BC434F" w:rsidP="00B7606F">
      <w:r w:rsidRPr="00BC434F">
        <w:t>In its comments filed on December 3, 201</w:t>
      </w:r>
      <w:r w:rsidR="0068300C">
        <w:t>5</w:t>
      </w:r>
      <w:r w:rsidRPr="00BC434F">
        <w:t>, Public Counsel</w:t>
      </w:r>
      <w:r>
        <w:t xml:space="preserve"> had no outstanding issues with PSE’s filing</w:t>
      </w:r>
      <w:r w:rsidRPr="00BC434F">
        <w:t xml:space="preserve"> </w:t>
      </w:r>
      <w:r>
        <w:t xml:space="preserve">and are supportive of the proposed </w:t>
      </w:r>
      <w:r w:rsidR="007A0722">
        <w:t>10</w:t>
      </w:r>
      <w:r>
        <w:t>-year potential and biennial target, subject to the conditions in Attachment A.</w:t>
      </w:r>
    </w:p>
    <w:p w14:paraId="258E38CD" w14:textId="77777777" w:rsidR="007A0722" w:rsidRDefault="007A0722" w:rsidP="00B7606F"/>
    <w:p w14:paraId="5C25E5AA" w14:textId="77777777" w:rsidR="007A0722" w:rsidRPr="00B7606F" w:rsidRDefault="007A0722" w:rsidP="00B7606F"/>
    <w:p w14:paraId="2F211E9F" w14:textId="77777777" w:rsidR="00D60E7F" w:rsidRPr="00CD74CC" w:rsidRDefault="0028215A" w:rsidP="00204A52">
      <w:pPr>
        <w:pStyle w:val="Heading1"/>
        <w:rPr>
          <w:u w:val="single"/>
        </w:rPr>
      </w:pPr>
      <w:r w:rsidRPr="00CD74CC">
        <w:rPr>
          <w:u w:val="single"/>
        </w:rPr>
        <w:t>Conclusion</w:t>
      </w:r>
    </w:p>
    <w:p w14:paraId="2F211EA0" w14:textId="269AC10A" w:rsidR="00C75312" w:rsidRDefault="009B62BA" w:rsidP="004B4ED5">
      <w:r>
        <w:t xml:space="preserve">Issue an order approving Puget Sound Energy’s </w:t>
      </w:r>
      <w:r w:rsidR="001168EB">
        <w:t>10</w:t>
      </w:r>
      <w:r>
        <w:t>-year conservation potential and biennial conservation target, subject to the conditions in Attachment A, and allowing all other tariff revisi</w:t>
      </w:r>
      <w:r w:rsidR="00E83827">
        <w:t>ons filed by PSE in Docket UE-152042 to take effect January 1, 2016</w:t>
      </w:r>
      <w:r>
        <w:t>, by operation of law.</w:t>
      </w:r>
    </w:p>
    <w:p w14:paraId="4A4C14E0" w14:textId="2AD40307" w:rsidR="004B424A" w:rsidRPr="009B62BA" w:rsidRDefault="004B424A" w:rsidP="004B4ED5"/>
    <w:sectPr w:rsidR="004B424A" w:rsidRPr="009B62BA"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1EA3" w14:textId="77777777" w:rsidR="009B62BA" w:rsidRDefault="009B62BA" w:rsidP="00FF75F4">
      <w:r>
        <w:separator/>
      </w:r>
    </w:p>
  </w:endnote>
  <w:endnote w:type="continuationSeparator" w:id="0">
    <w:p w14:paraId="2F211EA4" w14:textId="77777777" w:rsidR="009B62BA" w:rsidRDefault="009B62BA"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5B4088">
          <w:rPr>
            <w:noProof/>
          </w:rPr>
          <w:t>3</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1EA1" w14:textId="77777777" w:rsidR="009B62BA" w:rsidRDefault="009B62BA" w:rsidP="00FF75F4">
      <w:r>
        <w:separator/>
      </w:r>
    </w:p>
  </w:footnote>
  <w:footnote w:type="continuationSeparator" w:id="0">
    <w:p w14:paraId="2F211EA2" w14:textId="77777777" w:rsidR="009B62BA" w:rsidRDefault="009B62BA" w:rsidP="00FF75F4">
      <w:r>
        <w:continuationSeparator/>
      </w:r>
    </w:p>
  </w:footnote>
  <w:footnote w:id="1">
    <w:p w14:paraId="2F211EAB" w14:textId="77777777" w:rsidR="009B62BA" w:rsidRPr="00125C1B" w:rsidRDefault="009B62BA" w:rsidP="0092599F">
      <w:pPr>
        <w:pStyle w:val="FootnoteText"/>
      </w:pPr>
      <w:r w:rsidRPr="00125C1B">
        <w:rPr>
          <w:rStyle w:val="FootnoteReference"/>
        </w:rPr>
        <w:footnoteRef/>
      </w:r>
      <w:r w:rsidRPr="00125C1B">
        <w:t xml:space="preserve"> This is PSE’s existing Home Energy Reports program.</w:t>
      </w:r>
    </w:p>
  </w:footnote>
  <w:footnote w:id="2">
    <w:p w14:paraId="10E241BD" w14:textId="737A2DBA" w:rsidR="00751109" w:rsidRDefault="00751109">
      <w:pPr>
        <w:pStyle w:val="FootnoteText"/>
      </w:pPr>
      <w:r>
        <w:rPr>
          <w:rStyle w:val="FootnoteReference"/>
        </w:rPr>
        <w:footnoteRef/>
      </w:r>
      <w:r>
        <w:t xml:space="preserve"> </w:t>
      </w:r>
      <w:r w:rsidRPr="00751109">
        <w:t>This is the Individual Energy Reports pilots.</w:t>
      </w:r>
    </w:p>
  </w:footnote>
  <w:footnote w:id="3">
    <w:p w14:paraId="2F211EAD" w14:textId="77777777" w:rsidR="009B62BA" w:rsidRPr="00125C1B" w:rsidRDefault="009B62BA" w:rsidP="0092599F">
      <w:pPr>
        <w:pStyle w:val="FootnoteText"/>
      </w:pPr>
      <w:r w:rsidRPr="00125C1B">
        <w:rPr>
          <w:rStyle w:val="FootnoteReference"/>
        </w:rPr>
        <w:footnoteRef/>
      </w:r>
      <w:r>
        <w:t xml:space="preserve"> S</w:t>
      </w:r>
      <w:r w:rsidRPr="00125C1B">
        <w:t xml:space="preserve">avings and budgets associated with NEEA </w:t>
      </w:r>
      <w:r w:rsidRPr="00EC6F58">
        <w:t>and the Generation, Transmission &amp; Distribution Efficiency program.</w:t>
      </w:r>
    </w:p>
  </w:footnote>
  <w:footnote w:id="4">
    <w:p w14:paraId="2F211EAE" w14:textId="77777777" w:rsidR="009B62BA" w:rsidRDefault="009B62BA" w:rsidP="0092599F">
      <w:pPr>
        <w:pStyle w:val="FootnoteText"/>
      </w:pPr>
      <w:r w:rsidRPr="00BC434F">
        <w:rPr>
          <w:rStyle w:val="FootnoteReference"/>
        </w:rPr>
        <w:footnoteRef/>
      </w:r>
      <w:r w:rsidRPr="00BC434F">
        <w:t xml:space="preserve"> The total 2014-2015 projected savings shown in this table is the amount of conservation PSE’s portfolio is designed to achieve, which is greater than the 2014-2015 biennial target of 485,768 MW</w:t>
      </w:r>
      <w:r w:rsidRPr="00A22171">
        <w: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35659C32" w:rsidR="009B62BA" w:rsidRPr="00777586" w:rsidRDefault="009B62BA" w:rsidP="002C648F">
    <w:pPr>
      <w:pStyle w:val="Header"/>
      <w:rPr>
        <w:sz w:val="20"/>
        <w:szCs w:val="20"/>
      </w:rPr>
    </w:pPr>
    <w:r w:rsidRPr="00777586">
      <w:rPr>
        <w:sz w:val="20"/>
        <w:szCs w:val="20"/>
      </w:rPr>
      <w:t>D</w:t>
    </w:r>
    <w:r>
      <w:rPr>
        <w:sz w:val="20"/>
        <w:szCs w:val="20"/>
      </w:rPr>
      <w:t>OCKET</w:t>
    </w:r>
    <w:r w:rsidR="00CA2C70">
      <w:rPr>
        <w:sz w:val="20"/>
        <w:szCs w:val="20"/>
      </w:rPr>
      <w:t>S</w:t>
    </w:r>
    <w:r>
      <w:rPr>
        <w:sz w:val="20"/>
        <w:szCs w:val="20"/>
      </w:rPr>
      <w:t xml:space="preserve"> </w:t>
    </w:r>
    <w:r w:rsidRPr="00F22F14">
      <w:rPr>
        <w:sz w:val="20"/>
        <w:szCs w:val="20"/>
      </w:rPr>
      <w:t>UE-1</w:t>
    </w:r>
    <w:r w:rsidR="00B90DC3">
      <w:rPr>
        <w:sz w:val="20"/>
        <w:szCs w:val="20"/>
      </w:rPr>
      <w:t>52058</w:t>
    </w:r>
    <w:r>
      <w:rPr>
        <w:sz w:val="20"/>
        <w:szCs w:val="20"/>
      </w:rPr>
      <w:t xml:space="preserve"> and UE-1</w:t>
    </w:r>
    <w:r w:rsidR="00B90DC3">
      <w:rPr>
        <w:sz w:val="20"/>
        <w:szCs w:val="20"/>
      </w:rPr>
      <w:t>52042</w:t>
    </w:r>
  </w:p>
  <w:p w14:paraId="2F211EA6" w14:textId="03F79C8D" w:rsidR="009B62BA" w:rsidRPr="00777586" w:rsidRDefault="00B90DC3" w:rsidP="002C648F">
    <w:pPr>
      <w:pStyle w:val="Header"/>
      <w:rPr>
        <w:sz w:val="20"/>
        <w:szCs w:val="20"/>
      </w:rPr>
    </w:pPr>
    <w:r>
      <w:rPr>
        <w:sz w:val="20"/>
        <w:szCs w:val="20"/>
      </w:rPr>
      <w:t>December 17, 2015</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5B4088">
      <w:rPr>
        <w:rStyle w:val="PageNumber"/>
        <w:noProof/>
        <w:sz w:val="20"/>
        <w:szCs w:val="20"/>
      </w:rPr>
      <w:t>3</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0EBD"/>
    <w:rsid w:val="00024AD3"/>
    <w:rsid w:val="00025FA6"/>
    <w:rsid w:val="00027B12"/>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14E1"/>
    <w:rsid w:val="000F41CD"/>
    <w:rsid w:val="00100426"/>
    <w:rsid w:val="00100726"/>
    <w:rsid w:val="0010117B"/>
    <w:rsid w:val="00104E99"/>
    <w:rsid w:val="00105EA9"/>
    <w:rsid w:val="00106E5E"/>
    <w:rsid w:val="0011135E"/>
    <w:rsid w:val="00115F20"/>
    <w:rsid w:val="001162AB"/>
    <w:rsid w:val="001168EB"/>
    <w:rsid w:val="0012024F"/>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2339"/>
    <w:rsid w:val="00204A52"/>
    <w:rsid w:val="0020635F"/>
    <w:rsid w:val="00220A9A"/>
    <w:rsid w:val="002215D4"/>
    <w:rsid w:val="002245E8"/>
    <w:rsid w:val="00225BAA"/>
    <w:rsid w:val="0022715D"/>
    <w:rsid w:val="00227F90"/>
    <w:rsid w:val="00233031"/>
    <w:rsid w:val="0023355B"/>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4540"/>
    <w:rsid w:val="002970C4"/>
    <w:rsid w:val="002A17DE"/>
    <w:rsid w:val="002A36C0"/>
    <w:rsid w:val="002A3F3D"/>
    <w:rsid w:val="002A41D7"/>
    <w:rsid w:val="002A49A6"/>
    <w:rsid w:val="002A67A9"/>
    <w:rsid w:val="002A7D14"/>
    <w:rsid w:val="002A7D27"/>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064E0"/>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446F4"/>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798A"/>
    <w:rsid w:val="004600EE"/>
    <w:rsid w:val="00464CC7"/>
    <w:rsid w:val="00465007"/>
    <w:rsid w:val="00465904"/>
    <w:rsid w:val="00471B11"/>
    <w:rsid w:val="00473304"/>
    <w:rsid w:val="00473E34"/>
    <w:rsid w:val="00482FF7"/>
    <w:rsid w:val="00483226"/>
    <w:rsid w:val="0048406A"/>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674D5"/>
    <w:rsid w:val="005720E6"/>
    <w:rsid w:val="00582C07"/>
    <w:rsid w:val="0058597F"/>
    <w:rsid w:val="0059285C"/>
    <w:rsid w:val="00593784"/>
    <w:rsid w:val="005A0A09"/>
    <w:rsid w:val="005A496B"/>
    <w:rsid w:val="005A4A28"/>
    <w:rsid w:val="005A60BD"/>
    <w:rsid w:val="005A7B7E"/>
    <w:rsid w:val="005B1B55"/>
    <w:rsid w:val="005B4088"/>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084E"/>
    <w:rsid w:val="00624FC0"/>
    <w:rsid w:val="00625424"/>
    <w:rsid w:val="00630E56"/>
    <w:rsid w:val="00631270"/>
    <w:rsid w:val="00632EAB"/>
    <w:rsid w:val="006348A7"/>
    <w:rsid w:val="00645F4C"/>
    <w:rsid w:val="00651161"/>
    <w:rsid w:val="0065149E"/>
    <w:rsid w:val="0065373E"/>
    <w:rsid w:val="006546F8"/>
    <w:rsid w:val="006559A9"/>
    <w:rsid w:val="00655B45"/>
    <w:rsid w:val="00657DEE"/>
    <w:rsid w:val="00657E4F"/>
    <w:rsid w:val="00667C04"/>
    <w:rsid w:val="00667FB8"/>
    <w:rsid w:val="0067283D"/>
    <w:rsid w:val="006733D9"/>
    <w:rsid w:val="00673770"/>
    <w:rsid w:val="0068300C"/>
    <w:rsid w:val="00683250"/>
    <w:rsid w:val="00684EDC"/>
    <w:rsid w:val="00695D26"/>
    <w:rsid w:val="006964DD"/>
    <w:rsid w:val="00697EBD"/>
    <w:rsid w:val="006A28C2"/>
    <w:rsid w:val="006A2A84"/>
    <w:rsid w:val="006A3269"/>
    <w:rsid w:val="006A53CF"/>
    <w:rsid w:val="006A5F45"/>
    <w:rsid w:val="006A687B"/>
    <w:rsid w:val="006A6A1D"/>
    <w:rsid w:val="006B2981"/>
    <w:rsid w:val="006B44A2"/>
    <w:rsid w:val="006B5368"/>
    <w:rsid w:val="006B6CD0"/>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16014"/>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0722"/>
    <w:rsid w:val="007A2B2C"/>
    <w:rsid w:val="007A36E7"/>
    <w:rsid w:val="007A3FFE"/>
    <w:rsid w:val="007A6C79"/>
    <w:rsid w:val="007A6DE8"/>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C6BB0"/>
    <w:rsid w:val="008D2D64"/>
    <w:rsid w:val="008D7425"/>
    <w:rsid w:val="008E026D"/>
    <w:rsid w:val="008E16BC"/>
    <w:rsid w:val="008E25F1"/>
    <w:rsid w:val="008E2A0E"/>
    <w:rsid w:val="008E517E"/>
    <w:rsid w:val="008E75AD"/>
    <w:rsid w:val="008E7DAB"/>
    <w:rsid w:val="008F0B1C"/>
    <w:rsid w:val="008F0F41"/>
    <w:rsid w:val="008F1CEC"/>
    <w:rsid w:val="008F50EB"/>
    <w:rsid w:val="008F651A"/>
    <w:rsid w:val="009003B9"/>
    <w:rsid w:val="009041C3"/>
    <w:rsid w:val="00904645"/>
    <w:rsid w:val="00905F90"/>
    <w:rsid w:val="00907168"/>
    <w:rsid w:val="0091069F"/>
    <w:rsid w:val="00915206"/>
    <w:rsid w:val="009249F0"/>
    <w:rsid w:val="0092524C"/>
    <w:rsid w:val="0092599F"/>
    <w:rsid w:val="009278CE"/>
    <w:rsid w:val="00930951"/>
    <w:rsid w:val="00931127"/>
    <w:rsid w:val="0093145C"/>
    <w:rsid w:val="00934A3C"/>
    <w:rsid w:val="009363BA"/>
    <w:rsid w:val="00936FF6"/>
    <w:rsid w:val="00947A1D"/>
    <w:rsid w:val="00947AAF"/>
    <w:rsid w:val="00955688"/>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6FAA"/>
    <w:rsid w:val="009B62BA"/>
    <w:rsid w:val="009C216D"/>
    <w:rsid w:val="009C29E7"/>
    <w:rsid w:val="009C3A9C"/>
    <w:rsid w:val="009C4479"/>
    <w:rsid w:val="009C48F3"/>
    <w:rsid w:val="009C4F77"/>
    <w:rsid w:val="009D3809"/>
    <w:rsid w:val="009D4411"/>
    <w:rsid w:val="009D5E9C"/>
    <w:rsid w:val="009D6358"/>
    <w:rsid w:val="009E6921"/>
    <w:rsid w:val="009F6AF0"/>
    <w:rsid w:val="009F7605"/>
    <w:rsid w:val="00A0516E"/>
    <w:rsid w:val="00A22171"/>
    <w:rsid w:val="00A22344"/>
    <w:rsid w:val="00A32572"/>
    <w:rsid w:val="00A33C8A"/>
    <w:rsid w:val="00A413E1"/>
    <w:rsid w:val="00A429A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28F3"/>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396F"/>
    <w:rsid w:val="00B74277"/>
    <w:rsid w:val="00B7606F"/>
    <w:rsid w:val="00B83011"/>
    <w:rsid w:val="00B838ED"/>
    <w:rsid w:val="00B85C3E"/>
    <w:rsid w:val="00B90DC3"/>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434F"/>
    <w:rsid w:val="00BC59BE"/>
    <w:rsid w:val="00BC7C16"/>
    <w:rsid w:val="00BD0618"/>
    <w:rsid w:val="00BD5C3D"/>
    <w:rsid w:val="00BD6CA0"/>
    <w:rsid w:val="00BE498D"/>
    <w:rsid w:val="00BF3466"/>
    <w:rsid w:val="00BF3D13"/>
    <w:rsid w:val="00BF5E4A"/>
    <w:rsid w:val="00BF7B1B"/>
    <w:rsid w:val="00C00012"/>
    <w:rsid w:val="00C026E9"/>
    <w:rsid w:val="00C031DF"/>
    <w:rsid w:val="00C03B44"/>
    <w:rsid w:val="00C12B6F"/>
    <w:rsid w:val="00C14375"/>
    <w:rsid w:val="00C17C38"/>
    <w:rsid w:val="00C30885"/>
    <w:rsid w:val="00C406AA"/>
    <w:rsid w:val="00C40BED"/>
    <w:rsid w:val="00C438F9"/>
    <w:rsid w:val="00C516C4"/>
    <w:rsid w:val="00C531D9"/>
    <w:rsid w:val="00C5784F"/>
    <w:rsid w:val="00C67384"/>
    <w:rsid w:val="00C73105"/>
    <w:rsid w:val="00C74B68"/>
    <w:rsid w:val="00C75312"/>
    <w:rsid w:val="00C75742"/>
    <w:rsid w:val="00C8153C"/>
    <w:rsid w:val="00C843D3"/>
    <w:rsid w:val="00C85128"/>
    <w:rsid w:val="00C85FA1"/>
    <w:rsid w:val="00C91FF7"/>
    <w:rsid w:val="00C948C5"/>
    <w:rsid w:val="00CA08E2"/>
    <w:rsid w:val="00CA2C70"/>
    <w:rsid w:val="00CA34AC"/>
    <w:rsid w:val="00CA45F4"/>
    <w:rsid w:val="00CA5322"/>
    <w:rsid w:val="00CA65F5"/>
    <w:rsid w:val="00CB3FE8"/>
    <w:rsid w:val="00CB403A"/>
    <w:rsid w:val="00CB42AA"/>
    <w:rsid w:val="00CB655F"/>
    <w:rsid w:val="00CC094F"/>
    <w:rsid w:val="00CC2E05"/>
    <w:rsid w:val="00CC6D50"/>
    <w:rsid w:val="00CD1FE9"/>
    <w:rsid w:val="00CD3FC6"/>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127E0"/>
    <w:rsid w:val="00D134F5"/>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6F04"/>
    <w:rsid w:val="00DC2128"/>
    <w:rsid w:val="00DC60B0"/>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28B"/>
    <w:rsid w:val="00E82FC5"/>
    <w:rsid w:val="00E83827"/>
    <w:rsid w:val="00E83F28"/>
    <w:rsid w:val="00E85664"/>
    <w:rsid w:val="00E865F4"/>
    <w:rsid w:val="00E901C0"/>
    <w:rsid w:val="00E9535E"/>
    <w:rsid w:val="00E95A72"/>
    <w:rsid w:val="00EA0CE0"/>
    <w:rsid w:val="00EA2CB5"/>
    <w:rsid w:val="00EA4BE8"/>
    <w:rsid w:val="00EA5094"/>
    <w:rsid w:val="00EB0C9C"/>
    <w:rsid w:val="00EB4153"/>
    <w:rsid w:val="00EB4B12"/>
    <w:rsid w:val="00EB72D4"/>
    <w:rsid w:val="00EC4490"/>
    <w:rsid w:val="00EC6592"/>
    <w:rsid w:val="00EC6F58"/>
    <w:rsid w:val="00EC725D"/>
    <w:rsid w:val="00ED2BC8"/>
    <w:rsid w:val="00ED5305"/>
    <w:rsid w:val="00EE1AEE"/>
    <w:rsid w:val="00EF1B6F"/>
    <w:rsid w:val="00EF20DB"/>
    <w:rsid w:val="00EF4187"/>
    <w:rsid w:val="00F075E4"/>
    <w:rsid w:val="00F1128F"/>
    <w:rsid w:val="00F13A37"/>
    <w:rsid w:val="00F14C6E"/>
    <w:rsid w:val="00F17292"/>
    <w:rsid w:val="00F22536"/>
    <w:rsid w:val="00F22F14"/>
    <w:rsid w:val="00F3080F"/>
    <w:rsid w:val="00F31A95"/>
    <w:rsid w:val="00F33C95"/>
    <w:rsid w:val="00F3503C"/>
    <w:rsid w:val="00F361C8"/>
    <w:rsid w:val="00F36888"/>
    <w:rsid w:val="00F42228"/>
    <w:rsid w:val="00F45647"/>
    <w:rsid w:val="00F476C8"/>
    <w:rsid w:val="00F47B23"/>
    <w:rsid w:val="00F5398C"/>
    <w:rsid w:val="00F54F54"/>
    <w:rsid w:val="00F62B90"/>
    <w:rsid w:val="00F636D9"/>
    <w:rsid w:val="00F66820"/>
    <w:rsid w:val="00F67F4A"/>
    <w:rsid w:val="00F7673B"/>
    <w:rsid w:val="00F76A77"/>
    <w:rsid w:val="00F8031B"/>
    <w:rsid w:val="00F857AF"/>
    <w:rsid w:val="00F94663"/>
    <w:rsid w:val="00F95341"/>
    <w:rsid w:val="00FA0DD0"/>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4602-F6B2-4063-B34E-099DBB7AE75F}"/>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00AB0C63-9990-4530-B112-82707FCFBBB4}"/>
</file>

<file path=customXml/itemProps5.xml><?xml version="1.0" encoding="utf-8"?>
<ds:datastoreItem xmlns:ds="http://schemas.openxmlformats.org/officeDocument/2006/customXml" ds:itemID="{243728A0-0701-4428-B64E-28090E5E7152}"/>
</file>

<file path=customXml/itemProps6.xml><?xml version="1.0" encoding="utf-8"?>
<ds:datastoreItem xmlns:ds="http://schemas.openxmlformats.org/officeDocument/2006/customXml" ds:itemID="{B72A9809-7503-4A22-AB0E-00F4A9127636}"/>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5224</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UE-152042 UE-152058 PSE Electric BCP memo</vt:lpstr>
    </vt:vector>
  </TitlesOfParts>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UE-152042 UE-152058 PSE Electric BCP memo</dc:title>
  <dc:creator/>
  <cp:lastModifiedBy/>
  <cp:revision>1</cp:revision>
  <dcterms:created xsi:type="dcterms:W3CDTF">2015-12-15T00:37:00Z</dcterms:created>
  <dcterms:modified xsi:type="dcterms:W3CDTF">2015-12-15T00:37:00Z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