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1FBFE1" w14:textId="77777777" w:rsidR="009D1460" w:rsidRDefault="00D502C1" w:rsidP="009D1460">
      <w:pPr>
        <w:jc w:val="center"/>
        <w:rPr>
          <w:spacing w:val="-3"/>
        </w:rPr>
      </w:pPr>
      <w:r>
        <w:rPr>
          <w:spacing w:val="-3"/>
        </w:rPr>
        <w:t>GENERAL RULES AND REGULATIONS</w:t>
      </w:r>
    </w:p>
    <w:p w14:paraId="4F48CB29" w14:textId="77777777" w:rsidR="009D1460" w:rsidRDefault="00D502C1" w:rsidP="009D1460">
      <w:pPr>
        <w:jc w:val="center"/>
        <w:rPr>
          <w:spacing w:val="-3"/>
        </w:rPr>
      </w:pPr>
      <w:r>
        <w:rPr>
          <w:spacing w:val="-3"/>
        </w:rPr>
        <w:t>(continued)</w:t>
      </w:r>
    </w:p>
    <w:p w14:paraId="39503E5C" w14:textId="6C8D2B8F" w:rsidR="009D1460" w:rsidRDefault="00543D55" w:rsidP="009D1460">
      <w:pPr>
        <w:rPr>
          <w:spacing w:val="-3"/>
        </w:rPr>
      </w:pPr>
      <w:r w:rsidRPr="00543D55">
        <w:rPr>
          <w:noProof/>
          <w:spacing w:val="-2"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2D96F3E" wp14:editId="0A3C9F3A">
                <wp:simplePos x="0" y="0"/>
                <wp:positionH relativeFrom="column">
                  <wp:posOffset>6012180</wp:posOffset>
                </wp:positionH>
                <wp:positionV relativeFrom="paragraph">
                  <wp:posOffset>156210</wp:posOffset>
                </wp:positionV>
                <wp:extent cx="556260" cy="6225540"/>
                <wp:effectExtent l="0" t="0" r="0" b="38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" cy="622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1720E" w14:textId="10389244" w:rsidR="00543D55" w:rsidRPr="00543D55" w:rsidRDefault="00543D55">
                            <w:pPr>
                              <w:rPr>
                                <w:sz w:val="20"/>
                              </w:rPr>
                            </w:pPr>
                            <w:bookmarkStart w:id="0" w:name="_GoBack"/>
                          </w:p>
                          <w:p w14:paraId="2BFEEE5C" w14:textId="77777777" w:rsidR="00543D55" w:rsidRPr="00543D55" w:rsidRDefault="00543D55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E0B12BD" w14:textId="7F6DB023" w:rsidR="00543D55" w:rsidRDefault="00543D55">
                            <w:pPr>
                              <w:rPr>
                                <w:sz w:val="20"/>
                              </w:rPr>
                            </w:pPr>
                            <w:r w:rsidRPr="00543D55">
                              <w:rPr>
                                <w:sz w:val="20"/>
                              </w:rPr>
                              <w:t>(T)</w:t>
                            </w:r>
                          </w:p>
                          <w:p w14:paraId="2E0B1C30" w14:textId="77777777" w:rsidR="00543D55" w:rsidRDefault="00543D55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B451F72" w14:textId="77777777" w:rsidR="00543D55" w:rsidRDefault="00543D55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25D45998" w14:textId="77777777" w:rsidR="00543D55" w:rsidRDefault="00543D55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E7DD563" w14:textId="77777777" w:rsidR="00543D55" w:rsidRDefault="00543D55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C702782" w14:textId="77777777" w:rsidR="00543D55" w:rsidRDefault="00543D55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5A87953" w14:textId="77777777" w:rsidR="00543D55" w:rsidRDefault="00543D55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B43297C" w14:textId="77777777" w:rsidR="00543D55" w:rsidRDefault="00543D55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A9B6D0F" w14:textId="77777777" w:rsidR="00543D55" w:rsidRDefault="00543D55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7B3D1C3" w14:textId="042B1C36" w:rsidR="00543D55" w:rsidRDefault="00543D5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(T)</w:t>
                            </w:r>
                          </w:p>
                          <w:p w14:paraId="26C753EE" w14:textId="77777777" w:rsidR="00543D55" w:rsidRDefault="00543D55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7EB8696" w14:textId="77777777" w:rsidR="00543D55" w:rsidRDefault="00543D55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80138BF" w14:textId="3AEB7E97" w:rsidR="00543D55" w:rsidRDefault="00543D5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(N)</w:t>
                            </w:r>
                          </w:p>
                          <w:p w14:paraId="77644C28" w14:textId="77777777" w:rsidR="00543D55" w:rsidRDefault="00543D55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DCA8A8C" w14:textId="77777777" w:rsidR="00543D55" w:rsidRDefault="00543D55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3E320BFA" w14:textId="77777777" w:rsidR="00543D55" w:rsidRDefault="00543D55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21025DF9" w14:textId="77777777" w:rsidR="00543D55" w:rsidRDefault="00543D55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2DBDF5D" w14:textId="77777777" w:rsidR="00543D55" w:rsidRDefault="00543D55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814DEAE" w14:textId="77777777" w:rsidR="00543D55" w:rsidRDefault="00543D55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3AFA8A1" w14:textId="77777777" w:rsidR="00543D55" w:rsidRDefault="00543D55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4E5063A" w14:textId="77777777" w:rsidR="00543D55" w:rsidRDefault="00543D55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312C9B77" w14:textId="77777777" w:rsidR="00543D55" w:rsidRDefault="00543D55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754E725" w14:textId="77777777" w:rsidR="00543D55" w:rsidRDefault="00543D55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2F3431C9" w14:textId="77777777" w:rsidR="00543D55" w:rsidRDefault="00543D55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0066C078" w14:textId="77777777" w:rsidR="00543D55" w:rsidRDefault="00543D55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00F263E9" w14:textId="77777777" w:rsidR="00543D55" w:rsidRDefault="00543D55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DEF8A7B" w14:textId="77777777" w:rsidR="00543D55" w:rsidRDefault="00543D55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9A078AD" w14:textId="77777777" w:rsidR="00543D55" w:rsidRDefault="00543D55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3C423195" w14:textId="77777777" w:rsidR="00543D55" w:rsidRDefault="00543D55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274E576" w14:textId="77777777" w:rsidR="00543D55" w:rsidRDefault="00543D55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993D2E1" w14:textId="77777777" w:rsidR="00543D55" w:rsidRDefault="00543D55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2C173BDF" w14:textId="77777777" w:rsidR="00E25CC8" w:rsidRDefault="00E25CC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70DFAF8" w14:textId="1CBD73D2" w:rsidR="00543D55" w:rsidRDefault="00543D5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(N)</w:t>
                            </w:r>
                          </w:p>
                          <w:p w14:paraId="1E61F841" w14:textId="77777777" w:rsidR="00543D55" w:rsidRDefault="00543D55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3239BD4" w14:textId="482A8041" w:rsidR="00543D55" w:rsidRDefault="00543D5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(C)</w:t>
                            </w:r>
                          </w:p>
                          <w:p w14:paraId="0318028B" w14:textId="23BEB521" w:rsidR="00543D55" w:rsidRDefault="00543D5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(C)</w:t>
                            </w:r>
                          </w:p>
                          <w:p w14:paraId="5F6487AE" w14:textId="77777777" w:rsidR="00543D55" w:rsidRDefault="00543D55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2EB5FEF2" w14:textId="77777777" w:rsidR="00543D55" w:rsidRDefault="00543D55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7025080" w14:textId="028CA6D7" w:rsidR="00543D55" w:rsidRDefault="00543D5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(K)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3.4pt;margin-top:12.3pt;width:43.8pt;height:490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" stroked="f">
                <v:textbox>
                  <w:txbxContent>
                    <w:p w14:paraId="1391720E" w14:textId="10389244" w:rsidR="00543D55" w:rsidRPr="00543D55" w:rsidRDefault="00543D55">
                      <w:pPr>
                        <w:rPr>
                          <w:sz w:val="20"/>
                        </w:rPr>
                      </w:pPr>
                    </w:p>
                    <w:p w14:paraId="2BFEEE5C" w14:textId="77777777" w:rsidR="00543D55" w:rsidRPr="00543D55" w:rsidRDefault="00543D55">
                      <w:pPr>
                        <w:rPr>
                          <w:sz w:val="20"/>
                        </w:rPr>
                      </w:pPr>
                    </w:p>
                    <w:p w14:paraId="6E0B12BD" w14:textId="7F6DB023" w:rsidR="00543D55" w:rsidRDefault="00543D55">
                      <w:pPr>
                        <w:rPr>
                          <w:sz w:val="20"/>
                        </w:rPr>
                      </w:pPr>
                      <w:r w:rsidRPr="00543D55">
                        <w:rPr>
                          <w:sz w:val="20"/>
                        </w:rPr>
                        <w:t>(T)</w:t>
                      </w:r>
                    </w:p>
                    <w:p w14:paraId="2E0B1C30" w14:textId="77777777" w:rsidR="00543D55" w:rsidRDefault="00543D55">
                      <w:pPr>
                        <w:rPr>
                          <w:sz w:val="20"/>
                        </w:rPr>
                      </w:pPr>
                    </w:p>
                    <w:p w14:paraId="7B451F72" w14:textId="77777777" w:rsidR="00543D55" w:rsidRDefault="00543D55">
                      <w:pPr>
                        <w:rPr>
                          <w:sz w:val="20"/>
                        </w:rPr>
                      </w:pPr>
                    </w:p>
                    <w:p w14:paraId="25D45998" w14:textId="77777777" w:rsidR="00543D55" w:rsidRDefault="00543D55">
                      <w:pPr>
                        <w:rPr>
                          <w:sz w:val="20"/>
                        </w:rPr>
                      </w:pPr>
                    </w:p>
                    <w:p w14:paraId="5E7DD563" w14:textId="77777777" w:rsidR="00543D55" w:rsidRDefault="00543D55">
                      <w:pPr>
                        <w:rPr>
                          <w:sz w:val="20"/>
                        </w:rPr>
                      </w:pPr>
                    </w:p>
                    <w:p w14:paraId="1C702782" w14:textId="77777777" w:rsidR="00543D55" w:rsidRDefault="00543D55">
                      <w:pPr>
                        <w:rPr>
                          <w:sz w:val="20"/>
                        </w:rPr>
                      </w:pPr>
                    </w:p>
                    <w:p w14:paraId="15A87953" w14:textId="77777777" w:rsidR="00543D55" w:rsidRDefault="00543D55">
                      <w:pPr>
                        <w:rPr>
                          <w:sz w:val="20"/>
                        </w:rPr>
                      </w:pPr>
                    </w:p>
                    <w:p w14:paraId="7B43297C" w14:textId="77777777" w:rsidR="00543D55" w:rsidRDefault="00543D55">
                      <w:pPr>
                        <w:rPr>
                          <w:sz w:val="20"/>
                        </w:rPr>
                      </w:pPr>
                    </w:p>
                    <w:p w14:paraId="5A9B6D0F" w14:textId="77777777" w:rsidR="00543D55" w:rsidRDefault="00543D55">
                      <w:pPr>
                        <w:rPr>
                          <w:sz w:val="20"/>
                        </w:rPr>
                      </w:pPr>
                    </w:p>
                    <w:p w14:paraId="17B3D1C3" w14:textId="042B1C36" w:rsidR="00543D55" w:rsidRDefault="00543D5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(T)</w:t>
                      </w:r>
                    </w:p>
                    <w:p w14:paraId="26C753EE" w14:textId="77777777" w:rsidR="00543D55" w:rsidRDefault="00543D55">
                      <w:pPr>
                        <w:rPr>
                          <w:sz w:val="20"/>
                        </w:rPr>
                      </w:pPr>
                    </w:p>
                    <w:p w14:paraId="47EB8696" w14:textId="77777777" w:rsidR="00543D55" w:rsidRDefault="00543D55">
                      <w:pPr>
                        <w:rPr>
                          <w:sz w:val="20"/>
                        </w:rPr>
                      </w:pPr>
                    </w:p>
                    <w:p w14:paraId="580138BF" w14:textId="3AEB7E97" w:rsidR="00543D55" w:rsidRDefault="00543D5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(N)</w:t>
                      </w:r>
                    </w:p>
                    <w:p w14:paraId="77644C28" w14:textId="77777777" w:rsidR="00543D55" w:rsidRDefault="00543D55">
                      <w:pPr>
                        <w:rPr>
                          <w:sz w:val="20"/>
                        </w:rPr>
                      </w:pPr>
                    </w:p>
                    <w:p w14:paraId="5DCA8A8C" w14:textId="77777777" w:rsidR="00543D55" w:rsidRDefault="00543D55">
                      <w:pPr>
                        <w:rPr>
                          <w:sz w:val="20"/>
                        </w:rPr>
                      </w:pPr>
                    </w:p>
                    <w:p w14:paraId="3E320BFA" w14:textId="77777777" w:rsidR="00543D55" w:rsidRDefault="00543D55">
                      <w:pPr>
                        <w:rPr>
                          <w:sz w:val="20"/>
                        </w:rPr>
                      </w:pPr>
                    </w:p>
                    <w:p w14:paraId="21025DF9" w14:textId="77777777" w:rsidR="00543D55" w:rsidRDefault="00543D55">
                      <w:pPr>
                        <w:rPr>
                          <w:sz w:val="20"/>
                        </w:rPr>
                      </w:pPr>
                    </w:p>
                    <w:p w14:paraId="72DBDF5D" w14:textId="77777777" w:rsidR="00543D55" w:rsidRDefault="00543D55">
                      <w:pPr>
                        <w:rPr>
                          <w:sz w:val="20"/>
                        </w:rPr>
                      </w:pPr>
                    </w:p>
                    <w:p w14:paraId="7814DEAE" w14:textId="77777777" w:rsidR="00543D55" w:rsidRDefault="00543D55">
                      <w:pPr>
                        <w:rPr>
                          <w:sz w:val="20"/>
                        </w:rPr>
                      </w:pPr>
                    </w:p>
                    <w:p w14:paraId="53AFA8A1" w14:textId="77777777" w:rsidR="00543D55" w:rsidRDefault="00543D55">
                      <w:pPr>
                        <w:rPr>
                          <w:sz w:val="20"/>
                        </w:rPr>
                      </w:pPr>
                    </w:p>
                    <w:p w14:paraId="14E5063A" w14:textId="77777777" w:rsidR="00543D55" w:rsidRDefault="00543D55">
                      <w:pPr>
                        <w:rPr>
                          <w:sz w:val="20"/>
                        </w:rPr>
                      </w:pPr>
                    </w:p>
                    <w:p w14:paraId="312C9B77" w14:textId="77777777" w:rsidR="00543D55" w:rsidRDefault="00543D55">
                      <w:pPr>
                        <w:rPr>
                          <w:sz w:val="20"/>
                        </w:rPr>
                      </w:pPr>
                    </w:p>
                    <w:p w14:paraId="1754E725" w14:textId="77777777" w:rsidR="00543D55" w:rsidRDefault="00543D55">
                      <w:pPr>
                        <w:rPr>
                          <w:sz w:val="20"/>
                        </w:rPr>
                      </w:pPr>
                    </w:p>
                    <w:p w14:paraId="2F3431C9" w14:textId="77777777" w:rsidR="00543D55" w:rsidRDefault="00543D55">
                      <w:pPr>
                        <w:rPr>
                          <w:sz w:val="20"/>
                        </w:rPr>
                      </w:pPr>
                    </w:p>
                    <w:p w14:paraId="0066C078" w14:textId="77777777" w:rsidR="00543D55" w:rsidRDefault="00543D55">
                      <w:pPr>
                        <w:rPr>
                          <w:sz w:val="20"/>
                        </w:rPr>
                      </w:pPr>
                    </w:p>
                    <w:p w14:paraId="00F263E9" w14:textId="77777777" w:rsidR="00543D55" w:rsidRDefault="00543D55">
                      <w:pPr>
                        <w:rPr>
                          <w:sz w:val="20"/>
                        </w:rPr>
                      </w:pPr>
                    </w:p>
                    <w:p w14:paraId="6DEF8A7B" w14:textId="77777777" w:rsidR="00543D55" w:rsidRDefault="00543D55">
                      <w:pPr>
                        <w:rPr>
                          <w:sz w:val="20"/>
                        </w:rPr>
                      </w:pPr>
                    </w:p>
                    <w:p w14:paraId="19A078AD" w14:textId="77777777" w:rsidR="00543D55" w:rsidRDefault="00543D55">
                      <w:pPr>
                        <w:rPr>
                          <w:sz w:val="20"/>
                        </w:rPr>
                      </w:pPr>
                    </w:p>
                    <w:p w14:paraId="3C423195" w14:textId="77777777" w:rsidR="00543D55" w:rsidRDefault="00543D55">
                      <w:pPr>
                        <w:rPr>
                          <w:sz w:val="20"/>
                        </w:rPr>
                      </w:pPr>
                    </w:p>
                    <w:p w14:paraId="5274E576" w14:textId="77777777" w:rsidR="00543D55" w:rsidRDefault="00543D55">
                      <w:pPr>
                        <w:rPr>
                          <w:sz w:val="20"/>
                        </w:rPr>
                      </w:pPr>
                    </w:p>
                    <w:p w14:paraId="6993D2E1" w14:textId="77777777" w:rsidR="00543D55" w:rsidRDefault="00543D55">
                      <w:pPr>
                        <w:rPr>
                          <w:sz w:val="20"/>
                        </w:rPr>
                      </w:pPr>
                    </w:p>
                    <w:p w14:paraId="2C173BDF" w14:textId="77777777" w:rsidR="00E25CC8" w:rsidRDefault="00E25CC8">
                      <w:pPr>
                        <w:rPr>
                          <w:sz w:val="20"/>
                        </w:rPr>
                      </w:pPr>
                    </w:p>
                    <w:p w14:paraId="670DFAF8" w14:textId="1CBD73D2" w:rsidR="00543D55" w:rsidRDefault="00543D5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(N)</w:t>
                      </w:r>
                    </w:p>
                    <w:p w14:paraId="1E61F841" w14:textId="77777777" w:rsidR="00543D55" w:rsidRDefault="00543D55">
                      <w:pPr>
                        <w:rPr>
                          <w:sz w:val="20"/>
                        </w:rPr>
                      </w:pPr>
                    </w:p>
                    <w:p w14:paraId="53239BD4" w14:textId="482A8041" w:rsidR="00543D55" w:rsidRDefault="00543D5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(C)</w:t>
                      </w:r>
                    </w:p>
                    <w:p w14:paraId="0318028B" w14:textId="23BEB521" w:rsidR="00543D55" w:rsidRDefault="00543D5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(C)</w:t>
                      </w:r>
                    </w:p>
                    <w:p w14:paraId="5F6487AE" w14:textId="77777777" w:rsidR="00543D55" w:rsidRDefault="00543D55">
                      <w:pPr>
                        <w:rPr>
                          <w:sz w:val="20"/>
                        </w:rPr>
                      </w:pPr>
                    </w:p>
                    <w:p w14:paraId="2EB5FEF2" w14:textId="77777777" w:rsidR="00543D55" w:rsidRDefault="00543D55">
                      <w:pPr>
                        <w:rPr>
                          <w:sz w:val="20"/>
                        </w:rPr>
                      </w:pPr>
                    </w:p>
                    <w:p w14:paraId="17025080" w14:textId="028CA6D7" w:rsidR="00543D55" w:rsidRDefault="00543D5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(K)</w:t>
                      </w:r>
                    </w:p>
                  </w:txbxContent>
                </v:textbox>
              </v:shape>
            </w:pict>
          </mc:Fallback>
        </mc:AlternateContent>
      </w:r>
    </w:p>
    <w:p w14:paraId="37D9DDAB" w14:textId="653F1B02" w:rsidR="00181C48" w:rsidRDefault="00D502C1" w:rsidP="009D1460">
      <w:pPr>
        <w:rPr>
          <w:b/>
          <w:spacing w:val="-2"/>
        </w:rPr>
      </w:pPr>
      <w:r>
        <w:rPr>
          <w:b/>
          <w:spacing w:val="-2"/>
        </w:rPr>
        <w:t xml:space="preserve">Rule 3. </w:t>
      </w:r>
      <w:r>
        <w:rPr>
          <w:b/>
          <w:spacing w:val="-2"/>
        </w:rPr>
        <w:tab/>
        <w:t>Deposits.</w:t>
      </w:r>
    </w:p>
    <w:p w14:paraId="5053C86D" w14:textId="77777777" w:rsidR="009D1460" w:rsidRDefault="009D1460" w:rsidP="009D1460">
      <w:pPr>
        <w:rPr>
          <w:b/>
          <w:spacing w:val="-2"/>
        </w:rPr>
      </w:pPr>
    </w:p>
    <w:p w14:paraId="37D9DDAD" w14:textId="23CD3010" w:rsidR="00181C48" w:rsidRDefault="006017C4">
      <w:pPr>
        <w:tabs>
          <w:tab w:val="left" w:pos="-720"/>
        </w:tabs>
        <w:suppressAutoHyphens/>
        <w:rPr>
          <w:spacing w:val="-2"/>
          <w:sz w:val="20"/>
        </w:rPr>
      </w:pPr>
      <w:r>
        <w:rPr>
          <w:noProof/>
          <w:spacing w:val="-2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B8D259" wp14:editId="1A96858D">
                <wp:simplePos x="0" y="0"/>
                <wp:positionH relativeFrom="column">
                  <wp:posOffset>6172200</wp:posOffset>
                </wp:positionH>
                <wp:positionV relativeFrom="paragraph">
                  <wp:posOffset>125730</wp:posOffset>
                </wp:positionV>
                <wp:extent cx="0" cy="1133475"/>
                <wp:effectExtent l="0" t="0" r="19050" b="952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334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86pt,9.9pt" to="486pt,9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" strokecolor="black [3213]"/>
            </w:pict>
          </mc:Fallback>
        </mc:AlternateContent>
      </w:r>
      <w:r w:rsidR="00D502C1" w:rsidRPr="009D1460">
        <w:rPr>
          <w:spacing w:val="-2"/>
          <w:sz w:val="20"/>
        </w:rPr>
        <w:t>A deposit may be required</w:t>
      </w:r>
      <w:r w:rsidR="001255D7">
        <w:rPr>
          <w:spacing w:val="-2"/>
          <w:sz w:val="20"/>
        </w:rPr>
        <w:t xml:space="preserve"> from a R</w:t>
      </w:r>
      <w:r w:rsidR="00D502C1">
        <w:rPr>
          <w:spacing w:val="-2"/>
          <w:sz w:val="20"/>
        </w:rPr>
        <w:t xml:space="preserve">esidential or </w:t>
      </w:r>
      <w:r w:rsidR="001255D7">
        <w:rPr>
          <w:spacing w:val="-2"/>
          <w:sz w:val="20"/>
        </w:rPr>
        <w:t>N</w:t>
      </w:r>
      <w:r w:rsidR="00D502C1">
        <w:rPr>
          <w:spacing w:val="-2"/>
          <w:sz w:val="20"/>
        </w:rPr>
        <w:t>on</w:t>
      </w:r>
      <w:r w:rsidR="001255D7">
        <w:rPr>
          <w:spacing w:val="-2"/>
          <w:sz w:val="20"/>
        </w:rPr>
        <w:t>-R</w:t>
      </w:r>
      <w:r w:rsidR="00D502C1">
        <w:rPr>
          <w:spacing w:val="-2"/>
          <w:sz w:val="20"/>
        </w:rPr>
        <w:t xml:space="preserve">esidential </w:t>
      </w:r>
      <w:r w:rsidR="001255D7">
        <w:rPr>
          <w:spacing w:val="-2"/>
          <w:sz w:val="20"/>
        </w:rPr>
        <w:t>C</w:t>
      </w:r>
      <w:r w:rsidR="00D502C1" w:rsidRPr="009D1460">
        <w:rPr>
          <w:spacing w:val="-2"/>
          <w:sz w:val="20"/>
        </w:rPr>
        <w:t xml:space="preserve">ustomer </w:t>
      </w:r>
      <w:r w:rsidR="00D502C1">
        <w:rPr>
          <w:spacing w:val="-2"/>
          <w:sz w:val="20"/>
        </w:rPr>
        <w:t xml:space="preserve">or </w:t>
      </w:r>
      <w:r w:rsidR="001255D7">
        <w:rPr>
          <w:spacing w:val="-2"/>
          <w:sz w:val="20"/>
        </w:rPr>
        <w:t>A</w:t>
      </w:r>
      <w:r w:rsidR="00D502C1" w:rsidRPr="009D1460">
        <w:rPr>
          <w:spacing w:val="-2"/>
          <w:sz w:val="20"/>
        </w:rPr>
        <w:t>pplicant</w:t>
      </w:r>
      <w:r w:rsidR="006041F2">
        <w:rPr>
          <w:spacing w:val="-2"/>
          <w:sz w:val="20"/>
        </w:rPr>
        <w:t xml:space="preserve"> that</w:t>
      </w:r>
      <w:r w:rsidR="00D502C1">
        <w:rPr>
          <w:spacing w:val="-2"/>
          <w:sz w:val="20"/>
        </w:rPr>
        <w:t>:</w:t>
      </w:r>
    </w:p>
    <w:p w14:paraId="37D9DDAE" w14:textId="092D2410" w:rsidR="00181C48" w:rsidRDefault="00D502C1" w:rsidP="00E25CC8">
      <w:pPr>
        <w:tabs>
          <w:tab w:val="left" w:pos="-720"/>
        </w:tabs>
        <w:suppressAutoHyphens/>
        <w:ind w:left="720" w:hanging="720"/>
        <w:rPr>
          <w:spacing w:val="-2"/>
          <w:sz w:val="20"/>
        </w:rPr>
      </w:pPr>
      <w:r>
        <w:rPr>
          <w:spacing w:val="-2"/>
          <w:sz w:val="20"/>
        </w:rPr>
        <w:t>(a)</w:t>
      </w:r>
      <w:r>
        <w:rPr>
          <w:spacing w:val="-2"/>
          <w:sz w:val="20"/>
        </w:rPr>
        <w:tab/>
        <w:t>failed to establish a satisfactory credit history, or o</w:t>
      </w:r>
      <w:r w:rsidR="00E25CC8">
        <w:rPr>
          <w:spacing w:val="-2"/>
          <w:sz w:val="20"/>
        </w:rPr>
        <w:t xml:space="preserve">therwise demonstrate that they </w:t>
      </w:r>
      <w:r>
        <w:rPr>
          <w:spacing w:val="-2"/>
          <w:sz w:val="20"/>
        </w:rPr>
        <w:t xml:space="preserve">are a satisfactory credit risk in accordance with </w:t>
      </w:r>
      <w:r w:rsidR="009D1460">
        <w:rPr>
          <w:rFonts w:ascii="Arial Bold" w:hAnsi="Arial Bold"/>
          <w:b/>
          <w:spacing w:val="-2"/>
          <w:sz w:val="20"/>
        </w:rPr>
        <w:t>Rule</w:t>
      </w:r>
      <w:r w:rsidRPr="009D1460">
        <w:rPr>
          <w:rFonts w:ascii="Arial Bold" w:hAnsi="Arial Bold"/>
          <w:b/>
          <w:spacing w:val="-2"/>
          <w:sz w:val="20"/>
        </w:rPr>
        <w:t xml:space="preserve"> 2</w:t>
      </w:r>
      <w:r>
        <w:rPr>
          <w:spacing w:val="-2"/>
          <w:sz w:val="20"/>
        </w:rPr>
        <w:t>;</w:t>
      </w:r>
    </w:p>
    <w:p w14:paraId="37D9DDAF" w14:textId="486E862A" w:rsidR="00181C48" w:rsidRDefault="00D502C1" w:rsidP="00E25CC8">
      <w:pPr>
        <w:tabs>
          <w:tab w:val="left" w:pos="-720"/>
        </w:tabs>
        <w:suppressAutoHyphens/>
        <w:ind w:left="720" w:hanging="720"/>
        <w:rPr>
          <w:spacing w:val="-2"/>
          <w:sz w:val="20"/>
        </w:rPr>
      </w:pPr>
      <w:r>
        <w:rPr>
          <w:spacing w:val="-2"/>
          <w:sz w:val="20"/>
        </w:rPr>
        <w:t xml:space="preserve">(b) </w:t>
      </w:r>
      <w:r>
        <w:rPr>
          <w:spacing w:val="-2"/>
          <w:sz w:val="20"/>
        </w:rPr>
        <w:tab/>
        <w:t xml:space="preserve">within any 12 month period </w:t>
      </w:r>
      <w:r w:rsidR="006041F2">
        <w:rPr>
          <w:spacing w:val="-2"/>
          <w:sz w:val="20"/>
        </w:rPr>
        <w:t xml:space="preserve">was </w:t>
      </w:r>
      <w:r>
        <w:rPr>
          <w:spacing w:val="-2"/>
          <w:sz w:val="20"/>
        </w:rPr>
        <w:t>disconnec</w:t>
      </w:r>
      <w:r w:rsidR="00E25CC8">
        <w:rPr>
          <w:spacing w:val="-2"/>
          <w:sz w:val="20"/>
        </w:rPr>
        <w:t xml:space="preserve">ted for failure to pay amounts </w:t>
      </w:r>
      <w:r>
        <w:rPr>
          <w:spacing w:val="-2"/>
          <w:sz w:val="20"/>
        </w:rPr>
        <w:t>owing to any electric or gas utility;</w:t>
      </w:r>
    </w:p>
    <w:p w14:paraId="37D9DDB0" w14:textId="311D5C9C" w:rsidR="00181C48" w:rsidRDefault="00D502C1" w:rsidP="00E25CC8">
      <w:pPr>
        <w:tabs>
          <w:tab w:val="left" w:pos="-720"/>
        </w:tabs>
        <w:suppressAutoHyphens/>
        <w:ind w:left="720" w:hanging="720"/>
        <w:rPr>
          <w:spacing w:val="-2"/>
          <w:sz w:val="20"/>
        </w:rPr>
      </w:pPr>
      <w:r>
        <w:rPr>
          <w:spacing w:val="-2"/>
          <w:sz w:val="20"/>
        </w:rPr>
        <w:t>(c)</w:t>
      </w:r>
      <w:r>
        <w:rPr>
          <w:spacing w:val="-2"/>
          <w:sz w:val="20"/>
        </w:rPr>
        <w:tab/>
        <w:t>has an unpaid overdue balance owing to any electric or</w:t>
      </w:r>
      <w:r w:rsidR="00E25CC8">
        <w:rPr>
          <w:spacing w:val="-2"/>
          <w:sz w:val="20"/>
        </w:rPr>
        <w:t xml:space="preserve"> gas utility for similar class </w:t>
      </w:r>
      <w:r>
        <w:rPr>
          <w:spacing w:val="-2"/>
          <w:sz w:val="20"/>
        </w:rPr>
        <w:t xml:space="preserve">of service; </w:t>
      </w:r>
    </w:p>
    <w:p w14:paraId="37D9DDB1" w14:textId="027628C2" w:rsidR="00181C48" w:rsidRDefault="00D502C1" w:rsidP="00E25CC8">
      <w:pPr>
        <w:tabs>
          <w:tab w:val="left" w:pos="-720"/>
        </w:tabs>
        <w:suppressAutoHyphens/>
        <w:ind w:left="720" w:hanging="720"/>
        <w:rPr>
          <w:spacing w:val="-2"/>
          <w:sz w:val="20"/>
        </w:rPr>
      </w:pPr>
      <w:r>
        <w:rPr>
          <w:spacing w:val="-2"/>
          <w:sz w:val="20"/>
        </w:rPr>
        <w:t>(d)</w:t>
      </w:r>
      <w:r>
        <w:rPr>
          <w:spacing w:val="-2"/>
          <w:sz w:val="20"/>
        </w:rPr>
        <w:tab/>
        <w:t>received three or more delinquency notices serve</w:t>
      </w:r>
      <w:r w:rsidR="00E25CC8">
        <w:rPr>
          <w:spacing w:val="-2"/>
          <w:sz w:val="20"/>
        </w:rPr>
        <w:t xml:space="preserve">d upon them by any electric or </w:t>
      </w:r>
      <w:r>
        <w:rPr>
          <w:spacing w:val="-2"/>
          <w:sz w:val="20"/>
        </w:rPr>
        <w:t>gas company during the most recent 12 months; or</w:t>
      </w:r>
    </w:p>
    <w:p w14:paraId="37D9DDB2" w14:textId="245FF656" w:rsidR="00181C48" w:rsidRDefault="00D502C1" w:rsidP="00E25CC8">
      <w:pPr>
        <w:tabs>
          <w:tab w:val="left" w:pos="-720"/>
        </w:tabs>
        <w:suppressAutoHyphens/>
        <w:ind w:left="720" w:hanging="720"/>
        <w:rPr>
          <w:spacing w:val="-2"/>
          <w:sz w:val="20"/>
        </w:rPr>
      </w:pPr>
      <w:r>
        <w:rPr>
          <w:spacing w:val="-2"/>
          <w:sz w:val="20"/>
        </w:rPr>
        <w:t>(e)</w:t>
      </w:r>
      <w:r>
        <w:rPr>
          <w:spacing w:val="-2"/>
          <w:sz w:val="20"/>
        </w:rPr>
        <w:tab/>
        <w:t>is a residential customer initiating or continuing servic</w:t>
      </w:r>
      <w:r w:rsidR="00E25CC8">
        <w:rPr>
          <w:spacing w:val="-2"/>
          <w:sz w:val="20"/>
        </w:rPr>
        <w:t xml:space="preserve">e to a residence where a prior </w:t>
      </w:r>
      <w:r>
        <w:rPr>
          <w:spacing w:val="-2"/>
          <w:sz w:val="20"/>
        </w:rPr>
        <w:t>customer still resides and where any balance for such ser</w:t>
      </w:r>
      <w:r w:rsidR="00E25CC8">
        <w:rPr>
          <w:spacing w:val="-2"/>
          <w:sz w:val="20"/>
        </w:rPr>
        <w:t xml:space="preserve">vice to that prior customer is </w:t>
      </w:r>
      <w:r>
        <w:rPr>
          <w:spacing w:val="-2"/>
          <w:sz w:val="20"/>
        </w:rPr>
        <w:t xml:space="preserve">past due or owing to the </w:t>
      </w:r>
      <w:r w:rsidRPr="009D1460">
        <w:rPr>
          <w:spacing w:val="-2"/>
          <w:sz w:val="20"/>
        </w:rPr>
        <w:t>Company</w:t>
      </w:r>
      <w:r>
        <w:rPr>
          <w:spacing w:val="-2"/>
          <w:sz w:val="20"/>
        </w:rPr>
        <w:t>.</w:t>
      </w:r>
    </w:p>
    <w:p w14:paraId="37D9DDB3" w14:textId="77777777" w:rsidR="00181C48" w:rsidRDefault="00181C48">
      <w:pPr>
        <w:tabs>
          <w:tab w:val="left" w:pos="-720"/>
        </w:tabs>
        <w:suppressAutoHyphens/>
        <w:rPr>
          <w:spacing w:val="-2"/>
          <w:sz w:val="20"/>
        </w:rPr>
      </w:pPr>
    </w:p>
    <w:p w14:paraId="49A1C302" w14:textId="52B52A64" w:rsidR="00751802" w:rsidRDefault="00543D55">
      <w:pPr>
        <w:tabs>
          <w:tab w:val="left" w:pos="-720"/>
        </w:tabs>
        <w:suppressAutoHyphens/>
        <w:rPr>
          <w:spacing w:val="-2"/>
          <w:sz w:val="20"/>
        </w:rPr>
      </w:pPr>
      <w:r>
        <w:rPr>
          <w:noProof/>
          <w:spacing w:val="-2"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09CE8D" wp14:editId="0A656D2F">
                <wp:simplePos x="0" y="0"/>
                <wp:positionH relativeFrom="column">
                  <wp:posOffset>6191250</wp:posOffset>
                </wp:positionH>
                <wp:positionV relativeFrom="paragraph">
                  <wp:posOffset>125730</wp:posOffset>
                </wp:positionV>
                <wp:extent cx="0" cy="2733675"/>
                <wp:effectExtent l="0" t="0" r="19050" b="952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336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87.5pt,9.9pt" to="487.5pt,2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" strokecolor="black [3213]"/>
            </w:pict>
          </mc:Fallback>
        </mc:AlternateContent>
      </w:r>
      <w:r w:rsidR="00D502C1" w:rsidRPr="009D1460">
        <w:rPr>
          <w:spacing w:val="-2"/>
          <w:sz w:val="20"/>
        </w:rPr>
        <w:t>The amount of the deposit</w:t>
      </w:r>
      <w:r w:rsidR="00D502C1">
        <w:rPr>
          <w:spacing w:val="-2"/>
          <w:sz w:val="20"/>
        </w:rPr>
        <w:t xml:space="preserve"> shall not exceed one-sixth of the estimated annual billing at the service address</w:t>
      </w:r>
      <w:r w:rsidR="00751802">
        <w:rPr>
          <w:spacing w:val="-2"/>
          <w:sz w:val="20"/>
        </w:rPr>
        <w:t xml:space="preserve"> based on actual usage history at the premise</w:t>
      </w:r>
      <w:r w:rsidR="006373D6">
        <w:rPr>
          <w:spacing w:val="-2"/>
          <w:sz w:val="20"/>
        </w:rPr>
        <w:t>, rounded to the nearest dollar</w:t>
      </w:r>
      <w:r w:rsidR="00D502C1">
        <w:rPr>
          <w:spacing w:val="-2"/>
          <w:sz w:val="20"/>
        </w:rPr>
        <w:t>.</w:t>
      </w:r>
      <w:r w:rsidR="00751802">
        <w:rPr>
          <w:spacing w:val="-2"/>
          <w:sz w:val="20"/>
        </w:rPr>
        <w:t xml:space="preserve">  If the Company has no record of prior gas service at the service address,</w:t>
      </w:r>
      <w:r w:rsidR="00FF3365">
        <w:rPr>
          <w:spacing w:val="-2"/>
          <w:sz w:val="20"/>
        </w:rPr>
        <w:t xml:space="preserve"> or</w:t>
      </w:r>
      <w:r w:rsidR="00751802">
        <w:rPr>
          <w:spacing w:val="-2"/>
          <w:sz w:val="20"/>
        </w:rPr>
        <w:t xml:space="preserve"> if there is less than 12 months of normal usage </w:t>
      </w:r>
      <w:r w:rsidR="004F6DC9">
        <w:rPr>
          <w:spacing w:val="-2"/>
          <w:sz w:val="20"/>
        </w:rPr>
        <w:t xml:space="preserve">history </w:t>
      </w:r>
      <w:r w:rsidR="00751802">
        <w:rPr>
          <w:spacing w:val="-2"/>
          <w:sz w:val="20"/>
        </w:rPr>
        <w:t>at the service address,</w:t>
      </w:r>
      <w:r w:rsidR="004F6DC9">
        <w:rPr>
          <w:spacing w:val="-2"/>
          <w:sz w:val="20"/>
        </w:rPr>
        <w:t xml:space="preserve"> a default deposit may apply. </w:t>
      </w:r>
      <w:r w:rsidR="00E25CC8">
        <w:rPr>
          <w:spacing w:val="-2"/>
          <w:sz w:val="20"/>
        </w:rPr>
        <w:t xml:space="preserve"> </w:t>
      </w:r>
      <w:r w:rsidR="004F6DC9">
        <w:rPr>
          <w:spacing w:val="-2"/>
          <w:sz w:val="20"/>
        </w:rPr>
        <w:t>F</w:t>
      </w:r>
      <w:r w:rsidR="00751802">
        <w:rPr>
          <w:spacing w:val="-2"/>
          <w:sz w:val="20"/>
        </w:rPr>
        <w:t xml:space="preserve">or Non-Residential </w:t>
      </w:r>
      <w:r w:rsidR="004F6DC9">
        <w:rPr>
          <w:spacing w:val="-2"/>
          <w:sz w:val="20"/>
        </w:rPr>
        <w:t xml:space="preserve">Customers, the default deposit may also apply </w:t>
      </w:r>
      <w:r w:rsidR="00751802">
        <w:rPr>
          <w:spacing w:val="-2"/>
          <w:sz w:val="20"/>
        </w:rPr>
        <w:t>if the usage history at the service address was f</w:t>
      </w:r>
      <w:r w:rsidR="004F6DC9">
        <w:rPr>
          <w:spacing w:val="-2"/>
          <w:sz w:val="20"/>
        </w:rPr>
        <w:t>or a different business purpose.  The default deposit will not apply to a Non-Residential Customer whose natural gas usage is expected to exceed 78 therms per month based on square footage of heated space, or the type of gas-fired equipment and the expected use of such gas-fired equipment.</w:t>
      </w:r>
      <w:r w:rsidR="00D502C1">
        <w:rPr>
          <w:spacing w:val="-2"/>
          <w:sz w:val="20"/>
        </w:rPr>
        <w:t xml:space="preserve">   </w:t>
      </w:r>
    </w:p>
    <w:p w14:paraId="1C4A1811" w14:textId="77777777" w:rsidR="00751802" w:rsidRDefault="00751802">
      <w:pPr>
        <w:tabs>
          <w:tab w:val="left" w:pos="-720"/>
        </w:tabs>
        <w:suppressAutoHyphens/>
        <w:rPr>
          <w:spacing w:val="-2"/>
          <w:sz w:val="20"/>
        </w:rPr>
      </w:pP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3960"/>
        <w:gridCol w:w="3690"/>
      </w:tblGrid>
      <w:tr w:rsidR="006041F2" w:rsidRPr="00511DA1" w14:paraId="23C6B261" w14:textId="77777777" w:rsidTr="006041F2">
        <w:tc>
          <w:tcPr>
            <w:tcW w:w="3960" w:type="dxa"/>
          </w:tcPr>
          <w:p w14:paraId="2E841810" w14:textId="59E28A79" w:rsidR="006041F2" w:rsidRPr="004F6DC9" w:rsidRDefault="006041F2" w:rsidP="004F6DC9">
            <w:pPr>
              <w:tabs>
                <w:tab w:val="left" w:pos="-720"/>
              </w:tabs>
              <w:suppressAutoHyphens/>
              <w:jc w:val="center"/>
              <w:rPr>
                <w:b/>
                <w:sz w:val="18"/>
              </w:rPr>
            </w:pPr>
            <w:r w:rsidRPr="004F6DC9">
              <w:rPr>
                <w:b/>
                <w:sz w:val="18"/>
              </w:rPr>
              <w:t>Installed Gas-Fired Equipment</w:t>
            </w:r>
          </w:p>
        </w:tc>
        <w:tc>
          <w:tcPr>
            <w:tcW w:w="3690" w:type="dxa"/>
          </w:tcPr>
          <w:p w14:paraId="1C9BE5AC" w14:textId="75344FFF" w:rsidR="006041F2" w:rsidRPr="004F6DC9" w:rsidRDefault="00336637" w:rsidP="004F6DC9">
            <w:pPr>
              <w:tabs>
                <w:tab w:val="left" w:pos="-720"/>
              </w:tabs>
              <w:suppressAutoHyphens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Default </w:t>
            </w:r>
            <w:r w:rsidR="006041F2" w:rsidRPr="004F6DC9">
              <w:rPr>
                <w:b/>
                <w:sz w:val="18"/>
              </w:rPr>
              <w:t>Deposit Amount</w:t>
            </w:r>
          </w:p>
        </w:tc>
      </w:tr>
      <w:tr w:rsidR="006041F2" w:rsidRPr="00511DA1" w14:paraId="75E3C67A" w14:textId="77777777" w:rsidTr="006041F2">
        <w:tc>
          <w:tcPr>
            <w:tcW w:w="3960" w:type="dxa"/>
          </w:tcPr>
          <w:p w14:paraId="18B6043D" w14:textId="387A12F7" w:rsidR="006041F2" w:rsidRPr="00511DA1" w:rsidRDefault="004F6DC9" w:rsidP="00B92C83">
            <w:pPr>
              <w:tabs>
                <w:tab w:val="left" w:pos="-720"/>
              </w:tabs>
              <w:suppressAutoHyphens/>
              <w:rPr>
                <w:sz w:val="18"/>
              </w:rPr>
            </w:pPr>
            <w:r>
              <w:rPr>
                <w:sz w:val="18"/>
              </w:rPr>
              <w:t>RESIDENTIAL:</w:t>
            </w:r>
          </w:p>
        </w:tc>
        <w:tc>
          <w:tcPr>
            <w:tcW w:w="3690" w:type="dxa"/>
          </w:tcPr>
          <w:p w14:paraId="19CD5933" w14:textId="77777777" w:rsidR="006041F2" w:rsidRPr="00511DA1" w:rsidRDefault="006041F2" w:rsidP="00B92C83">
            <w:pPr>
              <w:tabs>
                <w:tab w:val="left" w:pos="-720"/>
              </w:tabs>
              <w:suppressAutoHyphens/>
              <w:rPr>
                <w:sz w:val="18"/>
              </w:rPr>
            </w:pPr>
          </w:p>
        </w:tc>
      </w:tr>
      <w:tr w:rsidR="006041F2" w:rsidRPr="00511DA1" w14:paraId="07FBA94E" w14:textId="77777777" w:rsidTr="006041F2">
        <w:tc>
          <w:tcPr>
            <w:tcW w:w="3960" w:type="dxa"/>
          </w:tcPr>
          <w:p w14:paraId="3E422511" w14:textId="78F5E3A3" w:rsidR="006041F2" w:rsidRPr="00511DA1" w:rsidRDefault="004F6DC9" w:rsidP="00B92C83">
            <w:pPr>
              <w:tabs>
                <w:tab w:val="left" w:pos="-720"/>
              </w:tabs>
              <w:suppressAutoHyphens/>
              <w:rPr>
                <w:sz w:val="18"/>
              </w:rPr>
            </w:pPr>
            <w:r>
              <w:rPr>
                <w:sz w:val="18"/>
              </w:rPr>
              <w:tab/>
            </w:r>
            <w:r w:rsidR="006041F2" w:rsidRPr="00511DA1">
              <w:rPr>
                <w:sz w:val="18"/>
              </w:rPr>
              <w:t>Space and Water Heat</w:t>
            </w:r>
          </w:p>
        </w:tc>
        <w:tc>
          <w:tcPr>
            <w:tcW w:w="3690" w:type="dxa"/>
          </w:tcPr>
          <w:p w14:paraId="0A94C2A3" w14:textId="5AFA7AD1" w:rsidR="006041F2" w:rsidRPr="00511DA1" w:rsidRDefault="003F04A5" w:rsidP="00B92C83">
            <w:pPr>
              <w:tabs>
                <w:tab w:val="left" w:pos="-720"/>
              </w:tabs>
              <w:suppressAutoHyphens/>
              <w:rPr>
                <w:sz w:val="18"/>
              </w:rPr>
            </w:pPr>
            <w:r>
              <w:rPr>
                <w:sz w:val="18"/>
              </w:rPr>
              <w:t>$ 100</w:t>
            </w:r>
            <w:r w:rsidR="006041F2" w:rsidRPr="00511DA1">
              <w:rPr>
                <w:sz w:val="18"/>
              </w:rPr>
              <w:t>.00</w:t>
            </w:r>
          </w:p>
        </w:tc>
      </w:tr>
      <w:tr w:rsidR="006041F2" w:rsidRPr="00511DA1" w14:paraId="5DF5A098" w14:textId="77777777" w:rsidTr="006041F2">
        <w:tc>
          <w:tcPr>
            <w:tcW w:w="3960" w:type="dxa"/>
          </w:tcPr>
          <w:p w14:paraId="5C9AD0C1" w14:textId="731B1B16" w:rsidR="006041F2" w:rsidRPr="00511DA1" w:rsidRDefault="004F6DC9" w:rsidP="00B92C83">
            <w:pPr>
              <w:tabs>
                <w:tab w:val="left" w:pos="-720"/>
              </w:tabs>
              <w:suppressAutoHyphens/>
              <w:rPr>
                <w:sz w:val="18"/>
              </w:rPr>
            </w:pPr>
            <w:r>
              <w:rPr>
                <w:sz w:val="18"/>
              </w:rPr>
              <w:tab/>
            </w:r>
            <w:r w:rsidR="006041F2" w:rsidRPr="00511DA1">
              <w:rPr>
                <w:sz w:val="18"/>
              </w:rPr>
              <w:t>Space Heat Only</w:t>
            </w:r>
          </w:p>
        </w:tc>
        <w:tc>
          <w:tcPr>
            <w:tcW w:w="3690" w:type="dxa"/>
          </w:tcPr>
          <w:p w14:paraId="3A475787" w14:textId="35B1340C" w:rsidR="006041F2" w:rsidRPr="00511DA1" w:rsidRDefault="003F04A5" w:rsidP="00B92C83">
            <w:pPr>
              <w:tabs>
                <w:tab w:val="left" w:pos="-720"/>
              </w:tabs>
              <w:suppressAutoHyphens/>
              <w:rPr>
                <w:sz w:val="18"/>
              </w:rPr>
            </w:pPr>
            <w:r>
              <w:rPr>
                <w:sz w:val="18"/>
              </w:rPr>
              <w:t>$  75</w:t>
            </w:r>
            <w:r w:rsidR="006041F2" w:rsidRPr="00511DA1">
              <w:rPr>
                <w:sz w:val="18"/>
              </w:rPr>
              <w:t>.00</w:t>
            </w:r>
          </w:p>
        </w:tc>
      </w:tr>
      <w:tr w:rsidR="006041F2" w:rsidRPr="00511DA1" w14:paraId="0BD851A7" w14:textId="77777777" w:rsidTr="006041F2">
        <w:tc>
          <w:tcPr>
            <w:tcW w:w="3960" w:type="dxa"/>
          </w:tcPr>
          <w:p w14:paraId="331EDD28" w14:textId="34CFE754" w:rsidR="006041F2" w:rsidRPr="00511DA1" w:rsidRDefault="004F6DC9" w:rsidP="00B92C83">
            <w:pPr>
              <w:tabs>
                <w:tab w:val="left" w:pos="-720"/>
              </w:tabs>
              <w:suppressAutoHyphens/>
              <w:rPr>
                <w:sz w:val="18"/>
              </w:rPr>
            </w:pPr>
            <w:r>
              <w:rPr>
                <w:sz w:val="18"/>
              </w:rPr>
              <w:tab/>
            </w:r>
            <w:r w:rsidR="006041F2" w:rsidRPr="00511DA1">
              <w:rPr>
                <w:sz w:val="18"/>
              </w:rPr>
              <w:t>No Space Heat</w:t>
            </w:r>
          </w:p>
        </w:tc>
        <w:tc>
          <w:tcPr>
            <w:tcW w:w="3690" w:type="dxa"/>
          </w:tcPr>
          <w:p w14:paraId="42171DA0" w14:textId="33B5A0B2" w:rsidR="006041F2" w:rsidRPr="00511DA1" w:rsidRDefault="006041F2" w:rsidP="00B92C83">
            <w:pPr>
              <w:tabs>
                <w:tab w:val="left" w:pos="-720"/>
              </w:tabs>
              <w:suppressAutoHyphens/>
              <w:rPr>
                <w:sz w:val="18"/>
              </w:rPr>
            </w:pPr>
            <w:r w:rsidRPr="00511DA1">
              <w:rPr>
                <w:sz w:val="18"/>
              </w:rPr>
              <w:t>$ 40.00</w:t>
            </w:r>
          </w:p>
        </w:tc>
      </w:tr>
      <w:tr w:rsidR="004F6DC9" w:rsidRPr="00E570F0" w14:paraId="752E3831" w14:textId="77777777" w:rsidTr="006041F2">
        <w:tc>
          <w:tcPr>
            <w:tcW w:w="3960" w:type="dxa"/>
          </w:tcPr>
          <w:p w14:paraId="3E6C914F" w14:textId="4260EE01" w:rsidR="004F6DC9" w:rsidRPr="00E570F0" w:rsidRDefault="004F6DC9" w:rsidP="006723ED">
            <w:pPr>
              <w:tabs>
                <w:tab w:val="left" w:pos="-720"/>
              </w:tabs>
              <w:suppressAutoHyphens/>
              <w:rPr>
                <w:sz w:val="18"/>
              </w:rPr>
            </w:pPr>
            <w:r>
              <w:rPr>
                <w:sz w:val="18"/>
              </w:rPr>
              <w:t>NON-RESIDENTIAL</w:t>
            </w:r>
          </w:p>
        </w:tc>
        <w:tc>
          <w:tcPr>
            <w:tcW w:w="3690" w:type="dxa"/>
          </w:tcPr>
          <w:p w14:paraId="660F549F" w14:textId="77777777" w:rsidR="004F6DC9" w:rsidRDefault="004F6DC9" w:rsidP="00B92C83">
            <w:pPr>
              <w:tabs>
                <w:tab w:val="left" w:pos="-720"/>
              </w:tabs>
              <w:suppressAutoHyphens/>
              <w:rPr>
                <w:sz w:val="18"/>
              </w:rPr>
            </w:pPr>
          </w:p>
        </w:tc>
      </w:tr>
      <w:tr w:rsidR="006041F2" w:rsidRPr="00E570F0" w14:paraId="450896A1" w14:textId="77777777" w:rsidTr="006041F2">
        <w:tc>
          <w:tcPr>
            <w:tcW w:w="3960" w:type="dxa"/>
          </w:tcPr>
          <w:p w14:paraId="143E651C" w14:textId="685E2788" w:rsidR="006041F2" w:rsidRPr="00E570F0" w:rsidRDefault="004F6DC9" w:rsidP="006723ED">
            <w:pPr>
              <w:tabs>
                <w:tab w:val="left" w:pos="-720"/>
              </w:tabs>
              <w:suppressAutoHyphens/>
              <w:rPr>
                <w:sz w:val="18"/>
              </w:rPr>
            </w:pPr>
            <w:r>
              <w:rPr>
                <w:sz w:val="18"/>
              </w:rPr>
              <w:tab/>
            </w:r>
            <w:r w:rsidRPr="00511DA1">
              <w:rPr>
                <w:sz w:val="18"/>
              </w:rPr>
              <w:t>Space and Water Heat</w:t>
            </w:r>
          </w:p>
        </w:tc>
        <w:tc>
          <w:tcPr>
            <w:tcW w:w="3690" w:type="dxa"/>
          </w:tcPr>
          <w:p w14:paraId="38B9A556" w14:textId="79585B7E" w:rsidR="006041F2" w:rsidRPr="00E570F0" w:rsidRDefault="00C450C5" w:rsidP="00B92C83">
            <w:pPr>
              <w:tabs>
                <w:tab w:val="left" w:pos="-720"/>
              </w:tabs>
              <w:suppressAutoHyphens/>
              <w:rPr>
                <w:sz w:val="18"/>
              </w:rPr>
            </w:pPr>
            <w:r>
              <w:rPr>
                <w:sz w:val="18"/>
              </w:rPr>
              <w:t>$ 2</w:t>
            </w:r>
            <w:r w:rsidR="004F6DC9">
              <w:rPr>
                <w:sz w:val="18"/>
              </w:rPr>
              <w:t>00</w:t>
            </w:r>
            <w:r w:rsidR="006041F2" w:rsidRPr="00E570F0">
              <w:rPr>
                <w:sz w:val="18"/>
              </w:rPr>
              <w:t>.00</w:t>
            </w:r>
          </w:p>
        </w:tc>
      </w:tr>
    </w:tbl>
    <w:p w14:paraId="4F9390D9" w14:textId="77777777" w:rsidR="00751802" w:rsidRDefault="00751802">
      <w:pPr>
        <w:tabs>
          <w:tab w:val="left" w:pos="-720"/>
        </w:tabs>
        <w:suppressAutoHyphens/>
        <w:rPr>
          <w:spacing w:val="-2"/>
          <w:sz w:val="20"/>
        </w:rPr>
      </w:pPr>
    </w:p>
    <w:p w14:paraId="07E0FC10" w14:textId="2E0A4C1C" w:rsidR="00336637" w:rsidRDefault="00336637">
      <w:pPr>
        <w:tabs>
          <w:tab w:val="left" w:pos="-720"/>
        </w:tabs>
        <w:suppressAutoHyphens/>
        <w:rPr>
          <w:spacing w:val="-2"/>
          <w:sz w:val="20"/>
        </w:rPr>
      </w:pPr>
      <w:r>
        <w:rPr>
          <w:spacing w:val="-2"/>
          <w:sz w:val="20"/>
        </w:rPr>
        <w:t>The Company will review default deposit amounts with any change in billing rates.  The default amounts may be revised if a change in customer rates results in an increase or decrease of $10.00 or more to the average Residential Customer’s monthly bill, or $25.00 or more to the average Schedule 3 small Commercial Customer’s monthly bill.</w:t>
      </w:r>
    </w:p>
    <w:p w14:paraId="42A18F99" w14:textId="77777777" w:rsidR="00336637" w:rsidRDefault="00336637">
      <w:pPr>
        <w:tabs>
          <w:tab w:val="left" w:pos="-720"/>
        </w:tabs>
        <w:suppressAutoHyphens/>
        <w:rPr>
          <w:spacing w:val="-2"/>
          <w:sz w:val="20"/>
        </w:rPr>
      </w:pPr>
    </w:p>
    <w:p w14:paraId="37D9DDB4" w14:textId="60544AF7" w:rsidR="00181C48" w:rsidRDefault="00D502C1">
      <w:pPr>
        <w:tabs>
          <w:tab w:val="left" w:pos="-720"/>
        </w:tabs>
        <w:suppressAutoHyphens/>
        <w:rPr>
          <w:spacing w:val="-2"/>
          <w:sz w:val="20"/>
        </w:rPr>
      </w:pPr>
      <w:r>
        <w:rPr>
          <w:spacing w:val="-2"/>
          <w:sz w:val="20"/>
        </w:rPr>
        <w:t>A</w:t>
      </w:r>
      <w:r w:rsidR="001255D7">
        <w:rPr>
          <w:spacing w:val="-2"/>
          <w:sz w:val="20"/>
        </w:rPr>
        <w:t xml:space="preserve"> Residential C</w:t>
      </w:r>
      <w:r>
        <w:rPr>
          <w:spacing w:val="-2"/>
          <w:sz w:val="20"/>
        </w:rPr>
        <w:t xml:space="preserve">ustomer </w:t>
      </w:r>
      <w:r w:rsidR="00DE3B10">
        <w:rPr>
          <w:spacing w:val="-2"/>
          <w:sz w:val="20"/>
        </w:rPr>
        <w:t xml:space="preserve">that </w:t>
      </w:r>
      <w:r w:rsidR="00E25CC8">
        <w:rPr>
          <w:spacing w:val="-2"/>
          <w:sz w:val="20"/>
        </w:rPr>
        <w:t xml:space="preserve">is unable to pay a deposit </w:t>
      </w:r>
      <w:r w:rsidR="00DE3B10">
        <w:rPr>
          <w:spacing w:val="-2"/>
          <w:sz w:val="20"/>
        </w:rPr>
        <w:t xml:space="preserve">may </w:t>
      </w:r>
      <w:r>
        <w:rPr>
          <w:spacing w:val="-2"/>
          <w:sz w:val="20"/>
        </w:rPr>
        <w:t>enter into payment arrangements as set forth in the WUTC Credit Rules.</w:t>
      </w:r>
      <w:r w:rsidR="00C8716E">
        <w:rPr>
          <w:spacing w:val="-2"/>
          <w:sz w:val="20"/>
        </w:rPr>
        <w:t xml:space="preserve">  At the Company’s discretion, a Non-Residential Applicant or Customer may enter into payment arrangements for payment of a deposit.</w:t>
      </w:r>
    </w:p>
    <w:p w14:paraId="37D9DDB5" w14:textId="77777777" w:rsidR="00181C48" w:rsidRDefault="00181C48">
      <w:pPr>
        <w:tabs>
          <w:tab w:val="left" w:pos="-720"/>
        </w:tabs>
        <w:suppressAutoHyphens/>
        <w:rPr>
          <w:spacing w:val="-2"/>
          <w:sz w:val="20"/>
          <w:u w:val="single"/>
        </w:rPr>
      </w:pPr>
    </w:p>
    <w:p w14:paraId="37D9DDB9" w14:textId="14B974C7" w:rsidR="00181C48" w:rsidRDefault="00181C48">
      <w:pPr>
        <w:tabs>
          <w:tab w:val="left" w:pos="-720"/>
        </w:tabs>
        <w:suppressAutoHyphens/>
        <w:rPr>
          <w:spacing w:val="-2"/>
          <w:sz w:val="20"/>
        </w:rPr>
      </w:pPr>
    </w:p>
    <w:p w14:paraId="37D9DDBD" w14:textId="77777777" w:rsidR="00181C48" w:rsidRDefault="00181C48">
      <w:pPr>
        <w:rPr>
          <w:sz w:val="20"/>
        </w:rPr>
      </w:pPr>
    </w:p>
    <w:p w14:paraId="37D9DDC0" w14:textId="77777777" w:rsidR="00181C48" w:rsidRDefault="00D502C1">
      <w:pPr>
        <w:jc w:val="center"/>
        <w:rPr>
          <w:sz w:val="18"/>
        </w:rPr>
      </w:pPr>
      <w:r w:rsidRPr="006041F2">
        <w:rPr>
          <w:sz w:val="18"/>
        </w:rPr>
        <w:t>(continue to Sheet 3.2)</w:t>
      </w:r>
    </w:p>
    <w:p w14:paraId="58607C14" w14:textId="17E983FF" w:rsidR="00F56C97" w:rsidRPr="00F56C97" w:rsidRDefault="00F56C97" w:rsidP="00F56C97">
      <w:pPr>
        <w:rPr>
          <w:sz w:val="20"/>
        </w:rPr>
      </w:pPr>
      <w:r>
        <w:rPr>
          <w:sz w:val="20"/>
        </w:rPr>
        <w:br/>
      </w:r>
      <w:r w:rsidRPr="00F56C97">
        <w:rPr>
          <w:sz w:val="20"/>
        </w:rPr>
        <w:t xml:space="preserve">(K) Material transferred to </w:t>
      </w:r>
      <w:r>
        <w:rPr>
          <w:sz w:val="20"/>
        </w:rPr>
        <w:t>1</w:t>
      </w:r>
      <w:r w:rsidRPr="00F56C97">
        <w:rPr>
          <w:sz w:val="20"/>
          <w:vertAlign w:val="superscript"/>
        </w:rPr>
        <w:t>st</w:t>
      </w:r>
      <w:r>
        <w:rPr>
          <w:sz w:val="20"/>
        </w:rPr>
        <w:t xml:space="preserve"> Revised Sheet No. 3.2</w:t>
      </w:r>
    </w:p>
    <w:sectPr w:rsidR="00F56C97" w:rsidRPr="00F56C97">
      <w:headerReference w:type="default" r:id="rId11"/>
      <w:footerReference w:type="default" r:id="rId12"/>
      <w:pgSz w:w="12240" w:h="15840" w:code="1"/>
      <w:pgMar w:top="720" w:right="1800" w:bottom="720" w:left="1440" w:header="720" w:footer="5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D9DDC3" w14:textId="77777777" w:rsidR="00181C48" w:rsidRDefault="00D502C1">
      <w:r>
        <w:separator/>
      </w:r>
    </w:p>
  </w:endnote>
  <w:endnote w:type="continuationSeparator" w:id="0">
    <w:p w14:paraId="37D9DDC4" w14:textId="77777777" w:rsidR="00181C48" w:rsidRDefault="00D50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D9DDC7" w14:textId="56C7889C" w:rsidR="00181C48" w:rsidRPr="00E25CC8" w:rsidRDefault="00D502C1" w:rsidP="00E25CC8">
    <w:pPr>
      <w:pStyle w:val="Footer"/>
      <w:tabs>
        <w:tab w:val="left" w:pos="6300"/>
      </w:tabs>
      <w:rPr>
        <w:sz w:val="22"/>
      </w:rPr>
    </w:pPr>
    <w:r w:rsidRPr="00E25CC8">
      <w:rPr>
        <w:sz w:val="22"/>
      </w:rPr>
      <w:t xml:space="preserve">Issued </w:t>
    </w:r>
    <w:r w:rsidR="006B6488">
      <w:rPr>
        <w:sz w:val="22"/>
      </w:rPr>
      <w:t>May</w:t>
    </w:r>
    <w:r w:rsidR="003F04A5">
      <w:rPr>
        <w:sz w:val="22"/>
      </w:rPr>
      <w:t xml:space="preserve"> 13</w:t>
    </w:r>
    <w:r w:rsidR="00E25CC8">
      <w:rPr>
        <w:sz w:val="22"/>
      </w:rPr>
      <w:t>, 2015</w:t>
    </w:r>
    <w:r w:rsidR="00E25CC8">
      <w:rPr>
        <w:sz w:val="22"/>
      </w:rPr>
      <w:tab/>
    </w:r>
    <w:r w:rsidR="00E25CC8">
      <w:rPr>
        <w:sz w:val="22"/>
      </w:rPr>
      <w:tab/>
    </w:r>
    <w:r w:rsidRPr="00E25CC8">
      <w:rPr>
        <w:sz w:val="22"/>
      </w:rPr>
      <w:t>Effective with service on</w:t>
    </w:r>
  </w:p>
  <w:p w14:paraId="37D9DDC8" w14:textId="52D55D8D" w:rsidR="00181C48" w:rsidRDefault="00D502C1" w:rsidP="00E25CC8">
    <w:pPr>
      <w:pStyle w:val="Footer"/>
      <w:tabs>
        <w:tab w:val="left" w:pos="6300"/>
      </w:tabs>
      <w:rPr>
        <w:sz w:val="22"/>
      </w:rPr>
    </w:pPr>
    <w:r w:rsidRPr="00E25CC8">
      <w:rPr>
        <w:sz w:val="22"/>
      </w:rPr>
      <w:t>N</w:t>
    </w:r>
    <w:r w:rsidR="00C450C5" w:rsidRPr="00E25CC8">
      <w:rPr>
        <w:sz w:val="22"/>
      </w:rPr>
      <w:t xml:space="preserve">WNWUTC </w:t>
    </w:r>
    <w:r w:rsidRPr="00E25CC8">
      <w:rPr>
        <w:sz w:val="22"/>
      </w:rPr>
      <w:t>Advice No.</w:t>
    </w:r>
    <w:r w:rsidR="00E25CC8">
      <w:rPr>
        <w:sz w:val="22"/>
      </w:rPr>
      <w:t xml:space="preserve"> 15-02</w:t>
    </w:r>
    <w:r w:rsidR="003F04A5">
      <w:rPr>
        <w:sz w:val="22"/>
      </w:rPr>
      <w:t>A</w:t>
    </w:r>
    <w:r w:rsidR="00E25CC8">
      <w:rPr>
        <w:sz w:val="22"/>
      </w:rPr>
      <w:tab/>
    </w:r>
    <w:r w:rsidR="00E25CC8">
      <w:rPr>
        <w:sz w:val="22"/>
      </w:rPr>
      <w:tab/>
    </w:r>
    <w:r w:rsidRPr="00E25CC8">
      <w:rPr>
        <w:sz w:val="22"/>
      </w:rPr>
      <w:t xml:space="preserve">and after </w:t>
    </w:r>
    <w:r w:rsidR="003F04A5">
      <w:rPr>
        <w:sz w:val="22"/>
      </w:rPr>
      <w:t>May 29</w:t>
    </w:r>
    <w:r w:rsidR="00E25CC8">
      <w:rPr>
        <w:sz w:val="22"/>
      </w:rPr>
      <w:t>, 2015</w:t>
    </w:r>
  </w:p>
  <w:p w14:paraId="3649D008" w14:textId="77777777" w:rsidR="00E25CC8" w:rsidRPr="00E25CC8" w:rsidRDefault="00E25CC8" w:rsidP="00E25CC8">
    <w:pPr>
      <w:pStyle w:val="Footer"/>
      <w:tabs>
        <w:tab w:val="left" w:pos="6300"/>
      </w:tabs>
      <w:rPr>
        <w:sz w:val="22"/>
      </w:rPr>
    </w:pPr>
  </w:p>
  <w:p w14:paraId="37D9DDCB" w14:textId="77777777" w:rsidR="00181C48" w:rsidRDefault="00D502C1" w:rsidP="00E25CC8">
    <w:pPr>
      <w:pStyle w:val="Footer"/>
      <w:pBdr>
        <w:top w:val="single" w:sz="4" w:space="1" w:color="auto"/>
      </w:pBdr>
      <w:jc w:val="center"/>
      <w:rPr>
        <w:b/>
        <w:i/>
        <w:sz w:val="18"/>
      </w:rPr>
    </w:pPr>
    <w:r>
      <w:rPr>
        <w:b/>
        <w:i/>
        <w:sz w:val="18"/>
      </w:rPr>
      <w:t>Issued by:  NORTHWEST NATURAL GAS COMPANY</w:t>
    </w:r>
  </w:p>
  <w:p w14:paraId="37D9DDCC" w14:textId="6FB140D1" w:rsidR="00181C48" w:rsidRDefault="006041F2">
    <w:pPr>
      <w:pStyle w:val="Footer"/>
      <w:jc w:val="center"/>
      <w:rPr>
        <w:i/>
        <w:sz w:val="18"/>
      </w:rPr>
    </w:pPr>
    <w:r>
      <w:rPr>
        <w:i/>
        <w:sz w:val="18"/>
      </w:rPr>
      <w:t>d.b.a. NW Natural</w:t>
    </w:r>
  </w:p>
  <w:p w14:paraId="37D9DDCD" w14:textId="77777777" w:rsidR="00181C48" w:rsidRDefault="00D502C1">
    <w:pPr>
      <w:pStyle w:val="Footer"/>
      <w:jc w:val="center"/>
      <w:rPr>
        <w:i/>
        <w:sz w:val="18"/>
      </w:rPr>
    </w:pPr>
    <w:r>
      <w:rPr>
        <w:i/>
        <w:sz w:val="18"/>
      </w:rPr>
      <w:t>220 N.W. Second Avenue</w:t>
    </w:r>
  </w:p>
  <w:p w14:paraId="37D9DDCE" w14:textId="77777777" w:rsidR="00181C48" w:rsidRDefault="00D502C1">
    <w:pPr>
      <w:pStyle w:val="Footer"/>
      <w:jc w:val="center"/>
    </w:pPr>
    <w:r>
      <w:rPr>
        <w:i/>
        <w:sz w:val="18"/>
      </w:rPr>
      <w:t>Portland, Oregon  97209-3991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D9DDC1" w14:textId="77777777" w:rsidR="00181C48" w:rsidRDefault="00D502C1">
      <w:r>
        <w:separator/>
      </w:r>
    </w:p>
  </w:footnote>
  <w:footnote w:type="continuationSeparator" w:id="0">
    <w:p w14:paraId="37D9DDC2" w14:textId="77777777" w:rsidR="00181C48" w:rsidRDefault="00D502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D9DDC5" w14:textId="77777777" w:rsidR="00181C48" w:rsidRPr="009D1460" w:rsidRDefault="00D502C1">
    <w:pPr>
      <w:pStyle w:val="Header"/>
    </w:pPr>
    <w:r w:rsidRPr="009D1460">
      <w:t>NORTHWEST NATURAL GAS COMPANY</w:t>
    </w:r>
  </w:p>
  <w:p w14:paraId="37D9DDC6" w14:textId="443476A5" w:rsidR="00181C48" w:rsidRPr="00C450C5" w:rsidRDefault="009D1460">
    <w:pPr>
      <w:pStyle w:val="Header"/>
      <w:rPr>
        <w:sz w:val="22"/>
      </w:rPr>
    </w:pPr>
    <w:r>
      <w:t>WN U-6</w:t>
    </w:r>
    <w:r>
      <w:tab/>
    </w:r>
    <w:r w:rsidR="00C450C5" w:rsidRPr="00C450C5">
      <w:rPr>
        <w:sz w:val="22"/>
      </w:rPr>
      <w:t xml:space="preserve">First Revision of </w:t>
    </w:r>
    <w:r w:rsidR="00D502C1" w:rsidRPr="00C450C5">
      <w:rPr>
        <w:sz w:val="22"/>
      </w:rPr>
      <w:t>Sheet 3.1</w:t>
    </w:r>
  </w:p>
  <w:p w14:paraId="089B0E34" w14:textId="0256DB21" w:rsidR="009D1460" w:rsidRPr="00C450C5" w:rsidRDefault="00C450C5">
    <w:pPr>
      <w:pStyle w:val="Header"/>
      <w:rPr>
        <w:sz w:val="22"/>
      </w:rPr>
    </w:pPr>
    <w:r w:rsidRPr="00C450C5">
      <w:rPr>
        <w:sz w:val="22"/>
      </w:rPr>
      <w:t>Cancels Original Sheet 3.1</w:t>
    </w:r>
  </w:p>
  <w:p w14:paraId="02945C63" w14:textId="77777777" w:rsidR="009D1460" w:rsidRDefault="009D1460" w:rsidP="009D1460">
    <w:pPr>
      <w:pBdr>
        <w:bottom w:val="double" w:sz="6" w:space="1" w:color="auto"/>
      </w:pBdr>
    </w:pPr>
  </w:p>
  <w:p w14:paraId="10A8F6F1" w14:textId="77777777" w:rsidR="009D1460" w:rsidRDefault="009D1460" w:rsidP="009D146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2C1"/>
    <w:rsid w:val="00096E43"/>
    <w:rsid w:val="001255D7"/>
    <w:rsid w:val="00181C48"/>
    <w:rsid w:val="00336637"/>
    <w:rsid w:val="003F04A5"/>
    <w:rsid w:val="004F6DC9"/>
    <w:rsid w:val="00543D55"/>
    <w:rsid w:val="006017C4"/>
    <w:rsid w:val="006041F2"/>
    <w:rsid w:val="006373D6"/>
    <w:rsid w:val="006723ED"/>
    <w:rsid w:val="006B6488"/>
    <w:rsid w:val="00751802"/>
    <w:rsid w:val="008B1C1B"/>
    <w:rsid w:val="009D1460"/>
    <w:rsid w:val="00C450C5"/>
    <w:rsid w:val="00C8716E"/>
    <w:rsid w:val="00D502C1"/>
    <w:rsid w:val="00DE3B10"/>
    <w:rsid w:val="00E25CC8"/>
    <w:rsid w:val="00E57502"/>
    <w:rsid w:val="00F56C97"/>
    <w:rsid w:val="00FF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D9DD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basedOn w:val="Normal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04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41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1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basedOn w:val="Normal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04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41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1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D89D860F3CFF4D81BC479198698E4D" ma:contentTypeVersion="119" ma:contentTypeDescription="" ma:contentTypeScope="" ma:versionID="12879a80b7e4b2f4509201ecbd59dd1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2015-03-09T07:00:00+00:00</OpenedDate>
    <Date1 xmlns="dc463f71-b30c-4ab2-9473-d307f9d35888">2015-05-13T07:00:00+00:00</Date1>
    <IsDocumentOrder xmlns="dc463f71-b30c-4ab2-9473-d307f9d35888" xsi:nil="true"/>
    <IsHighlyConfidential xmlns="dc463f71-b30c-4ab2-9473-d307f9d35888">false</IsHighlyConfidential>
    <CaseCompanyNames xmlns="dc463f71-b30c-4ab2-9473-d307f9d35888">Northwest Natural Gas Company</CaseCompanyNames>
    <DocketNumber xmlns="dc463f71-b30c-4ab2-9473-d307f9d35888">150409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270E4FE-46CA-4A7A-8343-84278BD168FB}"/>
</file>

<file path=customXml/itemProps2.xml><?xml version="1.0" encoding="utf-8"?>
<ds:datastoreItem xmlns:ds="http://schemas.openxmlformats.org/officeDocument/2006/customXml" ds:itemID="{3DE2F682-E988-4BE8-815F-2FB00E9522F2}"/>
</file>

<file path=customXml/itemProps3.xml><?xml version="1.0" encoding="utf-8"?>
<ds:datastoreItem xmlns:ds="http://schemas.openxmlformats.org/officeDocument/2006/customXml" ds:itemID="{2A2ED3EA-4894-449F-AF38-1D080624B4D7}"/>
</file>

<file path=customXml/itemProps4.xml><?xml version="1.0" encoding="utf-8"?>
<ds:datastoreItem xmlns:ds="http://schemas.openxmlformats.org/officeDocument/2006/customXml" ds:itemID="{F3212B18-27E8-4437-9B7E-31DAD26A6B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Deposits</vt:lpstr>
    </vt:vector>
  </TitlesOfParts>
  <Company>Northwest Natural Gas</Company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Deposits</dc:title>
  <dc:creator>NNG</dc:creator>
  <cp:lastModifiedBy>Seagondollar, Shannon L.</cp:lastModifiedBy>
  <cp:revision>8</cp:revision>
  <cp:lastPrinted>2015-01-30T00:18:00Z</cp:lastPrinted>
  <dcterms:created xsi:type="dcterms:W3CDTF">2015-03-07T21:44:00Z</dcterms:created>
  <dcterms:modified xsi:type="dcterms:W3CDTF">2015-05-13T15:58:00Z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0x0101006E56B4D1795A2E4DB2F0B01679ED314A0005D89D860F3CFF4D81BC479198698E4D</vt:lpwstr>
  </property>
  <property fmtid="{D5CDD505-2E9C-101B-9397-08002B2CF9AE}" pid="3" name="_dlc_DocIdItemGuid">
    <vt:lpwstr>14c8661b-fadb-4fae-a16b-54148800d1be</vt:lpwstr>
  </property>
  <property fmtid="{D5CDD505-2E9C-101B-9397-08002B2CF9AE}" pid="4" name="_docset_NoMedatataSyncRequired">
    <vt:lpwstr>False</vt:lpwstr>
  </property>
</Properties>
</file>