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0203A" w14:textId="77777777" w:rsidR="00C011AB" w:rsidRPr="007F5EDF" w:rsidRDefault="00C011AB" w:rsidP="005541DD">
      <w:pPr>
        <w:pStyle w:val="BodyText"/>
        <w:spacing w:line="264" w:lineRule="auto"/>
        <w:rPr>
          <w:b/>
          <w:bCs/>
        </w:rPr>
      </w:pPr>
      <w:r w:rsidRPr="007F5EDF">
        <w:rPr>
          <w:b/>
          <w:bCs/>
        </w:rPr>
        <w:t>B</w:t>
      </w:r>
      <w:bookmarkStart w:id="0" w:name="_GoBack"/>
      <w:bookmarkEnd w:id="0"/>
      <w:r w:rsidRPr="007F5EDF">
        <w:rPr>
          <w:b/>
          <w:bCs/>
        </w:rPr>
        <w:t>EFORE THE WASHINGTON</w:t>
      </w:r>
    </w:p>
    <w:p w14:paraId="52011508" w14:textId="77777777" w:rsidR="00C011AB" w:rsidRPr="007F5EDF" w:rsidRDefault="00C011AB" w:rsidP="005541DD">
      <w:pPr>
        <w:pStyle w:val="BodyText"/>
        <w:spacing w:line="264" w:lineRule="auto"/>
        <w:rPr>
          <w:b/>
          <w:bCs/>
        </w:rPr>
      </w:pPr>
      <w:r w:rsidRPr="007F5EDF">
        <w:rPr>
          <w:b/>
          <w:bCs/>
        </w:rPr>
        <w:t>UTILITIES AND TRANSPORTATION COMMISSION</w:t>
      </w:r>
    </w:p>
    <w:p w14:paraId="0E90A415" w14:textId="77777777" w:rsidR="000E4BC7" w:rsidRDefault="000E4BC7" w:rsidP="005541DD">
      <w:pPr>
        <w:pStyle w:val="BodyText"/>
        <w:spacing w:line="264" w:lineRule="auto"/>
      </w:pPr>
    </w:p>
    <w:p w14:paraId="5DF37ABD" w14:textId="77777777" w:rsidR="005541DD" w:rsidRPr="007F5EDF" w:rsidRDefault="005541DD" w:rsidP="005541DD">
      <w:pPr>
        <w:pStyle w:val="BodyText"/>
        <w:spacing w:line="264" w:lineRule="auto"/>
      </w:pPr>
    </w:p>
    <w:tbl>
      <w:tblPr>
        <w:tblW w:w="0" w:type="auto"/>
        <w:tblLayout w:type="fixed"/>
        <w:tblLook w:val="0000" w:firstRow="0" w:lastRow="0" w:firstColumn="0" w:lastColumn="0" w:noHBand="0" w:noVBand="0"/>
      </w:tblPr>
      <w:tblGrid>
        <w:gridCol w:w="4372"/>
        <w:gridCol w:w="236"/>
        <w:gridCol w:w="3888"/>
      </w:tblGrid>
      <w:tr w:rsidR="00C011AB" w:rsidRPr="007F5EDF" w14:paraId="3900CE77" w14:textId="77777777" w:rsidTr="00E17611">
        <w:trPr>
          <w:trHeight w:val="2610"/>
        </w:trPr>
        <w:tc>
          <w:tcPr>
            <w:tcW w:w="4372" w:type="dxa"/>
          </w:tcPr>
          <w:p w14:paraId="60B89EF1" w14:textId="77777777" w:rsidR="00DB78B7" w:rsidRPr="007F5EDF" w:rsidRDefault="00B97D0B" w:rsidP="005541DD">
            <w:pPr>
              <w:spacing w:line="264" w:lineRule="auto"/>
              <w:rPr>
                <w:bCs/>
              </w:rPr>
            </w:pPr>
            <w:r w:rsidRPr="007F5EDF">
              <w:rPr>
                <w:bCs/>
              </w:rPr>
              <w:t>In the Matter of a</w:t>
            </w:r>
            <w:r w:rsidR="00ED0C7E" w:rsidRPr="007F5EDF">
              <w:rPr>
                <w:bCs/>
              </w:rPr>
              <w:t xml:space="preserve"> </w:t>
            </w:r>
            <w:r w:rsidR="00A01D98" w:rsidRPr="007F5EDF">
              <w:rPr>
                <w:bCs/>
              </w:rPr>
              <w:t xml:space="preserve">Penalty Assessment Against </w:t>
            </w:r>
          </w:p>
          <w:p w14:paraId="25B66E2D" w14:textId="77777777" w:rsidR="00DB78B7" w:rsidRPr="007F5EDF" w:rsidRDefault="00DB78B7" w:rsidP="005541DD">
            <w:pPr>
              <w:spacing w:line="264" w:lineRule="auto"/>
              <w:rPr>
                <w:bCs/>
              </w:rPr>
            </w:pPr>
          </w:p>
          <w:p w14:paraId="62AD7A07" w14:textId="77777777" w:rsidR="00005893" w:rsidRPr="007F5EDF" w:rsidRDefault="00444D36" w:rsidP="005541DD">
            <w:pPr>
              <w:spacing w:line="264" w:lineRule="auto"/>
              <w:rPr>
                <w:bCs/>
              </w:rPr>
            </w:pPr>
            <w:r>
              <w:rPr>
                <w:bCs/>
              </w:rPr>
              <w:t>GREG HUYLAR</w:t>
            </w:r>
            <w:r w:rsidR="007B6D00">
              <w:rPr>
                <w:bCs/>
              </w:rPr>
              <w:t xml:space="preserve"> d/b/a </w:t>
            </w:r>
            <w:r>
              <w:rPr>
                <w:bCs/>
              </w:rPr>
              <w:t>TRI VALLEY CONSTRUCTION</w:t>
            </w:r>
          </w:p>
          <w:p w14:paraId="342F5BE6" w14:textId="77777777" w:rsidR="00F13566" w:rsidRPr="007F5EDF" w:rsidRDefault="00F13566" w:rsidP="005541DD">
            <w:pPr>
              <w:spacing w:line="264" w:lineRule="auto"/>
              <w:rPr>
                <w:bCs/>
              </w:rPr>
            </w:pPr>
          </w:p>
          <w:p w14:paraId="17E55BFA" w14:textId="77777777" w:rsidR="00A01D98" w:rsidRPr="007F5EDF" w:rsidRDefault="00A01D98" w:rsidP="005541DD">
            <w:pPr>
              <w:spacing w:line="264" w:lineRule="auto"/>
            </w:pPr>
            <w:r w:rsidRPr="007F5EDF">
              <w:rPr>
                <w:bCs/>
              </w:rPr>
              <w:t>in the amount of $</w:t>
            </w:r>
            <w:r w:rsidR="00444D36">
              <w:rPr>
                <w:bCs/>
              </w:rPr>
              <w:t>4</w:t>
            </w:r>
            <w:r w:rsidR="007B6D00">
              <w:rPr>
                <w:bCs/>
              </w:rPr>
              <w:t>,000</w:t>
            </w:r>
          </w:p>
          <w:p w14:paraId="55063BFE" w14:textId="77777777" w:rsidR="00AB3A61" w:rsidRDefault="00C011AB" w:rsidP="005541DD">
            <w:pPr>
              <w:spacing w:line="264" w:lineRule="auto"/>
            </w:pPr>
            <w:r w:rsidRPr="007F5EDF">
              <w:t xml:space="preserve">. . . . . . . . . . . . . . . . . . . . . . . . . . . . . . . . . </w:t>
            </w:r>
            <w:r w:rsidR="005541DD">
              <w:t>. .</w:t>
            </w:r>
          </w:p>
          <w:p w14:paraId="6B3865A0" w14:textId="77777777" w:rsidR="00AB3A61" w:rsidRDefault="00AB3A61" w:rsidP="005541DD">
            <w:pPr>
              <w:spacing w:line="264" w:lineRule="auto"/>
            </w:pPr>
          </w:p>
          <w:p w14:paraId="6D9F899B" w14:textId="77777777" w:rsidR="00C011AB" w:rsidRPr="00AB3A61" w:rsidRDefault="00C011AB" w:rsidP="005541DD">
            <w:pPr>
              <w:spacing w:line="264" w:lineRule="auto"/>
              <w:jc w:val="right"/>
            </w:pPr>
          </w:p>
        </w:tc>
        <w:tc>
          <w:tcPr>
            <w:tcW w:w="236" w:type="dxa"/>
          </w:tcPr>
          <w:p w14:paraId="1C6F0176" w14:textId="77777777" w:rsidR="00C011AB" w:rsidRPr="007F5EDF" w:rsidRDefault="00C011AB" w:rsidP="005541DD">
            <w:pPr>
              <w:spacing w:line="264" w:lineRule="auto"/>
            </w:pPr>
            <w:r w:rsidRPr="007F5EDF">
              <w:t>)</w:t>
            </w:r>
          </w:p>
          <w:p w14:paraId="6997D2F9" w14:textId="77777777" w:rsidR="00C011AB" w:rsidRPr="007F5EDF" w:rsidRDefault="00C011AB" w:rsidP="005541DD">
            <w:pPr>
              <w:spacing w:line="264" w:lineRule="auto"/>
            </w:pPr>
            <w:r w:rsidRPr="007F5EDF">
              <w:t>)</w:t>
            </w:r>
          </w:p>
          <w:p w14:paraId="008582C3" w14:textId="77777777" w:rsidR="00C011AB" w:rsidRPr="007F5EDF" w:rsidRDefault="00C011AB" w:rsidP="005541DD">
            <w:pPr>
              <w:spacing w:line="264" w:lineRule="auto"/>
            </w:pPr>
            <w:r w:rsidRPr="007F5EDF">
              <w:t>)</w:t>
            </w:r>
          </w:p>
          <w:p w14:paraId="1CF62053" w14:textId="77777777" w:rsidR="00C011AB" w:rsidRPr="007F5EDF" w:rsidRDefault="00C011AB" w:rsidP="005541DD">
            <w:pPr>
              <w:spacing w:line="264" w:lineRule="auto"/>
            </w:pPr>
            <w:r w:rsidRPr="007F5EDF">
              <w:t>)</w:t>
            </w:r>
          </w:p>
          <w:p w14:paraId="2942CD72" w14:textId="77777777" w:rsidR="00C011AB" w:rsidRPr="007F5EDF" w:rsidRDefault="00C011AB" w:rsidP="005541DD">
            <w:pPr>
              <w:spacing w:line="264" w:lineRule="auto"/>
            </w:pPr>
            <w:r w:rsidRPr="007F5EDF">
              <w:t>)</w:t>
            </w:r>
          </w:p>
          <w:p w14:paraId="02D063B9" w14:textId="77777777" w:rsidR="00C011AB" w:rsidRPr="007F5EDF" w:rsidRDefault="00C011AB" w:rsidP="005541DD">
            <w:pPr>
              <w:spacing w:line="264" w:lineRule="auto"/>
            </w:pPr>
            <w:r w:rsidRPr="007F5EDF">
              <w:t>)</w:t>
            </w:r>
          </w:p>
          <w:p w14:paraId="0F8E6F1D" w14:textId="77777777" w:rsidR="000E4BC7" w:rsidRPr="007F5EDF" w:rsidRDefault="000E4BC7" w:rsidP="005541DD">
            <w:pPr>
              <w:spacing w:line="264" w:lineRule="auto"/>
            </w:pPr>
            <w:r w:rsidRPr="007F5EDF">
              <w:t>)</w:t>
            </w:r>
          </w:p>
          <w:p w14:paraId="66495E86" w14:textId="77777777" w:rsidR="006C5AA6" w:rsidRPr="007F5EDF" w:rsidRDefault="00CF3FEB" w:rsidP="005541DD">
            <w:pPr>
              <w:spacing w:line="264" w:lineRule="auto"/>
            </w:pPr>
            <w:r w:rsidRPr="007F5EDF">
              <w:t>)</w:t>
            </w:r>
          </w:p>
        </w:tc>
        <w:tc>
          <w:tcPr>
            <w:tcW w:w="3888" w:type="dxa"/>
          </w:tcPr>
          <w:p w14:paraId="27BC2F9B" w14:textId="77777777" w:rsidR="00C011AB" w:rsidRPr="007F5EDF" w:rsidRDefault="00C011AB" w:rsidP="005541DD">
            <w:pPr>
              <w:spacing w:line="264" w:lineRule="auto"/>
            </w:pPr>
            <w:r w:rsidRPr="007F5EDF">
              <w:t xml:space="preserve">DOCKET </w:t>
            </w:r>
            <w:r w:rsidR="007B6D00">
              <w:rPr>
                <w:bCs/>
              </w:rPr>
              <w:t>DG-144</w:t>
            </w:r>
            <w:r w:rsidR="00444D36">
              <w:rPr>
                <w:bCs/>
              </w:rPr>
              <w:t>100</w:t>
            </w:r>
          </w:p>
          <w:p w14:paraId="797B2545" w14:textId="77777777" w:rsidR="00C011AB" w:rsidRPr="007F5EDF" w:rsidRDefault="00C011AB" w:rsidP="005541DD">
            <w:pPr>
              <w:spacing w:line="264" w:lineRule="auto"/>
            </w:pPr>
          </w:p>
          <w:p w14:paraId="0451D1B7" w14:textId="77777777" w:rsidR="00C011AB" w:rsidRPr="007F5EDF" w:rsidRDefault="00C011AB" w:rsidP="005541DD">
            <w:pPr>
              <w:spacing w:line="264" w:lineRule="auto"/>
            </w:pPr>
            <w:r w:rsidRPr="007F5EDF">
              <w:t>ORDER 0</w:t>
            </w:r>
            <w:r w:rsidR="00A01D98" w:rsidRPr="007F5EDF">
              <w:rPr>
                <w:bCs/>
              </w:rPr>
              <w:t>1</w:t>
            </w:r>
          </w:p>
          <w:p w14:paraId="51E70084" w14:textId="77777777" w:rsidR="00C011AB" w:rsidRPr="007F5EDF" w:rsidRDefault="00C011AB" w:rsidP="005541DD">
            <w:pPr>
              <w:spacing w:line="264" w:lineRule="auto"/>
            </w:pPr>
          </w:p>
          <w:p w14:paraId="260BBA25" w14:textId="77777777" w:rsidR="000E4BC7" w:rsidRPr="007F5EDF" w:rsidRDefault="00F13566" w:rsidP="005541DD">
            <w:pPr>
              <w:spacing w:line="264" w:lineRule="auto"/>
            </w:pPr>
            <w:r w:rsidRPr="007F5EDF">
              <w:t>ORDER</w:t>
            </w:r>
            <w:r w:rsidR="00B11F6F">
              <w:t xml:space="preserve"> DENYING</w:t>
            </w:r>
            <w:r w:rsidRPr="007F5EDF">
              <w:t xml:space="preserve"> MITIGATION</w:t>
            </w:r>
            <w:r w:rsidR="00F0357E" w:rsidRPr="007F5EDF">
              <w:t xml:space="preserve"> </w:t>
            </w:r>
          </w:p>
          <w:p w14:paraId="2AF0F063" w14:textId="77777777" w:rsidR="00830040" w:rsidRPr="007F5EDF" w:rsidRDefault="00830040" w:rsidP="005541DD">
            <w:pPr>
              <w:spacing w:line="264" w:lineRule="auto"/>
            </w:pPr>
          </w:p>
          <w:p w14:paraId="7842E2B9" w14:textId="77777777" w:rsidR="00A84893" w:rsidRPr="007F5EDF" w:rsidRDefault="00A84893" w:rsidP="005541DD">
            <w:pPr>
              <w:pStyle w:val="Header"/>
              <w:tabs>
                <w:tab w:val="clear" w:pos="4320"/>
                <w:tab w:val="clear" w:pos="8640"/>
              </w:tabs>
              <w:spacing w:line="264" w:lineRule="auto"/>
            </w:pPr>
          </w:p>
        </w:tc>
      </w:tr>
    </w:tbl>
    <w:p w14:paraId="6EFD7D6D" w14:textId="77777777" w:rsidR="002E3C80" w:rsidRPr="007F5EDF" w:rsidRDefault="00F32856" w:rsidP="005541DD">
      <w:pPr>
        <w:spacing w:line="264" w:lineRule="auto"/>
        <w:jc w:val="center"/>
        <w:rPr>
          <w:b/>
        </w:rPr>
      </w:pPr>
      <w:r w:rsidRPr="007F5EDF">
        <w:rPr>
          <w:b/>
        </w:rPr>
        <w:t>BACKGROUND</w:t>
      </w:r>
    </w:p>
    <w:p w14:paraId="0DC1A268" w14:textId="77777777" w:rsidR="00841996" w:rsidRPr="007F5EDF" w:rsidRDefault="00841996" w:rsidP="005541DD">
      <w:pPr>
        <w:spacing w:line="264" w:lineRule="auto"/>
      </w:pPr>
    </w:p>
    <w:p w14:paraId="58802128" w14:textId="77777777" w:rsidR="007B6D00" w:rsidRDefault="0090728A" w:rsidP="005541DD">
      <w:pPr>
        <w:numPr>
          <w:ilvl w:val="0"/>
          <w:numId w:val="1"/>
        </w:numPr>
        <w:tabs>
          <w:tab w:val="clear" w:pos="1080"/>
          <w:tab w:val="left" w:pos="0"/>
        </w:tabs>
        <w:spacing w:line="264" w:lineRule="auto"/>
        <w:ind w:left="0" w:hanging="720"/>
      </w:pPr>
      <w:r>
        <w:t>On April 13, 2015, t</w:t>
      </w:r>
      <w:r w:rsidR="007B6D00">
        <w:t>he Washington Utilities and Transportation Commission (Commission) issued Penalty Assessment DG-144</w:t>
      </w:r>
      <w:r w:rsidR="00344B0B">
        <w:t>100</w:t>
      </w:r>
      <w:r w:rsidR="007B6D00">
        <w:t xml:space="preserve"> against </w:t>
      </w:r>
      <w:r w:rsidR="00344B0B">
        <w:t>Greg Huylar</w:t>
      </w:r>
      <w:r w:rsidR="007B6D00">
        <w:t xml:space="preserve"> d/b/a </w:t>
      </w:r>
      <w:r w:rsidR="00344B0B">
        <w:t>Tri Valley Construction</w:t>
      </w:r>
      <w:r w:rsidR="007B6D00">
        <w:t xml:space="preserve"> (</w:t>
      </w:r>
      <w:r w:rsidR="00344B0B">
        <w:t>Tri Valley Construction</w:t>
      </w:r>
      <w:r w:rsidR="007B6D00">
        <w:t xml:space="preserve"> or Company) in the amount of $</w:t>
      </w:r>
      <w:r w:rsidR="00344B0B">
        <w:t>4</w:t>
      </w:r>
      <w:r w:rsidR="007B6D00">
        <w:t>,000, alleging three violations of RCW 19.122.030(1)(a) for failing to request a dig ticket prior to performing an excavation on three separate occasions.</w:t>
      </w:r>
      <w:r w:rsidR="007B6D00">
        <w:br/>
      </w:r>
    </w:p>
    <w:p w14:paraId="4684F045" w14:textId="77777777" w:rsidR="0090728A" w:rsidRDefault="007B6D00" w:rsidP="005541DD">
      <w:pPr>
        <w:numPr>
          <w:ilvl w:val="0"/>
          <w:numId w:val="1"/>
        </w:numPr>
        <w:tabs>
          <w:tab w:val="clear" w:pos="1080"/>
          <w:tab w:val="left" w:pos="0"/>
        </w:tabs>
        <w:spacing w:line="264" w:lineRule="auto"/>
        <w:ind w:left="0" w:hanging="720"/>
      </w:pPr>
      <w:r>
        <w:t xml:space="preserve">On </w:t>
      </w:r>
      <w:r w:rsidR="00344B0B">
        <w:t>April 28</w:t>
      </w:r>
      <w:r>
        <w:t xml:space="preserve">, 2015, </w:t>
      </w:r>
      <w:r w:rsidR="00344B0B">
        <w:t>Tri Valley Construction</w:t>
      </w:r>
      <w:r>
        <w:t xml:space="preserve"> filed </w:t>
      </w:r>
      <w:r w:rsidR="0038158D">
        <w:t>an application</w:t>
      </w:r>
      <w:r>
        <w:t xml:space="preserve"> for mitigation</w:t>
      </w:r>
      <w:r w:rsidR="0038158D">
        <w:t xml:space="preserve">, </w:t>
      </w:r>
      <w:r w:rsidR="0038158D" w:rsidRPr="0038158D">
        <w:t>r</w:t>
      </w:r>
      <w:r w:rsidRPr="0038158D">
        <w:t>equesting a decision based on the written information provided.</w:t>
      </w:r>
      <w:r w:rsidR="0038158D">
        <w:t xml:space="preserve"> While the Company admits the violations in its application, it contests </w:t>
      </w:r>
      <w:r w:rsidR="002B3E1E">
        <w:t>them</w:t>
      </w:r>
      <w:r w:rsidR="0038158D">
        <w:t xml:space="preserve"> in its written response. </w:t>
      </w:r>
      <w:r w:rsidR="009723EC">
        <w:t>With respect to the first violation, Tri Valley Construction claims it had a valid locate on file prior to the damage incident, and referenced a ticket requested</w:t>
      </w:r>
      <w:r w:rsidR="0038158D">
        <w:t xml:space="preserve"> by the Company</w:t>
      </w:r>
      <w:r w:rsidR="009723EC">
        <w:t xml:space="preserve"> on July 30, 2013. The Company claims the damage occurred </w:t>
      </w:r>
      <w:r w:rsidR="002602F0">
        <w:t xml:space="preserve">not on </w:t>
      </w:r>
      <w:r w:rsidR="0038158D">
        <w:t xml:space="preserve">Wednesday, </w:t>
      </w:r>
      <w:r w:rsidR="002602F0">
        <w:t xml:space="preserve">September 18,  as Staff alleges, but </w:t>
      </w:r>
      <w:r w:rsidR="009723EC">
        <w:t xml:space="preserve">on Sunday, September 8, </w:t>
      </w:r>
      <w:r w:rsidR="0038158D">
        <w:t xml:space="preserve">which falls </w:t>
      </w:r>
      <w:r w:rsidR="002602F0">
        <w:t>within 45 days of the locate request as required</w:t>
      </w:r>
      <w:r w:rsidR="009723EC">
        <w:t>.</w:t>
      </w:r>
      <w:r w:rsidR="0038158D">
        <w:rPr>
          <w:rStyle w:val="FootnoteReference"/>
        </w:rPr>
        <w:footnoteReference w:id="1"/>
      </w:r>
      <w:r w:rsidR="009723EC">
        <w:t xml:space="preserve"> </w:t>
      </w:r>
      <w:r w:rsidR="0090728A">
        <w:br/>
      </w:r>
    </w:p>
    <w:p w14:paraId="750260C1" w14:textId="77777777" w:rsidR="005541DD" w:rsidRDefault="009723EC" w:rsidP="005541DD">
      <w:pPr>
        <w:numPr>
          <w:ilvl w:val="0"/>
          <w:numId w:val="1"/>
        </w:numPr>
        <w:tabs>
          <w:tab w:val="clear" w:pos="1080"/>
          <w:tab w:val="left" w:pos="0"/>
        </w:tabs>
        <w:spacing w:line="264" w:lineRule="auto"/>
        <w:ind w:left="0" w:hanging="720"/>
      </w:pPr>
      <w:r>
        <w:t xml:space="preserve">With respect to the second violation, Tri Valley Construction </w:t>
      </w:r>
      <w:r w:rsidR="004313AD">
        <w:t xml:space="preserve">claims </w:t>
      </w:r>
      <w:r w:rsidR="002602F0">
        <w:t>that the</w:t>
      </w:r>
      <w:r w:rsidR="004313AD">
        <w:t xml:space="preserve"> general cont</w:t>
      </w:r>
      <w:r w:rsidR="008F76AA">
        <w:t>ractor who directed the Company</w:t>
      </w:r>
      <w:r w:rsidR="00881D6B">
        <w:t>’s operator</w:t>
      </w:r>
      <w:r w:rsidR="008F76AA">
        <w:t xml:space="preserve"> to </w:t>
      </w:r>
      <w:r w:rsidR="002602F0">
        <w:t>perform the dig should be held responsible for the damage</w:t>
      </w:r>
      <w:r w:rsidR="0038158D">
        <w:t xml:space="preserve"> incident</w:t>
      </w:r>
      <w:r w:rsidR="002602F0">
        <w:t>. With respect to the third violation, Tri Valley Construction claims its subcontractor, Russell Crane S</w:t>
      </w:r>
      <w:r w:rsidR="0038158D">
        <w:t>ervice,</w:t>
      </w:r>
      <w:r w:rsidR="00BC5138">
        <w:t xml:space="preserve"> Inc. (Russell Crane Service)</w:t>
      </w:r>
      <w:r w:rsidR="0038158D">
        <w:t xml:space="preserve"> was responsible for the </w:t>
      </w:r>
      <w:r w:rsidR="002602F0">
        <w:t>damage.</w:t>
      </w:r>
      <w:r w:rsidR="00181FA2">
        <w:br/>
      </w:r>
    </w:p>
    <w:p w14:paraId="7746B635" w14:textId="77777777" w:rsidR="005541DD" w:rsidRDefault="005541DD">
      <w:r>
        <w:br w:type="page"/>
      </w:r>
    </w:p>
    <w:p w14:paraId="6EC9173F" w14:textId="77777777" w:rsidR="00181FA2" w:rsidRDefault="00181FA2" w:rsidP="005541DD">
      <w:pPr>
        <w:tabs>
          <w:tab w:val="left" w:pos="0"/>
        </w:tabs>
        <w:spacing w:line="264" w:lineRule="auto"/>
        <w:ind w:left="-720"/>
      </w:pPr>
    </w:p>
    <w:p w14:paraId="338DBFCD" w14:textId="77777777" w:rsidR="001F7A74" w:rsidRDefault="00181FA2" w:rsidP="005541DD">
      <w:pPr>
        <w:numPr>
          <w:ilvl w:val="0"/>
          <w:numId w:val="1"/>
        </w:numPr>
        <w:tabs>
          <w:tab w:val="clear" w:pos="1080"/>
          <w:tab w:val="left" w:pos="0"/>
        </w:tabs>
        <w:spacing w:line="264" w:lineRule="auto"/>
        <w:ind w:left="0" w:hanging="720"/>
      </w:pPr>
      <w:r>
        <w:t xml:space="preserve">On June 2, 2015, Commission staff (Staff) filed a response </w:t>
      </w:r>
      <w:r w:rsidR="00536E53">
        <w:t>recommending the Commission deny the Company’s request for mitigation.</w:t>
      </w:r>
      <w:r>
        <w:t xml:space="preserve"> </w:t>
      </w:r>
      <w:r w:rsidR="002602F0">
        <w:t xml:space="preserve">With respect to the first violation, </w:t>
      </w:r>
      <w:r w:rsidR="00536E53">
        <w:t xml:space="preserve">Staff explained that </w:t>
      </w:r>
      <w:r w:rsidR="002602F0">
        <w:t xml:space="preserve">all records provided by Cascade Natural Gas </w:t>
      </w:r>
      <w:r w:rsidR="001F7A74">
        <w:t xml:space="preserve">(CNG) </w:t>
      </w:r>
      <w:r w:rsidR="002602F0">
        <w:t xml:space="preserve">indicate that damage to CNG’s facility occurred on September 18, 2013, not September 8.  The locate ticket requested by Tri Valley Construction on July 30, 2013, </w:t>
      </w:r>
      <w:r w:rsidR="001F7A74">
        <w:t xml:space="preserve">while valid, </w:t>
      </w:r>
      <w:r w:rsidR="00A9263A">
        <w:t xml:space="preserve">expired on September 13, 2013. </w:t>
      </w:r>
      <w:r w:rsidR="002602F0">
        <w:t xml:space="preserve">Because Tri Valley Construction was required to obtain a new locate ticket before digging on September 18, Staff does not support mitigating the </w:t>
      </w:r>
      <w:r w:rsidR="002B3E1E">
        <w:t xml:space="preserve">$1,000 </w:t>
      </w:r>
      <w:r w:rsidR="002602F0">
        <w:t xml:space="preserve">penalty </w:t>
      </w:r>
      <w:r w:rsidR="002B3E1E">
        <w:t xml:space="preserve">assessed </w:t>
      </w:r>
      <w:r w:rsidR="002602F0">
        <w:t xml:space="preserve">for the first violation. </w:t>
      </w:r>
      <w:r w:rsidR="001F7A74">
        <w:br/>
      </w:r>
    </w:p>
    <w:p w14:paraId="6003F54F" w14:textId="77777777" w:rsidR="002B3E1E" w:rsidRDefault="002602F0" w:rsidP="005541DD">
      <w:pPr>
        <w:numPr>
          <w:ilvl w:val="0"/>
          <w:numId w:val="1"/>
        </w:numPr>
        <w:tabs>
          <w:tab w:val="clear" w:pos="1080"/>
          <w:tab w:val="left" w:pos="0"/>
        </w:tabs>
        <w:spacing w:line="264" w:lineRule="auto"/>
        <w:ind w:left="0" w:hanging="720"/>
      </w:pPr>
      <w:r>
        <w:t>With respect to the second violation, Staff notes that it is the excavator’s responsibility, not the general contractor’s, to provide notice of the scheduled excavation and obtain a locate prio</w:t>
      </w:r>
      <w:r w:rsidR="00B46D5C">
        <w:t xml:space="preserve">r to commencing an </w:t>
      </w:r>
      <w:r w:rsidR="000202F4">
        <w:t xml:space="preserve">excavation. </w:t>
      </w:r>
      <w:r>
        <w:t xml:space="preserve">Accordingly, Staff does not support mitigating the </w:t>
      </w:r>
      <w:r w:rsidR="002B3E1E">
        <w:t xml:space="preserve">$1,000 </w:t>
      </w:r>
      <w:r>
        <w:t xml:space="preserve">penalty </w:t>
      </w:r>
      <w:r w:rsidR="002B3E1E">
        <w:t xml:space="preserve">assessed </w:t>
      </w:r>
      <w:r>
        <w:t xml:space="preserve">for the second violation. </w:t>
      </w:r>
      <w:r w:rsidR="002B3E1E">
        <w:br/>
      </w:r>
    </w:p>
    <w:p w14:paraId="12E6CFBD" w14:textId="77777777" w:rsidR="00D526A9" w:rsidRPr="007F5EDF" w:rsidRDefault="001F7A74" w:rsidP="005541DD">
      <w:pPr>
        <w:numPr>
          <w:ilvl w:val="0"/>
          <w:numId w:val="1"/>
        </w:numPr>
        <w:tabs>
          <w:tab w:val="clear" w:pos="1080"/>
          <w:tab w:val="left" w:pos="0"/>
        </w:tabs>
        <w:spacing w:line="264" w:lineRule="auto"/>
        <w:ind w:left="0" w:hanging="720"/>
      </w:pPr>
      <w:r>
        <w:t>W</w:t>
      </w:r>
      <w:r w:rsidR="002602F0">
        <w:t>ith respect to the third violation, Staff notes that the Company’s subcontractor, Russell Crane Service, is owned by the same three individuals who own Tri Valley Construction</w:t>
      </w:r>
      <w:r w:rsidR="00C263B1">
        <w:t xml:space="preserve">. </w:t>
      </w:r>
      <w:r w:rsidR="007D526C">
        <w:t>Moreover, Tri Valley Construction, not Russell Crane Service, reported the damage incident to CNG, and CNG noted that vehicles on site at the time of the incident bore Tri Valley Construction</w:t>
      </w:r>
      <w:r w:rsidR="00A9263A">
        <w:t>’s</w:t>
      </w:r>
      <w:r w:rsidR="007D526C">
        <w:t xml:space="preserve"> logo. </w:t>
      </w:r>
      <w:r w:rsidR="00C263B1">
        <w:t xml:space="preserve">Because Staff is unpersuaded by the Company’s </w:t>
      </w:r>
      <w:r w:rsidR="00A9263A">
        <w:t>argument</w:t>
      </w:r>
      <w:r w:rsidR="00C263B1">
        <w:t xml:space="preserve">, Staff does not support mitigating the </w:t>
      </w:r>
      <w:r w:rsidR="00A9263A">
        <w:t xml:space="preserve">$2,000 </w:t>
      </w:r>
      <w:r w:rsidR="00C263B1">
        <w:t xml:space="preserve">penalty </w:t>
      </w:r>
      <w:r w:rsidR="006811FC">
        <w:t xml:space="preserve">assessed </w:t>
      </w:r>
      <w:r w:rsidR="00C263B1">
        <w:t xml:space="preserve">for the third violation. </w:t>
      </w:r>
      <w:r w:rsidR="00DD1837">
        <w:br/>
      </w:r>
    </w:p>
    <w:p w14:paraId="3BBC38B0" w14:textId="77777777" w:rsidR="00841996" w:rsidRPr="007F5EDF" w:rsidRDefault="00F32856" w:rsidP="005541DD">
      <w:pPr>
        <w:tabs>
          <w:tab w:val="left" w:pos="0"/>
        </w:tabs>
        <w:spacing w:line="264" w:lineRule="auto"/>
        <w:jc w:val="center"/>
        <w:rPr>
          <w:b/>
        </w:rPr>
      </w:pPr>
      <w:r w:rsidRPr="007F5EDF">
        <w:rPr>
          <w:b/>
        </w:rPr>
        <w:t>DISCUSSION</w:t>
      </w:r>
      <w:r w:rsidR="00263EB1">
        <w:rPr>
          <w:b/>
        </w:rPr>
        <w:t xml:space="preserve"> AND DECISION</w:t>
      </w:r>
    </w:p>
    <w:p w14:paraId="3ED7862A" w14:textId="77777777" w:rsidR="001A220D" w:rsidRPr="007F5EDF" w:rsidRDefault="001A220D" w:rsidP="005541DD">
      <w:pPr>
        <w:spacing w:line="264" w:lineRule="auto"/>
      </w:pPr>
    </w:p>
    <w:p w14:paraId="6D42C502" w14:textId="77777777" w:rsidR="007B6D00" w:rsidRDefault="007B6D00" w:rsidP="005541DD">
      <w:pPr>
        <w:numPr>
          <w:ilvl w:val="0"/>
          <w:numId w:val="1"/>
        </w:numPr>
        <w:tabs>
          <w:tab w:val="clear" w:pos="1080"/>
          <w:tab w:val="left" w:pos="0"/>
        </w:tabs>
        <w:spacing w:line="264" w:lineRule="auto"/>
        <w:ind w:left="0" w:hanging="720"/>
        <w:rPr>
          <w:bCs/>
        </w:rPr>
      </w:pPr>
      <w:r>
        <w:rPr>
          <w:bCs/>
        </w:rPr>
        <w:t xml:space="preserve">RCW 19.122.055(1)(a) provides, in part, that any excavator who fails to notify a one-number locator service and causes damage to a hazardous liquid or gas facility is subject to a civil penalty of up to $10,000 for each violation. </w:t>
      </w:r>
      <w:r w:rsidR="00536E53">
        <w:rPr>
          <w:bCs/>
        </w:rPr>
        <w:t xml:space="preserve">Here, </w:t>
      </w:r>
      <w:r w:rsidR="006811FC">
        <w:rPr>
          <w:bCs/>
        </w:rPr>
        <w:t>the Commission assessed</w:t>
      </w:r>
      <w:r w:rsidR="00536E53">
        <w:rPr>
          <w:bCs/>
        </w:rPr>
        <w:t xml:space="preserve"> reduced penalties of $1,000 </w:t>
      </w:r>
      <w:r w:rsidR="00263EB1">
        <w:rPr>
          <w:bCs/>
        </w:rPr>
        <w:t>for the first two</w:t>
      </w:r>
      <w:r w:rsidR="00536E53">
        <w:rPr>
          <w:bCs/>
        </w:rPr>
        <w:t xml:space="preserve"> violation</w:t>
      </w:r>
      <w:r w:rsidR="00263EB1">
        <w:rPr>
          <w:bCs/>
        </w:rPr>
        <w:t xml:space="preserve">s, and </w:t>
      </w:r>
      <w:r w:rsidR="00A9263A">
        <w:rPr>
          <w:bCs/>
        </w:rPr>
        <w:t xml:space="preserve">an escalated penalty of </w:t>
      </w:r>
      <w:r w:rsidR="00263EB1">
        <w:rPr>
          <w:bCs/>
        </w:rPr>
        <w:t>$2,000 for the third violation, which</w:t>
      </w:r>
      <w:r w:rsidR="00B46D5C">
        <w:rPr>
          <w:bCs/>
        </w:rPr>
        <w:t xml:space="preserve"> was a repeat violation that</w:t>
      </w:r>
      <w:r w:rsidR="00263EB1">
        <w:rPr>
          <w:bCs/>
        </w:rPr>
        <w:t xml:space="preserve"> occu</w:t>
      </w:r>
      <w:r w:rsidR="00A9263A">
        <w:rPr>
          <w:bCs/>
        </w:rPr>
        <w:t>rred after the Company received</w:t>
      </w:r>
      <w:r w:rsidR="000202F4">
        <w:rPr>
          <w:bCs/>
        </w:rPr>
        <w:t xml:space="preserve"> </w:t>
      </w:r>
      <w:r w:rsidR="00157ED1">
        <w:rPr>
          <w:bCs/>
        </w:rPr>
        <w:t>technical assistance</w:t>
      </w:r>
      <w:r w:rsidR="00B46D5C">
        <w:rPr>
          <w:bCs/>
        </w:rPr>
        <w:t xml:space="preserve"> for the first two violations.</w:t>
      </w:r>
      <w:r w:rsidR="00536E53">
        <w:rPr>
          <w:bCs/>
        </w:rPr>
        <w:br/>
      </w:r>
    </w:p>
    <w:p w14:paraId="358CD011" w14:textId="77777777" w:rsidR="00591D9A" w:rsidRPr="00157ED1" w:rsidRDefault="00591D9A" w:rsidP="005541DD">
      <w:pPr>
        <w:numPr>
          <w:ilvl w:val="0"/>
          <w:numId w:val="1"/>
        </w:numPr>
        <w:tabs>
          <w:tab w:val="clear" w:pos="1080"/>
          <w:tab w:val="left" w:pos="0"/>
        </w:tabs>
        <w:spacing w:line="264" w:lineRule="auto"/>
        <w:ind w:left="0" w:hanging="720"/>
        <w:rPr>
          <w:bCs/>
        </w:rPr>
      </w:pPr>
      <w:r w:rsidRPr="00591D9A">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591D9A">
        <w:rPr>
          <w:rStyle w:val="FootnoteReference"/>
        </w:rPr>
        <w:footnoteReference w:id="2"/>
      </w:r>
      <w:r w:rsidR="00DD1837">
        <w:t xml:space="preserve"> In this instance, Tri Valley Construction has neither introduced</w:t>
      </w:r>
      <w:r w:rsidR="00157ED1">
        <w:t xml:space="preserve"> new</w:t>
      </w:r>
      <w:r w:rsidR="00DD1837">
        <w:t xml:space="preserve"> information that </w:t>
      </w:r>
      <w:r w:rsidR="00357264">
        <w:t>has any bearing on</w:t>
      </w:r>
      <w:r w:rsidR="00DD1837">
        <w:t xml:space="preserve"> the outcome</w:t>
      </w:r>
      <w:r w:rsidR="00A9263A">
        <w:t>,</w:t>
      </w:r>
      <w:r w:rsidR="00DD1837">
        <w:t xml:space="preserve"> nor explained other </w:t>
      </w:r>
      <w:r w:rsidR="00DD1837">
        <w:lastRenderedPageBreak/>
        <w:t>circumstances that would warrant a further reduction of the penalty.</w:t>
      </w:r>
      <w:r w:rsidR="00357264">
        <w:t xml:space="preserve"> Nevertheless, we will address the Company’s arguments and Staff’s response.</w:t>
      </w:r>
      <w:r w:rsidR="00917196" w:rsidRPr="00157ED1">
        <w:rPr>
          <w:bCs/>
        </w:rPr>
        <w:br/>
      </w:r>
    </w:p>
    <w:p w14:paraId="7616FD34" w14:textId="77777777" w:rsidR="00157ED1" w:rsidRDefault="00157ED1" w:rsidP="005541DD">
      <w:pPr>
        <w:numPr>
          <w:ilvl w:val="0"/>
          <w:numId w:val="1"/>
        </w:numPr>
        <w:tabs>
          <w:tab w:val="clear" w:pos="1080"/>
          <w:tab w:val="left" w:pos="0"/>
        </w:tabs>
        <w:spacing w:line="264" w:lineRule="auto"/>
        <w:ind w:left="0" w:hanging="720"/>
        <w:rPr>
          <w:bCs/>
        </w:rPr>
      </w:pPr>
      <w:r>
        <w:rPr>
          <w:bCs/>
        </w:rPr>
        <w:t>We</w:t>
      </w:r>
      <w:r w:rsidR="00DD1837">
        <w:rPr>
          <w:bCs/>
        </w:rPr>
        <w:t xml:space="preserve"> uphold Staff’s finding</w:t>
      </w:r>
      <w:r w:rsidR="00A9263A">
        <w:rPr>
          <w:bCs/>
        </w:rPr>
        <w:t xml:space="preserve"> that</w:t>
      </w:r>
      <w:r>
        <w:rPr>
          <w:bCs/>
        </w:rPr>
        <w:t>, based on</w:t>
      </w:r>
      <w:r w:rsidR="00DD1837">
        <w:rPr>
          <w:bCs/>
        </w:rPr>
        <w:t xml:space="preserve"> </w:t>
      </w:r>
      <w:r>
        <w:rPr>
          <w:bCs/>
        </w:rPr>
        <w:t xml:space="preserve">documentation submitted by CNG, </w:t>
      </w:r>
      <w:r w:rsidR="00DD1837">
        <w:rPr>
          <w:bCs/>
        </w:rPr>
        <w:t xml:space="preserve">the first violation occurred on September 18, 2013, not </w:t>
      </w:r>
      <w:r w:rsidR="00357264">
        <w:rPr>
          <w:bCs/>
        </w:rPr>
        <w:t xml:space="preserve">on </w:t>
      </w:r>
      <w:r w:rsidR="00DD1837">
        <w:rPr>
          <w:bCs/>
        </w:rPr>
        <w:t xml:space="preserve">September 8, </w:t>
      </w:r>
      <w:r>
        <w:rPr>
          <w:bCs/>
        </w:rPr>
        <w:t>as</w:t>
      </w:r>
      <w:r w:rsidR="00DD1837">
        <w:rPr>
          <w:bCs/>
        </w:rPr>
        <w:t xml:space="preserve"> the Co</w:t>
      </w:r>
      <w:r w:rsidR="00971CC0">
        <w:rPr>
          <w:bCs/>
        </w:rPr>
        <w:t>mpany claims</w:t>
      </w:r>
      <w:r w:rsidR="00DD1837">
        <w:rPr>
          <w:bCs/>
        </w:rPr>
        <w:t xml:space="preserve">. </w:t>
      </w:r>
      <w:r>
        <w:rPr>
          <w:bCs/>
        </w:rPr>
        <w:t>We also</w:t>
      </w:r>
      <w:r w:rsidR="007D526C">
        <w:rPr>
          <w:bCs/>
        </w:rPr>
        <w:t xml:space="preserve"> agree with Staff’s </w:t>
      </w:r>
      <w:r w:rsidR="005E72F3">
        <w:rPr>
          <w:bCs/>
        </w:rPr>
        <w:t>assertion</w:t>
      </w:r>
      <w:r w:rsidR="007D526C">
        <w:rPr>
          <w:bCs/>
        </w:rPr>
        <w:t xml:space="preserve"> that Tri Valley Construction may not blame </w:t>
      </w:r>
      <w:r>
        <w:rPr>
          <w:bCs/>
        </w:rPr>
        <w:t>the second violation</w:t>
      </w:r>
      <w:r w:rsidR="007D526C">
        <w:rPr>
          <w:bCs/>
        </w:rPr>
        <w:t xml:space="preserve"> on the direction it received from </w:t>
      </w:r>
      <w:r>
        <w:rPr>
          <w:bCs/>
        </w:rPr>
        <w:t>its</w:t>
      </w:r>
      <w:r w:rsidR="007D526C">
        <w:rPr>
          <w:bCs/>
        </w:rPr>
        <w:t xml:space="preserve"> contractor. The law </w:t>
      </w:r>
      <w:r>
        <w:rPr>
          <w:bCs/>
        </w:rPr>
        <w:t>clearly provides</w:t>
      </w:r>
      <w:r w:rsidR="007D526C">
        <w:rPr>
          <w:bCs/>
        </w:rPr>
        <w:t xml:space="preserve"> that the excavator </w:t>
      </w:r>
      <w:r>
        <w:rPr>
          <w:bCs/>
        </w:rPr>
        <w:t>who performs</w:t>
      </w:r>
      <w:r w:rsidR="00971CC0">
        <w:rPr>
          <w:bCs/>
        </w:rPr>
        <w:t xml:space="preserve"> a </w:t>
      </w:r>
      <w:r w:rsidR="007D526C">
        <w:rPr>
          <w:bCs/>
        </w:rPr>
        <w:t xml:space="preserve">dig is the party responsible for </w:t>
      </w:r>
      <w:r w:rsidR="00971CC0">
        <w:rPr>
          <w:bCs/>
        </w:rPr>
        <w:t xml:space="preserve">marking the </w:t>
      </w:r>
      <w:r w:rsidR="003622C7">
        <w:rPr>
          <w:bCs/>
        </w:rPr>
        <w:t xml:space="preserve">dig </w:t>
      </w:r>
      <w:r w:rsidR="00971CC0">
        <w:rPr>
          <w:bCs/>
        </w:rPr>
        <w:t xml:space="preserve">site and </w:t>
      </w:r>
      <w:r w:rsidR="007D526C">
        <w:rPr>
          <w:bCs/>
        </w:rPr>
        <w:t xml:space="preserve">obtaining </w:t>
      </w:r>
      <w:r>
        <w:rPr>
          <w:bCs/>
        </w:rPr>
        <w:t>a</w:t>
      </w:r>
      <w:r w:rsidR="007D526C">
        <w:rPr>
          <w:bCs/>
        </w:rPr>
        <w:t xml:space="preserve"> locate</w:t>
      </w:r>
      <w:r>
        <w:rPr>
          <w:bCs/>
        </w:rPr>
        <w:t xml:space="preserve"> ticket</w:t>
      </w:r>
      <w:r w:rsidR="000202F4">
        <w:rPr>
          <w:bCs/>
        </w:rPr>
        <w:t>.</w:t>
      </w:r>
      <w:r w:rsidR="00971CC0">
        <w:rPr>
          <w:rStyle w:val="FootnoteReference"/>
          <w:bCs/>
        </w:rPr>
        <w:footnoteReference w:id="3"/>
      </w:r>
      <w:r w:rsidR="000202F4">
        <w:rPr>
          <w:bCs/>
        </w:rPr>
        <w:t xml:space="preserve"> </w:t>
      </w:r>
      <w:r w:rsidR="007D526C">
        <w:rPr>
          <w:bCs/>
        </w:rPr>
        <w:t xml:space="preserve">Finally, we are unpersuaded by the Company’s attempt to </w:t>
      </w:r>
      <w:r>
        <w:rPr>
          <w:bCs/>
        </w:rPr>
        <w:t xml:space="preserve">shift the blame </w:t>
      </w:r>
      <w:r w:rsidR="005E72F3">
        <w:rPr>
          <w:bCs/>
        </w:rPr>
        <w:t xml:space="preserve">for the third violation </w:t>
      </w:r>
      <w:r>
        <w:rPr>
          <w:bCs/>
        </w:rPr>
        <w:t>to</w:t>
      </w:r>
      <w:r w:rsidR="00DD1837">
        <w:rPr>
          <w:bCs/>
        </w:rPr>
        <w:t xml:space="preserve"> Russell Crane Service</w:t>
      </w:r>
      <w:r>
        <w:rPr>
          <w:bCs/>
        </w:rPr>
        <w:t>, particularly when</w:t>
      </w:r>
      <w:r w:rsidR="000202F4">
        <w:rPr>
          <w:bCs/>
        </w:rPr>
        <w:t xml:space="preserve"> Tri Valley Construction, not Russell Crane Service, </w:t>
      </w:r>
      <w:r w:rsidR="007D526C">
        <w:rPr>
          <w:bCs/>
        </w:rPr>
        <w:t>reported the incident to CNG</w:t>
      </w:r>
      <w:r w:rsidR="000202F4">
        <w:rPr>
          <w:bCs/>
        </w:rPr>
        <w:t xml:space="preserve">. At any rate, the companies are </w:t>
      </w:r>
      <w:r w:rsidR="00A9263A">
        <w:rPr>
          <w:bCs/>
        </w:rPr>
        <w:t>owned by the same individuals</w:t>
      </w:r>
      <w:r w:rsidR="007D526C">
        <w:rPr>
          <w:bCs/>
        </w:rPr>
        <w:t xml:space="preserve">.  </w:t>
      </w:r>
      <w:r>
        <w:rPr>
          <w:bCs/>
        </w:rPr>
        <w:br/>
      </w:r>
    </w:p>
    <w:p w14:paraId="6AFCBCB5" w14:textId="77777777" w:rsidR="00917196" w:rsidRPr="00591D9A" w:rsidRDefault="00157ED1" w:rsidP="005541DD">
      <w:pPr>
        <w:numPr>
          <w:ilvl w:val="0"/>
          <w:numId w:val="1"/>
        </w:numPr>
        <w:tabs>
          <w:tab w:val="clear" w:pos="1080"/>
          <w:tab w:val="left" w:pos="0"/>
        </w:tabs>
        <w:spacing w:line="264" w:lineRule="auto"/>
        <w:ind w:left="0" w:hanging="720"/>
        <w:rPr>
          <w:bCs/>
        </w:rPr>
      </w:pPr>
      <w:r>
        <w:rPr>
          <w:bCs/>
        </w:rPr>
        <w:t xml:space="preserve">We find that reduced penalties of $1,000 are appropriate for </w:t>
      </w:r>
      <w:r w:rsidR="005E72F3">
        <w:rPr>
          <w:bCs/>
        </w:rPr>
        <w:t xml:space="preserve">the first </w:t>
      </w:r>
      <w:r>
        <w:rPr>
          <w:bCs/>
        </w:rPr>
        <w:t xml:space="preserve">two violations, and an escalated – but still reduced – $2,000 penalty is appropriate for the third violation, which occurred after the Company received technical assistance. As Staff notes in its response, these violations are serious and potentially harmful to the public. Companies that dig without first obtaining an underground utility locate are putting their employees, the public, and the facility operator’s employees at risk. Any of the three damage incidents at issue could have resulted in a fire or an explosion. </w:t>
      </w:r>
      <w:r w:rsidR="005E72F3">
        <w:rPr>
          <w:bCs/>
        </w:rPr>
        <w:t>The penalty amount, while not un</w:t>
      </w:r>
      <w:r w:rsidR="0062702D">
        <w:rPr>
          <w:bCs/>
        </w:rPr>
        <w:t>duly punitive, is appropriate in light of</w:t>
      </w:r>
      <w:r w:rsidR="005E72F3">
        <w:rPr>
          <w:bCs/>
        </w:rPr>
        <w:t xml:space="preserve"> the </w:t>
      </w:r>
      <w:r w:rsidR="00125DEE">
        <w:rPr>
          <w:bCs/>
        </w:rPr>
        <w:t xml:space="preserve">seriousness </w:t>
      </w:r>
      <w:r w:rsidR="005E72F3">
        <w:rPr>
          <w:bCs/>
        </w:rPr>
        <w:t xml:space="preserve">of the violations. </w:t>
      </w:r>
      <w:r w:rsidR="0062702D">
        <w:rPr>
          <w:bCs/>
        </w:rPr>
        <w:t>A</w:t>
      </w:r>
      <w:r w:rsidR="005E72F3">
        <w:rPr>
          <w:bCs/>
        </w:rPr>
        <w:t>ccordingly, we deny the Company’s request for mitigation.</w:t>
      </w:r>
    </w:p>
    <w:p w14:paraId="7CE05FAA" w14:textId="77777777" w:rsidR="00347054" w:rsidRPr="007F5EDF" w:rsidRDefault="00347054" w:rsidP="005541DD">
      <w:pPr>
        <w:tabs>
          <w:tab w:val="left" w:pos="0"/>
        </w:tabs>
        <w:spacing w:line="264" w:lineRule="auto"/>
      </w:pPr>
    </w:p>
    <w:p w14:paraId="46C2FCF6" w14:textId="77777777" w:rsidR="00F32856" w:rsidRPr="007F5EDF" w:rsidRDefault="00F32856" w:rsidP="005541DD">
      <w:pPr>
        <w:spacing w:line="264" w:lineRule="auto"/>
        <w:ind w:left="720"/>
        <w:jc w:val="center"/>
        <w:rPr>
          <w:b/>
        </w:rPr>
      </w:pPr>
      <w:r w:rsidRPr="007F5EDF">
        <w:rPr>
          <w:b/>
        </w:rPr>
        <w:t>ORDER</w:t>
      </w:r>
    </w:p>
    <w:p w14:paraId="416F3B1D" w14:textId="77777777" w:rsidR="00892232" w:rsidRPr="007F5EDF" w:rsidRDefault="00892232" w:rsidP="005541DD">
      <w:pPr>
        <w:pStyle w:val="ListParagraph"/>
        <w:spacing w:line="264" w:lineRule="auto"/>
        <w:ind w:left="0"/>
      </w:pPr>
    </w:p>
    <w:p w14:paraId="633BA7E4" w14:textId="77777777" w:rsidR="00F32856" w:rsidRPr="007F5EDF" w:rsidRDefault="00F32856" w:rsidP="005541DD">
      <w:pPr>
        <w:spacing w:line="264" w:lineRule="auto"/>
      </w:pPr>
      <w:r w:rsidRPr="007F5EDF">
        <w:t>T</w:t>
      </w:r>
      <w:r w:rsidR="005E3095" w:rsidRPr="007F5EDF">
        <w:t>HE COMMISSION ORDERS</w:t>
      </w:r>
      <w:r w:rsidRPr="007F5EDF">
        <w:t>:</w:t>
      </w:r>
      <w:r w:rsidR="008741D9" w:rsidRPr="007F5EDF">
        <w:t xml:space="preserve"> </w:t>
      </w:r>
    </w:p>
    <w:p w14:paraId="02A4C64D" w14:textId="77777777" w:rsidR="00F32856" w:rsidRPr="007F5EDF" w:rsidRDefault="00F32856" w:rsidP="005541DD">
      <w:pPr>
        <w:spacing w:line="264" w:lineRule="auto"/>
        <w:ind w:left="720"/>
      </w:pPr>
    </w:p>
    <w:p w14:paraId="06581DBE" w14:textId="77777777" w:rsidR="005E3095" w:rsidRPr="007F5EDF" w:rsidRDefault="005E3095" w:rsidP="005541DD">
      <w:pPr>
        <w:numPr>
          <w:ilvl w:val="0"/>
          <w:numId w:val="1"/>
        </w:numPr>
        <w:tabs>
          <w:tab w:val="clear" w:pos="1080"/>
          <w:tab w:val="left" w:pos="0"/>
        </w:tabs>
        <w:spacing w:line="264" w:lineRule="auto"/>
        <w:ind w:left="720" w:hanging="1440"/>
      </w:pPr>
      <w:r w:rsidRPr="007F5EDF">
        <w:t>(1)</w:t>
      </w:r>
      <w:r w:rsidRPr="007F5EDF">
        <w:tab/>
      </w:r>
      <w:r w:rsidR="004E367C">
        <w:rPr>
          <w:bCs/>
        </w:rPr>
        <w:t>Greg Huylar</w:t>
      </w:r>
      <w:r w:rsidR="007B6D00">
        <w:rPr>
          <w:bCs/>
        </w:rPr>
        <w:t xml:space="preserve"> d/b/a </w:t>
      </w:r>
      <w:r w:rsidR="004E367C">
        <w:rPr>
          <w:bCs/>
        </w:rPr>
        <w:t>Tri Valley Construction</w:t>
      </w:r>
      <w:r w:rsidR="00781DF5" w:rsidRPr="00C46C06">
        <w:rPr>
          <w:bCs/>
        </w:rPr>
        <w:t xml:space="preserve">’s </w:t>
      </w:r>
      <w:r w:rsidR="00D95EFE" w:rsidRPr="007F5EDF">
        <w:rPr>
          <w:bCs/>
        </w:rPr>
        <w:t>request</w:t>
      </w:r>
      <w:r w:rsidR="00304560" w:rsidRPr="007F5EDF">
        <w:rPr>
          <w:bCs/>
        </w:rPr>
        <w:t xml:space="preserve"> </w:t>
      </w:r>
      <w:r w:rsidRPr="007F5EDF">
        <w:t xml:space="preserve">for </w:t>
      </w:r>
      <w:r w:rsidR="007B6D00">
        <w:t>mitigation</w:t>
      </w:r>
      <w:r w:rsidR="00D95EFE" w:rsidRPr="007F5EDF">
        <w:t xml:space="preserve"> is DENIED</w:t>
      </w:r>
      <w:r w:rsidR="00E0789C" w:rsidRPr="007F5EDF">
        <w:t xml:space="preserve">.  </w:t>
      </w:r>
    </w:p>
    <w:p w14:paraId="7D79A41D" w14:textId="77777777" w:rsidR="005E3095" w:rsidRPr="007F5EDF" w:rsidRDefault="005E3095" w:rsidP="005541DD">
      <w:pPr>
        <w:spacing w:line="264" w:lineRule="auto"/>
        <w:ind w:left="720"/>
      </w:pPr>
    </w:p>
    <w:p w14:paraId="3E99F62B" w14:textId="77777777" w:rsidR="00D95EFE" w:rsidRPr="007F5EDF" w:rsidRDefault="005E3095" w:rsidP="005541DD">
      <w:pPr>
        <w:numPr>
          <w:ilvl w:val="0"/>
          <w:numId w:val="1"/>
        </w:numPr>
        <w:tabs>
          <w:tab w:val="clear" w:pos="1080"/>
          <w:tab w:val="left" w:pos="0"/>
        </w:tabs>
        <w:spacing w:line="264" w:lineRule="auto"/>
        <w:ind w:left="0" w:hanging="720"/>
      </w:pPr>
      <w:r w:rsidRPr="007F5EDF">
        <w:t>(2)</w:t>
      </w:r>
      <w:r w:rsidRPr="007F5EDF">
        <w:tab/>
      </w:r>
      <w:r w:rsidR="00D95EFE" w:rsidRPr="007F5EDF">
        <w:t>T</w:t>
      </w:r>
      <w:r w:rsidR="007B6D00">
        <w:t>he $</w:t>
      </w:r>
      <w:r w:rsidR="004E367C">
        <w:t>4</w:t>
      </w:r>
      <w:r w:rsidR="007B6D00">
        <w:t>,000</w:t>
      </w:r>
      <w:r w:rsidR="00D95EFE" w:rsidRPr="007F5EDF">
        <w:t xml:space="preserve"> penalty is due and payable no later than June </w:t>
      </w:r>
      <w:r w:rsidR="003622C7">
        <w:t>25</w:t>
      </w:r>
      <w:r w:rsidR="00D95EFE" w:rsidRPr="007F5EDF">
        <w:t>, 2015.</w:t>
      </w:r>
    </w:p>
    <w:p w14:paraId="3385B41A" w14:textId="77777777" w:rsidR="005541DD" w:rsidRDefault="005541DD">
      <w:r>
        <w:br w:type="page"/>
      </w:r>
    </w:p>
    <w:p w14:paraId="2B5B132D" w14:textId="77777777" w:rsidR="00AA6988" w:rsidRPr="007F5EDF" w:rsidRDefault="00AA6988" w:rsidP="005541DD">
      <w:pPr>
        <w:pStyle w:val="ListParagraph"/>
        <w:spacing w:line="264" w:lineRule="auto"/>
      </w:pPr>
    </w:p>
    <w:p w14:paraId="5FFB74FF" w14:textId="77777777" w:rsidR="006F2E4D" w:rsidRPr="007F5EDF" w:rsidRDefault="00860038" w:rsidP="005541DD">
      <w:pPr>
        <w:numPr>
          <w:ilvl w:val="0"/>
          <w:numId w:val="1"/>
        </w:numPr>
        <w:tabs>
          <w:tab w:val="clear" w:pos="1080"/>
          <w:tab w:val="left" w:pos="0"/>
        </w:tabs>
        <w:spacing w:line="264" w:lineRule="auto"/>
        <w:ind w:left="0" w:hanging="720"/>
      </w:pPr>
      <w:r w:rsidRPr="007F5EDF">
        <w:t>The</w:t>
      </w:r>
      <w:r w:rsidRPr="007F5EDF">
        <w:rPr>
          <w:color w:val="000000"/>
        </w:rPr>
        <w:t xml:space="preserve"> Secretary has been delegated </w:t>
      </w:r>
      <w:r w:rsidR="008A70E9" w:rsidRPr="007F5EDF">
        <w:rPr>
          <w:color w:val="000000"/>
        </w:rPr>
        <w:t xml:space="preserve">authority </w:t>
      </w:r>
      <w:r w:rsidRPr="007F5EDF">
        <w:rPr>
          <w:color w:val="000000"/>
        </w:rPr>
        <w:t xml:space="preserve">to enter this </w:t>
      </w:r>
      <w:r w:rsidR="008002A6" w:rsidRPr="007F5EDF">
        <w:rPr>
          <w:color w:val="000000"/>
        </w:rPr>
        <w:t>o</w:t>
      </w:r>
      <w:r w:rsidRPr="007F5EDF">
        <w:rPr>
          <w:color w:val="000000"/>
        </w:rPr>
        <w:t xml:space="preserve">rder </w:t>
      </w:r>
      <w:r w:rsidR="00287672" w:rsidRPr="007F5EDF">
        <w:rPr>
          <w:bCs/>
          <w:color w:val="000000"/>
        </w:rPr>
        <w:t>on behalf of the Commissioners</w:t>
      </w:r>
      <w:r w:rsidRPr="007F5EDF">
        <w:rPr>
          <w:bCs/>
          <w:color w:val="000000"/>
        </w:rPr>
        <w:t xml:space="preserve"> </w:t>
      </w:r>
      <w:r w:rsidRPr="007F5EDF">
        <w:rPr>
          <w:color w:val="000000"/>
        </w:rPr>
        <w:t>under WAC</w:t>
      </w:r>
      <w:r w:rsidRPr="007F5EDF">
        <w:t xml:space="preserve"> 480-07-904(1)(h).</w:t>
      </w:r>
    </w:p>
    <w:p w14:paraId="4CC437B2" w14:textId="77777777" w:rsidR="00860038" w:rsidRPr="007F5EDF" w:rsidRDefault="00860038" w:rsidP="005541DD">
      <w:pPr>
        <w:spacing w:line="264" w:lineRule="auto"/>
      </w:pPr>
    </w:p>
    <w:p w14:paraId="1E99986F" w14:textId="77777777" w:rsidR="00C011AB" w:rsidRPr="007F5EDF" w:rsidRDefault="00BD11E4" w:rsidP="005541DD">
      <w:pPr>
        <w:spacing w:line="264" w:lineRule="auto"/>
      </w:pPr>
      <w:r w:rsidRPr="007F5EDF">
        <w:t>DATED</w:t>
      </w:r>
      <w:r w:rsidR="00C011AB" w:rsidRPr="007F5EDF">
        <w:t xml:space="preserve"> at Olympia, Washington</w:t>
      </w:r>
      <w:r w:rsidR="00E17725" w:rsidRPr="007F5EDF">
        <w:t xml:space="preserve">, and effective </w:t>
      </w:r>
      <w:r w:rsidR="00D95EFE" w:rsidRPr="007F5EDF">
        <w:t xml:space="preserve">June </w:t>
      </w:r>
      <w:r w:rsidR="003622C7">
        <w:t>11</w:t>
      </w:r>
      <w:r w:rsidR="008A54E8" w:rsidRPr="007F5EDF">
        <w:t>, 201</w:t>
      </w:r>
      <w:r w:rsidR="00D95EFE" w:rsidRPr="007F5EDF">
        <w:t>5</w:t>
      </w:r>
      <w:r w:rsidR="00C011AB" w:rsidRPr="007F5EDF">
        <w:t>.</w:t>
      </w:r>
    </w:p>
    <w:p w14:paraId="05799BF7" w14:textId="77777777" w:rsidR="00C011AB" w:rsidRPr="007F5EDF" w:rsidRDefault="00C011AB" w:rsidP="005541DD">
      <w:pPr>
        <w:pStyle w:val="Header"/>
        <w:tabs>
          <w:tab w:val="clear" w:pos="4320"/>
          <w:tab w:val="clear" w:pos="8640"/>
        </w:tabs>
        <w:spacing w:line="264" w:lineRule="auto"/>
      </w:pPr>
    </w:p>
    <w:p w14:paraId="25610AB4" w14:textId="77777777" w:rsidR="00C011AB" w:rsidRPr="007F5EDF" w:rsidRDefault="00C011AB" w:rsidP="005541DD">
      <w:pPr>
        <w:spacing w:line="264" w:lineRule="auto"/>
        <w:jc w:val="center"/>
      </w:pPr>
      <w:r w:rsidRPr="007F5EDF">
        <w:t>WASHINGTON UTILITIES AND TRANSPORTATION COMMISSION</w:t>
      </w:r>
    </w:p>
    <w:p w14:paraId="16E4692B" w14:textId="77777777" w:rsidR="00981531" w:rsidRPr="007F5EDF" w:rsidRDefault="00981531" w:rsidP="005541DD">
      <w:pPr>
        <w:pStyle w:val="Header"/>
        <w:tabs>
          <w:tab w:val="clear" w:pos="4320"/>
          <w:tab w:val="clear" w:pos="8640"/>
        </w:tabs>
        <w:spacing w:line="264" w:lineRule="auto"/>
      </w:pPr>
    </w:p>
    <w:p w14:paraId="53A35EED" w14:textId="77777777" w:rsidR="00293EC2" w:rsidRPr="007F5EDF" w:rsidRDefault="00293EC2" w:rsidP="005541DD">
      <w:pPr>
        <w:spacing w:line="264" w:lineRule="auto"/>
        <w:jc w:val="center"/>
      </w:pPr>
    </w:p>
    <w:p w14:paraId="3D7D8ECD" w14:textId="77777777" w:rsidR="00293EC2" w:rsidRPr="007F5EDF" w:rsidRDefault="00293EC2" w:rsidP="005541DD">
      <w:pPr>
        <w:spacing w:line="264" w:lineRule="auto"/>
        <w:jc w:val="center"/>
      </w:pPr>
    </w:p>
    <w:p w14:paraId="14DC2D1C" w14:textId="77777777" w:rsidR="00C011AB" w:rsidRPr="007F5EDF" w:rsidRDefault="008A37A3" w:rsidP="005541DD">
      <w:pPr>
        <w:spacing w:line="264" w:lineRule="auto"/>
        <w:ind w:left="3600" w:firstLine="720"/>
      </w:pPr>
      <w:r w:rsidRPr="007F5EDF">
        <w:t>STEVEN V. KING</w:t>
      </w:r>
    </w:p>
    <w:p w14:paraId="5DBB4E75" w14:textId="77777777" w:rsidR="00C011AB" w:rsidRPr="007F5EDF" w:rsidRDefault="00C011AB" w:rsidP="005541DD">
      <w:pPr>
        <w:spacing w:line="264" w:lineRule="auto"/>
      </w:pPr>
      <w:r w:rsidRPr="007F5EDF">
        <w:tab/>
      </w:r>
      <w:r w:rsidRPr="007F5EDF">
        <w:tab/>
      </w:r>
      <w:r w:rsidRPr="007F5EDF">
        <w:tab/>
      </w:r>
      <w:r w:rsidRPr="007F5EDF">
        <w:tab/>
      </w:r>
      <w:r w:rsidRPr="007F5EDF">
        <w:tab/>
      </w:r>
      <w:r w:rsidRPr="007F5EDF">
        <w:tab/>
      </w:r>
      <w:r w:rsidR="00A01D98" w:rsidRPr="007F5EDF">
        <w:t xml:space="preserve">Executive </w:t>
      </w:r>
      <w:r w:rsidR="008554A7" w:rsidRPr="007F5EDF">
        <w:t xml:space="preserve">Director and </w:t>
      </w:r>
      <w:r w:rsidR="00A01D98" w:rsidRPr="007F5EDF">
        <w:t>Secretary</w:t>
      </w:r>
    </w:p>
    <w:p w14:paraId="75BDBCB0" w14:textId="77777777" w:rsidR="006972FB" w:rsidRPr="007F5EDF" w:rsidRDefault="006972FB" w:rsidP="005541DD">
      <w:pPr>
        <w:spacing w:line="264" w:lineRule="auto"/>
      </w:pPr>
    </w:p>
    <w:p w14:paraId="0AFC9225" w14:textId="77777777" w:rsidR="00F637C2" w:rsidRPr="007F5EDF" w:rsidRDefault="00F637C2" w:rsidP="005541DD">
      <w:pPr>
        <w:spacing w:line="264" w:lineRule="auto"/>
      </w:pPr>
    </w:p>
    <w:p w14:paraId="167F3FA1" w14:textId="77777777" w:rsidR="006972FB" w:rsidRPr="007F5EDF" w:rsidRDefault="006972FB" w:rsidP="005541DD">
      <w:pPr>
        <w:spacing w:line="264" w:lineRule="auto"/>
        <w:rPr>
          <w:b/>
          <w:bCs/>
        </w:rPr>
      </w:pPr>
      <w:r w:rsidRPr="007F5EDF">
        <w:rPr>
          <w:b/>
        </w:rPr>
        <w:t xml:space="preserve">NOTICE TO PARTIES:  </w:t>
      </w:r>
      <w:r w:rsidR="00421B3A" w:rsidRPr="007F5EDF">
        <w:rPr>
          <w:b/>
        </w:rPr>
        <w:t xml:space="preserve">This is an order delegated to the Executive Secretary for decision. </w:t>
      </w:r>
      <w:r w:rsidR="00B21414" w:rsidRPr="007F5EDF">
        <w:rPr>
          <w:b/>
        </w:rPr>
        <w:t>As authorized in</w:t>
      </w:r>
      <w:r w:rsidR="00421B3A" w:rsidRPr="007F5EDF">
        <w:rPr>
          <w:b/>
        </w:rPr>
        <w:t xml:space="preserve"> </w:t>
      </w:r>
      <w:r w:rsidR="00287672" w:rsidRPr="007F5EDF">
        <w:rPr>
          <w:b/>
        </w:rPr>
        <w:t>WAC 480-07-904(3)</w:t>
      </w:r>
      <w:r w:rsidR="00421B3A" w:rsidRPr="007F5EDF">
        <w:rPr>
          <w:b/>
        </w:rPr>
        <w:t xml:space="preserve">, </w:t>
      </w:r>
      <w:r w:rsidR="006005B9" w:rsidRPr="007F5EDF">
        <w:rPr>
          <w:b/>
        </w:rPr>
        <w:t xml:space="preserve">you </w:t>
      </w:r>
      <w:r w:rsidR="00421B3A" w:rsidRPr="007F5EDF">
        <w:rPr>
          <w:b/>
          <w:bCs/>
        </w:rPr>
        <w:t>must file a</w:t>
      </w:r>
      <w:r w:rsidR="00B21414" w:rsidRPr="007F5EDF">
        <w:rPr>
          <w:b/>
          <w:bCs/>
        </w:rPr>
        <w:t>ny</w:t>
      </w:r>
      <w:r w:rsidR="00421B3A" w:rsidRPr="007F5EDF">
        <w:rPr>
          <w:b/>
          <w:bCs/>
        </w:rPr>
        <w:t xml:space="preserve"> </w:t>
      </w:r>
      <w:r w:rsidR="005F75C6" w:rsidRPr="007F5EDF">
        <w:rPr>
          <w:b/>
          <w:bCs/>
        </w:rPr>
        <w:t>request for C</w:t>
      </w:r>
      <w:r w:rsidR="00421B3A" w:rsidRPr="007F5EDF">
        <w:rPr>
          <w:b/>
          <w:bCs/>
        </w:rPr>
        <w:t xml:space="preserve">ommission </w:t>
      </w:r>
      <w:r w:rsidR="006005B9" w:rsidRPr="007F5EDF">
        <w:rPr>
          <w:b/>
          <w:bCs/>
        </w:rPr>
        <w:t>review of this order</w:t>
      </w:r>
      <w:r w:rsidR="00421B3A" w:rsidRPr="007F5EDF">
        <w:rPr>
          <w:b/>
          <w:bCs/>
        </w:rPr>
        <w:t xml:space="preserve"> no later than 14 days after the date the decision is posted on the Commission’s </w:t>
      </w:r>
      <w:r w:rsidR="00737EB2" w:rsidRPr="007F5EDF">
        <w:rPr>
          <w:b/>
          <w:bCs/>
        </w:rPr>
        <w:t>w</w:t>
      </w:r>
      <w:r w:rsidR="00F32856" w:rsidRPr="007F5EDF">
        <w:rPr>
          <w:b/>
          <w:bCs/>
        </w:rPr>
        <w:t xml:space="preserve">ebsite.  </w:t>
      </w:r>
    </w:p>
    <w:sectPr w:rsidR="006972FB" w:rsidRPr="007F5EDF" w:rsidSect="00347054">
      <w:headerReference w:type="default" r:id="rId11"/>
      <w:headerReference w:type="first" r:id="rId1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B9CB7" w14:textId="77777777" w:rsidR="00AE6349" w:rsidRDefault="00AE6349">
      <w:r>
        <w:separator/>
      </w:r>
    </w:p>
  </w:endnote>
  <w:endnote w:type="continuationSeparator" w:id="0">
    <w:p w14:paraId="60EB3633" w14:textId="77777777" w:rsidR="00AE6349" w:rsidRDefault="00AE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AA950" w14:textId="77777777" w:rsidR="00AE6349" w:rsidRDefault="00AE6349">
      <w:r>
        <w:separator/>
      </w:r>
    </w:p>
  </w:footnote>
  <w:footnote w:type="continuationSeparator" w:id="0">
    <w:p w14:paraId="0BD08BB6" w14:textId="77777777" w:rsidR="00AE6349" w:rsidRDefault="00AE6349">
      <w:r>
        <w:continuationSeparator/>
      </w:r>
    </w:p>
  </w:footnote>
  <w:footnote w:id="1">
    <w:p w14:paraId="7C435D23" w14:textId="77777777" w:rsidR="0038158D" w:rsidRPr="0038158D" w:rsidRDefault="0038158D">
      <w:pPr>
        <w:pStyle w:val="FootnoteText"/>
        <w:rPr>
          <w:sz w:val="22"/>
          <w:szCs w:val="22"/>
        </w:rPr>
      </w:pPr>
      <w:r w:rsidRPr="0038158D">
        <w:rPr>
          <w:rStyle w:val="FootnoteReference"/>
          <w:sz w:val="22"/>
          <w:szCs w:val="22"/>
        </w:rPr>
        <w:footnoteRef/>
      </w:r>
      <w:r w:rsidRPr="0038158D">
        <w:rPr>
          <w:sz w:val="22"/>
          <w:szCs w:val="22"/>
        </w:rPr>
        <w:t xml:space="preserve"> RCW 19.122.030(6)(c) provides that facility operator markings of underground utilities expire forty-five calendar days from the date that the excavator provides notice to a one-number locator service. Excavation after that date requires additional notice to the one-number locator service.</w:t>
      </w:r>
    </w:p>
  </w:footnote>
  <w:footnote w:id="2">
    <w:p w14:paraId="3F590F1C" w14:textId="77777777" w:rsidR="00591D9A" w:rsidRPr="005541DD" w:rsidRDefault="00591D9A" w:rsidP="00591D9A">
      <w:pPr>
        <w:pStyle w:val="FootnoteText"/>
        <w:rPr>
          <w:sz w:val="22"/>
          <w:szCs w:val="22"/>
        </w:rPr>
      </w:pPr>
      <w:r w:rsidRPr="005541DD">
        <w:rPr>
          <w:rStyle w:val="FootnoteReference"/>
          <w:sz w:val="22"/>
          <w:szCs w:val="22"/>
        </w:rPr>
        <w:footnoteRef/>
      </w:r>
      <w:r w:rsidRPr="005541DD">
        <w:rPr>
          <w:sz w:val="22"/>
          <w:szCs w:val="22"/>
        </w:rPr>
        <w:t xml:space="preserve"> </w:t>
      </w:r>
      <w:r w:rsidR="00EB46A7" w:rsidRPr="005541DD">
        <w:rPr>
          <w:sz w:val="22"/>
          <w:szCs w:val="22"/>
        </w:rPr>
        <w:t>Docket A-120061, Enforcement Policy for the Washington Utilities and Transportati</w:t>
      </w:r>
      <w:r w:rsidR="000039AF" w:rsidRPr="005541DD">
        <w:rPr>
          <w:sz w:val="22"/>
          <w:szCs w:val="22"/>
        </w:rPr>
        <w:t>on Commission (January 7, 2013)</w:t>
      </w:r>
      <w:r w:rsidR="00EB46A7" w:rsidRPr="005541DD">
        <w:rPr>
          <w:sz w:val="22"/>
          <w:szCs w:val="22"/>
        </w:rPr>
        <w:t xml:space="preserve"> at </w:t>
      </w:r>
      <w:r w:rsidRPr="005541DD">
        <w:rPr>
          <w:sz w:val="22"/>
          <w:szCs w:val="22"/>
        </w:rPr>
        <w:t>¶</w:t>
      </w:r>
      <w:r w:rsidR="005541DD">
        <w:rPr>
          <w:sz w:val="22"/>
          <w:szCs w:val="22"/>
        </w:rPr>
        <w:t xml:space="preserve"> </w:t>
      </w:r>
      <w:r w:rsidRPr="005541DD">
        <w:rPr>
          <w:sz w:val="22"/>
          <w:szCs w:val="22"/>
        </w:rPr>
        <w:t>19.</w:t>
      </w:r>
    </w:p>
  </w:footnote>
  <w:footnote w:id="3">
    <w:p w14:paraId="56A587B4" w14:textId="77777777" w:rsidR="00971CC0" w:rsidRDefault="00971CC0">
      <w:pPr>
        <w:pStyle w:val="FootnoteText"/>
      </w:pPr>
      <w:r>
        <w:rPr>
          <w:rStyle w:val="FootnoteReference"/>
        </w:rPr>
        <w:footnoteRef/>
      </w:r>
      <w:r>
        <w:t xml:space="preserve"> </w:t>
      </w:r>
      <w:r w:rsidRPr="00971CC0">
        <w:rPr>
          <w:sz w:val="22"/>
          <w:szCs w:val="22"/>
        </w:rPr>
        <w:t>RCW 19.122.030(1)(a) provides that, “before commencing any excavation, an excavator must mark the boundary of the excavation area with white paint applied on the ground of the worksite, then provide notice of the scheduled commencement of excavation to all facility operators through a one-number locator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7FF22"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7B6D00">
      <w:rPr>
        <w:b/>
        <w:bCs/>
        <w:sz w:val="20"/>
        <w:szCs w:val="20"/>
      </w:rPr>
      <w:t>DG-144</w:t>
    </w:r>
    <w:r w:rsidR="00444D36">
      <w:rPr>
        <w:b/>
        <w:bCs/>
        <w:sz w:val="20"/>
        <w:szCs w:val="20"/>
      </w:rPr>
      <w:t>100</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623D19">
      <w:rPr>
        <w:rStyle w:val="PageNumber"/>
        <w:b/>
        <w:bCs/>
        <w:noProof/>
        <w:sz w:val="20"/>
        <w:szCs w:val="20"/>
      </w:rPr>
      <w:t>4</w:t>
    </w:r>
    <w:r w:rsidRPr="00B85B2D">
      <w:rPr>
        <w:rStyle w:val="PageNumber"/>
        <w:b/>
        <w:bCs/>
        <w:sz w:val="20"/>
        <w:szCs w:val="20"/>
      </w:rPr>
      <w:fldChar w:fldCharType="end"/>
    </w:r>
  </w:p>
  <w:p w14:paraId="6D23672F"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023A59E2"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D6B82" w14:textId="03D62433" w:rsidR="001C784C" w:rsidRPr="001C784C" w:rsidRDefault="001C784C" w:rsidP="001C784C">
    <w:pPr>
      <w:pStyle w:val="Header"/>
      <w:tabs>
        <w:tab w:val="clear" w:pos="4320"/>
      </w:tabs>
      <w:rPr>
        <w:b/>
        <w:sz w:val="20"/>
        <w:szCs w:val="20"/>
      </w:rPr>
    </w:pPr>
    <w:r>
      <w:tab/>
    </w:r>
    <w:r w:rsidRPr="001C784C">
      <w:rPr>
        <w:b/>
        <w:sz w:val="20"/>
        <w:szCs w:val="20"/>
      </w:rPr>
      <w:t>[Service Date June 11,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39AF"/>
    <w:rsid w:val="00005893"/>
    <w:rsid w:val="00007D4A"/>
    <w:rsid w:val="00013BD4"/>
    <w:rsid w:val="000164A8"/>
    <w:rsid w:val="000202F4"/>
    <w:rsid w:val="000210D8"/>
    <w:rsid w:val="0002339B"/>
    <w:rsid w:val="00023460"/>
    <w:rsid w:val="00030930"/>
    <w:rsid w:val="00033213"/>
    <w:rsid w:val="00040C1A"/>
    <w:rsid w:val="000425D2"/>
    <w:rsid w:val="000426C0"/>
    <w:rsid w:val="00046349"/>
    <w:rsid w:val="0004663A"/>
    <w:rsid w:val="00064277"/>
    <w:rsid w:val="00064471"/>
    <w:rsid w:val="000677EC"/>
    <w:rsid w:val="00084377"/>
    <w:rsid w:val="000A14A5"/>
    <w:rsid w:val="000A424F"/>
    <w:rsid w:val="000A5612"/>
    <w:rsid w:val="000A60F5"/>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2B93"/>
    <w:rsid w:val="001155A4"/>
    <w:rsid w:val="00117299"/>
    <w:rsid w:val="001179CD"/>
    <w:rsid w:val="0012204A"/>
    <w:rsid w:val="0012548B"/>
    <w:rsid w:val="00125DEE"/>
    <w:rsid w:val="00126995"/>
    <w:rsid w:val="00127197"/>
    <w:rsid w:val="00131166"/>
    <w:rsid w:val="00135751"/>
    <w:rsid w:val="00136247"/>
    <w:rsid w:val="00136868"/>
    <w:rsid w:val="0014054F"/>
    <w:rsid w:val="0014354E"/>
    <w:rsid w:val="00152F28"/>
    <w:rsid w:val="001537A6"/>
    <w:rsid w:val="0015682A"/>
    <w:rsid w:val="00157ED1"/>
    <w:rsid w:val="00160AF2"/>
    <w:rsid w:val="0016160B"/>
    <w:rsid w:val="00165BD5"/>
    <w:rsid w:val="001664DB"/>
    <w:rsid w:val="0017431C"/>
    <w:rsid w:val="00176046"/>
    <w:rsid w:val="00177D68"/>
    <w:rsid w:val="00181FA2"/>
    <w:rsid w:val="00182298"/>
    <w:rsid w:val="00186814"/>
    <w:rsid w:val="00190A10"/>
    <w:rsid w:val="00190E92"/>
    <w:rsid w:val="001A0000"/>
    <w:rsid w:val="001A220D"/>
    <w:rsid w:val="001C10D0"/>
    <w:rsid w:val="001C1DAE"/>
    <w:rsid w:val="001C2225"/>
    <w:rsid w:val="001C784C"/>
    <w:rsid w:val="001D0DC8"/>
    <w:rsid w:val="001D1073"/>
    <w:rsid w:val="001D765C"/>
    <w:rsid w:val="001E64D7"/>
    <w:rsid w:val="001F6CA6"/>
    <w:rsid w:val="001F7A74"/>
    <w:rsid w:val="00203697"/>
    <w:rsid w:val="00212C4A"/>
    <w:rsid w:val="00217765"/>
    <w:rsid w:val="00223687"/>
    <w:rsid w:val="00226090"/>
    <w:rsid w:val="002260E1"/>
    <w:rsid w:val="00230FD0"/>
    <w:rsid w:val="00233D02"/>
    <w:rsid w:val="0024097E"/>
    <w:rsid w:val="00241EFB"/>
    <w:rsid w:val="002443C1"/>
    <w:rsid w:val="00244A75"/>
    <w:rsid w:val="00251255"/>
    <w:rsid w:val="002533F8"/>
    <w:rsid w:val="0025542C"/>
    <w:rsid w:val="002558D0"/>
    <w:rsid w:val="0025776E"/>
    <w:rsid w:val="002601B6"/>
    <w:rsid w:val="002602F0"/>
    <w:rsid w:val="00263EB1"/>
    <w:rsid w:val="00264C0F"/>
    <w:rsid w:val="002656EB"/>
    <w:rsid w:val="0026688A"/>
    <w:rsid w:val="002728F6"/>
    <w:rsid w:val="00273073"/>
    <w:rsid w:val="00281ABD"/>
    <w:rsid w:val="00282150"/>
    <w:rsid w:val="002834B4"/>
    <w:rsid w:val="00285B43"/>
    <w:rsid w:val="0028697C"/>
    <w:rsid w:val="00287672"/>
    <w:rsid w:val="00291C3E"/>
    <w:rsid w:val="00293EC2"/>
    <w:rsid w:val="002969C0"/>
    <w:rsid w:val="002A44FE"/>
    <w:rsid w:val="002A547A"/>
    <w:rsid w:val="002B0F91"/>
    <w:rsid w:val="002B3E1E"/>
    <w:rsid w:val="002C03F6"/>
    <w:rsid w:val="002C1C05"/>
    <w:rsid w:val="002C5131"/>
    <w:rsid w:val="002D0F71"/>
    <w:rsid w:val="002E1E12"/>
    <w:rsid w:val="002E3C80"/>
    <w:rsid w:val="002E59AC"/>
    <w:rsid w:val="002F169B"/>
    <w:rsid w:val="002F698C"/>
    <w:rsid w:val="00301107"/>
    <w:rsid w:val="00304560"/>
    <w:rsid w:val="0030487D"/>
    <w:rsid w:val="00304888"/>
    <w:rsid w:val="00307182"/>
    <w:rsid w:val="003072AB"/>
    <w:rsid w:val="00311EBF"/>
    <w:rsid w:val="0031607C"/>
    <w:rsid w:val="00316961"/>
    <w:rsid w:val="00320A02"/>
    <w:rsid w:val="003221C8"/>
    <w:rsid w:val="00325033"/>
    <w:rsid w:val="00343FAD"/>
    <w:rsid w:val="00344B0B"/>
    <w:rsid w:val="00345AD3"/>
    <w:rsid w:val="00347054"/>
    <w:rsid w:val="003470BB"/>
    <w:rsid w:val="00357264"/>
    <w:rsid w:val="00361888"/>
    <w:rsid w:val="003622C7"/>
    <w:rsid w:val="00362AC7"/>
    <w:rsid w:val="00363B2A"/>
    <w:rsid w:val="003717D9"/>
    <w:rsid w:val="00371E20"/>
    <w:rsid w:val="0037213D"/>
    <w:rsid w:val="00372516"/>
    <w:rsid w:val="0038158D"/>
    <w:rsid w:val="003815A3"/>
    <w:rsid w:val="00383B52"/>
    <w:rsid w:val="00386898"/>
    <w:rsid w:val="00397A87"/>
    <w:rsid w:val="003A38E3"/>
    <w:rsid w:val="003A7B35"/>
    <w:rsid w:val="003B10D2"/>
    <w:rsid w:val="003B2739"/>
    <w:rsid w:val="003C25B9"/>
    <w:rsid w:val="003C5E47"/>
    <w:rsid w:val="003C70EB"/>
    <w:rsid w:val="003D4639"/>
    <w:rsid w:val="003D52BA"/>
    <w:rsid w:val="003D5644"/>
    <w:rsid w:val="003D740F"/>
    <w:rsid w:val="003E01D8"/>
    <w:rsid w:val="003E160A"/>
    <w:rsid w:val="003F2217"/>
    <w:rsid w:val="003F2A20"/>
    <w:rsid w:val="00405642"/>
    <w:rsid w:val="00406DDA"/>
    <w:rsid w:val="004074DC"/>
    <w:rsid w:val="00413546"/>
    <w:rsid w:val="0042128D"/>
    <w:rsid w:val="00421B3A"/>
    <w:rsid w:val="004226B7"/>
    <w:rsid w:val="00426C92"/>
    <w:rsid w:val="00430F4E"/>
    <w:rsid w:val="004313AD"/>
    <w:rsid w:val="004344AD"/>
    <w:rsid w:val="00436446"/>
    <w:rsid w:val="00441E21"/>
    <w:rsid w:val="00444529"/>
    <w:rsid w:val="00444D36"/>
    <w:rsid w:val="00444E53"/>
    <w:rsid w:val="0044560D"/>
    <w:rsid w:val="00447286"/>
    <w:rsid w:val="00450C85"/>
    <w:rsid w:val="0046023D"/>
    <w:rsid w:val="004614D7"/>
    <w:rsid w:val="004734A9"/>
    <w:rsid w:val="00475E8F"/>
    <w:rsid w:val="0047720D"/>
    <w:rsid w:val="00482044"/>
    <w:rsid w:val="004878BC"/>
    <w:rsid w:val="00490617"/>
    <w:rsid w:val="00491D29"/>
    <w:rsid w:val="00496AC5"/>
    <w:rsid w:val="00497C39"/>
    <w:rsid w:val="004A1A6D"/>
    <w:rsid w:val="004A3E2A"/>
    <w:rsid w:val="004A74A6"/>
    <w:rsid w:val="004B4BCD"/>
    <w:rsid w:val="004C0175"/>
    <w:rsid w:val="004C4B31"/>
    <w:rsid w:val="004C605C"/>
    <w:rsid w:val="004D2214"/>
    <w:rsid w:val="004D24E3"/>
    <w:rsid w:val="004D2B76"/>
    <w:rsid w:val="004D78FE"/>
    <w:rsid w:val="004E14C5"/>
    <w:rsid w:val="004E367C"/>
    <w:rsid w:val="004E42C9"/>
    <w:rsid w:val="004F19C5"/>
    <w:rsid w:val="004F5A39"/>
    <w:rsid w:val="004F5E53"/>
    <w:rsid w:val="00503A76"/>
    <w:rsid w:val="00506F82"/>
    <w:rsid w:val="00516019"/>
    <w:rsid w:val="00521A82"/>
    <w:rsid w:val="00524F39"/>
    <w:rsid w:val="00536E53"/>
    <w:rsid w:val="00543264"/>
    <w:rsid w:val="00547078"/>
    <w:rsid w:val="00551071"/>
    <w:rsid w:val="005519EF"/>
    <w:rsid w:val="00551E82"/>
    <w:rsid w:val="0055204F"/>
    <w:rsid w:val="00552401"/>
    <w:rsid w:val="00553D0D"/>
    <w:rsid w:val="005541DD"/>
    <w:rsid w:val="00555C15"/>
    <w:rsid w:val="005667CD"/>
    <w:rsid w:val="0057202D"/>
    <w:rsid w:val="005817DB"/>
    <w:rsid w:val="00582A4F"/>
    <w:rsid w:val="0058665D"/>
    <w:rsid w:val="005868BB"/>
    <w:rsid w:val="00587170"/>
    <w:rsid w:val="00591831"/>
    <w:rsid w:val="00591D9A"/>
    <w:rsid w:val="0059651E"/>
    <w:rsid w:val="00597B2E"/>
    <w:rsid w:val="005A53AE"/>
    <w:rsid w:val="005A7177"/>
    <w:rsid w:val="005B2395"/>
    <w:rsid w:val="005B2C2C"/>
    <w:rsid w:val="005B3D6F"/>
    <w:rsid w:val="005B45BF"/>
    <w:rsid w:val="005B5ED6"/>
    <w:rsid w:val="005B60F9"/>
    <w:rsid w:val="005C0B6F"/>
    <w:rsid w:val="005C21BF"/>
    <w:rsid w:val="005C64B0"/>
    <w:rsid w:val="005D084E"/>
    <w:rsid w:val="005D7A9C"/>
    <w:rsid w:val="005E07B6"/>
    <w:rsid w:val="005E1DD1"/>
    <w:rsid w:val="005E1EA6"/>
    <w:rsid w:val="005E3095"/>
    <w:rsid w:val="005E5A03"/>
    <w:rsid w:val="005E66F3"/>
    <w:rsid w:val="005E72F3"/>
    <w:rsid w:val="005F0705"/>
    <w:rsid w:val="005F24F9"/>
    <w:rsid w:val="005F6F49"/>
    <w:rsid w:val="005F75C6"/>
    <w:rsid w:val="006005B9"/>
    <w:rsid w:val="0060406D"/>
    <w:rsid w:val="006060EF"/>
    <w:rsid w:val="00606C8D"/>
    <w:rsid w:val="006140A4"/>
    <w:rsid w:val="00622F11"/>
    <w:rsid w:val="00623107"/>
    <w:rsid w:val="00623D19"/>
    <w:rsid w:val="0062702D"/>
    <w:rsid w:val="00630B45"/>
    <w:rsid w:val="0063197C"/>
    <w:rsid w:val="006327B9"/>
    <w:rsid w:val="0064240B"/>
    <w:rsid w:val="0064785C"/>
    <w:rsid w:val="006552B9"/>
    <w:rsid w:val="00664F6A"/>
    <w:rsid w:val="00667F91"/>
    <w:rsid w:val="006704C8"/>
    <w:rsid w:val="006724FC"/>
    <w:rsid w:val="00672F09"/>
    <w:rsid w:val="006736DC"/>
    <w:rsid w:val="00675C9A"/>
    <w:rsid w:val="006811FC"/>
    <w:rsid w:val="00683BD2"/>
    <w:rsid w:val="00684895"/>
    <w:rsid w:val="006972FB"/>
    <w:rsid w:val="006A0236"/>
    <w:rsid w:val="006A2DCA"/>
    <w:rsid w:val="006B2972"/>
    <w:rsid w:val="006B41C6"/>
    <w:rsid w:val="006B619B"/>
    <w:rsid w:val="006B6EDA"/>
    <w:rsid w:val="006C5AA6"/>
    <w:rsid w:val="006C67EE"/>
    <w:rsid w:val="006D1578"/>
    <w:rsid w:val="006D1F48"/>
    <w:rsid w:val="006D3BA8"/>
    <w:rsid w:val="006D4533"/>
    <w:rsid w:val="006E06FD"/>
    <w:rsid w:val="006F0806"/>
    <w:rsid w:val="006F2E4D"/>
    <w:rsid w:val="006F5053"/>
    <w:rsid w:val="006F7C3C"/>
    <w:rsid w:val="00703594"/>
    <w:rsid w:val="00704681"/>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81DF5"/>
    <w:rsid w:val="00790390"/>
    <w:rsid w:val="007977BC"/>
    <w:rsid w:val="007A0EF6"/>
    <w:rsid w:val="007A3293"/>
    <w:rsid w:val="007B6D00"/>
    <w:rsid w:val="007B74DA"/>
    <w:rsid w:val="007C1AF6"/>
    <w:rsid w:val="007D1ED9"/>
    <w:rsid w:val="007D526C"/>
    <w:rsid w:val="007E43FB"/>
    <w:rsid w:val="007E6EE7"/>
    <w:rsid w:val="007E70A0"/>
    <w:rsid w:val="007F2B40"/>
    <w:rsid w:val="007F5EDF"/>
    <w:rsid w:val="008002A6"/>
    <w:rsid w:val="00801D54"/>
    <w:rsid w:val="0080504E"/>
    <w:rsid w:val="00805912"/>
    <w:rsid w:val="00807A37"/>
    <w:rsid w:val="00811797"/>
    <w:rsid w:val="0081220C"/>
    <w:rsid w:val="00814A3C"/>
    <w:rsid w:val="0082073A"/>
    <w:rsid w:val="00820BD5"/>
    <w:rsid w:val="008215F8"/>
    <w:rsid w:val="008263FC"/>
    <w:rsid w:val="00827DA2"/>
    <w:rsid w:val="00830040"/>
    <w:rsid w:val="00834160"/>
    <w:rsid w:val="0084064A"/>
    <w:rsid w:val="00841996"/>
    <w:rsid w:val="00845187"/>
    <w:rsid w:val="00845C37"/>
    <w:rsid w:val="00852803"/>
    <w:rsid w:val="008554A7"/>
    <w:rsid w:val="00860038"/>
    <w:rsid w:val="00872122"/>
    <w:rsid w:val="0087222E"/>
    <w:rsid w:val="008741D9"/>
    <w:rsid w:val="008754A9"/>
    <w:rsid w:val="008767DF"/>
    <w:rsid w:val="00880E68"/>
    <w:rsid w:val="00881D6B"/>
    <w:rsid w:val="008823D9"/>
    <w:rsid w:val="00885B06"/>
    <w:rsid w:val="00892232"/>
    <w:rsid w:val="0089291C"/>
    <w:rsid w:val="008A04E5"/>
    <w:rsid w:val="008A11E5"/>
    <w:rsid w:val="008A1FFC"/>
    <w:rsid w:val="008A37A3"/>
    <w:rsid w:val="008A54E8"/>
    <w:rsid w:val="008A6086"/>
    <w:rsid w:val="008A617E"/>
    <w:rsid w:val="008A6CA1"/>
    <w:rsid w:val="008A70E9"/>
    <w:rsid w:val="008B5955"/>
    <w:rsid w:val="008B5BE7"/>
    <w:rsid w:val="008B67DE"/>
    <w:rsid w:val="008C1EED"/>
    <w:rsid w:val="008C52B4"/>
    <w:rsid w:val="008C6DFB"/>
    <w:rsid w:val="008D3B2D"/>
    <w:rsid w:val="008D559C"/>
    <w:rsid w:val="008E0C97"/>
    <w:rsid w:val="008F39D6"/>
    <w:rsid w:val="008F76AA"/>
    <w:rsid w:val="0090526A"/>
    <w:rsid w:val="0090728A"/>
    <w:rsid w:val="00910B77"/>
    <w:rsid w:val="00916379"/>
    <w:rsid w:val="00916BAF"/>
    <w:rsid w:val="00917196"/>
    <w:rsid w:val="0092251C"/>
    <w:rsid w:val="00930F0E"/>
    <w:rsid w:val="009323D2"/>
    <w:rsid w:val="009345E5"/>
    <w:rsid w:val="0093548C"/>
    <w:rsid w:val="009359C8"/>
    <w:rsid w:val="0094190D"/>
    <w:rsid w:val="00950F3F"/>
    <w:rsid w:val="00951B71"/>
    <w:rsid w:val="00971CC0"/>
    <w:rsid w:val="009723EC"/>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F7B0E"/>
    <w:rsid w:val="00A01D98"/>
    <w:rsid w:val="00A02940"/>
    <w:rsid w:val="00A05D98"/>
    <w:rsid w:val="00A110DA"/>
    <w:rsid w:val="00A127E7"/>
    <w:rsid w:val="00A13825"/>
    <w:rsid w:val="00A14614"/>
    <w:rsid w:val="00A14D36"/>
    <w:rsid w:val="00A25153"/>
    <w:rsid w:val="00A26A46"/>
    <w:rsid w:val="00A27867"/>
    <w:rsid w:val="00A353E9"/>
    <w:rsid w:val="00A40ACE"/>
    <w:rsid w:val="00A423ED"/>
    <w:rsid w:val="00A445FF"/>
    <w:rsid w:val="00A546F2"/>
    <w:rsid w:val="00A57600"/>
    <w:rsid w:val="00A60CCC"/>
    <w:rsid w:val="00A61B61"/>
    <w:rsid w:val="00A61EDE"/>
    <w:rsid w:val="00A71D58"/>
    <w:rsid w:val="00A7478B"/>
    <w:rsid w:val="00A75C9C"/>
    <w:rsid w:val="00A83C11"/>
    <w:rsid w:val="00A84893"/>
    <w:rsid w:val="00A91A82"/>
    <w:rsid w:val="00A9263A"/>
    <w:rsid w:val="00A92BD3"/>
    <w:rsid w:val="00A97601"/>
    <w:rsid w:val="00A979BA"/>
    <w:rsid w:val="00AA0CA2"/>
    <w:rsid w:val="00AA2706"/>
    <w:rsid w:val="00AA2BC6"/>
    <w:rsid w:val="00AA3E8B"/>
    <w:rsid w:val="00AA4F6D"/>
    <w:rsid w:val="00AA6988"/>
    <w:rsid w:val="00AB2053"/>
    <w:rsid w:val="00AB3A61"/>
    <w:rsid w:val="00AC77DA"/>
    <w:rsid w:val="00AC78F9"/>
    <w:rsid w:val="00AD0555"/>
    <w:rsid w:val="00AD085A"/>
    <w:rsid w:val="00AD202F"/>
    <w:rsid w:val="00AD7BE5"/>
    <w:rsid w:val="00AE2B02"/>
    <w:rsid w:val="00AE4B14"/>
    <w:rsid w:val="00AE5D6D"/>
    <w:rsid w:val="00AE6240"/>
    <w:rsid w:val="00AE6349"/>
    <w:rsid w:val="00AE72F9"/>
    <w:rsid w:val="00B119B7"/>
    <w:rsid w:val="00B11F6F"/>
    <w:rsid w:val="00B152B0"/>
    <w:rsid w:val="00B20685"/>
    <w:rsid w:val="00B210FE"/>
    <w:rsid w:val="00B21414"/>
    <w:rsid w:val="00B24948"/>
    <w:rsid w:val="00B2625D"/>
    <w:rsid w:val="00B316C7"/>
    <w:rsid w:val="00B345FC"/>
    <w:rsid w:val="00B46D5C"/>
    <w:rsid w:val="00B517D3"/>
    <w:rsid w:val="00B560D1"/>
    <w:rsid w:val="00B6015A"/>
    <w:rsid w:val="00B60347"/>
    <w:rsid w:val="00B61EFD"/>
    <w:rsid w:val="00B6636A"/>
    <w:rsid w:val="00B75DBB"/>
    <w:rsid w:val="00B76991"/>
    <w:rsid w:val="00B76AFB"/>
    <w:rsid w:val="00B77172"/>
    <w:rsid w:val="00B77835"/>
    <w:rsid w:val="00B8292E"/>
    <w:rsid w:val="00B85B2D"/>
    <w:rsid w:val="00B85D6D"/>
    <w:rsid w:val="00B86A5E"/>
    <w:rsid w:val="00B91FB5"/>
    <w:rsid w:val="00B92CD6"/>
    <w:rsid w:val="00B9398A"/>
    <w:rsid w:val="00B9495E"/>
    <w:rsid w:val="00B97D0B"/>
    <w:rsid w:val="00BB1E9B"/>
    <w:rsid w:val="00BB2383"/>
    <w:rsid w:val="00BB255F"/>
    <w:rsid w:val="00BC15F7"/>
    <w:rsid w:val="00BC5138"/>
    <w:rsid w:val="00BC76DB"/>
    <w:rsid w:val="00BD0396"/>
    <w:rsid w:val="00BD11E4"/>
    <w:rsid w:val="00BD603A"/>
    <w:rsid w:val="00BD6F14"/>
    <w:rsid w:val="00BE1C42"/>
    <w:rsid w:val="00BE236C"/>
    <w:rsid w:val="00BE25AA"/>
    <w:rsid w:val="00BE471C"/>
    <w:rsid w:val="00BE5C44"/>
    <w:rsid w:val="00BF3C2B"/>
    <w:rsid w:val="00BF4A8E"/>
    <w:rsid w:val="00BF7D17"/>
    <w:rsid w:val="00C011AB"/>
    <w:rsid w:val="00C05407"/>
    <w:rsid w:val="00C103A5"/>
    <w:rsid w:val="00C11191"/>
    <w:rsid w:val="00C12426"/>
    <w:rsid w:val="00C12C77"/>
    <w:rsid w:val="00C263B1"/>
    <w:rsid w:val="00C26F2D"/>
    <w:rsid w:val="00C26FF1"/>
    <w:rsid w:val="00C425BC"/>
    <w:rsid w:val="00C44ACA"/>
    <w:rsid w:val="00C466A8"/>
    <w:rsid w:val="00C55C49"/>
    <w:rsid w:val="00C633CB"/>
    <w:rsid w:val="00C829A5"/>
    <w:rsid w:val="00C84737"/>
    <w:rsid w:val="00C92A52"/>
    <w:rsid w:val="00C94AC0"/>
    <w:rsid w:val="00CA0EC2"/>
    <w:rsid w:val="00CA18D9"/>
    <w:rsid w:val="00CC2029"/>
    <w:rsid w:val="00CC56C9"/>
    <w:rsid w:val="00CC6B86"/>
    <w:rsid w:val="00CD595A"/>
    <w:rsid w:val="00CD6B55"/>
    <w:rsid w:val="00CF3FEB"/>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600A4"/>
    <w:rsid w:val="00D61A89"/>
    <w:rsid w:val="00D61CE8"/>
    <w:rsid w:val="00D660CB"/>
    <w:rsid w:val="00D72076"/>
    <w:rsid w:val="00D74337"/>
    <w:rsid w:val="00D74382"/>
    <w:rsid w:val="00D81C73"/>
    <w:rsid w:val="00D8205D"/>
    <w:rsid w:val="00D830B8"/>
    <w:rsid w:val="00D83729"/>
    <w:rsid w:val="00D90AEB"/>
    <w:rsid w:val="00D91720"/>
    <w:rsid w:val="00D91A9A"/>
    <w:rsid w:val="00D92A0C"/>
    <w:rsid w:val="00D95EFE"/>
    <w:rsid w:val="00D97F9A"/>
    <w:rsid w:val="00DA4003"/>
    <w:rsid w:val="00DA4312"/>
    <w:rsid w:val="00DA5917"/>
    <w:rsid w:val="00DB36C5"/>
    <w:rsid w:val="00DB6BDF"/>
    <w:rsid w:val="00DB78B7"/>
    <w:rsid w:val="00DC0704"/>
    <w:rsid w:val="00DC75D2"/>
    <w:rsid w:val="00DC762E"/>
    <w:rsid w:val="00DD1837"/>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10E"/>
    <w:rsid w:val="00E31C5E"/>
    <w:rsid w:val="00E3354E"/>
    <w:rsid w:val="00E373EF"/>
    <w:rsid w:val="00E41FE9"/>
    <w:rsid w:val="00E45D2E"/>
    <w:rsid w:val="00E5196D"/>
    <w:rsid w:val="00E539C0"/>
    <w:rsid w:val="00E55973"/>
    <w:rsid w:val="00E559D5"/>
    <w:rsid w:val="00E57072"/>
    <w:rsid w:val="00E74052"/>
    <w:rsid w:val="00E81174"/>
    <w:rsid w:val="00E82E17"/>
    <w:rsid w:val="00E83794"/>
    <w:rsid w:val="00E84EA6"/>
    <w:rsid w:val="00E85340"/>
    <w:rsid w:val="00E924E8"/>
    <w:rsid w:val="00E97729"/>
    <w:rsid w:val="00E97923"/>
    <w:rsid w:val="00EB46A7"/>
    <w:rsid w:val="00ED0C7E"/>
    <w:rsid w:val="00EE49DE"/>
    <w:rsid w:val="00EE7F1C"/>
    <w:rsid w:val="00EF2565"/>
    <w:rsid w:val="00F02433"/>
    <w:rsid w:val="00F02CEA"/>
    <w:rsid w:val="00F0357E"/>
    <w:rsid w:val="00F12E35"/>
    <w:rsid w:val="00F13566"/>
    <w:rsid w:val="00F207F0"/>
    <w:rsid w:val="00F228D5"/>
    <w:rsid w:val="00F230DF"/>
    <w:rsid w:val="00F24170"/>
    <w:rsid w:val="00F24AE8"/>
    <w:rsid w:val="00F32856"/>
    <w:rsid w:val="00F37D1C"/>
    <w:rsid w:val="00F42087"/>
    <w:rsid w:val="00F51228"/>
    <w:rsid w:val="00F5374F"/>
    <w:rsid w:val="00F57FC6"/>
    <w:rsid w:val="00F637C2"/>
    <w:rsid w:val="00F65A70"/>
    <w:rsid w:val="00F663D9"/>
    <w:rsid w:val="00F66A79"/>
    <w:rsid w:val="00F709FB"/>
    <w:rsid w:val="00F923C5"/>
    <w:rsid w:val="00F929AB"/>
    <w:rsid w:val="00FA063E"/>
    <w:rsid w:val="00FA0DB5"/>
    <w:rsid w:val="00FA27CA"/>
    <w:rsid w:val="00FA48E9"/>
    <w:rsid w:val="00FB01DD"/>
    <w:rsid w:val="00FB0242"/>
    <w:rsid w:val="00FB7781"/>
    <w:rsid w:val="00FC65C6"/>
    <w:rsid w:val="00FC7E3F"/>
    <w:rsid w:val="00FD186A"/>
    <w:rsid w:val="00FD45FC"/>
    <w:rsid w:val="00FD7227"/>
    <w:rsid w:val="00FD7431"/>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3C54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character" w:customStyle="1" w:styleId="HeaderChar">
    <w:name w:val="Header Char"/>
    <w:basedOn w:val="DefaultParagraphFont"/>
    <w:link w:val="Header"/>
    <w:uiPriority w:val="99"/>
    <w:rsid w:val="001C7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2014-12-15T08:00:00+00:00</OpenedDate>
    <Date1 xmlns="dc463f71-b30c-4ab2-9473-d307f9d35888">2015-06-11T07:00:00+00:00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144100</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D1AF83BF635A49AEC9D0761A065129" ma:contentTypeVersion="175" ma:contentTypeDescription="" ma:contentTypeScope="" ma:versionID="850b0ac192056af3daefc06d14c41f1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93915-EDB6-4A5E-A799-8B5E25199C06}"/>
</file>

<file path=customXml/itemProps2.xml><?xml version="1.0" encoding="utf-8"?>
<ds:datastoreItem xmlns:ds="http://schemas.openxmlformats.org/officeDocument/2006/customXml" ds:itemID="{BD6E1C8C-E64A-4DBC-B992-0F27EEAD0C10}"/>
</file>

<file path=customXml/itemProps3.xml><?xml version="1.0" encoding="utf-8"?>
<ds:datastoreItem xmlns:ds="http://schemas.openxmlformats.org/officeDocument/2006/customXml" ds:itemID="{DF0FE165-C922-4439-BA2D-DC4D98F6BCCE}"/>
</file>

<file path=customXml/itemProps4.xml><?xml version="1.0" encoding="utf-8"?>
<ds:datastoreItem xmlns:ds="http://schemas.openxmlformats.org/officeDocument/2006/customXml" ds:itemID="{8D6EF0DC-853D-450C-8E60-CDBB5DAC0FA2}"/>
</file>

<file path=customXml/itemProps5.xml><?xml version="1.0" encoding="utf-8"?>
<ds:datastoreItem xmlns:ds="http://schemas.openxmlformats.org/officeDocument/2006/customXml" ds:itemID="{8E3617B3-D2FB-498D-A4E7-A173F1FAFFD6}"/>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2015-06-11T18:05:00Z</dcterms:created>
  <dcterms:modified xsi:type="dcterms:W3CDTF">2015-06-11T18:05:00Z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0x0101006E56B4D1795A2E4DB2F0B01679ED314A00DFD1AF83BF635A49AEC9D0761A065129</vt:lpwstr>
  </property>
  <property fmtid="{D5CDD505-2E9C-101B-9397-08002B2CF9AE}" pid="3" name="_docset_NoMedatataSyncRequired">
    <vt:lpwstr>False</vt:lpwstr>
  </property>
</Properties>
</file>