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5D13A" w14:textId="59BEB396" w:rsidR="00633FE5" w:rsidRPr="00474A0A" w:rsidRDefault="00633FE5" w:rsidP="00474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bookmarkStart w:id="0" w:name="_GoBack"/>
      <w:bookmarkEnd w:id="0"/>
      <w:r w:rsidRPr="00C9072F">
        <w:rPr>
          <w:rFonts w:ascii="Times New Roman" w:hAnsi="Times New Roman"/>
          <w:bCs/>
          <w:sz w:val="24"/>
        </w:rPr>
        <w:t>Agenda Date:</w:t>
      </w:r>
      <w:r w:rsidRPr="00474A0A">
        <w:rPr>
          <w:rFonts w:ascii="Times New Roman" w:hAnsi="Times New Roman"/>
          <w:b/>
          <w:bCs/>
          <w:sz w:val="24"/>
        </w:rPr>
        <w:tab/>
      </w:r>
      <w:r w:rsidRPr="00474A0A">
        <w:rPr>
          <w:rFonts w:ascii="Times New Roman" w:hAnsi="Times New Roman"/>
          <w:b/>
          <w:bCs/>
          <w:sz w:val="24"/>
        </w:rPr>
        <w:tab/>
      </w:r>
      <w:r w:rsidR="00A77552" w:rsidRPr="00474A0A">
        <w:rPr>
          <w:rFonts w:ascii="Times New Roman" w:hAnsi="Times New Roman"/>
          <w:bCs/>
          <w:sz w:val="24"/>
        </w:rPr>
        <w:t xml:space="preserve">October </w:t>
      </w:r>
      <w:r w:rsidR="00474A0A" w:rsidRPr="00474A0A">
        <w:rPr>
          <w:rFonts w:ascii="Times New Roman" w:hAnsi="Times New Roman"/>
          <w:bCs/>
          <w:sz w:val="24"/>
        </w:rPr>
        <w:t>30</w:t>
      </w:r>
      <w:r w:rsidR="00A77552" w:rsidRPr="00474A0A">
        <w:rPr>
          <w:rFonts w:ascii="Times New Roman" w:hAnsi="Times New Roman"/>
          <w:bCs/>
          <w:sz w:val="24"/>
        </w:rPr>
        <w:t>, 201</w:t>
      </w:r>
      <w:r w:rsidR="00025A51">
        <w:rPr>
          <w:rFonts w:ascii="Times New Roman" w:hAnsi="Times New Roman"/>
          <w:bCs/>
          <w:sz w:val="24"/>
        </w:rPr>
        <w:t>4</w:t>
      </w:r>
    </w:p>
    <w:p w14:paraId="04D5D13B" w14:textId="50CEFFB2" w:rsidR="00633FE5" w:rsidRPr="004970DA" w:rsidRDefault="0094336B"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Item Number</w:t>
      </w:r>
      <w:r w:rsidR="00633FE5" w:rsidRPr="004970DA">
        <w:rPr>
          <w:rFonts w:ascii="Times New Roman" w:hAnsi="Times New Roman"/>
          <w:sz w:val="24"/>
        </w:rPr>
        <w:t>:</w:t>
      </w:r>
      <w:r w:rsidR="00633FE5" w:rsidRPr="004970DA">
        <w:rPr>
          <w:rFonts w:ascii="Times New Roman" w:hAnsi="Times New Roman"/>
          <w:sz w:val="24"/>
        </w:rPr>
        <w:tab/>
      </w:r>
      <w:r w:rsidR="00497E69" w:rsidRPr="004970DA">
        <w:rPr>
          <w:rFonts w:ascii="Times New Roman" w:hAnsi="Times New Roman"/>
          <w:sz w:val="24"/>
        </w:rPr>
        <w:tab/>
        <w:t>A</w:t>
      </w:r>
      <w:r w:rsidR="004E650E">
        <w:rPr>
          <w:rFonts w:ascii="Times New Roman" w:hAnsi="Times New Roman"/>
          <w:sz w:val="24"/>
        </w:rPr>
        <w:t>5</w:t>
      </w:r>
    </w:p>
    <w:p w14:paraId="04D5D13C" w14:textId="77777777" w:rsidR="00633FE5" w:rsidRPr="004970DA" w:rsidRDefault="00633FE5" w:rsidP="00536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3D" w14:textId="5073D4A3"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r w:rsidRPr="004970DA">
        <w:rPr>
          <w:rFonts w:ascii="Times New Roman" w:hAnsi="Times New Roman"/>
          <w:b/>
          <w:bCs/>
          <w:sz w:val="24"/>
        </w:rPr>
        <w:t xml:space="preserve">Docket: </w:t>
      </w:r>
      <w:r w:rsidRPr="004970DA">
        <w:rPr>
          <w:rFonts w:ascii="Times New Roman" w:hAnsi="Times New Roman"/>
          <w:b/>
          <w:bCs/>
          <w:sz w:val="24"/>
        </w:rPr>
        <w:tab/>
      </w:r>
      <w:r w:rsidRPr="004970DA">
        <w:rPr>
          <w:rFonts w:ascii="Times New Roman" w:hAnsi="Times New Roman"/>
          <w:b/>
          <w:bCs/>
          <w:sz w:val="24"/>
        </w:rPr>
        <w:tab/>
        <w:t>UG-</w:t>
      </w:r>
      <w:r w:rsidR="00EB5440" w:rsidRPr="004970DA">
        <w:rPr>
          <w:rFonts w:ascii="Times New Roman" w:hAnsi="Times New Roman"/>
          <w:b/>
          <w:bCs/>
          <w:sz w:val="24"/>
        </w:rPr>
        <w:t>1</w:t>
      </w:r>
      <w:r w:rsidR="00025A51">
        <w:rPr>
          <w:rFonts w:ascii="Times New Roman" w:hAnsi="Times New Roman"/>
          <w:b/>
          <w:bCs/>
          <w:sz w:val="24"/>
        </w:rPr>
        <w:t>43433</w:t>
      </w:r>
    </w:p>
    <w:p w14:paraId="04D5D13E" w14:textId="6410FF4F"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Company Name:</w:t>
      </w:r>
      <w:r w:rsidRPr="004970DA">
        <w:rPr>
          <w:rFonts w:ascii="Times New Roman" w:hAnsi="Times New Roman"/>
          <w:sz w:val="24"/>
        </w:rPr>
        <w:tab/>
        <w:t>Puget Sound Energy</w:t>
      </w:r>
    </w:p>
    <w:p w14:paraId="04D5D13F"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0" w14:textId="6DAF33F9" w:rsidR="00633FE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u w:val="single"/>
        </w:rPr>
        <w:t>Staff:</w:t>
      </w:r>
      <w:r w:rsidRPr="004970DA">
        <w:rPr>
          <w:rFonts w:ascii="Times New Roman" w:hAnsi="Times New Roman"/>
          <w:sz w:val="24"/>
        </w:rPr>
        <w:tab/>
      </w:r>
      <w:r w:rsidRPr="004970DA">
        <w:rPr>
          <w:rFonts w:ascii="Times New Roman" w:hAnsi="Times New Roman"/>
          <w:sz w:val="24"/>
        </w:rPr>
        <w:tab/>
      </w:r>
      <w:r w:rsidRPr="004970DA">
        <w:rPr>
          <w:rFonts w:ascii="Times New Roman" w:hAnsi="Times New Roman"/>
          <w:sz w:val="24"/>
        </w:rPr>
        <w:tab/>
      </w:r>
      <w:r w:rsidR="00025A51">
        <w:rPr>
          <w:rFonts w:ascii="Times New Roman" w:hAnsi="Times New Roman"/>
          <w:sz w:val="24"/>
        </w:rPr>
        <w:t>Joanna Huang</w:t>
      </w:r>
      <w:r w:rsidR="00EC12A3" w:rsidRPr="004970DA">
        <w:rPr>
          <w:rFonts w:ascii="Times New Roman" w:hAnsi="Times New Roman"/>
          <w:sz w:val="24"/>
        </w:rPr>
        <w:t>, Regulatory Analyst</w:t>
      </w:r>
    </w:p>
    <w:p w14:paraId="04D5D141" w14:textId="4E55D3DA" w:rsidR="009B602E" w:rsidRPr="004970DA" w:rsidRDefault="009B602E"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8B6BFE">
        <w:rPr>
          <w:rFonts w:ascii="Times New Roman" w:hAnsi="Times New Roman"/>
          <w:sz w:val="24"/>
        </w:rPr>
        <w:t xml:space="preserve">Jing Liu, </w:t>
      </w:r>
      <w:r w:rsidR="008B6BFE" w:rsidRPr="004970DA">
        <w:rPr>
          <w:rFonts w:ascii="Times New Roman" w:hAnsi="Times New Roman"/>
          <w:sz w:val="24"/>
        </w:rPr>
        <w:t>Regulatory Analyst</w:t>
      </w:r>
    </w:p>
    <w:p w14:paraId="04D5D142" w14:textId="77777777" w:rsidR="00633FE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3" w14:textId="77777777" w:rsidR="00474A0A" w:rsidRPr="004970DA" w:rsidRDefault="00474A0A"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4" w14:textId="77777777" w:rsidR="00633FE5" w:rsidRPr="00025483" w:rsidRDefault="00633FE5" w:rsidP="00025483">
      <w:pPr>
        <w:pStyle w:val="Heading1"/>
        <w:rPr>
          <w:rStyle w:val="BookTitle"/>
        </w:rPr>
      </w:pPr>
      <w:r w:rsidRPr="00025483">
        <w:rPr>
          <w:rStyle w:val="BookTitle"/>
        </w:rPr>
        <w:t>Recommendation</w:t>
      </w:r>
    </w:p>
    <w:p w14:paraId="04D5D145" w14:textId="77777777" w:rsidR="00633FE5" w:rsidRPr="008007AF"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6" w14:textId="2D454716" w:rsidR="00F273C6" w:rsidRPr="004970DA" w:rsidRDefault="009467D6"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8007AF">
        <w:rPr>
          <w:rFonts w:ascii="Times New Roman" w:hAnsi="Times New Roman"/>
          <w:sz w:val="24"/>
        </w:rPr>
        <w:t>Take no action</w:t>
      </w:r>
      <w:r w:rsidR="004B3D34">
        <w:rPr>
          <w:rFonts w:ascii="Times New Roman" w:hAnsi="Times New Roman"/>
          <w:sz w:val="24"/>
        </w:rPr>
        <w:t xml:space="preserve"> thereby</w:t>
      </w:r>
      <w:r w:rsidRPr="008007AF">
        <w:rPr>
          <w:rFonts w:ascii="Times New Roman" w:hAnsi="Times New Roman"/>
          <w:sz w:val="24"/>
        </w:rPr>
        <w:t xml:space="preserve"> allowing the </w:t>
      </w:r>
      <w:r w:rsidR="000A681F" w:rsidRPr="008007AF">
        <w:rPr>
          <w:rFonts w:ascii="Times New Roman" w:hAnsi="Times New Roman"/>
          <w:sz w:val="24"/>
        </w:rPr>
        <w:t xml:space="preserve">tariff </w:t>
      </w:r>
      <w:r w:rsidRPr="008007AF">
        <w:rPr>
          <w:rFonts w:ascii="Times New Roman" w:hAnsi="Times New Roman"/>
          <w:sz w:val="24"/>
        </w:rPr>
        <w:t>revis</w:t>
      </w:r>
      <w:r w:rsidR="000A681F" w:rsidRPr="008007AF">
        <w:rPr>
          <w:rFonts w:ascii="Times New Roman" w:hAnsi="Times New Roman"/>
          <w:sz w:val="24"/>
        </w:rPr>
        <w:t>ions</w:t>
      </w:r>
      <w:r w:rsidRPr="008007AF">
        <w:rPr>
          <w:rFonts w:ascii="Times New Roman" w:hAnsi="Times New Roman"/>
          <w:sz w:val="24"/>
        </w:rPr>
        <w:t xml:space="preserve"> </w:t>
      </w:r>
      <w:r w:rsidR="004B3D34">
        <w:rPr>
          <w:rFonts w:ascii="Times New Roman" w:hAnsi="Times New Roman"/>
          <w:sz w:val="24"/>
        </w:rPr>
        <w:t>filed in Docket UG-1</w:t>
      </w:r>
      <w:r w:rsidR="00025A51">
        <w:rPr>
          <w:rFonts w:ascii="Times New Roman" w:hAnsi="Times New Roman"/>
          <w:sz w:val="24"/>
        </w:rPr>
        <w:t>43433</w:t>
      </w:r>
      <w:r w:rsidR="004B3D34">
        <w:rPr>
          <w:rFonts w:ascii="Times New Roman" w:hAnsi="Times New Roman"/>
          <w:sz w:val="24"/>
        </w:rPr>
        <w:t xml:space="preserve"> </w:t>
      </w:r>
      <w:r w:rsidRPr="008007AF">
        <w:rPr>
          <w:rFonts w:ascii="Times New Roman" w:hAnsi="Times New Roman"/>
          <w:sz w:val="24"/>
        </w:rPr>
        <w:t>to become effective</w:t>
      </w:r>
      <w:r w:rsidRPr="009467D6">
        <w:rPr>
          <w:rFonts w:ascii="Times New Roman" w:hAnsi="Times New Roman"/>
          <w:sz w:val="24"/>
        </w:rPr>
        <w:t xml:space="preserve"> by operation of law</w:t>
      </w:r>
      <w:r w:rsidR="00F273C6" w:rsidRPr="004970DA">
        <w:rPr>
          <w:rFonts w:ascii="Times New Roman" w:hAnsi="Times New Roman"/>
          <w:sz w:val="24"/>
        </w:rPr>
        <w:t>.</w:t>
      </w:r>
    </w:p>
    <w:p w14:paraId="04D5D147"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8" w14:textId="77777777" w:rsidR="00633FE5" w:rsidRPr="00025483" w:rsidRDefault="00633FE5" w:rsidP="00025483">
      <w:pPr>
        <w:pStyle w:val="Heading1"/>
        <w:rPr>
          <w:rStyle w:val="BookTitle"/>
        </w:rPr>
      </w:pPr>
      <w:r w:rsidRPr="00025483">
        <w:rPr>
          <w:rStyle w:val="BookTitle"/>
        </w:rPr>
        <w:t>Background</w:t>
      </w:r>
    </w:p>
    <w:p w14:paraId="04D5D149" w14:textId="77777777" w:rsidR="00633FE5" w:rsidRPr="004970DA" w:rsidRDefault="00633FE5" w:rsidP="00633FE5">
      <w:pPr>
        <w:rPr>
          <w:rFonts w:ascii="Times New Roman" w:hAnsi="Times New Roman"/>
          <w:sz w:val="24"/>
        </w:rPr>
      </w:pPr>
    </w:p>
    <w:p w14:paraId="04D5D14A" w14:textId="7B1F53FC" w:rsidR="00420096" w:rsidRDefault="00633FE5" w:rsidP="00633FE5">
      <w:pPr>
        <w:rPr>
          <w:rFonts w:ascii="Times New Roman" w:hAnsi="Times New Roman"/>
          <w:sz w:val="24"/>
        </w:rPr>
      </w:pPr>
      <w:r w:rsidRPr="008007AF">
        <w:rPr>
          <w:rFonts w:ascii="Times New Roman" w:hAnsi="Times New Roman"/>
          <w:sz w:val="24"/>
        </w:rPr>
        <w:t xml:space="preserve">On </w:t>
      </w:r>
      <w:r w:rsidR="00FB2E5A" w:rsidRPr="008007AF">
        <w:rPr>
          <w:rFonts w:ascii="Times New Roman" w:hAnsi="Times New Roman"/>
          <w:sz w:val="24"/>
        </w:rPr>
        <w:t xml:space="preserve">September </w:t>
      </w:r>
      <w:r w:rsidR="002E5D7F">
        <w:rPr>
          <w:rFonts w:ascii="Times New Roman" w:hAnsi="Times New Roman"/>
          <w:sz w:val="24"/>
        </w:rPr>
        <w:t>18</w:t>
      </w:r>
      <w:r w:rsidR="00EC12A3" w:rsidRPr="008007AF">
        <w:rPr>
          <w:rFonts w:ascii="Times New Roman" w:hAnsi="Times New Roman"/>
          <w:sz w:val="24"/>
        </w:rPr>
        <w:t xml:space="preserve">, </w:t>
      </w:r>
      <w:r w:rsidRPr="008007AF">
        <w:rPr>
          <w:rFonts w:ascii="Times New Roman" w:hAnsi="Times New Roman"/>
          <w:sz w:val="24"/>
        </w:rPr>
        <w:t>20</w:t>
      </w:r>
      <w:r w:rsidR="00A77552" w:rsidRPr="008007AF">
        <w:rPr>
          <w:rFonts w:ascii="Times New Roman" w:hAnsi="Times New Roman"/>
          <w:sz w:val="24"/>
        </w:rPr>
        <w:t>1</w:t>
      </w:r>
      <w:r w:rsidR="002E5D7F">
        <w:rPr>
          <w:rFonts w:ascii="Times New Roman" w:hAnsi="Times New Roman"/>
          <w:sz w:val="24"/>
        </w:rPr>
        <w:t>4</w:t>
      </w:r>
      <w:r w:rsidRPr="008007AF">
        <w:rPr>
          <w:rFonts w:ascii="Times New Roman" w:hAnsi="Times New Roman"/>
          <w:sz w:val="24"/>
        </w:rPr>
        <w:t xml:space="preserve">, Puget Sound Energy (PSE or </w:t>
      </w:r>
      <w:r w:rsidR="00E62FFA" w:rsidRPr="008007AF">
        <w:rPr>
          <w:rFonts w:ascii="Times New Roman" w:hAnsi="Times New Roman"/>
          <w:sz w:val="24"/>
        </w:rPr>
        <w:t>c</w:t>
      </w:r>
      <w:r w:rsidRPr="008007AF">
        <w:rPr>
          <w:rFonts w:ascii="Times New Roman" w:hAnsi="Times New Roman"/>
          <w:sz w:val="24"/>
        </w:rPr>
        <w:t xml:space="preserve">ompany) filed </w:t>
      </w:r>
      <w:r w:rsidR="00FB2E5A" w:rsidRPr="008007AF">
        <w:rPr>
          <w:rFonts w:ascii="Times New Roman" w:hAnsi="Times New Roman"/>
          <w:sz w:val="24"/>
        </w:rPr>
        <w:t xml:space="preserve">with the Utilities and Transportation Commission (commission) </w:t>
      </w:r>
      <w:r w:rsidR="004B3D34">
        <w:rPr>
          <w:rFonts w:ascii="Times New Roman" w:hAnsi="Times New Roman"/>
          <w:sz w:val="24"/>
        </w:rPr>
        <w:t xml:space="preserve">to revise WN U-2 </w:t>
      </w:r>
      <w:r w:rsidR="00FB2E5A" w:rsidRPr="008007AF">
        <w:rPr>
          <w:rFonts w:ascii="Times New Roman" w:hAnsi="Times New Roman"/>
          <w:sz w:val="24"/>
        </w:rPr>
        <w:t>tariff</w:t>
      </w:r>
      <w:r w:rsidR="004B3D34">
        <w:rPr>
          <w:rFonts w:ascii="Times New Roman" w:hAnsi="Times New Roman"/>
          <w:sz w:val="24"/>
        </w:rPr>
        <w:t xml:space="preserve"> for natural gas service</w:t>
      </w:r>
      <w:r w:rsidR="008C0679">
        <w:rPr>
          <w:rFonts w:ascii="Times New Roman" w:hAnsi="Times New Roman"/>
          <w:sz w:val="24"/>
        </w:rPr>
        <w:t xml:space="preserve"> in docket UG-143433</w:t>
      </w:r>
      <w:r w:rsidR="004B3D34">
        <w:rPr>
          <w:rFonts w:ascii="Times New Roman" w:hAnsi="Times New Roman"/>
          <w:sz w:val="24"/>
        </w:rPr>
        <w:t>.</w:t>
      </w:r>
      <w:r w:rsidR="00873905">
        <w:rPr>
          <w:rFonts w:ascii="Times New Roman" w:hAnsi="Times New Roman"/>
          <w:sz w:val="24"/>
        </w:rPr>
        <w:t xml:space="preserve"> </w:t>
      </w:r>
      <w:r w:rsidR="004B3D34">
        <w:rPr>
          <w:rFonts w:ascii="Times New Roman" w:hAnsi="Times New Roman"/>
          <w:sz w:val="24"/>
        </w:rPr>
        <w:t>The</w:t>
      </w:r>
      <w:r w:rsidR="00FB2E5A" w:rsidRPr="008007AF">
        <w:rPr>
          <w:rFonts w:ascii="Times New Roman" w:hAnsi="Times New Roman"/>
          <w:sz w:val="24"/>
        </w:rPr>
        <w:t xml:space="preserve"> revisions</w:t>
      </w:r>
      <w:r w:rsidR="004B3D34">
        <w:rPr>
          <w:rFonts w:ascii="Times New Roman" w:hAnsi="Times New Roman"/>
          <w:sz w:val="24"/>
        </w:rPr>
        <w:t xml:space="preserve"> request the approval of the 3</w:t>
      </w:r>
      <w:r w:rsidR="002E5D7F">
        <w:rPr>
          <w:rFonts w:ascii="Times New Roman" w:hAnsi="Times New Roman"/>
          <w:sz w:val="24"/>
        </w:rPr>
        <w:t>8</w:t>
      </w:r>
      <w:r w:rsidR="004B3D34" w:rsidRPr="00873905">
        <w:rPr>
          <w:rFonts w:ascii="Times New Roman" w:hAnsi="Times New Roman"/>
          <w:sz w:val="24"/>
          <w:vertAlign w:val="superscript"/>
        </w:rPr>
        <w:t>th</w:t>
      </w:r>
      <w:r w:rsidR="004B3D34">
        <w:rPr>
          <w:rFonts w:ascii="Times New Roman" w:hAnsi="Times New Roman"/>
          <w:sz w:val="24"/>
        </w:rPr>
        <w:t xml:space="preserve"> Revision of Sheet No. 1101</w:t>
      </w:r>
      <w:r w:rsidR="003944FB">
        <w:rPr>
          <w:rFonts w:ascii="Times New Roman" w:hAnsi="Times New Roman"/>
          <w:sz w:val="24"/>
        </w:rPr>
        <w:t xml:space="preserve"> – </w:t>
      </w:r>
      <w:r w:rsidR="004B3D34">
        <w:rPr>
          <w:rFonts w:ascii="Times New Roman" w:hAnsi="Times New Roman"/>
          <w:sz w:val="24"/>
        </w:rPr>
        <w:t>Gas Cost Rates; the 4</w:t>
      </w:r>
      <w:r w:rsidR="002E5D7F">
        <w:rPr>
          <w:rFonts w:ascii="Times New Roman" w:hAnsi="Times New Roman"/>
          <w:sz w:val="24"/>
        </w:rPr>
        <w:t>1</w:t>
      </w:r>
      <w:r w:rsidR="002E5D7F" w:rsidRPr="002E5D7F">
        <w:rPr>
          <w:rFonts w:ascii="Times New Roman" w:hAnsi="Times New Roman"/>
          <w:sz w:val="24"/>
          <w:vertAlign w:val="superscript"/>
        </w:rPr>
        <w:t>st</w:t>
      </w:r>
      <w:r w:rsidR="004B3D34">
        <w:rPr>
          <w:rFonts w:ascii="Times New Roman" w:hAnsi="Times New Roman"/>
          <w:sz w:val="24"/>
        </w:rPr>
        <w:t xml:space="preserve"> Revision of Sheet No. 1106 – Deferred Account Adjustment</w:t>
      </w:r>
      <w:r w:rsidR="008C0679">
        <w:rPr>
          <w:rFonts w:ascii="Times New Roman" w:hAnsi="Times New Roman"/>
          <w:sz w:val="24"/>
        </w:rPr>
        <w:t xml:space="preserve">. </w:t>
      </w:r>
      <w:r w:rsidR="00420096">
        <w:rPr>
          <w:rFonts w:ascii="Times New Roman" w:hAnsi="Times New Roman"/>
          <w:sz w:val="24"/>
        </w:rPr>
        <w:t>The tariff sheets have an effective date of November 1, 201</w:t>
      </w:r>
      <w:r w:rsidR="002E5D7F">
        <w:rPr>
          <w:rFonts w:ascii="Times New Roman" w:hAnsi="Times New Roman"/>
          <w:sz w:val="24"/>
        </w:rPr>
        <w:t>4</w:t>
      </w:r>
      <w:r w:rsidR="00420096">
        <w:rPr>
          <w:rFonts w:ascii="Times New Roman" w:hAnsi="Times New Roman"/>
          <w:sz w:val="24"/>
        </w:rPr>
        <w:t>.</w:t>
      </w:r>
    </w:p>
    <w:p w14:paraId="04D5D14B" w14:textId="77777777" w:rsidR="00420096" w:rsidRDefault="00420096" w:rsidP="00633FE5">
      <w:pPr>
        <w:rPr>
          <w:rFonts w:ascii="Times New Roman" w:hAnsi="Times New Roman"/>
          <w:sz w:val="24"/>
        </w:rPr>
      </w:pPr>
    </w:p>
    <w:p w14:paraId="04D5D14C" w14:textId="7BE5E606" w:rsidR="00633FE5" w:rsidRPr="004970DA" w:rsidRDefault="00C14DFE" w:rsidP="00633FE5">
      <w:pPr>
        <w:rPr>
          <w:rFonts w:ascii="Times New Roman" w:hAnsi="Times New Roman"/>
          <w:sz w:val="24"/>
        </w:rPr>
      </w:pPr>
      <w:r>
        <w:rPr>
          <w:rFonts w:ascii="Times New Roman" w:hAnsi="Times New Roman"/>
          <w:sz w:val="24"/>
        </w:rPr>
        <w:lastRenderedPageBreak/>
        <w:t>UG-1</w:t>
      </w:r>
      <w:r w:rsidR="002E5D7F">
        <w:rPr>
          <w:rFonts w:ascii="Times New Roman" w:hAnsi="Times New Roman"/>
          <w:sz w:val="24"/>
        </w:rPr>
        <w:t>43433</w:t>
      </w:r>
      <w:r>
        <w:rPr>
          <w:rFonts w:ascii="Times New Roman" w:hAnsi="Times New Roman"/>
          <w:sz w:val="24"/>
        </w:rPr>
        <w:t xml:space="preserve"> </w:t>
      </w:r>
      <w:r w:rsidR="005C4C0D">
        <w:rPr>
          <w:rFonts w:ascii="Times New Roman" w:hAnsi="Times New Roman"/>
          <w:sz w:val="24"/>
        </w:rPr>
        <w:t>incluses</w:t>
      </w:r>
      <w:r w:rsidR="00420096">
        <w:rPr>
          <w:rFonts w:ascii="Times New Roman" w:hAnsi="Times New Roman"/>
          <w:sz w:val="24"/>
        </w:rPr>
        <w:t xml:space="preserve"> </w:t>
      </w:r>
      <w:r w:rsidR="005C4C0D" w:rsidRPr="008007AF">
        <w:rPr>
          <w:rFonts w:ascii="Times New Roman" w:hAnsi="Times New Roman"/>
          <w:sz w:val="24"/>
        </w:rPr>
        <w:t>PSE</w:t>
      </w:r>
      <w:r w:rsidR="005C4C0D">
        <w:rPr>
          <w:rFonts w:ascii="Times New Roman" w:hAnsi="Times New Roman"/>
          <w:sz w:val="24"/>
        </w:rPr>
        <w:t>’s annual</w:t>
      </w:r>
      <w:r w:rsidR="00873905">
        <w:rPr>
          <w:rFonts w:ascii="Times New Roman" w:hAnsi="Times New Roman"/>
          <w:sz w:val="24"/>
        </w:rPr>
        <w:t xml:space="preserve"> </w:t>
      </w:r>
      <w:r w:rsidR="00633FE5" w:rsidRPr="008007AF">
        <w:rPr>
          <w:rFonts w:ascii="Times New Roman" w:hAnsi="Times New Roman"/>
          <w:sz w:val="24"/>
        </w:rPr>
        <w:t>Purchase</w:t>
      </w:r>
      <w:r w:rsidR="0047045A" w:rsidRPr="008007AF">
        <w:rPr>
          <w:rFonts w:ascii="Times New Roman" w:hAnsi="Times New Roman"/>
          <w:sz w:val="24"/>
        </w:rPr>
        <w:t>d</w:t>
      </w:r>
      <w:r w:rsidR="00633FE5" w:rsidRPr="008007AF">
        <w:rPr>
          <w:rFonts w:ascii="Times New Roman" w:hAnsi="Times New Roman"/>
          <w:sz w:val="24"/>
        </w:rPr>
        <w:t xml:space="preserve"> Gas Adjustment </w:t>
      </w:r>
      <w:r w:rsidR="0047045A" w:rsidRPr="008007AF">
        <w:rPr>
          <w:rFonts w:ascii="Times New Roman" w:hAnsi="Times New Roman"/>
          <w:sz w:val="24"/>
        </w:rPr>
        <w:t xml:space="preserve">(PGA) </w:t>
      </w:r>
      <w:r w:rsidR="00420096">
        <w:rPr>
          <w:rFonts w:ascii="Times New Roman" w:hAnsi="Times New Roman"/>
          <w:sz w:val="24"/>
        </w:rPr>
        <w:t xml:space="preserve">mechanism </w:t>
      </w:r>
      <w:r w:rsidR="00633FE5" w:rsidRPr="008007AF">
        <w:rPr>
          <w:rFonts w:ascii="Times New Roman" w:hAnsi="Times New Roman"/>
          <w:sz w:val="24"/>
        </w:rPr>
        <w:t xml:space="preserve">and </w:t>
      </w:r>
      <w:r w:rsidR="00FB2E5A" w:rsidRPr="008007AF">
        <w:rPr>
          <w:rFonts w:ascii="Times New Roman" w:hAnsi="Times New Roman"/>
          <w:sz w:val="24"/>
        </w:rPr>
        <w:t>D</w:t>
      </w:r>
      <w:r w:rsidR="00633FE5" w:rsidRPr="008007AF">
        <w:rPr>
          <w:rFonts w:ascii="Times New Roman" w:hAnsi="Times New Roman"/>
          <w:sz w:val="24"/>
        </w:rPr>
        <w:t xml:space="preserve">eferred </w:t>
      </w:r>
      <w:r w:rsidR="00FB2E5A" w:rsidRPr="00602735">
        <w:rPr>
          <w:rFonts w:ascii="Times New Roman" w:hAnsi="Times New Roman"/>
          <w:sz w:val="24"/>
        </w:rPr>
        <w:t>G</w:t>
      </w:r>
      <w:r w:rsidR="00633FE5" w:rsidRPr="00602735">
        <w:rPr>
          <w:rFonts w:ascii="Times New Roman" w:hAnsi="Times New Roman"/>
          <w:sz w:val="24"/>
        </w:rPr>
        <w:t xml:space="preserve">as </w:t>
      </w:r>
      <w:r w:rsidR="00FB2E5A" w:rsidRPr="00602735">
        <w:rPr>
          <w:rFonts w:ascii="Times New Roman" w:hAnsi="Times New Roman"/>
          <w:sz w:val="24"/>
        </w:rPr>
        <w:t>C</w:t>
      </w:r>
      <w:r w:rsidR="00633FE5" w:rsidRPr="00602735">
        <w:rPr>
          <w:rFonts w:ascii="Times New Roman" w:hAnsi="Times New Roman"/>
          <w:sz w:val="24"/>
        </w:rPr>
        <w:t xml:space="preserve">ost </w:t>
      </w:r>
      <w:r w:rsidR="00FB2E5A" w:rsidRPr="00602735">
        <w:rPr>
          <w:rFonts w:ascii="Times New Roman" w:hAnsi="Times New Roman"/>
          <w:sz w:val="24"/>
        </w:rPr>
        <w:t>A</w:t>
      </w:r>
      <w:r w:rsidR="00633FE5" w:rsidRPr="00602735">
        <w:rPr>
          <w:rFonts w:ascii="Times New Roman" w:hAnsi="Times New Roman"/>
          <w:sz w:val="24"/>
        </w:rPr>
        <w:t>mortization</w:t>
      </w:r>
      <w:r w:rsidR="00FB2E5A" w:rsidRPr="00602735">
        <w:rPr>
          <w:rFonts w:ascii="Times New Roman" w:hAnsi="Times New Roman"/>
          <w:sz w:val="24"/>
        </w:rPr>
        <w:t xml:space="preserve"> (Deferral)</w:t>
      </w:r>
      <w:r w:rsidR="00633FE5" w:rsidRPr="00602735">
        <w:rPr>
          <w:rFonts w:ascii="Times New Roman" w:hAnsi="Times New Roman"/>
          <w:sz w:val="24"/>
        </w:rPr>
        <w:t xml:space="preserve"> </w:t>
      </w:r>
      <w:r w:rsidR="00FB2E5A" w:rsidRPr="00602735">
        <w:rPr>
          <w:rFonts w:ascii="Times New Roman" w:hAnsi="Times New Roman"/>
          <w:sz w:val="24"/>
        </w:rPr>
        <w:t>mechanism</w:t>
      </w:r>
      <w:r w:rsidR="00420096">
        <w:rPr>
          <w:rFonts w:ascii="Times New Roman" w:hAnsi="Times New Roman"/>
          <w:sz w:val="24"/>
        </w:rPr>
        <w:t xml:space="preserve">. </w:t>
      </w:r>
      <w:r w:rsidR="005C4C0D">
        <w:rPr>
          <w:rFonts w:ascii="Times New Roman" w:hAnsi="Times New Roman"/>
          <w:sz w:val="24"/>
        </w:rPr>
        <w:t>PSE</w:t>
      </w:r>
      <w:r w:rsidR="00420096">
        <w:rPr>
          <w:rFonts w:ascii="Times New Roman" w:hAnsi="Times New Roman"/>
          <w:sz w:val="24"/>
        </w:rPr>
        <w:t xml:space="preserve"> seeks to</w:t>
      </w:r>
      <w:r w:rsidR="00FB2E5A" w:rsidRPr="00602735">
        <w:rPr>
          <w:rFonts w:ascii="Times New Roman" w:hAnsi="Times New Roman"/>
          <w:sz w:val="24"/>
        </w:rPr>
        <w:t xml:space="preserve"> </w:t>
      </w:r>
      <w:r w:rsidR="00602735" w:rsidRPr="00602735">
        <w:rPr>
          <w:rFonts w:ascii="Times New Roman" w:hAnsi="Times New Roman"/>
          <w:sz w:val="24"/>
        </w:rPr>
        <w:t>in</w:t>
      </w:r>
      <w:r w:rsidR="00FB2E5A" w:rsidRPr="00602735">
        <w:rPr>
          <w:rFonts w:ascii="Times New Roman" w:hAnsi="Times New Roman"/>
          <w:sz w:val="24"/>
        </w:rPr>
        <w:t>crease annual revenue by approximately $</w:t>
      </w:r>
      <w:r w:rsidR="002E5D7F">
        <w:rPr>
          <w:rFonts w:ascii="Times New Roman" w:hAnsi="Times New Roman"/>
          <w:sz w:val="24"/>
        </w:rPr>
        <w:t>23.</w:t>
      </w:r>
      <w:r w:rsidR="0056751A">
        <w:rPr>
          <w:rFonts w:ascii="Times New Roman" w:hAnsi="Times New Roman"/>
          <w:sz w:val="24"/>
        </w:rPr>
        <w:t>3</w:t>
      </w:r>
      <w:r w:rsidR="00FB2E5A" w:rsidRPr="00602735">
        <w:rPr>
          <w:rFonts w:ascii="Times New Roman" w:hAnsi="Times New Roman"/>
          <w:sz w:val="24"/>
        </w:rPr>
        <w:t xml:space="preserve"> million (</w:t>
      </w:r>
      <w:r w:rsidR="002E5D7F">
        <w:rPr>
          <w:rFonts w:ascii="Times New Roman" w:hAnsi="Times New Roman"/>
          <w:sz w:val="24"/>
        </w:rPr>
        <w:t>2</w:t>
      </w:r>
      <w:r w:rsidR="00602735" w:rsidRPr="00602735">
        <w:rPr>
          <w:rFonts w:ascii="Times New Roman" w:hAnsi="Times New Roman"/>
          <w:sz w:val="24"/>
        </w:rPr>
        <w:t>.5</w:t>
      </w:r>
      <w:r w:rsidR="00FB2E5A" w:rsidRPr="00602735">
        <w:rPr>
          <w:rFonts w:ascii="Times New Roman" w:hAnsi="Times New Roman"/>
          <w:sz w:val="24"/>
        </w:rPr>
        <w:t xml:space="preserve"> percent)</w:t>
      </w:r>
      <w:r w:rsidR="005C4C0D">
        <w:rPr>
          <w:rFonts w:ascii="Times New Roman" w:hAnsi="Times New Roman"/>
          <w:sz w:val="24"/>
        </w:rPr>
        <w:t xml:space="preserve"> in this filing</w:t>
      </w:r>
      <w:r w:rsidR="00FB2E5A" w:rsidRPr="00602735">
        <w:rPr>
          <w:rFonts w:ascii="Times New Roman" w:hAnsi="Times New Roman"/>
          <w:sz w:val="24"/>
        </w:rPr>
        <w:t>.</w:t>
      </w:r>
      <w:r w:rsidR="00D178DC" w:rsidRPr="00602735">
        <w:rPr>
          <w:rFonts w:ascii="Times New Roman" w:hAnsi="Times New Roman"/>
          <w:sz w:val="24"/>
        </w:rPr>
        <w:t xml:space="preserve"> </w:t>
      </w:r>
      <w:r w:rsidR="00223A6B" w:rsidRPr="00602735">
        <w:rPr>
          <w:rFonts w:ascii="Times New Roman" w:hAnsi="Times New Roman"/>
          <w:sz w:val="24"/>
        </w:rPr>
        <w:t xml:space="preserve">PSE </w:t>
      </w:r>
      <w:r w:rsidR="00223A6B" w:rsidRPr="00474076">
        <w:rPr>
          <w:rFonts w:ascii="Times New Roman" w:hAnsi="Times New Roman"/>
          <w:sz w:val="24"/>
        </w:rPr>
        <w:t xml:space="preserve">serves </w:t>
      </w:r>
      <w:r w:rsidR="0088779F">
        <w:rPr>
          <w:rFonts w:ascii="Times New Roman" w:hAnsi="Times New Roman"/>
          <w:sz w:val="24"/>
        </w:rPr>
        <w:t>805,176</w:t>
      </w:r>
      <w:r w:rsidR="00223A6B" w:rsidRPr="00474076">
        <w:rPr>
          <w:rFonts w:ascii="Times New Roman" w:hAnsi="Times New Roman"/>
          <w:sz w:val="24"/>
        </w:rPr>
        <w:t xml:space="preserve"> natural gas customers in six counties in Washington – King, Kittitas, Lewis, Pierce, </w:t>
      </w:r>
      <w:r w:rsidR="00223A6B" w:rsidRPr="004970DA">
        <w:rPr>
          <w:rFonts w:ascii="Times New Roman" w:hAnsi="Times New Roman"/>
          <w:sz w:val="24"/>
        </w:rPr>
        <w:t>Snohomish, and Thurston</w:t>
      </w:r>
      <w:r w:rsidR="00FB2E5A" w:rsidRPr="004970DA">
        <w:rPr>
          <w:rFonts w:ascii="Times New Roman" w:hAnsi="Times New Roman"/>
          <w:sz w:val="24"/>
        </w:rPr>
        <w:t>.</w:t>
      </w:r>
      <w:r w:rsidR="00D178DC" w:rsidRPr="004970DA">
        <w:rPr>
          <w:rFonts w:ascii="Times New Roman" w:hAnsi="Times New Roman"/>
          <w:sz w:val="24"/>
        </w:rPr>
        <w:t xml:space="preserve"> </w:t>
      </w:r>
    </w:p>
    <w:p w14:paraId="04D5D14D" w14:textId="77777777" w:rsidR="00633FE5" w:rsidRPr="004970DA" w:rsidRDefault="00633FE5" w:rsidP="00633FE5">
      <w:pPr>
        <w:rPr>
          <w:rFonts w:ascii="Times New Roman" w:hAnsi="Times New Roman"/>
          <w:sz w:val="24"/>
        </w:rPr>
      </w:pPr>
    </w:p>
    <w:p w14:paraId="02539191" w14:textId="0BB11347" w:rsidR="005C4C0D" w:rsidRPr="004A549D" w:rsidRDefault="005C4C0D" w:rsidP="005C4C0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rPr>
      </w:pPr>
      <w:r w:rsidRPr="004A549D">
        <w:rPr>
          <w:rFonts w:ascii="Times New Roman" w:hAnsi="Times New Roman"/>
        </w:rPr>
        <w:t>The PGA and Deferral mechanism are designed to pass through the utility’s actual cost of natural gas to customers on an annual basis. Periodic technical adjustments to rates are necessary under the terms of the company’s tariffs in order to return to customers credit or debit balances with interest in its deferred gas cost accounts (Account 191)</w:t>
      </w:r>
      <w:r>
        <w:rPr>
          <w:rFonts w:ascii="Times New Roman" w:hAnsi="Times New Roman"/>
        </w:rPr>
        <w:t>.</w:t>
      </w:r>
      <w:r w:rsidRPr="004A549D">
        <w:rPr>
          <w:rFonts w:ascii="Times New Roman" w:hAnsi="Times New Roman"/>
        </w:rPr>
        <w:t xml:space="preserve"> </w:t>
      </w:r>
    </w:p>
    <w:p w14:paraId="5B0426FD" w14:textId="77777777" w:rsidR="005C4C0D" w:rsidRPr="004A549D" w:rsidRDefault="005C4C0D" w:rsidP="005C4C0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rPr>
      </w:pPr>
    </w:p>
    <w:p w14:paraId="4958A469" w14:textId="77777777" w:rsidR="005C4C0D" w:rsidRPr="004A549D" w:rsidRDefault="005C4C0D" w:rsidP="005C4C0D">
      <w:pPr>
        <w:rPr>
          <w:rFonts w:ascii="Times New Roman" w:hAnsi="Times New Roman"/>
          <w:sz w:val="24"/>
        </w:rPr>
      </w:pPr>
      <w:r w:rsidRPr="004A549D">
        <w:rPr>
          <w:rFonts w:ascii="Times New Roman" w:hAnsi="Times New Roman"/>
          <w:sz w:val="24"/>
        </w:rPr>
        <w:t>The PGA establishes for the upcoming year a projection of the utility’s gas costs. The difference between the projected cost and the actual cost is deferred and ultimately amortized back to customers with interest, as a surcharge or refund.</w:t>
      </w:r>
    </w:p>
    <w:p w14:paraId="68A81B38" w14:textId="77777777" w:rsidR="005C4C0D" w:rsidRDefault="005C4C0D" w:rsidP="00446BE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rPr>
      </w:pPr>
    </w:p>
    <w:p w14:paraId="04D5D153" w14:textId="77777777" w:rsidR="009B58B4" w:rsidRDefault="009B58B4" w:rsidP="00FB2E5A">
      <w:pPr>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2394"/>
        <w:gridCol w:w="2410"/>
      </w:tblGrid>
      <w:tr w:rsidR="00BE4528" w:rsidRPr="00B7671F" w14:paraId="3CC833D8" w14:textId="77777777" w:rsidTr="00BE4528">
        <w:tc>
          <w:tcPr>
            <w:tcW w:w="2431" w:type="pct"/>
            <w:vAlign w:val="bottom"/>
          </w:tcPr>
          <w:p w14:paraId="751CCBC3" w14:textId="228292DF" w:rsidR="00BE4528" w:rsidRPr="00B7671F" w:rsidRDefault="00BE4528" w:rsidP="00BE4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Description</w:t>
            </w:r>
          </w:p>
        </w:tc>
        <w:tc>
          <w:tcPr>
            <w:tcW w:w="1280" w:type="pct"/>
            <w:vAlign w:val="bottom"/>
          </w:tcPr>
          <w:p w14:paraId="21B8B52E" w14:textId="77777777" w:rsidR="00BE4528" w:rsidRPr="00B7671F" w:rsidRDefault="00BE4528" w:rsidP="00BE4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B7671F">
              <w:rPr>
                <w:rFonts w:ascii="Times New Roman" w:hAnsi="Times New Roman"/>
                <w:b/>
                <w:sz w:val="24"/>
              </w:rPr>
              <w:t>Revenue Impact</w:t>
            </w:r>
          </w:p>
        </w:tc>
        <w:tc>
          <w:tcPr>
            <w:tcW w:w="1289" w:type="pct"/>
            <w:vAlign w:val="bottom"/>
          </w:tcPr>
          <w:p w14:paraId="460B5BA9" w14:textId="77777777" w:rsidR="00BE4528" w:rsidRPr="00B7671F" w:rsidRDefault="00BE4528" w:rsidP="00BE4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B7671F">
              <w:rPr>
                <w:rFonts w:ascii="Times New Roman" w:hAnsi="Times New Roman"/>
                <w:b/>
                <w:sz w:val="24"/>
              </w:rPr>
              <w:t>Percent Change</w:t>
            </w:r>
          </w:p>
        </w:tc>
      </w:tr>
      <w:tr w:rsidR="00BE4528" w:rsidRPr="008A0305" w14:paraId="48A44C45" w14:textId="77777777" w:rsidTr="00CA34F4">
        <w:tc>
          <w:tcPr>
            <w:tcW w:w="2431" w:type="pct"/>
          </w:tcPr>
          <w:p w14:paraId="725E64D4" w14:textId="5466638E" w:rsidR="00BE4528" w:rsidRPr="008A0305" w:rsidRDefault="00BE4528" w:rsidP="00BE4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PGA</w:t>
            </w:r>
          </w:p>
        </w:tc>
        <w:tc>
          <w:tcPr>
            <w:tcW w:w="1280" w:type="pct"/>
            <w:vAlign w:val="center"/>
          </w:tcPr>
          <w:p w14:paraId="258045AB" w14:textId="4509B079" w:rsidR="00BE4528" w:rsidRPr="008A0305" w:rsidRDefault="00BE4528" w:rsidP="00915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Pr="008A0305">
              <w:rPr>
                <w:rFonts w:ascii="Times New Roman" w:hAnsi="Times New Roman"/>
                <w:sz w:val="24"/>
              </w:rPr>
              <w:t>$</w:t>
            </w:r>
            <w:r w:rsidR="0091518A">
              <w:rPr>
                <w:rFonts w:ascii="Times New Roman" w:hAnsi="Times New Roman"/>
                <w:sz w:val="24"/>
              </w:rPr>
              <w:t>19,864,550</w:t>
            </w:r>
            <w:r>
              <w:rPr>
                <w:rFonts w:ascii="Times New Roman" w:hAnsi="Times New Roman"/>
                <w:sz w:val="24"/>
              </w:rPr>
              <w:t>)</w:t>
            </w:r>
          </w:p>
        </w:tc>
        <w:tc>
          <w:tcPr>
            <w:tcW w:w="1289" w:type="pct"/>
            <w:vAlign w:val="center"/>
          </w:tcPr>
          <w:p w14:paraId="44FD68A5" w14:textId="1B597441" w:rsidR="00BE4528" w:rsidRPr="008A0305" w:rsidRDefault="0091518A" w:rsidP="00915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BE4528">
              <w:rPr>
                <w:rFonts w:ascii="Times New Roman" w:hAnsi="Times New Roman"/>
                <w:sz w:val="24"/>
              </w:rPr>
              <w:t>2</w:t>
            </w:r>
            <w:r w:rsidR="00BE4528" w:rsidRPr="008A0305">
              <w:rPr>
                <w:rFonts w:ascii="Times New Roman" w:hAnsi="Times New Roman"/>
                <w:sz w:val="24"/>
              </w:rPr>
              <w:t>.</w:t>
            </w:r>
            <w:r>
              <w:rPr>
                <w:rFonts w:ascii="Times New Roman" w:hAnsi="Times New Roman"/>
                <w:sz w:val="24"/>
              </w:rPr>
              <w:t>1</w:t>
            </w:r>
            <w:r w:rsidR="00BE4528" w:rsidRPr="008A0305">
              <w:rPr>
                <w:rFonts w:ascii="Times New Roman" w:hAnsi="Times New Roman"/>
                <w:sz w:val="24"/>
              </w:rPr>
              <w:t>%</w:t>
            </w:r>
            <w:r>
              <w:rPr>
                <w:rFonts w:ascii="Times New Roman" w:hAnsi="Times New Roman"/>
                <w:sz w:val="24"/>
              </w:rPr>
              <w:t>)</w:t>
            </w:r>
          </w:p>
        </w:tc>
      </w:tr>
      <w:tr w:rsidR="009814BE" w:rsidRPr="008A0305" w14:paraId="16D7B5BD" w14:textId="77777777" w:rsidTr="00CA34F4">
        <w:tc>
          <w:tcPr>
            <w:tcW w:w="2431" w:type="pct"/>
            <w:tcBorders>
              <w:bottom w:val="single" w:sz="18" w:space="0" w:color="auto"/>
            </w:tcBorders>
          </w:tcPr>
          <w:p w14:paraId="311E4C75" w14:textId="59CD81C0" w:rsidR="009814BE" w:rsidRPr="008A0305" w:rsidRDefault="009814BE" w:rsidP="00BE4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Deferral</w:t>
            </w:r>
          </w:p>
        </w:tc>
        <w:tc>
          <w:tcPr>
            <w:tcW w:w="1280" w:type="pct"/>
            <w:tcBorders>
              <w:bottom w:val="single" w:sz="18" w:space="0" w:color="auto"/>
            </w:tcBorders>
            <w:vAlign w:val="center"/>
          </w:tcPr>
          <w:p w14:paraId="3ED57A66" w14:textId="3275D3C8" w:rsidR="009814BE" w:rsidRPr="008A0305" w:rsidRDefault="009814BE" w:rsidP="00915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8A0305">
              <w:rPr>
                <w:rFonts w:ascii="Times New Roman" w:hAnsi="Times New Roman"/>
                <w:sz w:val="24"/>
              </w:rPr>
              <w:t>$</w:t>
            </w:r>
            <w:r w:rsidR="00B92EA8">
              <w:rPr>
                <w:rFonts w:ascii="Times New Roman" w:hAnsi="Times New Roman"/>
                <w:sz w:val="24"/>
              </w:rPr>
              <w:t>43,</w:t>
            </w:r>
            <w:r w:rsidR="0091518A">
              <w:rPr>
                <w:rFonts w:ascii="Times New Roman" w:hAnsi="Times New Roman"/>
                <w:sz w:val="24"/>
              </w:rPr>
              <w:t>157,781</w:t>
            </w:r>
          </w:p>
        </w:tc>
        <w:tc>
          <w:tcPr>
            <w:tcW w:w="1289" w:type="pct"/>
            <w:tcBorders>
              <w:bottom w:val="single" w:sz="18" w:space="0" w:color="auto"/>
            </w:tcBorders>
            <w:vAlign w:val="center"/>
          </w:tcPr>
          <w:p w14:paraId="1EC56C48" w14:textId="4F8E659D" w:rsidR="009814BE" w:rsidRPr="008A0305" w:rsidRDefault="0091518A" w:rsidP="00CA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4.5</w:t>
            </w:r>
            <w:r w:rsidR="009814BE" w:rsidRPr="008A0305">
              <w:rPr>
                <w:rFonts w:ascii="Times New Roman" w:hAnsi="Times New Roman"/>
                <w:sz w:val="24"/>
              </w:rPr>
              <w:t>%</w:t>
            </w:r>
          </w:p>
        </w:tc>
      </w:tr>
      <w:tr w:rsidR="00BE4528" w:rsidRPr="008A0305" w14:paraId="6EBA2AA3" w14:textId="77777777" w:rsidTr="00CA34F4">
        <w:tc>
          <w:tcPr>
            <w:tcW w:w="2431" w:type="pct"/>
            <w:tcBorders>
              <w:top w:val="single" w:sz="18" w:space="0" w:color="auto"/>
            </w:tcBorders>
            <w:vAlign w:val="center"/>
          </w:tcPr>
          <w:p w14:paraId="25E7B702" w14:textId="77777777" w:rsidR="00BE4528" w:rsidRPr="008A0305" w:rsidRDefault="00BE4528" w:rsidP="00BE4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8A0305">
              <w:rPr>
                <w:rFonts w:ascii="Times New Roman" w:hAnsi="Times New Roman"/>
                <w:sz w:val="24"/>
              </w:rPr>
              <w:t>Total</w:t>
            </w:r>
          </w:p>
        </w:tc>
        <w:tc>
          <w:tcPr>
            <w:tcW w:w="1280" w:type="pct"/>
            <w:tcBorders>
              <w:top w:val="single" w:sz="18" w:space="0" w:color="auto"/>
              <w:bottom w:val="single" w:sz="18" w:space="0" w:color="auto"/>
            </w:tcBorders>
            <w:vAlign w:val="center"/>
          </w:tcPr>
          <w:p w14:paraId="4CD264C1" w14:textId="2F791EA8" w:rsidR="00BE4528" w:rsidRPr="008A0305" w:rsidRDefault="00BE4528" w:rsidP="00915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8A0305">
              <w:rPr>
                <w:rFonts w:ascii="Times New Roman" w:hAnsi="Times New Roman"/>
                <w:sz w:val="24"/>
              </w:rPr>
              <w:t>$</w:t>
            </w:r>
            <w:r w:rsidR="0091518A">
              <w:rPr>
                <w:rFonts w:ascii="Times New Roman" w:hAnsi="Times New Roman"/>
                <w:sz w:val="24"/>
              </w:rPr>
              <w:t>23,293,232</w:t>
            </w:r>
          </w:p>
        </w:tc>
        <w:tc>
          <w:tcPr>
            <w:tcW w:w="1289" w:type="pct"/>
            <w:tcBorders>
              <w:top w:val="single" w:sz="18" w:space="0" w:color="auto"/>
              <w:bottom w:val="single" w:sz="18" w:space="0" w:color="auto"/>
            </w:tcBorders>
            <w:vAlign w:val="center"/>
          </w:tcPr>
          <w:p w14:paraId="3E70214C" w14:textId="5F2A7B01" w:rsidR="00BE4528" w:rsidRPr="008A0305" w:rsidRDefault="00844156" w:rsidP="00CA3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2.5</w:t>
            </w:r>
            <w:r w:rsidR="00BE4528" w:rsidRPr="008A0305">
              <w:rPr>
                <w:rFonts w:ascii="Times New Roman" w:hAnsi="Times New Roman"/>
                <w:sz w:val="24"/>
              </w:rPr>
              <w:t>%</w:t>
            </w:r>
          </w:p>
        </w:tc>
      </w:tr>
    </w:tbl>
    <w:p w14:paraId="3FB6C8CE" w14:textId="0D8BF473" w:rsidR="00B32CA3" w:rsidRDefault="00B32CA3" w:rsidP="00FB2E5A">
      <w:pPr>
        <w:rPr>
          <w:rFonts w:ascii="Times New Roman" w:hAnsi="Times New Roman"/>
          <w:sz w:val="24"/>
        </w:rPr>
      </w:pPr>
    </w:p>
    <w:p w14:paraId="4D2D9F17" w14:textId="77777777" w:rsidR="00B32CA3" w:rsidRDefault="00B32CA3">
      <w:pPr>
        <w:widowControl/>
        <w:autoSpaceDE/>
        <w:autoSpaceDN/>
        <w:adjustRightInd/>
        <w:spacing w:after="200" w:line="276" w:lineRule="auto"/>
        <w:rPr>
          <w:rFonts w:ascii="Times New Roman" w:hAnsi="Times New Roman"/>
          <w:sz w:val="24"/>
        </w:rPr>
      </w:pPr>
      <w:r>
        <w:rPr>
          <w:rFonts w:ascii="Times New Roman" w:hAnsi="Times New Roman"/>
          <w:sz w:val="24"/>
        </w:rPr>
        <w:br w:type="page"/>
      </w:r>
    </w:p>
    <w:p w14:paraId="1D958E97" w14:textId="77777777" w:rsidR="00BE4528" w:rsidRDefault="00BE4528" w:rsidP="00FB2E5A">
      <w:pPr>
        <w:rPr>
          <w:rFonts w:ascii="Times New Roman" w:hAnsi="Times New Roman"/>
          <w:sz w:val="24"/>
        </w:rPr>
      </w:pPr>
    </w:p>
    <w:p w14:paraId="04D5D154" w14:textId="77777777" w:rsidR="009B58B4" w:rsidRPr="00474A0A" w:rsidRDefault="009B58B4" w:rsidP="00025483">
      <w:pPr>
        <w:pStyle w:val="Heading1"/>
        <w:rPr>
          <w:rStyle w:val="BookTitle"/>
        </w:rPr>
      </w:pPr>
      <w:r w:rsidRPr="00474A0A">
        <w:rPr>
          <w:rStyle w:val="BookTitle"/>
        </w:rPr>
        <w:t>Discussion</w:t>
      </w:r>
    </w:p>
    <w:p w14:paraId="04D5D155" w14:textId="77777777" w:rsidR="00D4342A" w:rsidRPr="004970DA" w:rsidRDefault="00D4342A" w:rsidP="00FB2E5A">
      <w:pPr>
        <w:rPr>
          <w:rFonts w:ascii="Times New Roman" w:hAnsi="Times New Roman"/>
          <w:sz w:val="24"/>
        </w:rPr>
      </w:pPr>
    </w:p>
    <w:p w14:paraId="04D5D156" w14:textId="77777777" w:rsidR="009B58B4" w:rsidRPr="00025483" w:rsidRDefault="00FB2E5A" w:rsidP="00025483">
      <w:pPr>
        <w:pStyle w:val="Heading2"/>
      </w:pPr>
      <w:r w:rsidRPr="00025483">
        <w:t>Purchased Gas Adjustment</w:t>
      </w:r>
    </w:p>
    <w:p w14:paraId="04D5D157" w14:textId="1A2E821C" w:rsidR="00FB2E5A" w:rsidRPr="00400AF9" w:rsidRDefault="00FB2E5A" w:rsidP="00FB2E5A">
      <w:pPr>
        <w:rPr>
          <w:rFonts w:ascii="Times New Roman" w:hAnsi="Times New Roman"/>
          <w:sz w:val="24"/>
        </w:rPr>
      </w:pPr>
      <w:r w:rsidRPr="004970DA">
        <w:rPr>
          <w:rFonts w:ascii="Times New Roman" w:hAnsi="Times New Roman"/>
          <w:sz w:val="24"/>
        </w:rPr>
        <w:t xml:space="preserve">The PGA </w:t>
      </w:r>
      <w:r w:rsidR="00420096">
        <w:rPr>
          <w:rFonts w:ascii="Times New Roman" w:hAnsi="Times New Roman"/>
          <w:sz w:val="24"/>
        </w:rPr>
        <w:t>includes</w:t>
      </w:r>
      <w:r w:rsidRPr="004970DA">
        <w:rPr>
          <w:rFonts w:ascii="Times New Roman" w:hAnsi="Times New Roman"/>
          <w:sz w:val="24"/>
        </w:rPr>
        <w:t xml:space="preserve"> a projection of gas cost</w:t>
      </w:r>
      <w:r w:rsidR="00420096">
        <w:rPr>
          <w:rFonts w:ascii="Times New Roman" w:hAnsi="Times New Roman"/>
          <w:sz w:val="24"/>
        </w:rPr>
        <w:t>s</w:t>
      </w:r>
      <w:r w:rsidRPr="004970DA">
        <w:rPr>
          <w:rFonts w:ascii="Times New Roman" w:hAnsi="Times New Roman"/>
          <w:sz w:val="24"/>
        </w:rPr>
        <w:t xml:space="preserve"> for the coming 201</w:t>
      </w:r>
      <w:r w:rsidR="00536629">
        <w:rPr>
          <w:rFonts w:ascii="Times New Roman" w:hAnsi="Times New Roman"/>
          <w:sz w:val="24"/>
        </w:rPr>
        <w:t>3</w:t>
      </w:r>
      <w:r w:rsidRPr="004970DA">
        <w:rPr>
          <w:rFonts w:ascii="Times New Roman" w:hAnsi="Times New Roman"/>
          <w:sz w:val="24"/>
        </w:rPr>
        <w:t>-201</w:t>
      </w:r>
      <w:r w:rsidR="00536629">
        <w:rPr>
          <w:rFonts w:ascii="Times New Roman" w:hAnsi="Times New Roman"/>
          <w:sz w:val="24"/>
        </w:rPr>
        <w:t>4</w:t>
      </w:r>
      <w:r w:rsidRPr="004970DA">
        <w:rPr>
          <w:rFonts w:ascii="Times New Roman" w:hAnsi="Times New Roman"/>
          <w:sz w:val="24"/>
        </w:rPr>
        <w:t xml:space="preserve"> </w:t>
      </w:r>
      <w:r w:rsidR="004970DA" w:rsidRPr="004970DA">
        <w:rPr>
          <w:rFonts w:ascii="Times New Roman" w:hAnsi="Times New Roman"/>
          <w:sz w:val="24"/>
        </w:rPr>
        <w:t xml:space="preserve">heating </w:t>
      </w:r>
      <w:r w:rsidRPr="004970DA">
        <w:rPr>
          <w:rFonts w:ascii="Times New Roman" w:hAnsi="Times New Roman"/>
          <w:sz w:val="24"/>
        </w:rPr>
        <w:t xml:space="preserve">season. The PGA consists of two </w:t>
      </w:r>
      <w:r w:rsidR="00420096">
        <w:rPr>
          <w:rFonts w:ascii="Times New Roman" w:hAnsi="Times New Roman"/>
          <w:sz w:val="24"/>
        </w:rPr>
        <w:t>cost categories</w:t>
      </w:r>
      <w:r w:rsidRPr="004970DA">
        <w:rPr>
          <w:rFonts w:ascii="Times New Roman" w:hAnsi="Times New Roman"/>
          <w:sz w:val="24"/>
        </w:rPr>
        <w:t xml:space="preserve">: the cost of </w:t>
      </w:r>
      <w:r w:rsidR="00420096">
        <w:rPr>
          <w:rFonts w:ascii="Times New Roman" w:hAnsi="Times New Roman"/>
          <w:sz w:val="24"/>
        </w:rPr>
        <w:t xml:space="preserve">the </w:t>
      </w:r>
      <w:r w:rsidRPr="004970DA">
        <w:rPr>
          <w:rFonts w:ascii="Times New Roman" w:hAnsi="Times New Roman"/>
          <w:sz w:val="24"/>
        </w:rPr>
        <w:t xml:space="preserve">gas purchased by the company from its gas suppliers </w:t>
      </w:r>
      <w:r w:rsidR="00420096" w:rsidRPr="004970DA">
        <w:rPr>
          <w:rFonts w:ascii="Times New Roman" w:hAnsi="Times New Roman"/>
          <w:sz w:val="24"/>
        </w:rPr>
        <w:t xml:space="preserve">(commodity) </w:t>
      </w:r>
      <w:r w:rsidRPr="004970DA">
        <w:rPr>
          <w:rFonts w:ascii="Times New Roman" w:hAnsi="Times New Roman"/>
          <w:sz w:val="24"/>
        </w:rPr>
        <w:t>and the cost of pipeline and storage capacity under contract with pipeline transporters</w:t>
      </w:r>
      <w:r w:rsidR="00420096">
        <w:rPr>
          <w:rFonts w:ascii="Times New Roman" w:hAnsi="Times New Roman"/>
          <w:sz w:val="24"/>
        </w:rPr>
        <w:t xml:space="preserve"> </w:t>
      </w:r>
      <w:r w:rsidR="00420096" w:rsidRPr="004970DA">
        <w:rPr>
          <w:rFonts w:ascii="Times New Roman" w:hAnsi="Times New Roman"/>
          <w:sz w:val="24"/>
        </w:rPr>
        <w:t>(</w:t>
      </w:r>
      <w:r w:rsidR="00420096" w:rsidRPr="00400AF9">
        <w:rPr>
          <w:rFonts w:ascii="Times New Roman" w:hAnsi="Times New Roman"/>
          <w:sz w:val="24"/>
        </w:rPr>
        <w:t>demand)</w:t>
      </w:r>
      <w:r w:rsidRPr="00400AF9">
        <w:rPr>
          <w:rFonts w:ascii="Times New Roman" w:hAnsi="Times New Roman"/>
          <w:sz w:val="24"/>
        </w:rPr>
        <w:t>.</w:t>
      </w:r>
      <w:r w:rsidR="00D178DC" w:rsidRPr="00400AF9">
        <w:rPr>
          <w:rFonts w:ascii="Times New Roman" w:hAnsi="Times New Roman"/>
          <w:sz w:val="24"/>
        </w:rPr>
        <w:t xml:space="preserve"> </w:t>
      </w:r>
      <w:r w:rsidRPr="00400AF9">
        <w:rPr>
          <w:rFonts w:ascii="Times New Roman" w:hAnsi="Times New Roman"/>
          <w:sz w:val="24"/>
        </w:rPr>
        <w:t>Due to lower commodity gas cost</w:t>
      </w:r>
      <w:r w:rsidR="00420096" w:rsidRPr="00400AF9">
        <w:rPr>
          <w:rFonts w:ascii="Times New Roman" w:hAnsi="Times New Roman"/>
          <w:sz w:val="24"/>
        </w:rPr>
        <w:t>s</w:t>
      </w:r>
      <w:r w:rsidRPr="00400AF9">
        <w:rPr>
          <w:rFonts w:ascii="Times New Roman" w:hAnsi="Times New Roman"/>
          <w:sz w:val="24"/>
        </w:rPr>
        <w:t>, the company is proposing a</w:t>
      </w:r>
      <w:r w:rsidR="00400AF9" w:rsidRPr="00400AF9">
        <w:rPr>
          <w:rFonts w:ascii="Times New Roman" w:hAnsi="Times New Roman"/>
          <w:sz w:val="24"/>
        </w:rPr>
        <w:t xml:space="preserve"> </w:t>
      </w:r>
      <w:r w:rsidRPr="00400AF9">
        <w:rPr>
          <w:rFonts w:ascii="Times New Roman" w:hAnsi="Times New Roman"/>
          <w:sz w:val="24"/>
        </w:rPr>
        <w:t>decrease of approximately $</w:t>
      </w:r>
      <w:r w:rsidR="0056751A">
        <w:rPr>
          <w:rFonts w:ascii="Times New Roman" w:hAnsi="Times New Roman"/>
          <w:sz w:val="24"/>
        </w:rPr>
        <w:t>19.9</w:t>
      </w:r>
      <w:r w:rsidRPr="00400AF9">
        <w:rPr>
          <w:rFonts w:ascii="Times New Roman" w:hAnsi="Times New Roman"/>
          <w:sz w:val="24"/>
        </w:rPr>
        <w:t xml:space="preserve"> million (</w:t>
      </w:r>
      <w:r w:rsidR="00136D36" w:rsidRPr="00400AF9">
        <w:rPr>
          <w:rFonts w:ascii="Times New Roman" w:hAnsi="Times New Roman"/>
          <w:sz w:val="24"/>
        </w:rPr>
        <w:t>-</w:t>
      </w:r>
      <w:r w:rsidR="00400AF9" w:rsidRPr="00400AF9">
        <w:rPr>
          <w:rFonts w:ascii="Times New Roman" w:hAnsi="Times New Roman"/>
          <w:sz w:val="24"/>
        </w:rPr>
        <w:t>2</w:t>
      </w:r>
      <w:r w:rsidR="00474076" w:rsidRPr="00400AF9">
        <w:rPr>
          <w:rFonts w:ascii="Times New Roman" w:hAnsi="Times New Roman"/>
          <w:sz w:val="24"/>
        </w:rPr>
        <w:t>.</w:t>
      </w:r>
      <w:r w:rsidR="0056751A">
        <w:rPr>
          <w:rFonts w:ascii="Times New Roman" w:hAnsi="Times New Roman"/>
          <w:sz w:val="24"/>
        </w:rPr>
        <w:t>1</w:t>
      </w:r>
      <w:r w:rsidRPr="00400AF9">
        <w:rPr>
          <w:rFonts w:ascii="Times New Roman" w:hAnsi="Times New Roman"/>
          <w:sz w:val="24"/>
        </w:rPr>
        <w:t xml:space="preserve"> percent) in annual revenue for this portion. </w:t>
      </w:r>
      <w:r w:rsidR="000F3DB5" w:rsidRPr="00400AF9">
        <w:rPr>
          <w:rFonts w:ascii="Times New Roman" w:hAnsi="Times New Roman"/>
          <w:sz w:val="24"/>
        </w:rPr>
        <w:t>PSE</w:t>
      </w:r>
      <w:r w:rsidRPr="00400AF9">
        <w:rPr>
          <w:rFonts w:ascii="Times New Roman" w:hAnsi="Times New Roman"/>
          <w:sz w:val="24"/>
        </w:rPr>
        <w:t>’s embedded</w:t>
      </w:r>
      <w:r w:rsidR="004D76A5">
        <w:rPr>
          <w:rFonts w:ascii="Times New Roman" w:hAnsi="Times New Roman"/>
          <w:sz w:val="24"/>
        </w:rPr>
        <w:t xml:space="preserve"> residential</w:t>
      </w:r>
      <w:r w:rsidRPr="00400AF9">
        <w:rPr>
          <w:rFonts w:ascii="Times New Roman" w:hAnsi="Times New Roman"/>
          <w:sz w:val="24"/>
        </w:rPr>
        <w:t xml:space="preserve"> </w:t>
      </w:r>
      <w:r w:rsidR="00B94F05" w:rsidRPr="00400AF9">
        <w:rPr>
          <w:rFonts w:ascii="Times New Roman" w:hAnsi="Times New Roman"/>
          <w:sz w:val="24"/>
        </w:rPr>
        <w:t>w</w:t>
      </w:r>
      <w:r w:rsidR="006A388D" w:rsidRPr="00400AF9">
        <w:rPr>
          <w:rFonts w:ascii="Times New Roman" w:hAnsi="Times New Roman"/>
          <w:sz w:val="24"/>
        </w:rPr>
        <w:t xml:space="preserve">eighted </w:t>
      </w:r>
      <w:r w:rsidR="00B94F05" w:rsidRPr="00400AF9">
        <w:rPr>
          <w:rFonts w:ascii="Times New Roman" w:hAnsi="Times New Roman"/>
          <w:sz w:val="24"/>
        </w:rPr>
        <w:t>a</w:t>
      </w:r>
      <w:r w:rsidR="006A388D" w:rsidRPr="00400AF9">
        <w:rPr>
          <w:rFonts w:ascii="Times New Roman" w:hAnsi="Times New Roman"/>
          <w:sz w:val="24"/>
        </w:rPr>
        <w:t xml:space="preserve">verage </w:t>
      </w:r>
      <w:r w:rsidR="00B94F05" w:rsidRPr="00400AF9">
        <w:rPr>
          <w:rFonts w:ascii="Times New Roman" w:hAnsi="Times New Roman"/>
          <w:sz w:val="24"/>
        </w:rPr>
        <w:t>c</w:t>
      </w:r>
      <w:r w:rsidR="006A388D" w:rsidRPr="00400AF9">
        <w:rPr>
          <w:rFonts w:ascii="Times New Roman" w:hAnsi="Times New Roman"/>
          <w:sz w:val="24"/>
        </w:rPr>
        <w:t xml:space="preserve">ost of </w:t>
      </w:r>
      <w:r w:rsidR="00B94F05" w:rsidRPr="00400AF9">
        <w:rPr>
          <w:rFonts w:ascii="Times New Roman" w:hAnsi="Times New Roman"/>
          <w:sz w:val="24"/>
        </w:rPr>
        <w:t>g</w:t>
      </w:r>
      <w:r w:rsidR="006A388D" w:rsidRPr="00400AF9">
        <w:rPr>
          <w:rFonts w:ascii="Times New Roman" w:hAnsi="Times New Roman"/>
          <w:sz w:val="24"/>
        </w:rPr>
        <w:t>as (</w:t>
      </w:r>
      <w:r w:rsidRPr="00400AF9">
        <w:rPr>
          <w:rFonts w:ascii="Times New Roman" w:hAnsi="Times New Roman"/>
          <w:sz w:val="24"/>
        </w:rPr>
        <w:t>WACOG</w:t>
      </w:r>
      <w:r w:rsidR="006A388D" w:rsidRPr="00400AF9">
        <w:rPr>
          <w:rFonts w:ascii="Times New Roman" w:hAnsi="Times New Roman"/>
          <w:sz w:val="24"/>
        </w:rPr>
        <w:t>)</w:t>
      </w:r>
      <w:r w:rsidR="00536629" w:rsidRPr="00400AF9">
        <w:rPr>
          <w:rFonts w:ascii="Times New Roman" w:hAnsi="Times New Roman"/>
          <w:sz w:val="24"/>
        </w:rPr>
        <w:t xml:space="preserve"> is $0.</w:t>
      </w:r>
      <w:r w:rsidR="0056751A" w:rsidRPr="00400AF9">
        <w:rPr>
          <w:rFonts w:ascii="Times New Roman" w:hAnsi="Times New Roman"/>
          <w:sz w:val="24"/>
        </w:rPr>
        <w:t>55</w:t>
      </w:r>
      <w:r w:rsidR="0056751A">
        <w:rPr>
          <w:rFonts w:ascii="Times New Roman" w:hAnsi="Times New Roman"/>
          <w:sz w:val="24"/>
        </w:rPr>
        <w:t>874</w:t>
      </w:r>
      <w:r w:rsidRPr="00400AF9">
        <w:rPr>
          <w:rFonts w:ascii="Times New Roman" w:hAnsi="Times New Roman"/>
          <w:sz w:val="24"/>
        </w:rPr>
        <w:t xml:space="preserve"> </w:t>
      </w:r>
      <w:r w:rsidRPr="004970DA">
        <w:rPr>
          <w:rFonts w:ascii="Times New Roman" w:hAnsi="Times New Roman"/>
          <w:sz w:val="24"/>
        </w:rPr>
        <w:t>per therm (</w:t>
      </w:r>
      <w:r w:rsidR="0056751A" w:rsidRPr="00400AF9">
        <w:rPr>
          <w:rFonts w:ascii="Times New Roman" w:hAnsi="Times New Roman"/>
          <w:sz w:val="24"/>
        </w:rPr>
        <w:t>$0.40747 commodity and $0.1</w:t>
      </w:r>
      <w:r w:rsidR="0056751A">
        <w:rPr>
          <w:rFonts w:ascii="Times New Roman" w:hAnsi="Times New Roman"/>
          <w:sz w:val="24"/>
        </w:rPr>
        <w:t>5127</w:t>
      </w:r>
      <w:r w:rsidR="0056751A" w:rsidRPr="00400AF9">
        <w:rPr>
          <w:rFonts w:ascii="Times New Roman" w:hAnsi="Times New Roman"/>
          <w:sz w:val="24"/>
        </w:rPr>
        <w:t xml:space="preserve"> firm demand</w:t>
      </w:r>
      <w:r w:rsidR="008E1357" w:rsidRPr="004970DA">
        <w:rPr>
          <w:rFonts w:ascii="Times New Roman" w:hAnsi="Times New Roman"/>
          <w:sz w:val="24"/>
        </w:rPr>
        <w:t xml:space="preserve">) </w:t>
      </w:r>
      <w:r w:rsidR="008E1357" w:rsidRPr="00400AF9">
        <w:rPr>
          <w:rFonts w:ascii="Times New Roman" w:hAnsi="Times New Roman"/>
          <w:sz w:val="24"/>
        </w:rPr>
        <w:t>and the proposed WACOG is $0.</w:t>
      </w:r>
      <w:r w:rsidR="0056751A">
        <w:rPr>
          <w:rFonts w:ascii="Times New Roman" w:hAnsi="Times New Roman"/>
          <w:sz w:val="24"/>
        </w:rPr>
        <w:t>53699</w:t>
      </w:r>
      <w:r w:rsidRPr="00400AF9">
        <w:rPr>
          <w:rFonts w:ascii="Times New Roman" w:hAnsi="Times New Roman"/>
          <w:sz w:val="24"/>
        </w:rPr>
        <w:t xml:space="preserve"> per therm ($0.4</w:t>
      </w:r>
      <w:r w:rsidR="00400AF9" w:rsidRPr="00400AF9">
        <w:rPr>
          <w:rFonts w:ascii="Times New Roman" w:hAnsi="Times New Roman"/>
          <w:sz w:val="24"/>
        </w:rPr>
        <w:t>0</w:t>
      </w:r>
      <w:r w:rsidR="0056751A">
        <w:rPr>
          <w:rFonts w:ascii="Times New Roman" w:hAnsi="Times New Roman"/>
          <w:sz w:val="24"/>
        </w:rPr>
        <w:t>038</w:t>
      </w:r>
      <w:r w:rsidRPr="00400AF9">
        <w:rPr>
          <w:rFonts w:ascii="Times New Roman" w:hAnsi="Times New Roman"/>
          <w:sz w:val="24"/>
        </w:rPr>
        <w:t xml:space="preserve"> commodity and $0.</w:t>
      </w:r>
      <w:r w:rsidR="0056751A">
        <w:rPr>
          <w:rFonts w:ascii="Times New Roman" w:hAnsi="Times New Roman"/>
          <w:sz w:val="24"/>
        </w:rPr>
        <w:t>13661</w:t>
      </w:r>
      <w:r w:rsidRPr="00400AF9">
        <w:rPr>
          <w:rFonts w:ascii="Times New Roman" w:hAnsi="Times New Roman"/>
          <w:sz w:val="24"/>
        </w:rPr>
        <w:t xml:space="preserve"> firm demand).</w:t>
      </w:r>
    </w:p>
    <w:p w14:paraId="04D5D158" w14:textId="77777777" w:rsidR="003B77FD" w:rsidRPr="00B24E22" w:rsidRDefault="003B77FD" w:rsidP="00FB2E5A">
      <w:pPr>
        <w:rPr>
          <w:rFonts w:ascii="Times New Roman" w:hAnsi="Times New Roman"/>
          <w:sz w:val="24"/>
        </w:rPr>
      </w:pPr>
    </w:p>
    <w:p w14:paraId="04D5D159" w14:textId="5B515922" w:rsidR="00706239" w:rsidRDefault="00706239" w:rsidP="00706239">
      <w:pPr>
        <w:rPr>
          <w:rFonts w:ascii="Times New Roman" w:hAnsi="Times New Roman"/>
          <w:sz w:val="24"/>
        </w:rPr>
      </w:pPr>
      <w:r w:rsidRPr="00B24E22">
        <w:rPr>
          <w:rFonts w:ascii="Times New Roman" w:hAnsi="Times New Roman"/>
          <w:sz w:val="24"/>
        </w:rPr>
        <w:t xml:space="preserve">In arriving at an estimated commodity cost for the coming </w:t>
      </w:r>
      <w:r w:rsidRPr="00706239">
        <w:rPr>
          <w:rFonts w:ascii="Times New Roman" w:hAnsi="Times New Roman"/>
          <w:sz w:val="24"/>
        </w:rPr>
        <w:t xml:space="preserve">year, the company uses a variety of known and estimated inputs. Known inputs include volumes of gas to be delivered within the PGA year hedged at a fixed price, actual cost and volume of gas in storage, and the remaining expected load </w:t>
      </w:r>
      <w:r w:rsidR="00420096">
        <w:rPr>
          <w:rFonts w:ascii="Times New Roman" w:hAnsi="Times New Roman"/>
          <w:sz w:val="24"/>
        </w:rPr>
        <w:t xml:space="preserve">that will either be </w:t>
      </w:r>
      <w:r w:rsidRPr="00706239">
        <w:rPr>
          <w:rFonts w:ascii="Times New Roman" w:hAnsi="Times New Roman"/>
          <w:sz w:val="24"/>
        </w:rPr>
        <w:t>transacted at spot market prices or hedged at a fixed price</w:t>
      </w:r>
      <w:r w:rsidR="009B58B4">
        <w:rPr>
          <w:rFonts w:ascii="Times New Roman" w:hAnsi="Times New Roman"/>
          <w:sz w:val="24"/>
        </w:rPr>
        <w:t xml:space="preserve"> through financial instruments</w:t>
      </w:r>
      <w:r w:rsidRPr="00706239">
        <w:rPr>
          <w:rFonts w:ascii="Times New Roman" w:hAnsi="Times New Roman"/>
          <w:sz w:val="24"/>
        </w:rPr>
        <w:t>.</w:t>
      </w:r>
      <w:r>
        <w:rPr>
          <w:rFonts w:ascii="Times New Roman" w:hAnsi="Times New Roman"/>
          <w:sz w:val="24"/>
        </w:rPr>
        <w:t xml:space="preserve"> </w:t>
      </w:r>
      <w:r w:rsidRPr="00706239">
        <w:rPr>
          <w:rFonts w:ascii="Times New Roman" w:hAnsi="Times New Roman"/>
          <w:sz w:val="24"/>
        </w:rPr>
        <w:t xml:space="preserve">Estimated inputs include </w:t>
      </w:r>
      <w:r w:rsidR="00420096">
        <w:rPr>
          <w:rFonts w:ascii="Times New Roman" w:hAnsi="Times New Roman"/>
          <w:sz w:val="24"/>
        </w:rPr>
        <w:t xml:space="preserve">the </w:t>
      </w:r>
      <w:r w:rsidRPr="00706239">
        <w:rPr>
          <w:rFonts w:ascii="Times New Roman" w:hAnsi="Times New Roman"/>
          <w:sz w:val="24"/>
        </w:rPr>
        <w:t>load for the PGA year, future spot</w:t>
      </w:r>
      <w:r w:rsidR="009B58B4">
        <w:rPr>
          <w:rFonts w:ascii="Times New Roman" w:hAnsi="Times New Roman"/>
          <w:sz w:val="24"/>
        </w:rPr>
        <w:t>/index</w:t>
      </w:r>
      <w:r w:rsidRPr="00706239">
        <w:rPr>
          <w:rFonts w:ascii="Times New Roman" w:hAnsi="Times New Roman"/>
          <w:sz w:val="24"/>
        </w:rPr>
        <w:t xml:space="preserve"> market prices</w:t>
      </w:r>
      <w:r w:rsidR="00420096">
        <w:rPr>
          <w:rFonts w:ascii="Times New Roman" w:hAnsi="Times New Roman"/>
          <w:sz w:val="24"/>
        </w:rPr>
        <w:t>,</w:t>
      </w:r>
      <w:r w:rsidRPr="00706239">
        <w:rPr>
          <w:rFonts w:ascii="Times New Roman" w:hAnsi="Times New Roman"/>
          <w:sz w:val="24"/>
        </w:rPr>
        <w:t xml:space="preserve"> and prices for financial hedges that will be transacted in, and for,</w:t>
      </w:r>
      <w:r>
        <w:rPr>
          <w:rFonts w:ascii="Times New Roman" w:hAnsi="Times New Roman"/>
          <w:sz w:val="24"/>
        </w:rPr>
        <w:t xml:space="preserve"> the PGA year.</w:t>
      </w:r>
      <w:r w:rsidR="00E55ACA">
        <w:rPr>
          <w:rFonts w:ascii="Times New Roman" w:hAnsi="Times New Roman"/>
          <w:sz w:val="24"/>
        </w:rPr>
        <w:t xml:space="preserve">  PSE utilizes a three-month average of forward strip of monthly prices for the three basins </w:t>
      </w:r>
      <w:r w:rsidR="00C5349A">
        <w:rPr>
          <w:rFonts w:ascii="Times New Roman" w:hAnsi="Times New Roman"/>
          <w:sz w:val="24"/>
        </w:rPr>
        <w:t>where PSE acquires gas. The three-</w:t>
      </w:r>
      <w:r w:rsidR="00E55ACA">
        <w:rPr>
          <w:rFonts w:ascii="Times New Roman" w:hAnsi="Times New Roman"/>
          <w:sz w:val="24"/>
        </w:rPr>
        <w:t xml:space="preserve">month prices mark period is June 5 through </w:t>
      </w:r>
      <w:r w:rsidR="00C9072F">
        <w:rPr>
          <w:rFonts w:ascii="Times New Roman" w:hAnsi="Times New Roman"/>
          <w:sz w:val="24"/>
        </w:rPr>
        <w:t xml:space="preserve"> </w:t>
      </w:r>
      <w:r w:rsidR="00E55ACA">
        <w:rPr>
          <w:rFonts w:ascii="Times New Roman" w:hAnsi="Times New Roman"/>
          <w:sz w:val="24"/>
        </w:rPr>
        <w:t>September 4, 2014.</w:t>
      </w:r>
    </w:p>
    <w:p w14:paraId="05B80733" w14:textId="77777777" w:rsidR="006424FC" w:rsidRDefault="006424FC" w:rsidP="00706239">
      <w:pPr>
        <w:rPr>
          <w:rFonts w:ascii="Times New Roman" w:hAnsi="Times New Roman"/>
          <w:sz w:val="24"/>
        </w:rPr>
      </w:pPr>
    </w:p>
    <w:p w14:paraId="3F292AD9" w14:textId="5B01672E" w:rsidR="002A0770" w:rsidRPr="002A0770" w:rsidRDefault="002A0770" w:rsidP="002A0770">
      <w:pPr>
        <w:widowControl/>
        <w:autoSpaceDE/>
        <w:autoSpaceDN/>
        <w:adjustRightInd/>
        <w:rPr>
          <w:rFonts w:ascii="Times New Roman" w:eastAsiaTheme="minorHAnsi" w:hAnsi="Times New Roman"/>
          <w:color w:val="000000" w:themeColor="text1"/>
          <w:sz w:val="24"/>
        </w:rPr>
      </w:pPr>
      <w:r w:rsidRPr="002A0770">
        <w:rPr>
          <w:rFonts w:ascii="Times New Roman" w:eastAsiaTheme="minorHAnsi" w:hAnsi="Times New Roman"/>
          <w:color w:val="000000" w:themeColor="text1"/>
          <w:sz w:val="24"/>
        </w:rPr>
        <w:t xml:space="preserve">Staff discovered during the review that the demand costs for the prospective gas cost were understated by $4,115,375 for the 2014-2015 PGA period.  If the company corrects the error, the proposed rates would have a </w:t>
      </w:r>
      <w:r w:rsidRPr="002A0770">
        <w:rPr>
          <w:rFonts w:ascii="Times New Roman" w:eastAsiaTheme="minorHAnsi" w:hAnsi="Times New Roman"/>
          <w:color w:val="000000" w:themeColor="text1"/>
          <w:sz w:val="24"/>
        </w:rPr>
        <w:lastRenderedPageBreak/>
        <w:t xml:space="preserve">small increase.  Staff recommends not having PSE refile </w:t>
      </w:r>
      <w:r w:rsidR="00C5349A">
        <w:rPr>
          <w:rFonts w:ascii="Times New Roman" w:eastAsiaTheme="minorHAnsi" w:hAnsi="Times New Roman"/>
          <w:color w:val="000000" w:themeColor="text1"/>
          <w:sz w:val="24"/>
        </w:rPr>
        <w:t xml:space="preserve">to </w:t>
      </w:r>
      <w:r w:rsidRPr="002A0770">
        <w:rPr>
          <w:rFonts w:ascii="Times New Roman" w:eastAsiaTheme="minorHAnsi" w:hAnsi="Times New Roman"/>
          <w:color w:val="000000" w:themeColor="text1"/>
          <w:sz w:val="24"/>
        </w:rPr>
        <w:t xml:space="preserve">adjust the costs at this time because the costs will be trued up in the deferral portion of next year’s PGA filing. </w:t>
      </w:r>
    </w:p>
    <w:p w14:paraId="04D5D15A" w14:textId="77777777" w:rsidR="00280D8C" w:rsidRDefault="00280D8C" w:rsidP="00FB2E5A">
      <w:pPr>
        <w:rPr>
          <w:rFonts w:ascii="Times New Roman" w:hAnsi="Times New Roman"/>
          <w:sz w:val="24"/>
        </w:rPr>
      </w:pPr>
    </w:p>
    <w:p w14:paraId="53538036" w14:textId="1269AFBB" w:rsidR="00A55E57" w:rsidRDefault="00A55E57" w:rsidP="00A55E57">
      <w:pPr>
        <w:pStyle w:val="Heading2"/>
        <w:rPr>
          <w:b/>
        </w:rPr>
      </w:pPr>
      <w:r w:rsidRPr="00A55E57">
        <w:rPr>
          <w:b/>
        </w:rPr>
        <w:t>WACOG Comparisons</w:t>
      </w:r>
    </w:p>
    <w:p w14:paraId="7B87613C" w14:textId="77777777" w:rsidR="00A55E57" w:rsidRPr="00A55E57" w:rsidRDefault="00A55E57" w:rsidP="00A55E57"/>
    <w:p w14:paraId="456A817E" w14:textId="26B691FE" w:rsidR="00A55E57" w:rsidRDefault="00A55E57" w:rsidP="00A55E57">
      <w:pPr>
        <w:rPr>
          <w:rFonts w:ascii="Times New Roman" w:hAnsi="Times New Roman"/>
          <w:sz w:val="24"/>
        </w:rPr>
      </w:pPr>
      <w:r>
        <w:rPr>
          <w:rFonts w:ascii="Times New Roman" w:hAnsi="Times New Roman"/>
          <w:sz w:val="24"/>
        </w:rPr>
        <w:t>A</w:t>
      </w:r>
      <w:r w:rsidRPr="008A0305">
        <w:rPr>
          <w:rFonts w:ascii="Times New Roman" w:hAnsi="Times New Roman"/>
          <w:sz w:val="24"/>
        </w:rPr>
        <w:t xml:space="preserve"> </w:t>
      </w:r>
      <w:r>
        <w:rPr>
          <w:rFonts w:ascii="Times New Roman" w:hAnsi="Times New Roman"/>
          <w:sz w:val="24"/>
        </w:rPr>
        <w:t>comparison of the WACOG for the commission’s regulated local distribution companies</w:t>
      </w:r>
      <w:r w:rsidR="001B1BCD">
        <w:rPr>
          <w:rFonts w:ascii="Times New Roman" w:hAnsi="Times New Roman"/>
          <w:sz w:val="24"/>
        </w:rPr>
        <w:t>’</w:t>
      </w:r>
      <w:r>
        <w:rPr>
          <w:rFonts w:ascii="Times New Roman" w:hAnsi="Times New Roman"/>
          <w:sz w:val="24"/>
        </w:rPr>
        <w:t xml:space="preserve"> (LDCs) </w:t>
      </w:r>
      <w:r w:rsidRPr="008A0305">
        <w:rPr>
          <w:rFonts w:ascii="Times New Roman" w:hAnsi="Times New Roman"/>
          <w:sz w:val="24"/>
        </w:rPr>
        <w:t xml:space="preserve">combined </w:t>
      </w:r>
      <w:r w:rsidRPr="00593AAA">
        <w:rPr>
          <w:rFonts w:ascii="Times New Roman" w:hAnsi="Times New Roman"/>
          <w:sz w:val="24"/>
        </w:rPr>
        <w:t xml:space="preserve">effects </w:t>
      </w:r>
      <w:r>
        <w:rPr>
          <w:rFonts w:ascii="Times New Roman" w:hAnsi="Times New Roman"/>
          <w:sz w:val="24"/>
        </w:rPr>
        <w:t>f</w:t>
      </w:r>
      <w:r w:rsidRPr="00593AAA">
        <w:rPr>
          <w:rFonts w:ascii="Times New Roman" w:hAnsi="Times New Roman"/>
          <w:sz w:val="24"/>
        </w:rPr>
        <w:t>o</w:t>
      </w:r>
      <w:r>
        <w:rPr>
          <w:rFonts w:ascii="Times New Roman" w:hAnsi="Times New Roman"/>
          <w:sz w:val="24"/>
        </w:rPr>
        <w:t>r</w:t>
      </w:r>
      <w:r w:rsidRPr="00593AAA">
        <w:rPr>
          <w:rFonts w:ascii="Times New Roman" w:hAnsi="Times New Roman"/>
          <w:sz w:val="24"/>
        </w:rPr>
        <w:t xml:space="preserve"> the </w:t>
      </w:r>
      <w:r>
        <w:rPr>
          <w:rFonts w:ascii="Times New Roman" w:hAnsi="Times New Roman"/>
          <w:sz w:val="24"/>
        </w:rPr>
        <w:t>commodity</w:t>
      </w:r>
      <w:r w:rsidRPr="00593AAA">
        <w:rPr>
          <w:rFonts w:ascii="Times New Roman" w:hAnsi="Times New Roman"/>
          <w:sz w:val="24"/>
        </w:rPr>
        <w:t xml:space="preserve"> and </w:t>
      </w:r>
      <w:r>
        <w:rPr>
          <w:rFonts w:ascii="Times New Roman" w:hAnsi="Times New Roman"/>
          <w:sz w:val="24"/>
        </w:rPr>
        <w:t>firm demand</w:t>
      </w:r>
      <w:r w:rsidRPr="00593AAA">
        <w:rPr>
          <w:rFonts w:ascii="Times New Roman" w:hAnsi="Times New Roman"/>
          <w:sz w:val="24"/>
        </w:rPr>
        <w:t xml:space="preserve"> ($/therm) are as follow</w:t>
      </w:r>
      <w:r>
        <w:rPr>
          <w:rFonts w:ascii="Times New Roman" w:hAnsi="Times New Roman"/>
          <w:sz w:val="24"/>
        </w:rPr>
        <w:t>s</w:t>
      </w:r>
      <w:r w:rsidRPr="00593AAA">
        <w:rPr>
          <w:rFonts w:ascii="Times New Roman" w:hAnsi="Times New Roman"/>
          <w:sz w:val="24"/>
        </w:rPr>
        <w:t>:</w:t>
      </w:r>
      <w:r w:rsidR="00C5349A">
        <w:rPr>
          <w:rStyle w:val="FootnoteReference"/>
          <w:rFonts w:ascii="Times New Roman" w:hAnsi="Times New Roman"/>
          <w:sz w:val="24"/>
        </w:rPr>
        <w:footnoteReference w:id="1"/>
      </w:r>
    </w:p>
    <w:p w14:paraId="21F68B81" w14:textId="77777777" w:rsidR="00A55E57" w:rsidRDefault="00A55E57" w:rsidP="00A55E57">
      <w:pPr>
        <w:rPr>
          <w:rFonts w:ascii="Times New Roman" w:hAnsi="Times New Roman"/>
          <w:sz w:val="24"/>
        </w:rPr>
      </w:pPr>
    </w:p>
    <w:tbl>
      <w:tblPr>
        <w:tblStyle w:val="TableGrid"/>
        <w:tblW w:w="0" w:type="auto"/>
        <w:tblLook w:val="04A0" w:firstRow="1" w:lastRow="0" w:firstColumn="1" w:lastColumn="0" w:noHBand="0" w:noVBand="1"/>
      </w:tblPr>
      <w:tblGrid>
        <w:gridCol w:w="1880"/>
        <w:gridCol w:w="1866"/>
        <w:gridCol w:w="1866"/>
        <w:gridCol w:w="1872"/>
        <w:gridCol w:w="1866"/>
      </w:tblGrid>
      <w:tr w:rsidR="00A55E57" w:rsidRPr="002E5D7F" w14:paraId="1B49248D" w14:textId="77777777" w:rsidTr="00021FCD">
        <w:tc>
          <w:tcPr>
            <w:tcW w:w="1915" w:type="dxa"/>
            <w:vAlign w:val="bottom"/>
          </w:tcPr>
          <w:p w14:paraId="0A528758"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WACOG</w:t>
            </w:r>
          </w:p>
        </w:tc>
        <w:tc>
          <w:tcPr>
            <w:tcW w:w="1915" w:type="dxa"/>
            <w:vAlign w:val="bottom"/>
          </w:tcPr>
          <w:p w14:paraId="1B1EE648"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Avista</w:t>
            </w:r>
          </w:p>
        </w:tc>
        <w:tc>
          <w:tcPr>
            <w:tcW w:w="1915" w:type="dxa"/>
            <w:vAlign w:val="bottom"/>
          </w:tcPr>
          <w:p w14:paraId="0B750B30"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Puget Sound Energy</w:t>
            </w:r>
          </w:p>
        </w:tc>
        <w:tc>
          <w:tcPr>
            <w:tcW w:w="1915" w:type="dxa"/>
            <w:vAlign w:val="bottom"/>
          </w:tcPr>
          <w:p w14:paraId="243AD84D"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Northwest Natural</w:t>
            </w:r>
          </w:p>
        </w:tc>
        <w:tc>
          <w:tcPr>
            <w:tcW w:w="1916" w:type="dxa"/>
            <w:vAlign w:val="bottom"/>
          </w:tcPr>
          <w:p w14:paraId="0088CDBB"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Cascade Natural Gas</w:t>
            </w:r>
          </w:p>
        </w:tc>
      </w:tr>
      <w:tr w:rsidR="00A55E57" w:rsidRPr="002E5D7F" w14:paraId="714762F6" w14:textId="77777777" w:rsidTr="00021FCD">
        <w:tc>
          <w:tcPr>
            <w:tcW w:w="1915" w:type="dxa"/>
          </w:tcPr>
          <w:p w14:paraId="600BEFBE" w14:textId="77777777" w:rsidR="00A55E57" w:rsidRPr="002E5D7F" w:rsidRDefault="00A55E57" w:rsidP="00021FCD">
            <w:pPr>
              <w:spacing w:after="120"/>
              <w:rPr>
                <w:rFonts w:ascii="Times New Roman" w:hAnsi="Times New Roman"/>
                <w:sz w:val="24"/>
              </w:rPr>
            </w:pPr>
            <w:r w:rsidRPr="002E5D7F">
              <w:rPr>
                <w:rFonts w:ascii="Times New Roman" w:hAnsi="Times New Roman"/>
                <w:sz w:val="24"/>
              </w:rPr>
              <w:t>Commodity</w:t>
            </w:r>
          </w:p>
        </w:tc>
        <w:tc>
          <w:tcPr>
            <w:tcW w:w="1915" w:type="dxa"/>
          </w:tcPr>
          <w:p w14:paraId="44F92C0B" w14:textId="04AA5F4E" w:rsidR="00A55E57" w:rsidRPr="002E5D7F" w:rsidRDefault="00C5349A" w:rsidP="00C5349A">
            <w:pPr>
              <w:spacing w:after="120"/>
              <w:jc w:val="center"/>
              <w:rPr>
                <w:rFonts w:ascii="Times New Roman" w:hAnsi="Times New Roman"/>
                <w:sz w:val="24"/>
              </w:rPr>
            </w:pPr>
            <w:r>
              <w:rPr>
                <w:rFonts w:ascii="Times New Roman" w:hAnsi="Times New Roman"/>
                <w:sz w:val="24"/>
              </w:rPr>
              <w:t>$0.38497</w:t>
            </w:r>
          </w:p>
        </w:tc>
        <w:tc>
          <w:tcPr>
            <w:tcW w:w="1915" w:type="dxa"/>
          </w:tcPr>
          <w:p w14:paraId="261B8641"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$0.40038</w:t>
            </w:r>
          </w:p>
        </w:tc>
        <w:tc>
          <w:tcPr>
            <w:tcW w:w="1915" w:type="dxa"/>
          </w:tcPr>
          <w:p w14:paraId="08FA2071"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$0.40999</w:t>
            </w:r>
          </w:p>
        </w:tc>
        <w:tc>
          <w:tcPr>
            <w:tcW w:w="1916" w:type="dxa"/>
          </w:tcPr>
          <w:p w14:paraId="7EBB44B2" w14:textId="34293EF3" w:rsidR="00A55E57" w:rsidRPr="002E5D7F" w:rsidRDefault="00A55E57" w:rsidP="000D4B69">
            <w:pPr>
              <w:spacing w:after="120"/>
              <w:jc w:val="center"/>
              <w:rPr>
                <w:rFonts w:ascii="Times New Roman" w:hAnsi="Times New Roman"/>
                <w:sz w:val="24"/>
              </w:rPr>
            </w:pPr>
            <w:r w:rsidRPr="002E5D7F">
              <w:rPr>
                <w:rFonts w:ascii="Times New Roman" w:hAnsi="Times New Roman"/>
                <w:sz w:val="24"/>
              </w:rPr>
              <w:t>$0.437</w:t>
            </w:r>
            <w:r w:rsidR="000D4B69">
              <w:rPr>
                <w:rFonts w:ascii="Times New Roman" w:hAnsi="Times New Roman"/>
                <w:sz w:val="24"/>
              </w:rPr>
              <w:t>50</w:t>
            </w:r>
          </w:p>
        </w:tc>
      </w:tr>
      <w:tr w:rsidR="00A55E57" w:rsidRPr="002E5D7F" w14:paraId="3B21FC87" w14:textId="77777777" w:rsidTr="00021FCD">
        <w:tc>
          <w:tcPr>
            <w:tcW w:w="1915" w:type="dxa"/>
          </w:tcPr>
          <w:p w14:paraId="5AAC72C6" w14:textId="77777777" w:rsidR="00A55E57" w:rsidRPr="002E5D7F" w:rsidRDefault="00A55E57" w:rsidP="00021FCD">
            <w:pPr>
              <w:spacing w:after="120"/>
              <w:rPr>
                <w:rFonts w:ascii="Times New Roman" w:hAnsi="Times New Roman"/>
                <w:sz w:val="24"/>
              </w:rPr>
            </w:pPr>
            <w:r w:rsidRPr="002E5D7F">
              <w:rPr>
                <w:rFonts w:ascii="Times New Roman" w:hAnsi="Times New Roman"/>
                <w:sz w:val="24"/>
              </w:rPr>
              <w:t>Demand (firm)</w:t>
            </w:r>
          </w:p>
        </w:tc>
        <w:tc>
          <w:tcPr>
            <w:tcW w:w="1915" w:type="dxa"/>
          </w:tcPr>
          <w:p w14:paraId="24BBF611" w14:textId="7C49AB2E" w:rsidR="00A55E57" w:rsidRPr="002E5D7F" w:rsidRDefault="00A55E57" w:rsidP="00C5349A">
            <w:pPr>
              <w:spacing w:after="120"/>
              <w:jc w:val="center"/>
              <w:rPr>
                <w:rFonts w:ascii="Times New Roman" w:hAnsi="Times New Roman"/>
                <w:sz w:val="24"/>
              </w:rPr>
            </w:pPr>
            <w:r w:rsidRPr="002E5D7F">
              <w:rPr>
                <w:rFonts w:ascii="Times New Roman" w:hAnsi="Times New Roman"/>
                <w:sz w:val="24"/>
              </w:rPr>
              <w:t>$0.1</w:t>
            </w:r>
            <w:r w:rsidR="00C5349A">
              <w:rPr>
                <w:rFonts w:ascii="Times New Roman" w:hAnsi="Times New Roman"/>
                <w:sz w:val="24"/>
              </w:rPr>
              <w:t>1830</w:t>
            </w:r>
          </w:p>
        </w:tc>
        <w:tc>
          <w:tcPr>
            <w:tcW w:w="1915" w:type="dxa"/>
          </w:tcPr>
          <w:p w14:paraId="59DB9F60"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$0.13661</w:t>
            </w:r>
          </w:p>
        </w:tc>
        <w:tc>
          <w:tcPr>
            <w:tcW w:w="1915" w:type="dxa"/>
          </w:tcPr>
          <w:p w14:paraId="597DFE5D" w14:textId="77777777" w:rsidR="00A55E57" w:rsidRPr="002E5D7F" w:rsidRDefault="00A55E57" w:rsidP="00021FCD">
            <w:pPr>
              <w:spacing w:after="120"/>
              <w:jc w:val="center"/>
              <w:rPr>
                <w:rFonts w:ascii="Times New Roman" w:hAnsi="Times New Roman"/>
                <w:sz w:val="24"/>
              </w:rPr>
            </w:pPr>
            <w:r w:rsidRPr="002E5D7F">
              <w:rPr>
                <w:rFonts w:ascii="Times New Roman" w:hAnsi="Times New Roman"/>
                <w:sz w:val="24"/>
              </w:rPr>
              <w:t>$0.11970</w:t>
            </w:r>
          </w:p>
        </w:tc>
        <w:tc>
          <w:tcPr>
            <w:tcW w:w="1916" w:type="dxa"/>
          </w:tcPr>
          <w:p w14:paraId="5194237B" w14:textId="1F90DFD4" w:rsidR="00A55E57" w:rsidRPr="002E5D7F" w:rsidRDefault="00A55E57" w:rsidP="000D4B69">
            <w:pPr>
              <w:spacing w:after="120"/>
              <w:jc w:val="center"/>
              <w:rPr>
                <w:rFonts w:ascii="Times New Roman" w:hAnsi="Times New Roman"/>
                <w:sz w:val="24"/>
              </w:rPr>
            </w:pPr>
            <w:r w:rsidRPr="002E5D7F">
              <w:rPr>
                <w:rFonts w:ascii="Times New Roman" w:hAnsi="Times New Roman"/>
                <w:sz w:val="24"/>
              </w:rPr>
              <w:t>$0.1</w:t>
            </w:r>
            <w:r w:rsidR="000D4B69">
              <w:rPr>
                <w:rFonts w:ascii="Times New Roman" w:hAnsi="Times New Roman"/>
                <w:sz w:val="24"/>
              </w:rPr>
              <w:t>9486</w:t>
            </w:r>
          </w:p>
        </w:tc>
      </w:tr>
      <w:tr w:rsidR="00A55E57" w:rsidRPr="002E5D7F" w14:paraId="5F24B606" w14:textId="77777777" w:rsidTr="00021FCD">
        <w:tc>
          <w:tcPr>
            <w:tcW w:w="1915" w:type="dxa"/>
          </w:tcPr>
          <w:p w14:paraId="21E18E87" w14:textId="77777777" w:rsidR="00A55E57" w:rsidRPr="002E5D7F" w:rsidRDefault="00A55E57" w:rsidP="00021FCD">
            <w:pPr>
              <w:spacing w:after="120"/>
              <w:rPr>
                <w:rFonts w:ascii="Times New Roman" w:hAnsi="Times New Roman"/>
                <w:sz w:val="24"/>
              </w:rPr>
            </w:pPr>
            <w:r w:rsidRPr="002E5D7F">
              <w:rPr>
                <w:rFonts w:ascii="Times New Roman" w:hAnsi="Times New Roman"/>
                <w:sz w:val="24"/>
              </w:rPr>
              <w:t>Total</w:t>
            </w:r>
          </w:p>
        </w:tc>
        <w:tc>
          <w:tcPr>
            <w:tcW w:w="1915" w:type="dxa"/>
          </w:tcPr>
          <w:p w14:paraId="65258F75" w14:textId="5955DE4D" w:rsidR="00A55E57" w:rsidRPr="002E5D7F" w:rsidRDefault="00A55E57" w:rsidP="00C5349A">
            <w:pPr>
              <w:spacing w:after="120"/>
              <w:jc w:val="center"/>
              <w:rPr>
                <w:rFonts w:ascii="Times New Roman" w:hAnsi="Times New Roman"/>
                <w:b/>
                <w:sz w:val="24"/>
              </w:rPr>
            </w:pPr>
            <w:r w:rsidRPr="002E5D7F">
              <w:rPr>
                <w:rFonts w:ascii="Times New Roman" w:hAnsi="Times New Roman"/>
                <w:b/>
                <w:sz w:val="24"/>
              </w:rPr>
              <w:t>$0.5</w:t>
            </w:r>
            <w:r w:rsidR="00C5349A">
              <w:rPr>
                <w:rFonts w:ascii="Times New Roman" w:hAnsi="Times New Roman"/>
                <w:b/>
                <w:sz w:val="24"/>
              </w:rPr>
              <w:t>0327</w:t>
            </w:r>
          </w:p>
        </w:tc>
        <w:tc>
          <w:tcPr>
            <w:tcW w:w="1915" w:type="dxa"/>
          </w:tcPr>
          <w:p w14:paraId="6CFD611B" w14:textId="77777777" w:rsidR="00A55E57" w:rsidRPr="002E5D7F" w:rsidRDefault="00A55E57" w:rsidP="00021FCD">
            <w:pPr>
              <w:spacing w:after="120"/>
              <w:jc w:val="center"/>
              <w:rPr>
                <w:rFonts w:ascii="Times New Roman" w:hAnsi="Times New Roman"/>
                <w:b/>
                <w:sz w:val="24"/>
              </w:rPr>
            </w:pPr>
            <w:r w:rsidRPr="002E5D7F">
              <w:rPr>
                <w:rFonts w:ascii="Times New Roman" w:hAnsi="Times New Roman"/>
                <w:b/>
                <w:sz w:val="24"/>
              </w:rPr>
              <w:t>$0.53699</w:t>
            </w:r>
          </w:p>
        </w:tc>
        <w:tc>
          <w:tcPr>
            <w:tcW w:w="1915" w:type="dxa"/>
          </w:tcPr>
          <w:p w14:paraId="4F832E56" w14:textId="77777777" w:rsidR="00A55E57" w:rsidRPr="002E5D7F" w:rsidRDefault="00A55E57" w:rsidP="00021FCD">
            <w:pPr>
              <w:spacing w:after="120"/>
              <w:jc w:val="center"/>
              <w:rPr>
                <w:rFonts w:ascii="Times New Roman" w:hAnsi="Times New Roman"/>
                <w:b/>
                <w:sz w:val="24"/>
              </w:rPr>
            </w:pPr>
            <w:r w:rsidRPr="002E5D7F">
              <w:rPr>
                <w:rFonts w:ascii="Times New Roman" w:hAnsi="Times New Roman"/>
                <w:b/>
                <w:sz w:val="24"/>
              </w:rPr>
              <w:t>$0.52969</w:t>
            </w:r>
          </w:p>
        </w:tc>
        <w:tc>
          <w:tcPr>
            <w:tcW w:w="1916" w:type="dxa"/>
          </w:tcPr>
          <w:p w14:paraId="769577E0" w14:textId="5B9396B0" w:rsidR="00A55E57" w:rsidRPr="002E5D7F" w:rsidRDefault="00A55E57" w:rsidP="000D4B69">
            <w:pPr>
              <w:spacing w:after="120"/>
              <w:jc w:val="center"/>
              <w:rPr>
                <w:rFonts w:ascii="Times New Roman" w:hAnsi="Times New Roman"/>
                <w:b/>
                <w:sz w:val="24"/>
              </w:rPr>
            </w:pPr>
            <w:r w:rsidRPr="002E5D7F">
              <w:rPr>
                <w:rFonts w:ascii="Times New Roman" w:hAnsi="Times New Roman"/>
                <w:b/>
                <w:sz w:val="24"/>
              </w:rPr>
              <w:t>$0.6</w:t>
            </w:r>
            <w:r w:rsidR="000D4B69">
              <w:rPr>
                <w:rFonts w:ascii="Times New Roman" w:hAnsi="Times New Roman"/>
                <w:b/>
                <w:sz w:val="24"/>
              </w:rPr>
              <w:t>3236</w:t>
            </w:r>
          </w:p>
        </w:tc>
      </w:tr>
    </w:tbl>
    <w:p w14:paraId="1E67E284" w14:textId="77777777" w:rsidR="00A55E57" w:rsidRDefault="00A55E57" w:rsidP="00A55E57">
      <w:pPr>
        <w:rPr>
          <w:rFonts w:ascii="Times New Roman" w:hAnsi="Times New Roman"/>
          <w:sz w:val="24"/>
        </w:rPr>
      </w:pPr>
    </w:p>
    <w:p w14:paraId="5AD555F3" w14:textId="77777777" w:rsidR="00C9072F" w:rsidRDefault="00C9072F" w:rsidP="00025483">
      <w:pPr>
        <w:pStyle w:val="Heading2"/>
      </w:pPr>
    </w:p>
    <w:p w14:paraId="454F3AFF" w14:textId="77777777" w:rsidR="00C9072F" w:rsidRDefault="00C9072F" w:rsidP="00025483">
      <w:pPr>
        <w:pStyle w:val="Heading2"/>
      </w:pPr>
    </w:p>
    <w:p w14:paraId="04D5D15D" w14:textId="77777777" w:rsidR="009B58B4" w:rsidRPr="00EF46DD" w:rsidRDefault="00C140CB" w:rsidP="00025483">
      <w:pPr>
        <w:pStyle w:val="Heading2"/>
      </w:pPr>
      <w:r w:rsidRPr="00EF46DD">
        <w:t xml:space="preserve">Deferral </w:t>
      </w:r>
      <w:r w:rsidR="009B58B4" w:rsidRPr="00EF46DD">
        <w:t>Gas Cost</w:t>
      </w:r>
    </w:p>
    <w:p w14:paraId="04D5D15E" w14:textId="372D5940" w:rsidR="00573514" w:rsidRDefault="00FB2E5A" w:rsidP="00573514">
      <w:pPr>
        <w:rPr>
          <w:rFonts w:ascii="Times New Roman" w:hAnsi="Times New Roman"/>
          <w:sz w:val="24"/>
        </w:rPr>
      </w:pPr>
      <w:r w:rsidRPr="004970DA">
        <w:rPr>
          <w:rFonts w:ascii="Times New Roman" w:hAnsi="Times New Roman"/>
          <w:sz w:val="24"/>
        </w:rPr>
        <w:t xml:space="preserve">The Deferral reflects balances in Account 191 </w:t>
      </w:r>
      <w:r w:rsidR="00942041">
        <w:rPr>
          <w:rFonts w:ascii="Times New Roman" w:hAnsi="Times New Roman"/>
          <w:sz w:val="24"/>
        </w:rPr>
        <w:t xml:space="preserve">that result </w:t>
      </w:r>
      <w:r w:rsidR="00942041" w:rsidRPr="004970DA">
        <w:rPr>
          <w:rFonts w:ascii="Times New Roman" w:hAnsi="Times New Roman"/>
          <w:sz w:val="24"/>
        </w:rPr>
        <w:t xml:space="preserve">from the difference between </w:t>
      </w:r>
      <w:r w:rsidR="00942041">
        <w:rPr>
          <w:rFonts w:ascii="Times New Roman" w:hAnsi="Times New Roman"/>
          <w:sz w:val="24"/>
        </w:rPr>
        <w:t xml:space="preserve">the </w:t>
      </w:r>
      <w:r w:rsidR="00942041" w:rsidRPr="004970DA">
        <w:rPr>
          <w:rFonts w:ascii="Times New Roman" w:hAnsi="Times New Roman"/>
          <w:sz w:val="24"/>
        </w:rPr>
        <w:t xml:space="preserve">actual gas costs incurred and </w:t>
      </w:r>
      <w:r w:rsidR="00942041">
        <w:rPr>
          <w:rFonts w:ascii="Times New Roman" w:hAnsi="Times New Roman"/>
          <w:sz w:val="24"/>
        </w:rPr>
        <w:t xml:space="preserve">the </w:t>
      </w:r>
      <w:r w:rsidR="00942041" w:rsidRPr="004970DA">
        <w:rPr>
          <w:rFonts w:ascii="Times New Roman" w:hAnsi="Times New Roman"/>
          <w:sz w:val="24"/>
        </w:rPr>
        <w:t xml:space="preserve">gas costs projected </w:t>
      </w:r>
      <w:r w:rsidRPr="004970DA">
        <w:rPr>
          <w:rFonts w:ascii="Times New Roman" w:hAnsi="Times New Roman"/>
          <w:sz w:val="24"/>
        </w:rPr>
        <w:t>for the period of November 201</w:t>
      </w:r>
      <w:r w:rsidR="00095AAD">
        <w:rPr>
          <w:rFonts w:ascii="Times New Roman" w:hAnsi="Times New Roman"/>
          <w:sz w:val="24"/>
        </w:rPr>
        <w:t>3</w:t>
      </w:r>
      <w:r w:rsidRPr="004970DA">
        <w:rPr>
          <w:rFonts w:ascii="Times New Roman" w:hAnsi="Times New Roman"/>
          <w:sz w:val="24"/>
        </w:rPr>
        <w:t xml:space="preserve"> to </w:t>
      </w:r>
      <w:r w:rsidR="004970DA" w:rsidRPr="004970DA">
        <w:rPr>
          <w:rFonts w:ascii="Times New Roman" w:hAnsi="Times New Roman"/>
          <w:sz w:val="24"/>
        </w:rPr>
        <w:t xml:space="preserve">October </w:t>
      </w:r>
      <w:r w:rsidRPr="004970DA">
        <w:rPr>
          <w:rFonts w:ascii="Times New Roman" w:hAnsi="Times New Roman"/>
          <w:sz w:val="24"/>
        </w:rPr>
        <w:t>201</w:t>
      </w:r>
      <w:r w:rsidR="00095AAD">
        <w:rPr>
          <w:rFonts w:ascii="Times New Roman" w:hAnsi="Times New Roman"/>
          <w:sz w:val="24"/>
        </w:rPr>
        <w:t>4</w:t>
      </w:r>
      <w:r w:rsidR="00942041">
        <w:rPr>
          <w:rFonts w:ascii="Times New Roman" w:hAnsi="Times New Roman"/>
          <w:sz w:val="24"/>
        </w:rPr>
        <w:t>.</w:t>
      </w:r>
      <w:r w:rsidR="00F43C68">
        <w:rPr>
          <w:rFonts w:ascii="Times New Roman" w:hAnsi="Times New Roman"/>
          <w:sz w:val="24"/>
        </w:rPr>
        <w:t xml:space="preserve"> </w:t>
      </w:r>
      <w:r w:rsidRPr="004970DA">
        <w:rPr>
          <w:rFonts w:ascii="Times New Roman" w:hAnsi="Times New Roman"/>
          <w:sz w:val="24"/>
        </w:rPr>
        <w:t xml:space="preserve">Actual gas costs were </w:t>
      </w:r>
      <w:r w:rsidR="00477AF0" w:rsidRPr="002276ED">
        <w:rPr>
          <w:rFonts w:ascii="Times New Roman" w:hAnsi="Times New Roman"/>
          <w:sz w:val="24"/>
        </w:rPr>
        <w:t>higher</w:t>
      </w:r>
      <w:r w:rsidRPr="002276ED">
        <w:rPr>
          <w:rFonts w:ascii="Times New Roman" w:hAnsi="Times New Roman"/>
          <w:sz w:val="24"/>
        </w:rPr>
        <w:t xml:space="preserve"> than projected by </w:t>
      </w:r>
      <w:r w:rsidRPr="00400AF9">
        <w:rPr>
          <w:rFonts w:ascii="Times New Roman" w:hAnsi="Times New Roman"/>
          <w:sz w:val="24"/>
        </w:rPr>
        <w:t>approximately $</w:t>
      </w:r>
      <w:r w:rsidR="0056751A">
        <w:rPr>
          <w:rFonts w:ascii="Times New Roman" w:hAnsi="Times New Roman"/>
          <w:sz w:val="24"/>
        </w:rPr>
        <w:t>43.2</w:t>
      </w:r>
      <w:r w:rsidR="001E1FC2" w:rsidRPr="00400AF9">
        <w:rPr>
          <w:rFonts w:ascii="Times New Roman" w:hAnsi="Times New Roman"/>
          <w:sz w:val="24"/>
        </w:rPr>
        <w:t xml:space="preserve"> million (</w:t>
      </w:r>
      <w:r w:rsidR="0056751A">
        <w:rPr>
          <w:rFonts w:ascii="Times New Roman" w:hAnsi="Times New Roman"/>
          <w:sz w:val="24"/>
        </w:rPr>
        <w:t>4.5</w:t>
      </w:r>
      <w:r w:rsidR="001E1FC2" w:rsidRPr="00400AF9">
        <w:rPr>
          <w:rFonts w:ascii="Times New Roman" w:hAnsi="Times New Roman"/>
          <w:sz w:val="24"/>
        </w:rPr>
        <w:t xml:space="preserve"> percent)</w:t>
      </w:r>
      <w:r w:rsidR="00942041" w:rsidRPr="00400AF9">
        <w:rPr>
          <w:rFonts w:ascii="Times New Roman" w:hAnsi="Times New Roman"/>
          <w:sz w:val="24"/>
        </w:rPr>
        <w:t>, which</w:t>
      </w:r>
      <w:r w:rsidRPr="00400AF9">
        <w:rPr>
          <w:rFonts w:ascii="Times New Roman" w:hAnsi="Times New Roman"/>
          <w:sz w:val="24"/>
        </w:rPr>
        <w:t xml:space="preserve"> </w:t>
      </w:r>
      <w:r w:rsidRPr="002276ED">
        <w:rPr>
          <w:rFonts w:ascii="Times New Roman" w:hAnsi="Times New Roman"/>
          <w:sz w:val="24"/>
        </w:rPr>
        <w:t>requir</w:t>
      </w:r>
      <w:r w:rsidR="00942041">
        <w:rPr>
          <w:rFonts w:ascii="Times New Roman" w:hAnsi="Times New Roman"/>
          <w:sz w:val="24"/>
        </w:rPr>
        <w:t>es</w:t>
      </w:r>
      <w:r w:rsidRPr="002276ED">
        <w:rPr>
          <w:rFonts w:ascii="Times New Roman" w:hAnsi="Times New Roman"/>
          <w:sz w:val="24"/>
        </w:rPr>
        <w:t xml:space="preserve"> a</w:t>
      </w:r>
      <w:r w:rsidR="00477AF0" w:rsidRPr="002276ED">
        <w:rPr>
          <w:rFonts w:ascii="Times New Roman" w:hAnsi="Times New Roman"/>
          <w:sz w:val="24"/>
        </w:rPr>
        <w:t>n</w:t>
      </w:r>
      <w:r w:rsidRPr="002276ED">
        <w:rPr>
          <w:rFonts w:ascii="Times New Roman" w:hAnsi="Times New Roman"/>
          <w:sz w:val="24"/>
        </w:rPr>
        <w:t xml:space="preserve"> </w:t>
      </w:r>
      <w:r w:rsidR="00477AF0" w:rsidRPr="002276ED">
        <w:rPr>
          <w:rFonts w:ascii="Times New Roman" w:hAnsi="Times New Roman"/>
          <w:sz w:val="24"/>
        </w:rPr>
        <w:t>in</w:t>
      </w:r>
      <w:r w:rsidRPr="002276ED">
        <w:rPr>
          <w:rFonts w:ascii="Times New Roman" w:hAnsi="Times New Roman"/>
          <w:sz w:val="24"/>
        </w:rPr>
        <w:t xml:space="preserve">crease in annual </w:t>
      </w:r>
      <w:r w:rsidRPr="004970DA">
        <w:rPr>
          <w:rFonts w:ascii="Times New Roman" w:hAnsi="Times New Roman"/>
          <w:sz w:val="24"/>
        </w:rPr>
        <w:t>revenue.</w:t>
      </w:r>
    </w:p>
    <w:p w14:paraId="4787874B" w14:textId="77777777" w:rsidR="00BA190B" w:rsidRDefault="00BA190B" w:rsidP="00573514">
      <w:pPr>
        <w:rPr>
          <w:rFonts w:ascii="Times New Roman" w:hAnsi="Times New Roman"/>
          <w:sz w:val="24"/>
        </w:rPr>
      </w:pPr>
    </w:p>
    <w:p w14:paraId="500CF590" w14:textId="026355E9" w:rsidR="0091287C" w:rsidRPr="0091287C" w:rsidRDefault="0091287C" w:rsidP="0091287C">
      <w:pPr>
        <w:widowControl/>
        <w:autoSpaceDE/>
        <w:autoSpaceDN/>
        <w:adjustRightInd/>
        <w:rPr>
          <w:rFonts w:ascii="Times New Roman" w:eastAsiaTheme="minorHAnsi" w:hAnsi="Times New Roman"/>
          <w:color w:val="000000" w:themeColor="text1"/>
          <w:sz w:val="24"/>
        </w:rPr>
      </w:pPr>
      <w:r w:rsidRPr="0091287C">
        <w:rPr>
          <w:rFonts w:ascii="Times New Roman" w:eastAsiaTheme="minorHAnsi" w:hAnsi="Times New Roman"/>
          <w:color w:val="000000" w:themeColor="text1"/>
          <w:sz w:val="24"/>
        </w:rPr>
        <w:t xml:space="preserve">Staff discovered during the review that PSE erroneously overstated capacity release revenue in its projected demand costs by approximately $1 million in last year’s PGA filing (UG-131816). The error resulted in lower rates in the 2013-2014 PGA period. The understated projection of the 2013-2014 demand cost </w:t>
      </w:r>
      <w:r w:rsidR="008A15C8">
        <w:rPr>
          <w:rFonts w:ascii="Times New Roman" w:eastAsiaTheme="minorHAnsi" w:hAnsi="Times New Roman"/>
          <w:color w:val="000000" w:themeColor="text1"/>
          <w:sz w:val="24"/>
        </w:rPr>
        <w:t>was captured in</w:t>
      </w:r>
      <w:r w:rsidRPr="0091287C">
        <w:rPr>
          <w:rFonts w:ascii="Times New Roman" w:eastAsiaTheme="minorHAnsi" w:hAnsi="Times New Roman"/>
          <w:color w:val="000000" w:themeColor="text1"/>
          <w:sz w:val="24"/>
        </w:rPr>
        <w:t xml:space="preserve"> the deferral portion of this year’s PGA filing. </w:t>
      </w:r>
    </w:p>
    <w:p w14:paraId="355E230F" w14:textId="77777777" w:rsidR="00BA190B" w:rsidRDefault="00BA190B" w:rsidP="00573514">
      <w:pPr>
        <w:rPr>
          <w:rFonts w:ascii="Times New Roman" w:hAnsi="Times New Roman"/>
          <w:sz w:val="24"/>
        </w:rPr>
      </w:pPr>
    </w:p>
    <w:p w14:paraId="04D5D15F" w14:textId="77777777" w:rsidR="00972BC9" w:rsidRDefault="00972BC9" w:rsidP="00573514">
      <w:pPr>
        <w:rPr>
          <w:rFonts w:ascii="Times New Roman" w:hAnsi="Times New Roman"/>
          <w:sz w:val="24"/>
        </w:rPr>
      </w:pPr>
    </w:p>
    <w:p w14:paraId="04D5D16D" w14:textId="77777777" w:rsidR="009B58B4" w:rsidRPr="00EF46DD" w:rsidRDefault="009B58B4" w:rsidP="00025483">
      <w:pPr>
        <w:pStyle w:val="Heading2"/>
      </w:pPr>
      <w:r w:rsidRPr="00EF46DD">
        <w:t>Revenue and Residential Bill Impacts</w:t>
      </w:r>
    </w:p>
    <w:p w14:paraId="04D5D16E" w14:textId="1F884996" w:rsidR="00FB2E5A" w:rsidRDefault="000B2FCA" w:rsidP="00593AAA">
      <w:pPr>
        <w:rPr>
          <w:rFonts w:ascii="Times New Roman" w:hAnsi="Times New Roman"/>
          <w:sz w:val="24"/>
        </w:rPr>
      </w:pPr>
      <w:r w:rsidRPr="00593AAA">
        <w:rPr>
          <w:rFonts w:ascii="Times New Roman" w:hAnsi="Times New Roman"/>
          <w:sz w:val="24"/>
        </w:rPr>
        <w:t xml:space="preserve">A residential customer </w:t>
      </w:r>
      <w:r w:rsidRPr="00E37D98">
        <w:rPr>
          <w:rFonts w:ascii="Times New Roman" w:hAnsi="Times New Roman"/>
          <w:sz w:val="24"/>
        </w:rPr>
        <w:t>using 6</w:t>
      </w:r>
      <w:r w:rsidR="00E37D98" w:rsidRPr="00E37D98">
        <w:rPr>
          <w:rFonts w:ascii="Times New Roman" w:hAnsi="Times New Roman"/>
          <w:sz w:val="24"/>
        </w:rPr>
        <w:t>8</w:t>
      </w:r>
      <w:r w:rsidR="00FB2E5A" w:rsidRPr="00E37D98">
        <w:rPr>
          <w:rFonts w:ascii="Times New Roman" w:hAnsi="Times New Roman"/>
          <w:sz w:val="24"/>
        </w:rPr>
        <w:t xml:space="preserve"> therms </w:t>
      </w:r>
      <w:r w:rsidR="00FB2E5A" w:rsidRPr="002C5EEA">
        <w:rPr>
          <w:rFonts w:ascii="Times New Roman" w:hAnsi="Times New Roman"/>
          <w:sz w:val="24"/>
        </w:rPr>
        <w:t xml:space="preserve">(the calculated monthly </w:t>
      </w:r>
      <w:r w:rsidR="00FB2E5A" w:rsidRPr="008A0305">
        <w:rPr>
          <w:rFonts w:ascii="Times New Roman" w:hAnsi="Times New Roman"/>
          <w:sz w:val="24"/>
        </w:rPr>
        <w:t>average) would pay $</w:t>
      </w:r>
      <w:r w:rsidR="00A55E57">
        <w:rPr>
          <w:rFonts w:ascii="Times New Roman" w:hAnsi="Times New Roman"/>
          <w:sz w:val="24"/>
        </w:rPr>
        <w:t xml:space="preserve">1.61 </w:t>
      </w:r>
      <w:r w:rsidR="002C5EEA" w:rsidRPr="008A0305">
        <w:rPr>
          <w:rFonts w:ascii="Times New Roman" w:hAnsi="Times New Roman"/>
          <w:sz w:val="24"/>
        </w:rPr>
        <w:t>more</w:t>
      </w:r>
      <w:r w:rsidRPr="008A0305">
        <w:rPr>
          <w:rFonts w:ascii="Times New Roman" w:hAnsi="Times New Roman"/>
          <w:sz w:val="24"/>
        </w:rPr>
        <w:t xml:space="preserve"> per month</w:t>
      </w:r>
      <w:r w:rsidR="006B16D9" w:rsidRPr="008A0305">
        <w:rPr>
          <w:rFonts w:ascii="Times New Roman" w:hAnsi="Times New Roman"/>
          <w:sz w:val="24"/>
        </w:rPr>
        <w:t>, increasing their average bill</w:t>
      </w:r>
      <w:r w:rsidRPr="008A0305">
        <w:rPr>
          <w:rFonts w:ascii="Times New Roman" w:hAnsi="Times New Roman"/>
          <w:sz w:val="24"/>
        </w:rPr>
        <w:t xml:space="preserve"> from $</w:t>
      </w:r>
      <w:r w:rsidR="002C5EEA" w:rsidRPr="008A0305">
        <w:rPr>
          <w:rFonts w:ascii="Times New Roman" w:hAnsi="Times New Roman"/>
          <w:sz w:val="24"/>
        </w:rPr>
        <w:t>7</w:t>
      </w:r>
      <w:r w:rsidR="00E37D98" w:rsidRPr="008A0305">
        <w:rPr>
          <w:rFonts w:ascii="Times New Roman" w:hAnsi="Times New Roman"/>
          <w:sz w:val="24"/>
        </w:rPr>
        <w:t>7</w:t>
      </w:r>
      <w:r w:rsidR="002C5EEA" w:rsidRPr="008A0305">
        <w:rPr>
          <w:rFonts w:ascii="Times New Roman" w:hAnsi="Times New Roman"/>
          <w:sz w:val="24"/>
        </w:rPr>
        <w:t>.</w:t>
      </w:r>
      <w:r w:rsidR="002E5D7F">
        <w:rPr>
          <w:rFonts w:ascii="Times New Roman" w:hAnsi="Times New Roman"/>
          <w:sz w:val="24"/>
        </w:rPr>
        <w:t>29</w:t>
      </w:r>
      <w:r w:rsidR="00FB2E5A" w:rsidRPr="008A0305">
        <w:rPr>
          <w:rFonts w:ascii="Times New Roman" w:hAnsi="Times New Roman"/>
          <w:sz w:val="24"/>
        </w:rPr>
        <w:t xml:space="preserve"> to $</w:t>
      </w:r>
      <w:r w:rsidR="002C5EEA" w:rsidRPr="008A0305">
        <w:rPr>
          <w:rFonts w:ascii="Times New Roman" w:hAnsi="Times New Roman"/>
          <w:sz w:val="24"/>
        </w:rPr>
        <w:t>7</w:t>
      </w:r>
      <w:r w:rsidR="002E5D7F">
        <w:rPr>
          <w:rFonts w:ascii="Times New Roman" w:hAnsi="Times New Roman"/>
          <w:sz w:val="24"/>
        </w:rPr>
        <w:t>8.90</w:t>
      </w:r>
      <w:r w:rsidR="00FB2E5A" w:rsidRPr="008A0305">
        <w:rPr>
          <w:rFonts w:ascii="Times New Roman" w:hAnsi="Times New Roman"/>
          <w:sz w:val="24"/>
        </w:rPr>
        <w:t xml:space="preserve">. The combined </w:t>
      </w:r>
      <w:r w:rsidR="00FB2E5A" w:rsidRPr="00593AAA">
        <w:rPr>
          <w:rFonts w:ascii="Times New Roman" w:hAnsi="Times New Roman"/>
          <w:sz w:val="24"/>
        </w:rPr>
        <w:t xml:space="preserve">effects of the PGA and Deferral mechanisms on </w:t>
      </w:r>
      <w:r w:rsidR="004959F2" w:rsidRPr="00593AAA">
        <w:rPr>
          <w:rFonts w:ascii="Times New Roman" w:hAnsi="Times New Roman"/>
          <w:sz w:val="24"/>
        </w:rPr>
        <w:t>PSE</w:t>
      </w:r>
      <w:r w:rsidR="00FB2E5A" w:rsidRPr="00593AAA">
        <w:rPr>
          <w:rFonts w:ascii="Times New Roman" w:hAnsi="Times New Roman"/>
          <w:sz w:val="24"/>
        </w:rPr>
        <w:t>’s rates ($/therm) and annual revenues are as follow</w:t>
      </w:r>
      <w:r w:rsidR="006B16D9">
        <w:rPr>
          <w:rFonts w:ascii="Times New Roman" w:hAnsi="Times New Roman"/>
          <w:sz w:val="24"/>
        </w:rPr>
        <w:t>s</w:t>
      </w:r>
      <w:r w:rsidR="00FB2E5A" w:rsidRPr="00593AAA">
        <w:rPr>
          <w:rFonts w:ascii="Times New Roman" w:hAnsi="Times New Roman"/>
          <w:sz w:val="24"/>
        </w:rPr>
        <w:t>:</w:t>
      </w:r>
    </w:p>
    <w:p w14:paraId="3CCA9325" w14:textId="77777777" w:rsidR="00025A51" w:rsidRDefault="00025A51" w:rsidP="00593AAA">
      <w:pPr>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5"/>
        <w:gridCol w:w="1496"/>
        <w:gridCol w:w="1670"/>
        <w:gridCol w:w="1582"/>
        <w:gridCol w:w="1597"/>
      </w:tblGrid>
      <w:tr w:rsidR="00025A51" w:rsidRPr="00025A51" w14:paraId="1F304868" w14:textId="77777777" w:rsidTr="00021FCD">
        <w:tc>
          <w:tcPr>
            <w:tcW w:w="1607" w:type="pct"/>
            <w:vAlign w:val="bottom"/>
          </w:tcPr>
          <w:p w14:paraId="234D0CD6"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color w:val="000000" w:themeColor="text1"/>
                <w:sz w:val="24"/>
              </w:rPr>
            </w:pPr>
            <w:r w:rsidRPr="00025A51">
              <w:rPr>
                <w:rFonts w:ascii="Times New Roman" w:hAnsi="Times New Roman"/>
                <w:b/>
                <w:color w:val="000000" w:themeColor="text1"/>
                <w:sz w:val="24"/>
              </w:rPr>
              <w:t>Schedule Classes</w:t>
            </w:r>
          </w:p>
        </w:tc>
        <w:tc>
          <w:tcPr>
            <w:tcW w:w="800" w:type="pct"/>
            <w:vAlign w:val="bottom"/>
          </w:tcPr>
          <w:p w14:paraId="5DF2421C"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color w:val="000000" w:themeColor="text1"/>
                <w:sz w:val="24"/>
              </w:rPr>
            </w:pPr>
            <w:r w:rsidRPr="00025A51">
              <w:rPr>
                <w:rFonts w:ascii="Times New Roman" w:hAnsi="Times New Roman"/>
                <w:b/>
                <w:color w:val="000000" w:themeColor="text1"/>
                <w:sz w:val="24"/>
              </w:rPr>
              <w:t>PGA Change</w:t>
            </w:r>
          </w:p>
        </w:tc>
        <w:tc>
          <w:tcPr>
            <w:tcW w:w="893" w:type="pct"/>
            <w:vAlign w:val="bottom"/>
          </w:tcPr>
          <w:p w14:paraId="31DF1A3E"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color w:val="000000" w:themeColor="text1"/>
                <w:sz w:val="24"/>
              </w:rPr>
            </w:pPr>
            <w:r w:rsidRPr="00025A51">
              <w:rPr>
                <w:rFonts w:ascii="Times New Roman" w:hAnsi="Times New Roman"/>
                <w:b/>
                <w:color w:val="000000" w:themeColor="text1"/>
                <w:sz w:val="24"/>
              </w:rPr>
              <w:t>Deferral Change</w:t>
            </w:r>
          </w:p>
        </w:tc>
        <w:tc>
          <w:tcPr>
            <w:tcW w:w="846" w:type="pct"/>
            <w:vAlign w:val="bottom"/>
          </w:tcPr>
          <w:p w14:paraId="56FE8FD8"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color w:val="000000" w:themeColor="text1"/>
                <w:sz w:val="24"/>
              </w:rPr>
            </w:pPr>
            <w:r w:rsidRPr="00025A51">
              <w:rPr>
                <w:rFonts w:ascii="Times New Roman" w:hAnsi="Times New Roman"/>
                <w:b/>
                <w:color w:val="000000" w:themeColor="text1"/>
                <w:sz w:val="24"/>
              </w:rPr>
              <w:t>Revenue Impact</w:t>
            </w:r>
          </w:p>
        </w:tc>
        <w:tc>
          <w:tcPr>
            <w:tcW w:w="854" w:type="pct"/>
            <w:vAlign w:val="bottom"/>
          </w:tcPr>
          <w:p w14:paraId="7EE12AB4"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color w:val="000000" w:themeColor="text1"/>
                <w:sz w:val="24"/>
              </w:rPr>
            </w:pPr>
            <w:r w:rsidRPr="00025A51">
              <w:rPr>
                <w:rFonts w:ascii="Times New Roman" w:hAnsi="Times New Roman"/>
                <w:b/>
                <w:color w:val="000000" w:themeColor="text1"/>
                <w:sz w:val="24"/>
              </w:rPr>
              <w:t>Percent Change</w:t>
            </w:r>
          </w:p>
        </w:tc>
      </w:tr>
      <w:tr w:rsidR="00025A51" w:rsidRPr="00025A51" w14:paraId="45953A64" w14:textId="77777777" w:rsidTr="00021FCD">
        <w:tc>
          <w:tcPr>
            <w:tcW w:w="1607" w:type="pct"/>
          </w:tcPr>
          <w:p w14:paraId="1A5691EE"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color w:val="000000" w:themeColor="text1"/>
                <w:sz w:val="24"/>
              </w:rPr>
            </w:pPr>
            <w:r w:rsidRPr="00025A51">
              <w:rPr>
                <w:rFonts w:ascii="Times New Roman" w:hAnsi="Times New Roman"/>
                <w:i/>
                <w:color w:val="000000" w:themeColor="text1"/>
                <w:sz w:val="24"/>
              </w:rPr>
              <w:t>Residential</w:t>
            </w:r>
          </w:p>
        </w:tc>
        <w:tc>
          <w:tcPr>
            <w:tcW w:w="800" w:type="pct"/>
            <w:vAlign w:val="center"/>
          </w:tcPr>
          <w:p w14:paraId="06290A44"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c>
          <w:tcPr>
            <w:tcW w:w="893" w:type="pct"/>
          </w:tcPr>
          <w:p w14:paraId="6F7B8C05"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c>
          <w:tcPr>
            <w:tcW w:w="846" w:type="pct"/>
          </w:tcPr>
          <w:p w14:paraId="71B79A4B"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c>
          <w:tcPr>
            <w:tcW w:w="854" w:type="pct"/>
          </w:tcPr>
          <w:p w14:paraId="2BA72077"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r>
      <w:tr w:rsidR="00025A51" w:rsidRPr="00025A51" w14:paraId="01A13687" w14:textId="77777777" w:rsidTr="00021FCD">
        <w:tc>
          <w:tcPr>
            <w:tcW w:w="1607" w:type="pct"/>
          </w:tcPr>
          <w:p w14:paraId="08EDDAE9"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color w:val="000000" w:themeColor="text1"/>
                <w:sz w:val="24"/>
              </w:rPr>
            </w:pPr>
            <w:r w:rsidRPr="00025A51">
              <w:rPr>
                <w:rFonts w:ascii="Times New Roman" w:hAnsi="Times New Roman"/>
                <w:color w:val="000000" w:themeColor="text1"/>
                <w:sz w:val="24"/>
              </w:rPr>
              <w:t>Schedule 23</w:t>
            </w:r>
          </w:p>
        </w:tc>
        <w:tc>
          <w:tcPr>
            <w:tcW w:w="800" w:type="pct"/>
            <w:vAlign w:val="center"/>
          </w:tcPr>
          <w:p w14:paraId="27F3C22F"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($0.02276)</w:t>
            </w:r>
          </w:p>
        </w:tc>
        <w:tc>
          <w:tcPr>
            <w:tcW w:w="893" w:type="pct"/>
          </w:tcPr>
          <w:p w14:paraId="4D6D5EFD"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$0.04642</w:t>
            </w:r>
          </w:p>
        </w:tc>
        <w:tc>
          <w:tcPr>
            <w:tcW w:w="846" w:type="pct"/>
          </w:tcPr>
          <w:p w14:paraId="77E1E88C" w14:textId="52AC6AF5" w:rsidR="00025A51" w:rsidRPr="00025A51" w:rsidRDefault="00025A51" w:rsidP="00CB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r w:rsidRPr="00025A51">
              <w:rPr>
                <w:rFonts w:ascii="Times New Roman" w:hAnsi="Times New Roman"/>
                <w:color w:val="000000" w:themeColor="text1"/>
                <w:sz w:val="24"/>
              </w:rPr>
              <w:t>$ 1</w:t>
            </w:r>
            <w:r w:rsidR="00CB5CA7">
              <w:rPr>
                <w:rFonts w:ascii="Times New Roman" w:hAnsi="Times New Roman"/>
                <w:color w:val="000000" w:themeColor="text1"/>
                <w:sz w:val="24"/>
              </w:rPr>
              <w:t>3,891,694</w:t>
            </w:r>
          </w:p>
        </w:tc>
        <w:tc>
          <w:tcPr>
            <w:tcW w:w="854" w:type="pct"/>
          </w:tcPr>
          <w:p w14:paraId="30A33E7E"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2.2%</w:t>
            </w:r>
          </w:p>
        </w:tc>
      </w:tr>
      <w:tr w:rsidR="00025A51" w:rsidRPr="00025A51" w14:paraId="55D935C9" w14:textId="77777777" w:rsidTr="00021FCD">
        <w:tc>
          <w:tcPr>
            <w:tcW w:w="1607" w:type="pct"/>
          </w:tcPr>
          <w:p w14:paraId="20B588D9"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color w:val="000000" w:themeColor="text1"/>
                <w:sz w:val="24"/>
              </w:rPr>
            </w:pPr>
            <w:r w:rsidRPr="00025A51">
              <w:rPr>
                <w:rFonts w:ascii="Times New Roman" w:hAnsi="Times New Roman"/>
                <w:color w:val="000000" w:themeColor="text1"/>
                <w:sz w:val="24"/>
              </w:rPr>
              <w:t>Schedule 16</w:t>
            </w:r>
          </w:p>
        </w:tc>
        <w:tc>
          <w:tcPr>
            <w:tcW w:w="800" w:type="pct"/>
            <w:vAlign w:val="center"/>
          </w:tcPr>
          <w:p w14:paraId="6F4FC253"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($0.02275)</w:t>
            </w:r>
          </w:p>
        </w:tc>
        <w:tc>
          <w:tcPr>
            <w:tcW w:w="893" w:type="pct"/>
          </w:tcPr>
          <w:p w14:paraId="61DED928"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$0.04642</w:t>
            </w:r>
          </w:p>
        </w:tc>
        <w:tc>
          <w:tcPr>
            <w:tcW w:w="846" w:type="pct"/>
          </w:tcPr>
          <w:p w14:paraId="3D3DC473" w14:textId="464882A2" w:rsidR="00025A51" w:rsidRPr="00025A51" w:rsidRDefault="00CB5CA7" w:rsidP="00CB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Pr>
                <w:rFonts w:ascii="Times New Roman" w:hAnsi="Times New Roman"/>
                <w:color w:val="000000" w:themeColor="text1"/>
                <w:sz w:val="24"/>
              </w:rPr>
              <w:t xml:space="preserve">          </w:t>
            </w:r>
            <w:r w:rsidR="00025A51" w:rsidRPr="00025A51">
              <w:rPr>
                <w:rFonts w:ascii="Times New Roman" w:hAnsi="Times New Roman"/>
                <w:color w:val="000000" w:themeColor="text1"/>
                <w:sz w:val="24"/>
              </w:rPr>
              <w:t xml:space="preserve"> $</w:t>
            </w:r>
            <w:r w:rsidR="00B32CA3">
              <w:rPr>
                <w:rFonts w:ascii="Times New Roman" w:hAnsi="Times New Roman"/>
                <w:color w:val="000000" w:themeColor="text1"/>
                <w:sz w:val="24"/>
              </w:rPr>
              <w:t xml:space="preserve">  </w:t>
            </w:r>
            <w:r w:rsidR="00025A51" w:rsidRPr="00025A51">
              <w:rPr>
                <w:rFonts w:ascii="Times New Roman" w:hAnsi="Times New Roman"/>
                <w:color w:val="000000" w:themeColor="text1"/>
                <w:sz w:val="24"/>
              </w:rPr>
              <w:t xml:space="preserve"> 2</w:t>
            </w:r>
            <w:r>
              <w:rPr>
                <w:rFonts w:ascii="Times New Roman" w:hAnsi="Times New Roman"/>
                <w:color w:val="000000" w:themeColor="text1"/>
                <w:sz w:val="24"/>
              </w:rPr>
              <w:t>62</w:t>
            </w:r>
          </w:p>
        </w:tc>
        <w:tc>
          <w:tcPr>
            <w:tcW w:w="854" w:type="pct"/>
          </w:tcPr>
          <w:p w14:paraId="05A63F5B"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2.1%</w:t>
            </w:r>
          </w:p>
        </w:tc>
      </w:tr>
      <w:tr w:rsidR="00025A51" w:rsidRPr="00025A51" w14:paraId="12EB4EC6" w14:textId="77777777" w:rsidTr="00021FCD">
        <w:tc>
          <w:tcPr>
            <w:tcW w:w="1607" w:type="pct"/>
          </w:tcPr>
          <w:p w14:paraId="08F154E9"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color w:val="000000" w:themeColor="text1"/>
                <w:sz w:val="24"/>
              </w:rPr>
            </w:pPr>
            <w:r w:rsidRPr="00025A51">
              <w:rPr>
                <w:rFonts w:ascii="Times New Roman" w:hAnsi="Times New Roman"/>
                <w:i/>
                <w:color w:val="000000" w:themeColor="text1"/>
                <w:sz w:val="24"/>
              </w:rPr>
              <w:t>Commercial</w:t>
            </w:r>
          </w:p>
        </w:tc>
        <w:tc>
          <w:tcPr>
            <w:tcW w:w="800" w:type="pct"/>
            <w:vAlign w:val="center"/>
          </w:tcPr>
          <w:p w14:paraId="2D532FE9"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c>
          <w:tcPr>
            <w:tcW w:w="893" w:type="pct"/>
          </w:tcPr>
          <w:p w14:paraId="6B61B923"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c>
          <w:tcPr>
            <w:tcW w:w="846" w:type="pct"/>
          </w:tcPr>
          <w:p w14:paraId="1F085619"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p>
        </w:tc>
        <w:tc>
          <w:tcPr>
            <w:tcW w:w="854" w:type="pct"/>
          </w:tcPr>
          <w:p w14:paraId="1DDBC398"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r>
      <w:tr w:rsidR="00025A51" w:rsidRPr="00025A51" w14:paraId="407F5CAE" w14:textId="77777777" w:rsidTr="00021FCD">
        <w:tc>
          <w:tcPr>
            <w:tcW w:w="1607" w:type="pct"/>
          </w:tcPr>
          <w:p w14:paraId="6839D061"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color w:val="000000" w:themeColor="text1"/>
                <w:sz w:val="24"/>
              </w:rPr>
            </w:pPr>
            <w:r w:rsidRPr="00025A51">
              <w:rPr>
                <w:rFonts w:ascii="Times New Roman" w:hAnsi="Times New Roman"/>
                <w:color w:val="000000" w:themeColor="text1"/>
                <w:sz w:val="24"/>
              </w:rPr>
              <w:t>Schedule 31</w:t>
            </w:r>
          </w:p>
        </w:tc>
        <w:tc>
          <w:tcPr>
            <w:tcW w:w="800" w:type="pct"/>
            <w:vAlign w:val="center"/>
          </w:tcPr>
          <w:p w14:paraId="0CFBF9E6"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($0.02208)</w:t>
            </w:r>
          </w:p>
        </w:tc>
        <w:tc>
          <w:tcPr>
            <w:tcW w:w="893" w:type="pct"/>
          </w:tcPr>
          <w:p w14:paraId="39AEAC2B"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$0.04642</w:t>
            </w:r>
          </w:p>
        </w:tc>
        <w:tc>
          <w:tcPr>
            <w:tcW w:w="846" w:type="pct"/>
          </w:tcPr>
          <w:p w14:paraId="7D0FCFA0" w14:textId="691A5D6F" w:rsidR="00025A51" w:rsidRPr="00025A51" w:rsidRDefault="00025A51" w:rsidP="00CB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r w:rsidRPr="00025A51">
              <w:rPr>
                <w:rFonts w:ascii="Times New Roman" w:hAnsi="Times New Roman"/>
                <w:color w:val="000000" w:themeColor="text1"/>
                <w:sz w:val="24"/>
              </w:rPr>
              <w:t>$ 5,</w:t>
            </w:r>
            <w:r w:rsidR="00CB5CA7">
              <w:rPr>
                <w:rFonts w:ascii="Times New Roman" w:hAnsi="Times New Roman"/>
                <w:color w:val="000000" w:themeColor="text1"/>
                <w:sz w:val="24"/>
              </w:rPr>
              <w:t>194,513</w:t>
            </w:r>
          </w:p>
        </w:tc>
        <w:tc>
          <w:tcPr>
            <w:tcW w:w="854" w:type="pct"/>
          </w:tcPr>
          <w:p w14:paraId="629D1D71"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2.4%</w:t>
            </w:r>
          </w:p>
        </w:tc>
      </w:tr>
      <w:tr w:rsidR="00025A51" w:rsidRPr="00025A51" w14:paraId="6537ADF4" w14:textId="77777777" w:rsidTr="00021FCD">
        <w:tc>
          <w:tcPr>
            <w:tcW w:w="1607" w:type="pct"/>
          </w:tcPr>
          <w:p w14:paraId="711356E0"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color w:val="000000" w:themeColor="text1"/>
                <w:sz w:val="24"/>
              </w:rPr>
            </w:pPr>
            <w:r w:rsidRPr="00025A51">
              <w:rPr>
                <w:rFonts w:ascii="Times New Roman" w:hAnsi="Times New Roman"/>
                <w:color w:val="000000" w:themeColor="text1"/>
                <w:sz w:val="24"/>
              </w:rPr>
              <w:t>Schedule 41</w:t>
            </w:r>
          </w:p>
        </w:tc>
        <w:tc>
          <w:tcPr>
            <w:tcW w:w="800" w:type="pct"/>
            <w:vAlign w:val="center"/>
          </w:tcPr>
          <w:p w14:paraId="0DF8BD26"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($0.01220)</w:t>
            </w:r>
          </w:p>
        </w:tc>
        <w:tc>
          <w:tcPr>
            <w:tcW w:w="893" w:type="pct"/>
          </w:tcPr>
          <w:p w14:paraId="1A7D1254"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$0.04642</w:t>
            </w:r>
          </w:p>
        </w:tc>
        <w:tc>
          <w:tcPr>
            <w:tcW w:w="846" w:type="pct"/>
          </w:tcPr>
          <w:p w14:paraId="4B34EAD8" w14:textId="79B5C7E2" w:rsidR="00025A51" w:rsidRPr="00025A51" w:rsidRDefault="00025A51" w:rsidP="00CB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r w:rsidRPr="00025A51">
              <w:rPr>
                <w:rFonts w:ascii="Times New Roman" w:hAnsi="Times New Roman"/>
                <w:color w:val="000000" w:themeColor="text1"/>
                <w:sz w:val="24"/>
              </w:rPr>
              <w:t>$ 2,</w:t>
            </w:r>
            <w:r w:rsidR="00CB5CA7">
              <w:rPr>
                <w:rFonts w:ascii="Times New Roman" w:hAnsi="Times New Roman"/>
                <w:color w:val="000000" w:themeColor="text1"/>
                <w:sz w:val="24"/>
              </w:rPr>
              <w:t>484,105</w:t>
            </w:r>
          </w:p>
        </w:tc>
        <w:tc>
          <w:tcPr>
            <w:tcW w:w="854" w:type="pct"/>
          </w:tcPr>
          <w:p w14:paraId="48224180"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4.5%</w:t>
            </w:r>
          </w:p>
        </w:tc>
      </w:tr>
      <w:tr w:rsidR="00025A51" w:rsidRPr="00025A51" w14:paraId="37649965" w14:textId="77777777" w:rsidTr="00021FCD">
        <w:tc>
          <w:tcPr>
            <w:tcW w:w="1607" w:type="pct"/>
          </w:tcPr>
          <w:p w14:paraId="24195D68"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color w:val="000000" w:themeColor="text1"/>
                <w:sz w:val="24"/>
              </w:rPr>
            </w:pPr>
            <w:r w:rsidRPr="00025A51">
              <w:rPr>
                <w:rFonts w:ascii="Times New Roman" w:hAnsi="Times New Roman"/>
                <w:i/>
                <w:color w:val="000000" w:themeColor="text1"/>
                <w:sz w:val="24"/>
              </w:rPr>
              <w:t>Interruptible</w:t>
            </w:r>
          </w:p>
        </w:tc>
        <w:tc>
          <w:tcPr>
            <w:tcW w:w="800" w:type="pct"/>
          </w:tcPr>
          <w:p w14:paraId="7C212A9B"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c>
          <w:tcPr>
            <w:tcW w:w="893" w:type="pct"/>
          </w:tcPr>
          <w:p w14:paraId="1F6C759F"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c>
          <w:tcPr>
            <w:tcW w:w="846" w:type="pct"/>
          </w:tcPr>
          <w:p w14:paraId="1EE90B3D"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p>
        </w:tc>
        <w:tc>
          <w:tcPr>
            <w:tcW w:w="854" w:type="pct"/>
          </w:tcPr>
          <w:p w14:paraId="6D60D8A8"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p>
        </w:tc>
      </w:tr>
      <w:tr w:rsidR="00025A51" w:rsidRPr="00025A51" w14:paraId="54B15559" w14:textId="77777777" w:rsidTr="00021FCD">
        <w:tc>
          <w:tcPr>
            <w:tcW w:w="1607" w:type="pct"/>
          </w:tcPr>
          <w:p w14:paraId="295D94FB"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color w:val="000000" w:themeColor="text1"/>
                <w:sz w:val="24"/>
              </w:rPr>
            </w:pPr>
            <w:r w:rsidRPr="00025A51">
              <w:rPr>
                <w:rFonts w:ascii="Times New Roman" w:hAnsi="Times New Roman"/>
                <w:color w:val="000000" w:themeColor="text1"/>
                <w:sz w:val="24"/>
              </w:rPr>
              <w:t>Schedule 85</w:t>
            </w:r>
          </w:p>
        </w:tc>
        <w:tc>
          <w:tcPr>
            <w:tcW w:w="800" w:type="pct"/>
            <w:vAlign w:val="center"/>
          </w:tcPr>
          <w:p w14:paraId="06291A22"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($0.01596)</w:t>
            </w:r>
          </w:p>
        </w:tc>
        <w:tc>
          <w:tcPr>
            <w:tcW w:w="893" w:type="pct"/>
          </w:tcPr>
          <w:p w14:paraId="71DC3F9F"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$0.04642</w:t>
            </w:r>
          </w:p>
        </w:tc>
        <w:tc>
          <w:tcPr>
            <w:tcW w:w="846" w:type="pct"/>
          </w:tcPr>
          <w:p w14:paraId="2981BC96" w14:textId="5E4D02F5" w:rsidR="00025A51" w:rsidRPr="00025A51" w:rsidRDefault="00025A51" w:rsidP="00CB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r w:rsidRPr="00025A51">
              <w:rPr>
                <w:rFonts w:ascii="Times New Roman" w:hAnsi="Times New Roman"/>
                <w:color w:val="000000" w:themeColor="text1"/>
                <w:sz w:val="24"/>
              </w:rPr>
              <w:t xml:space="preserve">$ </w:t>
            </w:r>
            <w:r w:rsidR="00CB5CA7">
              <w:rPr>
                <w:rFonts w:ascii="Times New Roman" w:hAnsi="Times New Roman"/>
                <w:color w:val="000000" w:themeColor="text1"/>
                <w:sz w:val="24"/>
              </w:rPr>
              <w:t>565,224</w:t>
            </w:r>
          </w:p>
        </w:tc>
        <w:tc>
          <w:tcPr>
            <w:tcW w:w="854" w:type="pct"/>
          </w:tcPr>
          <w:p w14:paraId="712C89DA"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4.9%</w:t>
            </w:r>
          </w:p>
        </w:tc>
      </w:tr>
      <w:tr w:rsidR="00025A51" w:rsidRPr="00025A51" w14:paraId="4A017043" w14:textId="77777777" w:rsidTr="00021FCD">
        <w:tc>
          <w:tcPr>
            <w:tcW w:w="1607" w:type="pct"/>
            <w:tcBorders>
              <w:bottom w:val="single" w:sz="4" w:space="0" w:color="auto"/>
            </w:tcBorders>
          </w:tcPr>
          <w:p w14:paraId="32241990"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color w:val="000000" w:themeColor="text1"/>
                <w:sz w:val="24"/>
              </w:rPr>
            </w:pPr>
            <w:r w:rsidRPr="00025A51">
              <w:rPr>
                <w:rFonts w:ascii="Times New Roman" w:hAnsi="Times New Roman"/>
                <w:color w:val="000000" w:themeColor="text1"/>
                <w:sz w:val="24"/>
              </w:rPr>
              <w:t>Schedule 86</w:t>
            </w:r>
          </w:p>
        </w:tc>
        <w:tc>
          <w:tcPr>
            <w:tcW w:w="800" w:type="pct"/>
            <w:tcBorders>
              <w:bottom w:val="single" w:sz="4" w:space="0" w:color="auto"/>
            </w:tcBorders>
            <w:vAlign w:val="center"/>
          </w:tcPr>
          <w:p w14:paraId="2DF5882C"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($0.01647)</w:t>
            </w:r>
          </w:p>
        </w:tc>
        <w:tc>
          <w:tcPr>
            <w:tcW w:w="893" w:type="pct"/>
            <w:tcBorders>
              <w:bottom w:val="single" w:sz="4" w:space="0" w:color="auto"/>
            </w:tcBorders>
          </w:tcPr>
          <w:p w14:paraId="3F75D82D"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$0.04641</w:t>
            </w:r>
          </w:p>
        </w:tc>
        <w:tc>
          <w:tcPr>
            <w:tcW w:w="846" w:type="pct"/>
          </w:tcPr>
          <w:p w14:paraId="26F3082C" w14:textId="300DFE00" w:rsidR="00025A51" w:rsidRPr="00025A51" w:rsidRDefault="00025A51" w:rsidP="00CB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r w:rsidRPr="00025A51">
              <w:rPr>
                <w:rFonts w:ascii="Times New Roman" w:hAnsi="Times New Roman"/>
                <w:color w:val="000000" w:themeColor="text1"/>
                <w:sz w:val="24"/>
              </w:rPr>
              <w:t xml:space="preserve">$ </w:t>
            </w:r>
            <w:r w:rsidR="00CB5CA7">
              <w:rPr>
                <w:rFonts w:ascii="Times New Roman" w:hAnsi="Times New Roman"/>
                <w:color w:val="000000" w:themeColor="text1"/>
                <w:sz w:val="24"/>
              </w:rPr>
              <w:t>323,993</w:t>
            </w:r>
          </w:p>
        </w:tc>
        <w:tc>
          <w:tcPr>
            <w:tcW w:w="854" w:type="pct"/>
          </w:tcPr>
          <w:p w14:paraId="548D40F2"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4.0%</w:t>
            </w:r>
          </w:p>
        </w:tc>
      </w:tr>
      <w:tr w:rsidR="00025A51" w:rsidRPr="00025A51" w14:paraId="446C663F" w14:textId="77777777" w:rsidTr="00021FCD">
        <w:tc>
          <w:tcPr>
            <w:tcW w:w="1607" w:type="pct"/>
            <w:tcBorders>
              <w:bottom w:val="single" w:sz="18" w:space="0" w:color="auto"/>
            </w:tcBorders>
          </w:tcPr>
          <w:p w14:paraId="343C86D8"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color w:val="000000" w:themeColor="text1"/>
                <w:sz w:val="24"/>
              </w:rPr>
            </w:pPr>
            <w:r w:rsidRPr="00025A51">
              <w:rPr>
                <w:rFonts w:ascii="Times New Roman" w:hAnsi="Times New Roman"/>
                <w:color w:val="000000" w:themeColor="text1"/>
                <w:sz w:val="24"/>
              </w:rPr>
              <w:t>Schedule 87</w:t>
            </w:r>
          </w:p>
        </w:tc>
        <w:tc>
          <w:tcPr>
            <w:tcW w:w="800" w:type="pct"/>
            <w:tcBorders>
              <w:bottom w:val="single" w:sz="18" w:space="0" w:color="auto"/>
            </w:tcBorders>
          </w:tcPr>
          <w:p w14:paraId="110DD168" w14:textId="77777777" w:rsidR="00025A51" w:rsidRPr="00025A51" w:rsidRDefault="00025A51" w:rsidP="00021FCD">
            <w:pPr>
              <w:jc w:val="center"/>
              <w:rPr>
                <w:rFonts w:ascii="Times New Roman" w:hAnsi="Times New Roman"/>
                <w:color w:val="000000" w:themeColor="text1"/>
                <w:sz w:val="24"/>
              </w:rPr>
            </w:pPr>
            <w:r w:rsidRPr="00025A51">
              <w:rPr>
                <w:rFonts w:ascii="Times New Roman" w:hAnsi="Times New Roman"/>
                <w:color w:val="000000" w:themeColor="text1"/>
                <w:sz w:val="24"/>
              </w:rPr>
              <w:t>($0.01577)</w:t>
            </w:r>
          </w:p>
        </w:tc>
        <w:tc>
          <w:tcPr>
            <w:tcW w:w="893" w:type="pct"/>
            <w:tcBorders>
              <w:bottom w:val="single" w:sz="18" w:space="0" w:color="auto"/>
            </w:tcBorders>
          </w:tcPr>
          <w:p w14:paraId="5A273A74"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$0.04642</w:t>
            </w:r>
          </w:p>
        </w:tc>
        <w:tc>
          <w:tcPr>
            <w:tcW w:w="846" w:type="pct"/>
            <w:tcBorders>
              <w:bottom w:val="single" w:sz="18" w:space="0" w:color="auto"/>
            </w:tcBorders>
          </w:tcPr>
          <w:p w14:paraId="2DFA4C68" w14:textId="16FB3649" w:rsidR="00025A51" w:rsidRPr="00025A51" w:rsidRDefault="00025A51" w:rsidP="00CB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r w:rsidRPr="00025A51">
              <w:rPr>
                <w:rFonts w:ascii="Times New Roman" w:hAnsi="Times New Roman"/>
                <w:color w:val="000000" w:themeColor="text1"/>
                <w:sz w:val="24"/>
              </w:rPr>
              <w:t xml:space="preserve">$ </w:t>
            </w:r>
            <w:r w:rsidR="00CB5CA7">
              <w:rPr>
                <w:rFonts w:ascii="Times New Roman" w:hAnsi="Times New Roman"/>
                <w:color w:val="000000" w:themeColor="text1"/>
                <w:sz w:val="24"/>
              </w:rPr>
              <w:t>833,442</w:t>
            </w:r>
          </w:p>
        </w:tc>
        <w:tc>
          <w:tcPr>
            <w:tcW w:w="854" w:type="pct"/>
            <w:tcBorders>
              <w:bottom w:val="single" w:sz="18" w:space="0" w:color="auto"/>
            </w:tcBorders>
          </w:tcPr>
          <w:p w14:paraId="76520A91"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5.4%</w:t>
            </w:r>
          </w:p>
        </w:tc>
      </w:tr>
      <w:tr w:rsidR="00025A51" w:rsidRPr="00025A51" w14:paraId="7753D283" w14:textId="77777777" w:rsidTr="00021FCD">
        <w:tc>
          <w:tcPr>
            <w:tcW w:w="3300" w:type="pct"/>
            <w:gridSpan w:val="3"/>
            <w:tcBorders>
              <w:top w:val="single" w:sz="18" w:space="0" w:color="auto"/>
            </w:tcBorders>
            <w:vAlign w:val="center"/>
          </w:tcPr>
          <w:p w14:paraId="0D9B453F"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color w:val="000000" w:themeColor="text1"/>
                <w:sz w:val="24"/>
              </w:rPr>
            </w:pPr>
            <w:r w:rsidRPr="00025A51">
              <w:rPr>
                <w:rFonts w:ascii="Times New Roman" w:hAnsi="Times New Roman"/>
                <w:color w:val="000000" w:themeColor="text1"/>
                <w:sz w:val="24"/>
              </w:rPr>
              <w:t>Total</w:t>
            </w:r>
          </w:p>
        </w:tc>
        <w:tc>
          <w:tcPr>
            <w:tcW w:w="846" w:type="pct"/>
            <w:tcBorders>
              <w:top w:val="single" w:sz="18" w:space="0" w:color="auto"/>
              <w:bottom w:val="single" w:sz="18" w:space="0" w:color="auto"/>
            </w:tcBorders>
          </w:tcPr>
          <w:p w14:paraId="18BC4ADF" w14:textId="633A8519" w:rsidR="00025A51" w:rsidRPr="00025A51" w:rsidRDefault="00025A51" w:rsidP="00CB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color w:val="000000" w:themeColor="text1"/>
                <w:sz w:val="24"/>
              </w:rPr>
            </w:pPr>
            <w:r w:rsidRPr="00025A51">
              <w:rPr>
                <w:rFonts w:ascii="Times New Roman" w:hAnsi="Times New Roman"/>
                <w:color w:val="000000" w:themeColor="text1"/>
                <w:sz w:val="24"/>
              </w:rPr>
              <w:t>$ 23,</w:t>
            </w:r>
            <w:r w:rsidR="00CB5CA7">
              <w:rPr>
                <w:rFonts w:ascii="Times New Roman" w:hAnsi="Times New Roman"/>
                <w:color w:val="000000" w:themeColor="text1"/>
                <w:sz w:val="24"/>
              </w:rPr>
              <w:t>293,232</w:t>
            </w:r>
          </w:p>
        </w:tc>
        <w:tc>
          <w:tcPr>
            <w:tcW w:w="854" w:type="pct"/>
            <w:tcBorders>
              <w:top w:val="single" w:sz="18" w:space="0" w:color="auto"/>
              <w:bottom w:val="single" w:sz="18" w:space="0" w:color="auto"/>
            </w:tcBorders>
          </w:tcPr>
          <w:p w14:paraId="0A90FD58" w14:textId="77777777" w:rsidR="00025A51" w:rsidRPr="00025A51"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color w:val="000000" w:themeColor="text1"/>
                <w:sz w:val="24"/>
              </w:rPr>
            </w:pPr>
            <w:r w:rsidRPr="00025A51">
              <w:rPr>
                <w:rFonts w:ascii="Times New Roman" w:hAnsi="Times New Roman"/>
                <w:color w:val="000000" w:themeColor="text1"/>
                <w:sz w:val="24"/>
              </w:rPr>
              <w:t>2.5%</w:t>
            </w:r>
          </w:p>
        </w:tc>
      </w:tr>
    </w:tbl>
    <w:p w14:paraId="6A90435C" w14:textId="77777777" w:rsidR="00025A51" w:rsidRDefault="00025A51" w:rsidP="006A61BF">
      <w:pPr>
        <w:pStyle w:val="Heading2"/>
      </w:pPr>
    </w:p>
    <w:p w14:paraId="04D5D1B8" w14:textId="77777777" w:rsidR="00950485" w:rsidRPr="003F7E5A" w:rsidRDefault="00950485" w:rsidP="00EB55D8">
      <w:pPr>
        <w:rPr>
          <w:rFonts w:ascii="Times New Roman" w:hAnsi="Times New Roman"/>
          <w:sz w:val="24"/>
        </w:rPr>
      </w:pPr>
    </w:p>
    <w:p w14:paraId="5ED065AC" w14:textId="77777777" w:rsidR="009362ED" w:rsidRDefault="009362ED" w:rsidP="009362ED">
      <w:pPr>
        <w:rPr>
          <w:rFonts w:ascii="Times New Roman" w:hAnsi="Times New Roman"/>
          <w:sz w:val="24"/>
        </w:rPr>
      </w:pPr>
      <w:r>
        <w:rPr>
          <w:rFonts w:ascii="Times New Roman" w:hAnsi="Times New Roman"/>
          <w:b/>
          <w:sz w:val="24"/>
          <w:u w:val="single"/>
        </w:rPr>
        <w:lastRenderedPageBreak/>
        <w:t>Customer Comments</w:t>
      </w:r>
    </w:p>
    <w:p w14:paraId="7BD970CA" w14:textId="6A3D21D9" w:rsidR="009362ED" w:rsidRPr="004E31E6" w:rsidRDefault="009362ED" w:rsidP="009362ED">
      <w:pPr>
        <w:rPr>
          <w:rFonts w:ascii="Times New Roman" w:hAnsi="Times New Roman"/>
          <w:sz w:val="24"/>
        </w:rPr>
      </w:pPr>
      <w:r>
        <w:rPr>
          <w:rFonts w:ascii="Times New Roman" w:hAnsi="Times New Roman"/>
          <w:sz w:val="24"/>
        </w:rPr>
        <w:t>Puget Sound Energy notified its customers of the proposed rate increase through a news release and bill inserts mailed to customers in September and October. The commission received no customer comments.</w:t>
      </w:r>
    </w:p>
    <w:p w14:paraId="04D5D1C2" w14:textId="77777777" w:rsidR="0017037D" w:rsidRPr="003F7E5A" w:rsidRDefault="0017037D" w:rsidP="00950485">
      <w:pPr>
        <w:rPr>
          <w:rFonts w:ascii="Times New Roman" w:hAnsi="Times New Roman"/>
          <w:sz w:val="24"/>
        </w:rPr>
      </w:pPr>
    </w:p>
    <w:p w14:paraId="04D5D1C3" w14:textId="77777777" w:rsidR="00633FE5" w:rsidRPr="00474A0A" w:rsidRDefault="00633FE5" w:rsidP="00025483">
      <w:pPr>
        <w:pStyle w:val="Heading1"/>
        <w:rPr>
          <w:rStyle w:val="BookTitle"/>
        </w:rPr>
      </w:pPr>
      <w:r w:rsidRPr="00474A0A">
        <w:rPr>
          <w:rStyle w:val="BookTitle"/>
        </w:rPr>
        <w:t>Conclusion</w:t>
      </w:r>
    </w:p>
    <w:p w14:paraId="04D5D1C4" w14:textId="77777777" w:rsidR="00633FE5" w:rsidRDefault="00633FE5" w:rsidP="00633FE5">
      <w:pPr>
        <w:rPr>
          <w:rFonts w:ascii="Times New Roman" w:hAnsi="Times New Roman"/>
          <w:sz w:val="24"/>
        </w:rPr>
      </w:pPr>
    </w:p>
    <w:p w14:paraId="60B1F340" w14:textId="5B2CE1A7" w:rsidR="00A55E57" w:rsidRPr="00A55E57" w:rsidRDefault="00A55E57" w:rsidP="00A55E57">
      <w:pPr>
        <w:widowControl/>
        <w:autoSpaceDE/>
        <w:autoSpaceDN/>
        <w:adjustRightInd/>
        <w:rPr>
          <w:rFonts w:ascii="Times New Roman" w:hAnsi="Times New Roman"/>
          <w:sz w:val="24"/>
        </w:rPr>
      </w:pPr>
      <w:r w:rsidRPr="00A55E57">
        <w:rPr>
          <w:rFonts w:ascii="Times New Roman" w:hAnsi="Times New Roman"/>
          <w:sz w:val="24"/>
        </w:rPr>
        <w:t xml:space="preserve">Staff has reviewed Avista’s expected gas costs (Schedule </w:t>
      </w:r>
      <w:r>
        <w:rPr>
          <w:rFonts w:ascii="Times New Roman" w:hAnsi="Times New Roman"/>
          <w:sz w:val="24"/>
        </w:rPr>
        <w:t>101</w:t>
      </w:r>
      <w:r w:rsidRPr="00A55E57">
        <w:rPr>
          <w:rFonts w:ascii="Times New Roman" w:hAnsi="Times New Roman"/>
          <w:sz w:val="24"/>
        </w:rPr>
        <w:t>) and deferral</w:t>
      </w:r>
      <w:r>
        <w:rPr>
          <w:rFonts w:ascii="Times New Roman" w:hAnsi="Times New Roman"/>
          <w:sz w:val="24"/>
        </w:rPr>
        <w:t xml:space="preserve"> amortization rates (Schedule 106</w:t>
      </w:r>
      <w:r w:rsidRPr="00A55E57">
        <w:rPr>
          <w:rFonts w:ascii="Times New Roman" w:hAnsi="Times New Roman"/>
          <w:sz w:val="24"/>
        </w:rPr>
        <w:t>) proposed in the company’s filing and find them to be reasonable. Therefore staff recommends the commission take no action, thereby allowing the tariff filing in Docket UG-143</w:t>
      </w:r>
      <w:r>
        <w:rPr>
          <w:rFonts w:ascii="Times New Roman" w:hAnsi="Times New Roman"/>
          <w:sz w:val="24"/>
        </w:rPr>
        <w:t>433</w:t>
      </w:r>
      <w:r w:rsidRPr="00A55E57">
        <w:rPr>
          <w:rFonts w:ascii="Times New Roman" w:hAnsi="Times New Roman"/>
          <w:sz w:val="24"/>
        </w:rPr>
        <w:t xml:space="preserve"> to become effective November 1, 201</w:t>
      </w:r>
      <w:r>
        <w:rPr>
          <w:rFonts w:ascii="Times New Roman" w:hAnsi="Times New Roman"/>
          <w:sz w:val="24"/>
        </w:rPr>
        <w:t>4</w:t>
      </w:r>
      <w:r w:rsidRPr="00A55E57">
        <w:rPr>
          <w:rFonts w:ascii="Times New Roman" w:hAnsi="Times New Roman"/>
          <w:sz w:val="24"/>
        </w:rPr>
        <w:t>, by operation of law.</w:t>
      </w:r>
    </w:p>
    <w:p w14:paraId="04D5D1C7" w14:textId="396E8A07" w:rsidR="00633FE5" w:rsidRPr="00AC5A84" w:rsidRDefault="00633FE5" w:rsidP="00A55E57">
      <w:pPr>
        <w:pStyle w:val="BodyText"/>
        <w:rPr>
          <w:rFonts w:ascii="Times New Roman" w:hAnsi="Times New Roman"/>
        </w:rPr>
      </w:pPr>
    </w:p>
    <w:sectPr w:rsidR="00633FE5" w:rsidRPr="00AC5A84" w:rsidSect="00446BE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7B9B" w14:textId="77777777" w:rsidR="002324DA" w:rsidRDefault="002324DA" w:rsidP="00446BE3">
      <w:r>
        <w:separator/>
      </w:r>
    </w:p>
  </w:endnote>
  <w:endnote w:type="continuationSeparator" w:id="0">
    <w:p w14:paraId="1C1EB289" w14:textId="77777777" w:rsidR="002324DA" w:rsidRDefault="002324DA"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0F6A" w14:textId="77777777" w:rsidR="002324DA" w:rsidRDefault="002324DA" w:rsidP="00446BE3">
      <w:r>
        <w:separator/>
      </w:r>
    </w:p>
  </w:footnote>
  <w:footnote w:type="continuationSeparator" w:id="0">
    <w:p w14:paraId="5CA81911" w14:textId="77777777" w:rsidR="002324DA" w:rsidRDefault="002324DA" w:rsidP="00446BE3">
      <w:r>
        <w:continuationSeparator/>
      </w:r>
    </w:p>
  </w:footnote>
  <w:footnote w:id="1">
    <w:p w14:paraId="5E87E8F8" w14:textId="1E340ACD" w:rsidR="00C5349A" w:rsidRPr="00C5349A" w:rsidRDefault="00C5349A">
      <w:pPr>
        <w:pStyle w:val="FootnoteText"/>
        <w:rPr>
          <w:rFonts w:ascii="Times New Roman" w:hAnsi="Times New Roman"/>
        </w:rPr>
      </w:pPr>
      <w:r w:rsidRPr="00C5349A">
        <w:rPr>
          <w:rStyle w:val="FootnoteReference"/>
          <w:rFonts w:ascii="Times New Roman" w:hAnsi="Times New Roman"/>
        </w:rPr>
        <w:footnoteRef/>
      </w:r>
      <w:r w:rsidRPr="00C5349A">
        <w:rPr>
          <w:rFonts w:ascii="Times New Roman" w:hAnsi="Times New Roman"/>
        </w:rPr>
        <w:t xml:space="preserve"> Commodity and demand charges for all LDC’s are </w:t>
      </w:r>
      <w:r w:rsidRPr="00C5349A">
        <w:rPr>
          <w:rFonts w:ascii="Times New Roman" w:hAnsi="Times New Roman"/>
          <w:i/>
        </w:rPr>
        <w:t>before</w:t>
      </w:r>
      <w:r w:rsidRPr="00C5349A">
        <w:rPr>
          <w:rFonts w:ascii="Times New Roman" w:hAnsi="Times New Roman"/>
        </w:rPr>
        <w:t xml:space="preserve"> revenue sensitive items for comparison purpose.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D1CC" w14:textId="68A4F45B" w:rsidR="00BE4528" w:rsidRPr="006E5DA4" w:rsidRDefault="00BE4528" w:rsidP="00D4342A">
    <w:pPr>
      <w:rPr>
        <w:rFonts w:ascii="Times New Roman" w:hAnsi="Times New Roman"/>
        <w:szCs w:val="20"/>
      </w:rPr>
    </w:pPr>
    <w:r w:rsidRPr="006E5DA4">
      <w:rPr>
        <w:rFonts w:ascii="Times New Roman" w:hAnsi="Times New Roman"/>
        <w:szCs w:val="20"/>
      </w:rPr>
      <w:t>Docket UG-1</w:t>
    </w:r>
    <w:r w:rsidR="002E5D7F">
      <w:rPr>
        <w:rFonts w:ascii="Times New Roman" w:hAnsi="Times New Roman"/>
        <w:szCs w:val="20"/>
      </w:rPr>
      <w:t>43433</w:t>
    </w:r>
  </w:p>
  <w:p w14:paraId="04D5D1CD" w14:textId="628FCA30" w:rsidR="00BE4528" w:rsidRPr="006E5DA4" w:rsidRDefault="00BE4528" w:rsidP="00D4342A">
    <w:pPr>
      <w:rPr>
        <w:rFonts w:ascii="Times New Roman" w:hAnsi="Times New Roman"/>
        <w:szCs w:val="20"/>
      </w:rPr>
    </w:pPr>
    <w:r>
      <w:rPr>
        <w:rFonts w:ascii="Times New Roman" w:hAnsi="Times New Roman"/>
        <w:szCs w:val="20"/>
      </w:rPr>
      <w:t>October 30</w:t>
    </w:r>
    <w:r w:rsidRPr="006E5DA4">
      <w:rPr>
        <w:rFonts w:ascii="Times New Roman" w:hAnsi="Times New Roman"/>
        <w:szCs w:val="20"/>
      </w:rPr>
      <w:t>, 201</w:t>
    </w:r>
    <w:r w:rsidR="002E5D7F">
      <w:rPr>
        <w:rFonts w:ascii="Times New Roman" w:hAnsi="Times New Roman"/>
        <w:szCs w:val="20"/>
      </w:rPr>
      <w:t>4</w:t>
    </w:r>
  </w:p>
  <w:p w14:paraId="04D5D1CE" w14:textId="77777777" w:rsidR="00BE4528" w:rsidRPr="006E5DA4" w:rsidRDefault="00BE4528" w:rsidP="00D4342A">
    <w:pPr>
      <w:rPr>
        <w:rFonts w:ascii="Times New Roman" w:hAnsi="Times New Roman"/>
        <w:szCs w:val="20"/>
      </w:rPr>
    </w:pPr>
    <w:r w:rsidRPr="006E5DA4">
      <w:rPr>
        <w:rFonts w:ascii="Times New Roman" w:hAnsi="Times New Roman"/>
        <w:szCs w:val="20"/>
      </w:rPr>
      <w:t xml:space="preserve">Page </w:t>
    </w:r>
    <w:r w:rsidRPr="006E5DA4">
      <w:rPr>
        <w:rFonts w:ascii="Times New Roman" w:hAnsi="Times New Roman"/>
        <w:szCs w:val="20"/>
      </w:rPr>
      <w:fldChar w:fldCharType="begin"/>
    </w:r>
    <w:r w:rsidRPr="006E5DA4">
      <w:rPr>
        <w:rFonts w:ascii="Times New Roman" w:hAnsi="Times New Roman"/>
        <w:szCs w:val="20"/>
      </w:rPr>
      <w:instrText xml:space="preserve">PAGE </w:instrText>
    </w:r>
    <w:r w:rsidRPr="006E5DA4">
      <w:rPr>
        <w:rFonts w:ascii="Times New Roman" w:hAnsi="Times New Roman"/>
        <w:szCs w:val="20"/>
      </w:rPr>
      <w:fldChar w:fldCharType="separate"/>
    </w:r>
    <w:r w:rsidR="00F67982">
      <w:rPr>
        <w:rFonts w:ascii="Times New Roman" w:hAnsi="Times New Roman"/>
        <w:noProof/>
        <w:szCs w:val="20"/>
      </w:rPr>
      <w:t>2</w:t>
    </w:r>
    <w:r w:rsidRPr="006E5DA4">
      <w:rPr>
        <w:rFonts w:ascii="Times New Roman" w:hAnsi="Times New Roman"/>
        <w:szCs w:val="20"/>
      </w:rPr>
      <w:fldChar w:fldCharType="end"/>
    </w:r>
  </w:p>
  <w:p w14:paraId="04D5D1CF" w14:textId="77777777" w:rsidR="00BE4528" w:rsidRPr="00D4342A" w:rsidRDefault="00BE4528"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BE4A20"/>
    <w:multiLevelType w:val="hybridMultilevel"/>
    <w:tmpl w:val="63A4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664A5"/>
    <w:multiLevelType w:val="hybridMultilevel"/>
    <w:tmpl w:val="DAA2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77285"/>
    <w:multiLevelType w:val="hybridMultilevel"/>
    <w:tmpl w:val="0A804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E5"/>
    <w:rsid w:val="00025483"/>
    <w:rsid w:val="00025A51"/>
    <w:rsid w:val="00026A37"/>
    <w:rsid w:val="00046C04"/>
    <w:rsid w:val="0004736C"/>
    <w:rsid w:val="00066E1D"/>
    <w:rsid w:val="0009020A"/>
    <w:rsid w:val="00095AAD"/>
    <w:rsid w:val="000A0B56"/>
    <w:rsid w:val="000A3A72"/>
    <w:rsid w:val="000A681F"/>
    <w:rsid w:val="000A704B"/>
    <w:rsid w:val="000B2FCA"/>
    <w:rsid w:val="000D3226"/>
    <w:rsid w:val="000D358A"/>
    <w:rsid w:val="000D4B69"/>
    <w:rsid w:val="000E640C"/>
    <w:rsid w:val="000F2DC4"/>
    <w:rsid w:val="000F3DB5"/>
    <w:rsid w:val="000F6B99"/>
    <w:rsid w:val="00117B59"/>
    <w:rsid w:val="00136D36"/>
    <w:rsid w:val="00156C69"/>
    <w:rsid w:val="00160690"/>
    <w:rsid w:val="001655BD"/>
    <w:rsid w:val="0017037D"/>
    <w:rsid w:val="001724EB"/>
    <w:rsid w:val="00177632"/>
    <w:rsid w:val="00186A7F"/>
    <w:rsid w:val="001A6FE3"/>
    <w:rsid w:val="001B1BCD"/>
    <w:rsid w:val="001B4E77"/>
    <w:rsid w:val="001B6212"/>
    <w:rsid w:val="001C0159"/>
    <w:rsid w:val="001C374F"/>
    <w:rsid w:val="001C5AB1"/>
    <w:rsid w:val="001D094C"/>
    <w:rsid w:val="001D1631"/>
    <w:rsid w:val="001D2123"/>
    <w:rsid w:val="001D79D8"/>
    <w:rsid w:val="001E1FC2"/>
    <w:rsid w:val="001E274F"/>
    <w:rsid w:val="001F0360"/>
    <w:rsid w:val="00223A6B"/>
    <w:rsid w:val="002276ED"/>
    <w:rsid w:val="002324DA"/>
    <w:rsid w:val="002346FC"/>
    <w:rsid w:val="00243FF5"/>
    <w:rsid w:val="00256B1E"/>
    <w:rsid w:val="00280D8C"/>
    <w:rsid w:val="002867F5"/>
    <w:rsid w:val="0028770C"/>
    <w:rsid w:val="00290FB9"/>
    <w:rsid w:val="002A0770"/>
    <w:rsid w:val="002A20B6"/>
    <w:rsid w:val="002A31D5"/>
    <w:rsid w:val="002A5CB5"/>
    <w:rsid w:val="002C039A"/>
    <w:rsid w:val="002C1456"/>
    <w:rsid w:val="002C41D3"/>
    <w:rsid w:val="002C5EEA"/>
    <w:rsid w:val="002D433E"/>
    <w:rsid w:val="002E5D7F"/>
    <w:rsid w:val="002F2D25"/>
    <w:rsid w:val="002F4908"/>
    <w:rsid w:val="0030204A"/>
    <w:rsid w:val="00304468"/>
    <w:rsid w:val="00306A5C"/>
    <w:rsid w:val="00311379"/>
    <w:rsid w:val="00312FE6"/>
    <w:rsid w:val="00317CE1"/>
    <w:rsid w:val="00321DC4"/>
    <w:rsid w:val="00324DA6"/>
    <w:rsid w:val="00346234"/>
    <w:rsid w:val="003527B7"/>
    <w:rsid w:val="00353151"/>
    <w:rsid w:val="003716A9"/>
    <w:rsid w:val="00372469"/>
    <w:rsid w:val="00373110"/>
    <w:rsid w:val="0038333D"/>
    <w:rsid w:val="003944FB"/>
    <w:rsid w:val="00397FC9"/>
    <w:rsid w:val="003B3214"/>
    <w:rsid w:val="003B77FD"/>
    <w:rsid w:val="003C7604"/>
    <w:rsid w:val="003D0731"/>
    <w:rsid w:val="003D3006"/>
    <w:rsid w:val="003D619F"/>
    <w:rsid w:val="003E1196"/>
    <w:rsid w:val="003E328C"/>
    <w:rsid w:val="003F2075"/>
    <w:rsid w:val="003F35C6"/>
    <w:rsid w:val="003F7E5A"/>
    <w:rsid w:val="00400AF9"/>
    <w:rsid w:val="004019AD"/>
    <w:rsid w:val="00420096"/>
    <w:rsid w:val="0042210D"/>
    <w:rsid w:val="00445411"/>
    <w:rsid w:val="00446BE3"/>
    <w:rsid w:val="00446FFA"/>
    <w:rsid w:val="00447C71"/>
    <w:rsid w:val="0047045A"/>
    <w:rsid w:val="00474076"/>
    <w:rsid w:val="00474A0A"/>
    <w:rsid w:val="00475D2B"/>
    <w:rsid w:val="00477AF0"/>
    <w:rsid w:val="004806E9"/>
    <w:rsid w:val="004822D5"/>
    <w:rsid w:val="00482CCC"/>
    <w:rsid w:val="004936EB"/>
    <w:rsid w:val="00493B04"/>
    <w:rsid w:val="004959F2"/>
    <w:rsid w:val="004963FC"/>
    <w:rsid w:val="004970DA"/>
    <w:rsid w:val="00497895"/>
    <w:rsid w:val="00497E69"/>
    <w:rsid w:val="004A38B4"/>
    <w:rsid w:val="004A466B"/>
    <w:rsid w:val="004B3D34"/>
    <w:rsid w:val="004C0754"/>
    <w:rsid w:val="004D01F3"/>
    <w:rsid w:val="004D76A5"/>
    <w:rsid w:val="004E5439"/>
    <w:rsid w:val="004E650E"/>
    <w:rsid w:val="00511448"/>
    <w:rsid w:val="005255A7"/>
    <w:rsid w:val="00526128"/>
    <w:rsid w:val="00527D0C"/>
    <w:rsid w:val="005304A4"/>
    <w:rsid w:val="00536629"/>
    <w:rsid w:val="00537004"/>
    <w:rsid w:val="00537D65"/>
    <w:rsid w:val="005432F7"/>
    <w:rsid w:val="00544395"/>
    <w:rsid w:val="00552600"/>
    <w:rsid w:val="00556C01"/>
    <w:rsid w:val="005604DD"/>
    <w:rsid w:val="0056751A"/>
    <w:rsid w:val="00571FC9"/>
    <w:rsid w:val="00573514"/>
    <w:rsid w:val="00582D68"/>
    <w:rsid w:val="00593AAA"/>
    <w:rsid w:val="00593F87"/>
    <w:rsid w:val="00595887"/>
    <w:rsid w:val="005A6C74"/>
    <w:rsid w:val="005A6D66"/>
    <w:rsid w:val="005B3892"/>
    <w:rsid w:val="005C1410"/>
    <w:rsid w:val="005C1FF7"/>
    <w:rsid w:val="005C4C0D"/>
    <w:rsid w:val="005E159D"/>
    <w:rsid w:val="005F4DF5"/>
    <w:rsid w:val="00602735"/>
    <w:rsid w:val="006059C6"/>
    <w:rsid w:val="00610A36"/>
    <w:rsid w:val="006112E4"/>
    <w:rsid w:val="006169C1"/>
    <w:rsid w:val="0062117C"/>
    <w:rsid w:val="00623164"/>
    <w:rsid w:val="0063230B"/>
    <w:rsid w:val="00633FE5"/>
    <w:rsid w:val="006415D5"/>
    <w:rsid w:val="006424FC"/>
    <w:rsid w:val="00672F7B"/>
    <w:rsid w:val="00683411"/>
    <w:rsid w:val="00687B64"/>
    <w:rsid w:val="006A388D"/>
    <w:rsid w:val="006A41EE"/>
    <w:rsid w:val="006A4FF8"/>
    <w:rsid w:val="006A61BF"/>
    <w:rsid w:val="006B16D9"/>
    <w:rsid w:val="006B2EC9"/>
    <w:rsid w:val="006B74E9"/>
    <w:rsid w:val="006C2E3A"/>
    <w:rsid w:val="006D6651"/>
    <w:rsid w:val="006E0F13"/>
    <w:rsid w:val="006E1137"/>
    <w:rsid w:val="006E5DA4"/>
    <w:rsid w:val="00706239"/>
    <w:rsid w:val="00717B32"/>
    <w:rsid w:val="0072386F"/>
    <w:rsid w:val="00732295"/>
    <w:rsid w:val="00736648"/>
    <w:rsid w:val="00755346"/>
    <w:rsid w:val="00762422"/>
    <w:rsid w:val="007667EA"/>
    <w:rsid w:val="00772B5A"/>
    <w:rsid w:val="00775521"/>
    <w:rsid w:val="007842F2"/>
    <w:rsid w:val="00787371"/>
    <w:rsid w:val="007A2709"/>
    <w:rsid w:val="007A4774"/>
    <w:rsid w:val="007C13B4"/>
    <w:rsid w:val="007D6104"/>
    <w:rsid w:val="007E31BF"/>
    <w:rsid w:val="007E5FA3"/>
    <w:rsid w:val="007E7A4F"/>
    <w:rsid w:val="007E7F9F"/>
    <w:rsid w:val="007F51DC"/>
    <w:rsid w:val="008007AF"/>
    <w:rsid w:val="0080254B"/>
    <w:rsid w:val="00827D29"/>
    <w:rsid w:val="00835F23"/>
    <w:rsid w:val="008404F8"/>
    <w:rsid w:val="00844156"/>
    <w:rsid w:val="0085688D"/>
    <w:rsid w:val="00857931"/>
    <w:rsid w:val="008650F8"/>
    <w:rsid w:val="008666CE"/>
    <w:rsid w:val="00873905"/>
    <w:rsid w:val="00881976"/>
    <w:rsid w:val="0088779F"/>
    <w:rsid w:val="0089773C"/>
    <w:rsid w:val="008A0305"/>
    <w:rsid w:val="008A1477"/>
    <w:rsid w:val="008A15C8"/>
    <w:rsid w:val="008A5545"/>
    <w:rsid w:val="008A6E77"/>
    <w:rsid w:val="008B28B6"/>
    <w:rsid w:val="008B6BFE"/>
    <w:rsid w:val="008C0679"/>
    <w:rsid w:val="008C7845"/>
    <w:rsid w:val="008D53ED"/>
    <w:rsid w:val="008D7C95"/>
    <w:rsid w:val="008E1357"/>
    <w:rsid w:val="008E2494"/>
    <w:rsid w:val="008E2647"/>
    <w:rsid w:val="008E5104"/>
    <w:rsid w:val="008E7EF1"/>
    <w:rsid w:val="008F0C7B"/>
    <w:rsid w:val="008F4FFA"/>
    <w:rsid w:val="008F67A0"/>
    <w:rsid w:val="009110FB"/>
    <w:rsid w:val="0091287C"/>
    <w:rsid w:val="00914865"/>
    <w:rsid w:val="0091518A"/>
    <w:rsid w:val="009262E9"/>
    <w:rsid w:val="00934319"/>
    <w:rsid w:val="009362ED"/>
    <w:rsid w:val="00942041"/>
    <w:rsid w:val="00942F43"/>
    <w:rsid w:val="0094336B"/>
    <w:rsid w:val="00943A95"/>
    <w:rsid w:val="009444D6"/>
    <w:rsid w:val="009467D6"/>
    <w:rsid w:val="00950485"/>
    <w:rsid w:val="00953B32"/>
    <w:rsid w:val="009624C1"/>
    <w:rsid w:val="00971300"/>
    <w:rsid w:val="00972BC9"/>
    <w:rsid w:val="009814BE"/>
    <w:rsid w:val="009A34AD"/>
    <w:rsid w:val="009B1957"/>
    <w:rsid w:val="009B58B4"/>
    <w:rsid w:val="009B602E"/>
    <w:rsid w:val="009C405D"/>
    <w:rsid w:val="009F2BC7"/>
    <w:rsid w:val="00A05DF7"/>
    <w:rsid w:val="00A1066B"/>
    <w:rsid w:val="00A106C0"/>
    <w:rsid w:val="00A11972"/>
    <w:rsid w:val="00A219C9"/>
    <w:rsid w:val="00A30587"/>
    <w:rsid w:val="00A33C31"/>
    <w:rsid w:val="00A356FE"/>
    <w:rsid w:val="00A40A31"/>
    <w:rsid w:val="00A41805"/>
    <w:rsid w:val="00A55E57"/>
    <w:rsid w:val="00A6374E"/>
    <w:rsid w:val="00A71A44"/>
    <w:rsid w:val="00A71DE6"/>
    <w:rsid w:val="00A77552"/>
    <w:rsid w:val="00A84C2A"/>
    <w:rsid w:val="00AA6CE5"/>
    <w:rsid w:val="00AB0E66"/>
    <w:rsid w:val="00AB3160"/>
    <w:rsid w:val="00AC5861"/>
    <w:rsid w:val="00AC5A84"/>
    <w:rsid w:val="00AD3312"/>
    <w:rsid w:val="00AE587E"/>
    <w:rsid w:val="00AF1934"/>
    <w:rsid w:val="00AF3EDE"/>
    <w:rsid w:val="00B00AA5"/>
    <w:rsid w:val="00B1167C"/>
    <w:rsid w:val="00B13041"/>
    <w:rsid w:val="00B205F9"/>
    <w:rsid w:val="00B24E22"/>
    <w:rsid w:val="00B25220"/>
    <w:rsid w:val="00B32CA3"/>
    <w:rsid w:val="00B37B17"/>
    <w:rsid w:val="00B7671F"/>
    <w:rsid w:val="00B7730B"/>
    <w:rsid w:val="00B7740B"/>
    <w:rsid w:val="00B8693D"/>
    <w:rsid w:val="00B92EA8"/>
    <w:rsid w:val="00B94F05"/>
    <w:rsid w:val="00BA190B"/>
    <w:rsid w:val="00BB0B52"/>
    <w:rsid w:val="00BB2F89"/>
    <w:rsid w:val="00BB33C1"/>
    <w:rsid w:val="00BB5C00"/>
    <w:rsid w:val="00BC030F"/>
    <w:rsid w:val="00BD7BB1"/>
    <w:rsid w:val="00BE4528"/>
    <w:rsid w:val="00BE5DA3"/>
    <w:rsid w:val="00BE6FD8"/>
    <w:rsid w:val="00C00B7C"/>
    <w:rsid w:val="00C02A6A"/>
    <w:rsid w:val="00C1202D"/>
    <w:rsid w:val="00C1335C"/>
    <w:rsid w:val="00C140CB"/>
    <w:rsid w:val="00C14DFE"/>
    <w:rsid w:val="00C21276"/>
    <w:rsid w:val="00C31230"/>
    <w:rsid w:val="00C31843"/>
    <w:rsid w:val="00C34664"/>
    <w:rsid w:val="00C5349A"/>
    <w:rsid w:val="00C622DD"/>
    <w:rsid w:val="00C7355F"/>
    <w:rsid w:val="00C7723A"/>
    <w:rsid w:val="00C833FA"/>
    <w:rsid w:val="00C9072F"/>
    <w:rsid w:val="00C93991"/>
    <w:rsid w:val="00C94743"/>
    <w:rsid w:val="00CA34F4"/>
    <w:rsid w:val="00CB5CA7"/>
    <w:rsid w:val="00CC06BE"/>
    <w:rsid w:val="00CC26F0"/>
    <w:rsid w:val="00CD29F3"/>
    <w:rsid w:val="00CD2AB9"/>
    <w:rsid w:val="00CD34D2"/>
    <w:rsid w:val="00CE057D"/>
    <w:rsid w:val="00CE7873"/>
    <w:rsid w:val="00CE7A07"/>
    <w:rsid w:val="00CF3E1D"/>
    <w:rsid w:val="00D04716"/>
    <w:rsid w:val="00D07C39"/>
    <w:rsid w:val="00D104E1"/>
    <w:rsid w:val="00D16ACD"/>
    <w:rsid w:val="00D178DC"/>
    <w:rsid w:val="00D23A2C"/>
    <w:rsid w:val="00D315CF"/>
    <w:rsid w:val="00D35C06"/>
    <w:rsid w:val="00D4342A"/>
    <w:rsid w:val="00D535C4"/>
    <w:rsid w:val="00D6053A"/>
    <w:rsid w:val="00D6438C"/>
    <w:rsid w:val="00D71D8B"/>
    <w:rsid w:val="00D72599"/>
    <w:rsid w:val="00D8206F"/>
    <w:rsid w:val="00D847DD"/>
    <w:rsid w:val="00D92559"/>
    <w:rsid w:val="00DA1B86"/>
    <w:rsid w:val="00DB48A9"/>
    <w:rsid w:val="00DC06DD"/>
    <w:rsid w:val="00DD2A47"/>
    <w:rsid w:val="00DE0917"/>
    <w:rsid w:val="00DF7341"/>
    <w:rsid w:val="00E009B6"/>
    <w:rsid w:val="00E041FB"/>
    <w:rsid w:val="00E161A6"/>
    <w:rsid w:val="00E2042D"/>
    <w:rsid w:val="00E26449"/>
    <w:rsid w:val="00E37D98"/>
    <w:rsid w:val="00E42EAC"/>
    <w:rsid w:val="00E54512"/>
    <w:rsid w:val="00E55ACA"/>
    <w:rsid w:val="00E6143F"/>
    <w:rsid w:val="00E62FFA"/>
    <w:rsid w:val="00EB108F"/>
    <w:rsid w:val="00EB2A69"/>
    <w:rsid w:val="00EB5440"/>
    <w:rsid w:val="00EB55D8"/>
    <w:rsid w:val="00EC12A3"/>
    <w:rsid w:val="00EE6D76"/>
    <w:rsid w:val="00EF1488"/>
    <w:rsid w:val="00EF46DD"/>
    <w:rsid w:val="00F04357"/>
    <w:rsid w:val="00F10EAE"/>
    <w:rsid w:val="00F12260"/>
    <w:rsid w:val="00F13195"/>
    <w:rsid w:val="00F17B8C"/>
    <w:rsid w:val="00F21B68"/>
    <w:rsid w:val="00F221A5"/>
    <w:rsid w:val="00F273C6"/>
    <w:rsid w:val="00F2778F"/>
    <w:rsid w:val="00F34D7A"/>
    <w:rsid w:val="00F37A05"/>
    <w:rsid w:val="00F43C68"/>
    <w:rsid w:val="00F44145"/>
    <w:rsid w:val="00F565EB"/>
    <w:rsid w:val="00F578AF"/>
    <w:rsid w:val="00F64A81"/>
    <w:rsid w:val="00F67982"/>
    <w:rsid w:val="00F82E57"/>
    <w:rsid w:val="00F9114C"/>
    <w:rsid w:val="00F973E3"/>
    <w:rsid w:val="00FA21BC"/>
    <w:rsid w:val="00FA436A"/>
    <w:rsid w:val="00FB2E5A"/>
    <w:rsid w:val="00FB5C5D"/>
    <w:rsid w:val="00FD3C14"/>
    <w:rsid w:val="00FD6C2B"/>
    <w:rsid w:val="00FE3ABA"/>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D5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25483"/>
    <w:pPr>
      <w:outlineLvl w:val="0"/>
    </w:pPr>
  </w:style>
  <w:style w:type="paragraph" w:styleId="Heading2">
    <w:name w:val="heading 2"/>
    <w:basedOn w:val="Normal"/>
    <w:next w:val="Normal"/>
    <w:link w:val="Heading2Char"/>
    <w:unhideWhenUsed/>
    <w:qFormat/>
    <w:rsid w:val="00025483"/>
    <w:pPr>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83"/>
    <w:rPr>
      <w:rFonts w:ascii="Courier" w:eastAsia="Times New Roman" w:hAnsi="Courier" w:cs="Times New Roman"/>
      <w:sz w:val="20"/>
      <w:szCs w:val="24"/>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104E1"/>
    <w:rPr>
      <w:szCs w:val="20"/>
    </w:rPr>
  </w:style>
  <w:style w:type="character" w:customStyle="1" w:styleId="FootnoteTextChar">
    <w:name w:val="Footnote Text Char"/>
    <w:basedOn w:val="DefaultParagraphFont"/>
    <w:link w:val="FootnoteText"/>
    <w:uiPriority w:val="99"/>
    <w:semiHidden/>
    <w:rsid w:val="00D104E1"/>
    <w:rPr>
      <w:rFonts w:ascii="Courier" w:eastAsia="Times New Roman" w:hAnsi="Courier" w:cs="Times New Roman"/>
      <w:sz w:val="20"/>
      <w:szCs w:val="20"/>
    </w:rPr>
  </w:style>
  <w:style w:type="character" w:styleId="FootnoteReference">
    <w:name w:val="footnote reference"/>
    <w:basedOn w:val="DefaultParagraphFont"/>
    <w:unhideWhenUsed/>
    <w:rsid w:val="00D104E1"/>
    <w:rPr>
      <w:vertAlign w:val="superscript"/>
    </w:rPr>
  </w:style>
  <w:style w:type="character" w:customStyle="1" w:styleId="Heading2Char">
    <w:name w:val="Heading 2 Char"/>
    <w:basedOn w:val="DefaultParagraphFont"/>
    <w:link w:val="Heading2"/>
    <w:rsid w:val="0002548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9444D6"/>
    <w:pPr>
      <w:ind w:left="720"/>
      <w:contextualSpacing/>
    </w:pPr>
  </w:style>
  <w:style w:type="paragraph" w:styleId="Title">
    <w:name w:val="Title"/>
    <w:basedOn w:val="Normal"/>
    <w:next w:val="Normal"/>
    <w:link w:val="TitleChar"/>
    <w:uiPriority w:val="10"/>
    <w:qFormat/>
    <w:rsid w:val="007E5F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FA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474A0A"/>
    <w:rPr>
      <w:rFonts w:ascii="Times New Roman" w:hAnsi="Times New Roman"/>
      <w:b/>
      <w:sz w:val="24"/>
      <w:u w:val="single"/>
    </w:rPr>
  </w:style>
  <w:style w:type="character" w:styleId="Hyperlink">
    <w:name w:val="Hyperlink"/>
    <w:basedOn w:val="DefaultParagraphFont"/>
    <w:uiPriority w:val="99"/>
    <w:unhideWhenUsed/>
    <w:rsid w:val="00186A7F"/>
    <w:rPr>
      <w:color w:val="0000FF" w:themeColor="hyperlink"/>
      <w:u w:val="single"/>
    </w:rPr>
  </w:style>
  <w:style w:type="table" w:styleId="TableGrid">
    <w:name w:val="Table Grid"/>
    <w:basedOn w:val="TableNormal"/>
    <w:rsid w:val="002E5D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2014-09-18T07:00:00+00:00</OpenedDate>
    <Date1 xmlns="dc463f71-b30c-4ab2-9473-d307f9d35888">2014-10-30T07:00:00+00:00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143433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56A47DC927BE4D9D5018124649741D" ma:contentTypeVersion="175" ma:contentTypeDescription="" ma:contentTypeScope="" ma:versionID="f3bd821a66765427f33e40c793fa63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04FE324-41D2-4263-92D5-F29966E15489}"/>
</file>

<file path=customXml/itemProps2.xml><?xml version="1.0" encoding="utf-8"?>
<ds:datastoreItem xmlns:ds="http://schemas.openxmlformats.org/officeDocument/2006/customXml" ds:itemID="{49E491FE-7D48-45EB-8528-7EFE6C382E32}"/>
</file>

<file path=customXml/itemProps3.xml><?xml version="1.0" encoding="utf-8"?>
<ds:datastoreItem xmlns:ds="http://schemas.openxmlformats.org/officeDocument/2006/customXml" ds:itemID="{EEB79948-C4A0-4641-B77F-6EE0998DDBFC}"/>
</file>

<file path=customXml/itemProps4.xml><?xml version="1.0" encoding="utf-8"?>
<ds:datastoreItem xmlns:ds="http://schemas.openxmlformats.org/officeDocument/2006/customXml" ds:itemID="{DB5AFF04-4AC9-4724-895C-993027297009}"/>
</file>

<file path=customXml/itemProps5.xml><?xml version="1.0" encoding="utf-8"?>
<ds:datastoreItem xmlns:ds="http://schemas.openxmlformats.org/officeDocument/2006/customXml" ds:itemID="{877B8786-5268-4ECE-8262-D2765ECFF87D}"/>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2014-10-27T23:34:00Z</dcterms:created>
  <dcterms:modified xsi:type="dcterms:W3CDTF">2014-10-27T23:34:00Z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0x0101006E56B4D1795A2E4DB2F0B01679ED314A00F156A47DC927BE4D9D5018124649741D</vt:lpwstr>
  </property>
  <property fmtid="{D5CDD505-2E9C-101B-9397-08002B2CF9AE}" pid="3" name="_docset_NoMedatataSyncRequired">
    <vt:lpwstr>False</vt:lpwstr>
  </property>
</Properties>
</file>