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5D462" w14:textId="77777777" w:rsidR="00222B02" w:rsidRDefault="003A7893" w:rsidP="003A7893">
      <w:pPr>
        <w:rPr>
          <w:rFonts w:asciiTheme="majorHAnsi" w:hAnsiTheme="majorHAnsi"/>
        </w:rPr>
      </w:pPr>
      <w:r>
        <w:rPr>
          <w:rFonts w:asciiTheme="majorHAnsi" w:hAnsiTheme="majorHAnsi"/>
        </w:rPr>
        <w:t>November 6, 2013</w:t>
      </w:r>
    </w:p>
    <w:p w14:paraId="3561807B" w14:textId="77777777" w:rsidR="003A7893" w:rsidRDefault="003A7893" w:rsidP="003A7893">
      <w:pPr>
        <w:rPr>
          <w:rFonts w:asciiTheme="majorHAnsi" w:hAnsiTheme="majorHAnsi"/>
        </w:rPr>
      </w:pPr>
    </w:p>
    <w:p w14:paraId="788AB018" w14:textId="77777777" w:rsidR="003A7893" w:rsidRDefault="003A7893" w:rsidP="003A7893">
      <w:pPr>
        <w:rPr>
          <w:rFonts w:asciiTheme="majorHAnsi" w:hAnsiTheme="majorHAnsi"/>
        </w:rPr>
      </w:pPr>
      <w:r>
        <w:rPr>
          <w:rFonts w:asciiTheme="majorHAnsi" w:hAnsiTheme="majorHAnsi"/>
        </w:rPr>
        <w:t>Steven V. King</w:t>
      </w:r>
    </w:p>
    <w:p w14:paraId="7B927882" w14:textId="77777777" w:rsidR="003A7893" w:rsidRDefault="003A7893" w:rsidP="003A7893">
      <w:pPr>
        <w:rPr>
          <w:rFonts w:asciiTheme="majorHAnsi" w:hAnsiTheme="majorHAnsi"/>
        </w:rPr>
      </w:pPr>
      <w:r>
        <w:rPr>
          <w:rFonts w:asciiTheme="majorHAnsi" w:hAnsiTheme="majorHAnsi"/>
        </w:rPr>
        <w:t>Executive Director and Secretary</w:t>
      </w:r>
    </w:p>
    <w:p w14:paraId="3D2613BB" w14:textId="77777777" w:rsidR="003A7893" w:rsidRDefault="003A7893" w:rsidP="003A7893">
      <w:pPr>
        <w:rPr>
          <w:rFonts w:asciiTheme="majorHAnsi" w:hAnsiTheme="majorHAnsi"/>
        </w:rPr>
      </w:pPr>
      <w:r>
        <w:rPr>
          <w:rFonts w:asciiTheme="majorHAnsi" w:hAnsiTheme="majorHAnsi"/>
        </w:rPr>
        <w:t>Washington Utilities and Transportation Commission</w:t>
      </w:r>
    </w:p>
    <w:p w14:paraId="78CFB430" w14:textId="77777777" w:rsidR="003A7893" w:rsidRDefault="003A7893" w:rsidP="003A7893">
      <w:pPr>
        <w:rPr>
          <w:rFonts w:asciiTheme="majorHAnsi" w:hAnsiTheme="majorHAnsi"/>
        </w:rPr>
      </w:pPr>
      <w:r>
        <w:rPr>
          <w:rFonts w:asciiTheme="majorHAnsi" w:hAnsiTheme="majorHAnsi"/>
        </w:rPr>
        <w:t>P.O. Box 47250</w:t>
      </w:r>
    </w:p>
    <w:p w14:paraId="53408BAC" w14:textId="77777777" w:rsidR="003A7893" w:rsidRDefault="003A7893" w:rsidP="003A7893">
      <w:pPr>
        <w:rPr>
          <w:rFonts w:asciiTheme="majorHAnsi" w:hAnsiTheme="majorHAnsi"/>
        </w:rPr>
      </w:pPr>
      <w:r>
        <w:rPr>
          <w:rFonts w:asciiTheme="majorHAnsi" w:hAnsiTheme="majorHAnsi"/>
        </w:rPr>
        <w:t>Olympia, WA 98504-7250</w:t>
      </w:r>
    </w:p>
    <w:p w14:paraId="6E3B3799" w14:textId="77777777" w:rsidR="003A7893" w:rsidRDefault="003A7893" w:rsidP="003A7893">
      <w:pPr>
        <w:rPr>
          <w:rFonts w:asciiTheme="majorHAnsi" w:hAnsiTheme="majorHAnsi"/>
        </w:rPr>
      </w:pPr>
    </w:p>
    <w:p w14:paraId="70D0DAEC" w14:textId="77777777" w:rsidR="003A7893" w:rsidRDefault="003A7893" w:rsidP="003A7893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b/>
        </w:rPr>
        <w:t>RE: Comments</w:t>
      </w:r>
      <w:r w:rsidR="0021272E">
        <w:rPr>
          <w:rFonts w:asciiTheme="majorHAnsi" w:hAnsiTheme="majorHAnsi"/>
          <w:b/>
        </w:rPr>
        <w:t xml:space="preserve"> of Renewable Northwest Project</w:t>
      </w:r>
    </w:p>
    <w:p w14:paraId="176B70C5" w14:textId="77777777" w:rsidR="0021272E" w:rsidRDefault="0021272E" w:rsidP="0021272E">
      <w:pPr>
        <w:ind w:left="720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>Docket UE-131883—</w:t>
      </w:r>
      <w:r>
        <w:rPr>
          <w:rFonts w:asciiTheme="majorHAnsi" w:hAnsiTheme="majorHAnsi"/>
          <w:i/>
        </w:rPr>
        <w:t>Commission’s October 15, 2013 Notice of Opportunity to File Written Comments on the Investigation of the costs and benefits of distributed generation on utility provision of electric service.</w:t>
      </w:r>
    </w:p>
    <w:p w14:paraId="0FD1F1BD" w14:textId="77777777" w:rsidR="00BE072B" w:rsidRDefault="00BE072B" w:rsidP="00BE072B">
      <w:pPr>
        <w:rPr>
          <w:rFonts w:asciiTheme="majorHAnsi" w:hAnsiTheme="majorHAnsi"/>
        </w:rPr>
      </w:pPr>
    </w:p>
    <w:p w14:paraId="04338DAC" w14:textId="77777777" w:rsidR="00441504" w:rsidRDefault="00BE072B" w:rsidP="00BE072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Renewable Northwest Project (“RNP”) welcomes the opportunity to comment </w:t>
      </w:r>
      <w:r w:rsidR="00F2107B">
        <w:rPr>
          <w:rFonts w:asciiTheme="majorHAnsi" w:hAnsiTheme="majorHAnsi"/>
        </w:rPr>
        <w:t xml:space="preserve">to the Washington Utilities and Transportation Commission (“Commission”) </w:t>
      </w:r>
      <w:r>
        <w:rPr>
          <w:rFonts w:asciiTheme="majorHAnsi" w:hAnsiTheme="majorHAnsi"/>
        </w:rPr>
        <w:t>on the costs and benefits of distributed generation</w:t>
      </w:r>
      <w:r w:rsidR="004C46C3">
        <w:rPr>
          <w:rFonts w:asciiTheme="majorHAnsi" w:hAnsiTheme="majorHAnsi"/>
        </w:rPr>
        <w:t xml:space="preserve"> (“DG”)</w:t>
      </w:r>
      <w:r>
        <w:rPr>
          <w:rFonts w:asciiTheme="majorHAnsi" w:hAnsiTheme="majorHAnsi"/>
        </w:rPr>
        <w:t>, and how they should be understood with respect to investor-owned utilities</w:t>
      </w:r>
      <w:r w:rsidR="007256B5">
        <w:rPr>
          <w:rFonts w:asciiTheme="majorHAnsi" w:hAnsiTheme="majorHAnsi"/>
        </w:rPr>
        <w:t xml:space="preserve"> (“IOUs”)</w:t>
      </w:r>
      <w:r>
        <w:rPr>
          <w:rFonts w:asciiTheme="majorHAnsi" w:hAnsiTheme="majorHAnsi"/>
        </w:rPr>
        <w:t xml:space="preserve"> in the state of Washington.</w:t>
      </w:r>
    </w:p>
    <w:p w14:paraId="48CEA0D4" w14:textId="77777777" w:rsidR="007E5C1C" w:rsidRDefault="007E5C1C" w:rsidP="007E5C1C">
      <w:pPr>
        <w:rPr>
          <w:rFonts w:asciiTheme="majorHAnsi" w:hAnsiTheme="majorHAnsi"/>
        </w:rPr>
      </w:pPr>
    </w:p>
    <w:p w14:paraId="39FCB856" w14:textId="77777777" w:rsidR="007E5C1C" w:rsidRDefault="007E5C1C" w:rsidP="007E5C1C">
      <w:pPr>
        <w:rPr>
          <w:rFonts w:asciiTheme="majorHAnsi" w:hAnsiTheme="majorHAnsi"/>
        </w:rPr>
      </w:pPr>
      <w:r>
        <w:rPr>
          <w:rFonts w:asciiTheme="majorHAnsi" w:hAnsiTheme="majorHAnsi"/>
        </w:rPr>
        <w:t>While the balance between the costs and benefits of net-metered distributed solar will vary from state-to-state</w:t>
      </w:r>
      <w:r w:rsidR="00F2107B">
        <w:rPr>
          <w:rFonts w:asciiTheme="majorHAnsi" w:hAnsiTheme="majorHAnsi"/>
        </w:rPr>
        <w:t xml:space="preserve"> and utility-to-utility</w:t>
      </w:r>
      <w:r>
        <w:rPr>
          <w:rFonts w:asciiTheme="majorHAnsi" w:hAnsiTheme="majorHAnsi"/>
        </w:rPr>
        <w:t xml:space="preserve">, there are certain key criteria that should be acknowledged and, to the extent </w:t>
      </w:r>
      <w:r w:rsidR="00F2107B">
        <w:rPr>
          <w:rFonts w:asciiTheme="majorHAnsi" w:hAnsiTheme="majorHAnsi"/>
        </w:rPr>
        <w:t>appropriate to the state or utility’s level of solar DG penetration</w:t>
      </w:r>
      <w:r>
        <w:rPr>
          <w:rFonts w:asciiTheme="majorHAnsi" w:hAnsiTheme="majorHAnsi"/>
        </w:rPr>
        <w:t xml:space="preserve">, quantified. The costs to the utility include the loss of revenue from the net-metered customer, as well as the administration </w:t>
      </w:r>
      <w:r w:rsidR="00D155EB">
        <w:rPr>
          <w:rFonts w:asciiTheme="majorHAnsi" w:hAnsiTheme="majorHAnsi"/>
        </w:rPr>
        <w:t>of</w:t>
      </w:r>
      <w:r>
        <w:rPr>
          <w:rFonts w:asciiTheme="majorHAnsi" w:hAnsiTheme="majorHAnsi"/>
        </w:rPr>
        <w:t xml:space="preserve"> the program. The benefits, which accrue to </w:t>
      </w:r>
      <w:r w:rsidR="006461FE">
        <w:rPr>
          <w:rFonts w:asciiTheme="majorHAnsi" w:hAnsiTheme="majorHAnsi"/>
        </w:rPr>
        <w:t>both participating and non-participating customers</w:t>
      </w:r>
      <w:r>
        <w:rPr>
          <w:rFonts w:asciiTheme="majorHAnsi" w:hAnsiTheme="majorHAnsi"/>
        </w:rPr>
        <w:t>, include</w:t>
      </w:r>
      <w:r w:rsidR="00F2107B">
        <w:rPr>
          <w:rFonts w:asciiTheme="majorHAnsi" w:hAnsiTheme="majorHAnsi"/>
        </w:rPr>
        <w:t xml:space="preserve"> among other things</w:t>
      </w:r>
      <w:r>
        <w:rPr>
          <w:rFonts w:asciiTheme="majorHAnsi" w:hAnsiTheme="majorHAnsi"/>
        </w:rPr>
        <w:t>: increased energy independence; deferred investment in transmission infrastructure; reduced air pollution and greenhouse gas emissions; and the increased security and reliability of the grid.</w:t>
      </w:r>
    </w:p>
    <w:p w14:paraId="2F38947C" w14:textId="77777777" w:rsidR="007E5C1C" w:rsidRDefault="007E5C1C" w:rsidP="007E5C1C">
      <w:pPr>
        <w:rPr>
          <w:rFonts w:asciiTheme="majorHAnsi" w:hAnsiTheme="majorHAnsi"/>
        </w:rPr>
      </w:pPr>
    </w:p>
    <w:p w14:paraId="28A51956" w14:textId="77777777" w:rsidR="006461FE" w:rsidRDefault="007E5C1C" w:rsidP="00BE072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Interstate Renewable Energy Council (“IREC”) has collected together the lessons learned from 16 distributed solar generation regional and utility-specific studies, from which they have developed a proposed standardized valuation methodology for public </w:t>
      </w:r>
      <w:r w:rsidR="00D155EB">
        <w:rPr>
          <w:rFonts w:asciiTheme="majorHAnsi" w:hAnsiTheme="majorHAnsi"/>
        </w:rPr>
        <w:t>utility commissions to consider</w:t>
      </w:r>
      <w:r>
        <w:rPr>
          <w:rFonts w:asciiTheme="majorHAnsi" w:hAnsiTheme="majorHAnsi"/>
        </w:rPr>
        <w:t>.</w:t>
      </w:r>
      <w:r>
        <w:rPr>
          <w:rStyle w:val="FootnoteReference"/>
          <w:rFonts w:asciiTheme="majorHAnsi" w:hAnsiTheme="majorHAnsi"/>
        </w:rPr>
        <w:footnoteReference w:id="1"/>
      </w:r>
      <w:r>
        <w:rPr>
          <w:rFonts w:asciiTheme="majorHAnsi" w:hAnsiTheme="majorHAnsi"/>
        </w:rPr>
        <w:t xml:space="preserve"> Among IREC’s major conclusions on distributed solar generation, three stand out: </w:t>
      </w:r>
      <w:r w:rsidR="00F2107B">
        <w:rPr>
          <w:rFonts w:asciiTheme="majorHAnsi" w:hAnsiTheme="majorHAnsi"/>
        </w:rPr>
        <w:t xml:space="preserve">solar DG </w:t>
      </w:r>
      <w:r>
        <w:rPr>
          <w:rFonts w:asciiTheme="majorHAnsi" w:hAnsiTheme="majorHAnsi"/>
        </w:rPr>
        <w:t>primarily offsets combined-cycle natural gas plants, and this should be accounted for in avoided energy costs; the solar resource is sufficiently predictable that i</w:t>
      </w:r>
      <w:r w:rsidR="00F2107B">
        <w:rPr>
          <w:rFonts w:asciiTheme="majorHAnsi" w:hAnsiTheme="majorHAnsi"/>
        </w:rPr>
        <w:t>t</w:t>
      </w:r>
      <w:r>
        <w:rPr>
          <w:rFonts w:asciiTheme="majorHAnsi" w:hAnsiTheme="majorHAnsi"/>
        </w:rPr>
        <w:t xml:space="preserve"> should be include</w:t>
      </w:r>
      <w:r w:rsidR="00F2107B">
        <w:rPr>
          <w:rFonts w:asciiTheme="majorHAnsi" w:hAnsiTheme="majorHAnsi"/>
        </w:rPr>
        <w:t>d</w:t>
      </w:r>
      <w:r>
        <w:rPr>
          <w:rFonts w:asciiTheme="majorHAnsi" w:hAnsiTheme="majorHAnsi"/>
        </w:rPr>
        <w:t xml:space="preserve"> in utility forecasts of </w:t>
      </w:r>
      <w:r w:rsidR="00F2107B">
        <w:rPr>
          <w:rFonts w:asciiTheme="majorHAnsi" w:hAnsiTheme="majorHAnsi"/>
        </w:rPr>
        <w:t xml:space="preserve">generation that meets </w:t>
      </w:r>
      <w:r>
        <w:rPr>
          <w:rFonts w:asciiTheme="majorHAnsi" w:hAnsiTheme="majorHAnsi"/>
        </w:rPr>
        <w:t>capacity needs, and should therefore be credited with a capacity value; and, the societal benefits, such as economic development, environmental and health benefits should be included in valuations</w:t>
      </w:r>
      <w:r w:rsidR="00F2107B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as these were likely drivers behind the original </w:t>
      </w:r>
      <w:r w:rsidR="00F2107B">
        <w:rPr>
          <w:rFonts w:asciiTheme="majorHAnsi" w:hAnsiTheme="majorHAnsi"/>
        </w:rPr>
        <w:t xml:space="preserve">net metering </w:t>
      </w:r>
      <w:r>
        <w:rPr>
          <w:rFonts w:asciiTheme="majorHAnsi" w:hAnsiTheme="majorHAnsi"/>
        </w:rPr>
        <w:t>policy.</w:t>
      </w:r>
    </w:p>
    <w:p w14:paraId="60C9CC3C" w14:textId="77777777" w:rsidR="006461FE" w:rsidRDefault="006461FE" w:rsidP="00BE072B">
      <w:pPr>
        <w:rPr>
          <w:rFonts w:asciiTheme="majorHAnsi" w:hAnsiTheme="majorHAnsi"/>
        </w:rPr>
      </w:pPr>
    </w:p>
    <w:p w14:paraId="38AD0B64" w14:textId="77777777" w:rsidR="00BE072B" w:rsidRDefault="00BE072B" w:rsidP="00BE072B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The Commission</w:t>
      </w:r>
      <w:r w:rsidR="00F2107B">
        <w:rPr>
          <w:rFonts w:asciiTheme="majorHAnsi" w:hAnsiTheme="majorHAnsi"/>
        </w:rPr>
        <w:t xml:space="preserve">’s Notice observed that </w:t>
      </w:r>
      <w:r>
        <w:rPr>
          <w:rFonts w:asciiTheme="majorHAnsi" w:hAnsiTheme="majorHAnsi"/>
        </w:rPr>
        <w:t>there is</w:t>
      </w:r>
      <w:r w:rsidR="006461FE">
        <w:rPr>
          <w:rFonts w:asciiTheme="majorHAnsi" w:hAnsiTheme="majorHAnsi"/>
        </w:rPr>
        <w:t xml:space="preserve"> already</w:t>
      </w:r>
      <w:r>
        <w:rPr>
          <w:rFonts w:asciiTheme="majorHAnsi" w:hAnsiTheme="majorHAnsi"/>
        </w:rPr>
        <w:t xml:space="preserve"> significant discussion at the state and national level about t</w:t>
      </w:r>
      <w:r w:rsidR="004C46C3">
        <w:rPr>
          <w:rFonts w:asciiTheme="majorHAnsi" w:hAnsiTheme="majorHAnsi"/>
        </w:rPr>
        <w:t>he costs and benefits of DG, citing the California Public Utilities Commissions draft Net Energy Metering Evaluation Report (the final study was published October 28, 2013)</w:t>
      </w:r>
      <w:r w:rsidR="00707522">
        <w:rPr>
          <w:rFonts w:asciiTheme="majorHAnsi" w:hAnsiTheme="majorHAnsi"/>
        </w:rPr>
        <w:t xml:space="preserve"> undertaken</w:t>
      </w:r>
      <w:r w:rsidR="00024A5C">
        <w:rPr>
          <w:rFonts w:asciiTheme="majorHAnsi" w:hAnsiTheme="majorHAnsi"/>
        </w:rPr>
        <w:t xml:space="preserve"> by Energy and Environmental</w:t>
      </w:r>
      <w:r w:rsidR="00707522">
        <w:rPr>
          <w:rFonts w:asciiTheme="majorHAnsi" w:hAnsiTheme="majorHAnsi"/>
        </w:rPr>
        <w:t xml:space="preserve"> Economics (“E3”)</w:t>
      </w:r>
      <w:r w:rsidR="004C46C3">
        <w:rPr>
          <w:rFonts w:asciiTheme="majorHAnsi" w:hAnsiTheme="majorHAnsi"/>
        </w:rPr>
        <w:t>.</w:t>
      </w:r>
      <w:r w:rsidR="00D155EB">
        <w:rPr>
          <w:rStyle w:val="FootnoteReference"/>
          <w:rFonts w:asciiTheme="majorHAnsi" w:hAnsiTheme="majorHAnsi"/>
        </w:rPr>
        <w:footnoteReference w:id="2"/>
      </w:r>
      <w:r w:rsidR="00707522">
        <w:rPr>
          <w:rFonts w:asciiTheme="majorHAnsi" w:hAnsiTheme="majorHAnsi"/>
        </w:rPr>
        <w:t xml:space="preserve"> In the cost-benefit analysis, E3 compared the reduction in net-metered customer bills to the reduction in utility costs; to the extent that the net-metered customer’s bill reduction is greater than offsetting utility savings, they posit that net-metering will create a cost shift from participating to non-participating customers.</w:t>
      </w:r>
    </w:p>
    <w:p w14:paraId="619ABCE3" w14:textId="77777777" w:rsidR="007256B5" w:rsidRDefault="007256B5" w:rsidP="00441504">
      <w:pPr>
        <w:rPr>
          <w:rFonts w:asciiTheme="majorHAnsi" w:hAnsiTheme="majorHAnsi"/>
        </w:rPr>
      </w:pPr>
    </w:p>
    <w:p w14:paraId="084D4E33" w14:textId="77777777" w:rsidR="004C69C5" w:rsidRDefault="006461FE" w:rsidP="004C69C5">
      <w:pPr>
        <w:rPr>
          <w:rFonts w:asciiTheme="majorHAnsi" w:hAnsiTheme="majorHAnsi"/>
        </w:rPr>
      </w:pPr>
      <w:r>
        <w:rPr>
          <w:rFonts w:asciiTheme="majorHAnsi" w:hAnsiTheme="majorHAnsi"/>
        </w:rPr>
        <w:t>RNP welcomed</w:t>
      </w:r>
      <w:r w:rsidR="007256B5">
        <w:rPr>
          <w:rFonts w:asciiTheme="majorHAnsi" w:hAnsiTheme="majorHAnsi"/>
        </w:rPr>
        <w:t xml:space="preserve"> this very ambitious report from E3, but</w:t>
      </w:r>
      <w:r w:rsidR="00D155E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noted </w:t>
      </w:r>
      <w:r w:rsidR="007256B5">
        <w:rPr>
          <w:rFonts w:asciiTheme="majorHAnsi" w:hAnsiTheme="majorHAnsi"/>
        </w:rPr>
        <w:t>that the methodology was stymied</w:t>
      </w:r>
      <w:r w:rsidR="00D155EB">
        <w:rPr>
          <w:rFonts w:asciiTheme="majorHAnsi" w:hAnsiTheme="majorHAnsi"/>
        </w:rPr>
        <w:t xml:space="preserve"> </w:t>
      </w:r>
      <w:r w:rsidR="007256B5">
        <w:rPr>
          <w:rFonts w:asciiTheme="majorHAnsi" w:hAnsiTheme="majorHAnsi"/>
        </w:rPr>
        <w:t xml:space="preserve">by California Assembly </w:t>
      </w:r>
      <w:r w:rsidR="006575CC">
        <w:rPr>
          <w:rFonts w:asciiTheme="majorHAnsi" w:hAnsiTheme="majorHAnsi"/>
        </w:rPr>
        <w:t>Bill 2514, which both instigated the investigation and prevented it from being a comprehensive cost-benefit analysis.</w:t>
      </w:r>
      <w:r w:rsidR="006575CC">
        <w:rPr>
          <w:rStyle w:val="FootnoteReference"/>
          <w:rFonts w:asciiTheme="majorHAnsi" w:hAnsiTheme="majorHAnsi"/>
        </w:rPr>
        <w:footnoteReference w:id="3"/>
      </w:r>
      <w:r w:rsidR="004C69C5">
        <w:rPr>
          <w:rFonts w:asciiTheme="majorHAnsi" w:hAnsiTheme="majorHAnsi"/>
        </w:rPr>
        <w:t xml:space="preserve"> In </w:t>
      </w:r>
      <w:r>
        <w:rPr>
          <w:rFonts w:asciiTheme="majorHAnsi" w:hAnsiTheme="majorHAnsi"/>
        </w:rPr>
        <w:t>E3</w:t>
      </w:r>
      <w:r w:rsidR="004C69C5">
        <w:rPr>
          <w:rFonts w:asciiTheme="majorHAnsi" w:hAnsiTheme="majorHAnsi"/>
        </w:rPr>
        <w:t xml:space="preserve">’s analysis, </w:t>
      </w:r>
      <w:r w:rsidR="00441504" w:rsidRPr="00441504">
        <w:rPr>
          <w:rFonts w:asciiTheme="majorHAnsi" w:hAnsiTheme="majorHAnsi"/>
        </w:rPr>
        <w:t>the entire output of a net-metered system</w:t>
      </w:r>
      <w:r>
        <w:rPr>
          <w:rFonts w:asciiTheme="majorHAnsi" w:hAnsiTheme="majorHAnsi"/>
        </w:rPr>
        <w:t xml:space="preserve"> is considered to have</w:t>
      </w:r>
      <w:r w:rsidR="00441504" w:rsidRPr="00441504">
        <w:rPr>
          <w:rFonts w:asciiTheme="majorHAnsi" w:hAnsiTheme="majorHAnsi"/>
        </w:rPr>
        <w:t xml:space="preserve"> an impact on the grid, even though</w:t>
      </w:r>
      <w:r>
        <w:rPr>
          <w:rFonts w:asciiTheme="majorHAnsi" w:hAnsiTheme="majorHAnsi"/>
        </w:rPr>
        <w:t xml:space="preserve"> such </w:t>
      </w:r>
      <w:r w:rsidR="00441504" w:rsidRPr="00441504">
        <w:rPr>
          <w:rFonts w:asciiTheme="majorHAnsi" w:hAnsiTheme="majorHAnsi"/>
        </w:rPr>
        <w:t xml:space="preserve">systems are designed to meet on-site load, and </w:t>
      </w:r>
      <w:r>
        <w:rPr>
          <w:rFonts w:asciiTheme="majorHAnsi" w:hAnsiTheme="majorHAnsi"/>
        </w:rPr>
        <w:t>therefore the majority</w:t>
      </w:r>
      <w:r w:rsidR="00441504" w:rsidRPr="00441504">
        <w:rPr>
          <w:rFonts w:asciiTheme="majorHAnsi" w:hAnsiTheme="majorHAnsi"/>
        </w:rPr>
        <w:t xml:space="preserve"> of the energy is us</w:t>
      </w:r>
      <w:r>
        <w:rPr>
          <w:rFonts w:asciiTheme="majorHAnsi" w:hAnsiTheme="majorHAnsi"/>
        </w:rPr>
        <w:t>ed behind</w:t>
      </w:r>
      <w:r w:rsidR="00F2107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the</w:t>
      </w:r>
      <w:r w:rsidR="00F2107B">
        <w:rPr>
          <w:rFonts w:asciiTheme="majorHAnsi" w:hAnsiTheme="majorHAnsi"/>
        </w:rPr>
        <w:t xml:space="preserve"> </w:t>
      </w:r>
      <w:r w:rsidR="00441504" w:rsidRPr="00441504">
        <w:rPr>
          <w:rFonts w:asciiTheme="majorHAnsi" w:hAnsiTheme="majorHAnsi"/>
        </w:rPr>
        <w:t xml:space="preserve">meter. </w:t>
      </w:r>
      <w:r>
        <w:rPr>
          <w:rFonts w:asciiTheme="majorHAnsi" w:hAnsiTheme="majorHAnsi"/>
        </w:rPr>
        <w:t>From the utility perspective, this</w:t>
      </w:r>
      <w:r w:rsidR="00F2107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behind</w:t>
      </w:r>
      <w:r w:rsidR="00F2107B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the-meter consumption </w:t>
      </w:r>
      <w:r w:rsidR="00441504" w:rsidRPr="00441504">
        <w:rPr>
          <w:rFonts w:asciiTheme="majorHAnsi" w:hAnsiTheme="majorHAnsi"/>
        </w:rPr>
        <w:t>is</w:t>
      </w:r>
      <w:r>
        <w:rPr>
          <w:rFonts w:asciiTheme="majorHAnsi" w:hAnsiTheme="majorHAnsi"/>
        </w:rPr>
        <w:t xml:space="preserve"> seen as</w:t>
      </w:r>
      <w:r w:rsidR="00441504" w:rsidRPr="00441504">
        <w:rPr>
          <w:rFonts w:asciiTheme="majorHAnsi" w:hAnsiTheme="majorHAnsi"/>
        </w:rPr>
        <w:t xml:space="preserve"> demand reductio</w:t>
      </w:r>
      <w:r>
        <w:rPr>
          <w:rFonts w:asciiTheme="majorHAnsi" w:hAnsiTheme="majorHAnsi"/>
        </w:rPr>
        <w:t>n, just like energy efficiency.</w:t>
      </w:r>
      <w:r w:rsidR="004C69C5">
        <w:rPr>
          <w:rFonts w:asciiTheme="majorHAnsi" w:hAnsiTheme="majorHAnsi"/>
        </w:rPr>
        <w:t xml:space="preserve"> Given this, E3 acknowledged th</w:t>
      </w:r>
      <w:r>
        <w:rPr>
          <w:rFonts w:asciiTheme="majorHAnsi" w:hAnsiTheme="majorHAnsi"/>
        </w:rPr>
        <w:t>at the “all [export] generation</w:t>
      </w:r>
      <w:r w:rsidR="004C69C5">
        <w:rPr>
          <w:rFonts w:asciiTheme="majorHAnsi" w:hAnsiTheme="majorHAnsi"/>
        </w:rPr>
        <w:t xml:space="preserve"> scenario […] likely overestimates the costs that are directly associated with NEM”.</w:t>
      </w:r>
      <w:r w:rsidR="004C69C5">
        <w:rPr>
          <w:rStyle w:val="FootnoteReference"/>
          <w:rFonts w:asciiTheme="majorHAnsi" w:hAnsiTheme="majorHAnsi"/>
        </w:rPr>
        <w:footnoteReference w:id="4"/>
      </w:r>
    </w:p>
    <w:p w14:paraId="18BDA610" w14:textId="77777777" w:rsidR="00024A5C" w:rsidRDefault="00024A5C" w:rsidP="004C46C3">
      <w:pPr>
        <w:rPr>
          <w:rFonts w:asciiTheme="majorHAnsi" w:hAnsiTheme="majorHAnsi"/>
        </w:rPr>
      </w:pPr>
    </w:p>
    <w:p w14:paraId="3E987BBE" w14:textId="77777777" w:rsidR="00C36DEA" w:rsidRDefault="00D155EB" w:rsidP="004C46C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considering whether the time is right for Washington </w:t>
      </w:r>
      <w:r w:rsidR="00F2107B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tate to undertake an investigation into the effects of DG, </w:t>
      </w:r>
      <w:r w:rsidR="00416FCF">
        <w:rPr>
          <w:rFonts w:asciiTheme="majorHAnsi" w:hAnsiTheme="majorHAnsi"/>
        </w:rPr>
        <w:t>the limited penetration of solar in the state should be borne in mind. California has undertaken such an investigation, but the</w:t>
      </w:r>
      <w:r>
        <w:rPr>
          <w:rFonts w:asciiTheme="majorHAnsi" w:hAnsiTheme="majorHAnsi"/>
        </w:rPr>
        <w:t xml:space="preserve"> states of Washington and California have vastly different levels of solar penetration. </w:t>
      </w:r>
      <w:r w:rsidR="00024A5C">
        <w:rPr>
          <w:rFonts w:asciiTheme="majorHAnsi" w:hAnsiTheme="majorHAnsi"/>
        </w:rPr>
        <w:t>At the end of 2013, California’s three largest IOUs had approximately 150,000 customers enrolled in net-metering, totaling 1,300 MW of installed capacity.</w:t>
      </w:r>
      <w:r w:rsidR="00024A5C">
        <w:rPr>
          <w:rStyle w:val="FootnoteReference"/>
          <w:rFonts w:asciiTheme="majorHAnsi" w:hAnsiTheme="majorHAnsi"/>
        </w:rPr>
        <w:footnoteReference w:id="5"/>
      </w:r>
      <w:r w:rsidR="00416FCF">
        <w:rPr>
          <w:rFonts w:asciiTheme="majorHAnsi" w:hAnsiTheme="majorHAnsi"/>
        </w:rPr>
        <w:t xml:space="preserve"> </w:t>
      </w:r>
      <w:r w:rsidR="00785260">
        <w:rPr>
          <w:rFonts w:asciiTheme="majorHAnsi" w:hAnsiTheme="majorHAnsi"/>
        </w:rPr>
        <w:t xml:space="preserve">On June 13, 2013, during a Rulemaking adoption hearing as part of docket UE-112133, Washington state’s three larger IOUs reported that they had a total of </w:t>
      </w:r>
      <w:r w:rsidR="00033A42">
        <w:rPr>
          <w:rFonts w:asciiTheme="majorHAnsi" w:hAnsiTheme="majorHAnsi"/>
        </w:rPr>
        <w:t xml:space="preserve">1,342 </w:t>
      </w:r>
      <w:r w:rsidR="00416FCF">
        <w:rPr>
          <w:rFonts w:asciiTheme="majorHAnsi" w:hAnsiTheme="majorHAnsi"/>
        </w:rPr>
        <w:t xml:space="preserve">net-metered </w:t>
      </w:r>
      <w:r w:rsidR="00033A42">
        <w:rPr>
          <w:rFonts w:asciiTheme="majorHAnsi" w:hAnsiTheme="majorHAnsi"/>
        </w:rPr>
        <w:t>systems, totaling approximate</w:t>
      </w:r>
      <w:r w:rsidR="00F107CE">
        <w:rPr>
          <w:rFonts w:asciiTheme="majorHAnsi" w:hAnsiTheme="majorHAnsi"/>
        </w:rPr>
        <w:t>ly 10.2 MW.</w:t>
      </w:r>
      <w:r w:rsidR="00F107CE">
        <w:rPr>
          <w:rStyle w:val="FootnoteReference"/>
          <w:rFonts w:asciiTheme="majorHAnsi" w:hAnsiTheme="majorHAnsi"/>
        </w:rPr>
        <w:footnoteReference w:id="6"/>
      </w:r>
      <w:r w:rsidR="00416FCF">
        <w:rPr>
          <w:rFonts w:asciiTheme="majorHAnsi" w:hAnsiTheme="majorHAnsi"/>
        </w:rPr>
        <w:t xml:space="preserve"> Furthermore, </w:t>
      </w:r>
      <w:r w:rsidR="00F107CE">
        <w:rPr>
          <w:rFonts w:asciiTheme="majorHAnsi" w:hAnsiTheme="majorHAnsi"/>
        </w:rPr>
        <w:t>California state’</w:t>
      </w:r>
      <w:r w:rsidR="00C36DEA">
        <w:rPr>
          <w:rFonts w:asciiTheme="majorHAnsi" w:hAnsiTheme="majorHAnsi"/>
        </w:rPr>
        <w:t>s most recent increase in the net metering limit was in 2010, raising the amount of aggregate capacity to 5% of peak load.</w:t>
      </w:r>
      <w:r w:rsidR="00C36DEA">
        <w:rPr>
          <w:rStyle w:val="FootnoteReference"/>
          <w:rFonts w:asciiTheme="majorHAnsi" w:hAnsiTheme="majorHAnsi"/>
        </w:rPr>
        <w:footnoteReference w:id="7"/>
      </w:r>
      <w:r w:rsidR="00F107CE">
        <w:rPr>
          <w:rFonts w:asciiTheme="majorHAnsi" w:hAnsiTheme="majorHAnsi"/>
        </w:rPr>
        <w:t xml:space="preserve"> In contrast, </w:t>
      </w:r>
      <w:r w:rsidR="007014C8">
        <w:rPr>
          <w:rFonts w:asciiTheme="majorHAnsi" w:hAnsiTheme="majorHAnsi"/>
        </w:rPr>
        <w:t>Washington</w:t>
      </w:r>
      <w:r w:rsidR="00F107CE">
        <w:rPr>
          <w:rFonts w:asciiTheme="majorHAnsi" w:hAnsiTheme="majorHAnsi"/>
        </w:rPr>
        <w:t xml:space="preserve"> state’s net-metering cap will be increasing next year </w:t>
      </w:r>
      <w:r w:rsidR="00F2107B">
        <w:rPr>
          <w:rFonts w:asciiTheme="majorHAnsi" w:hAnsiTheme="majorHAnsi"/>
        </w:rPr>
        <w:t xml:space="preserve">from 0.25% </w:t>
      </w:r>
      <w:r w:rsidR="00F107CE">
        <w:rPr>
          <w:rFonts w:asciiTheme="majorHAnsi" w:hAnsiTheme="majorHAnsi"/>
        </w:rPr>
        <w:t>to 0.5% of 1996 peak load</w:t>
      </w:r>
      <w:r w:rsidR="00F2107B">
        <w:rPr>
          <w:rFonts w:asciiTheme="majorHAnsi" w:hAnsiTheme="majorHAnsi"/>
        </w:rPr>
        <w:t>.</w:t>
      </w:r>
    </w:p>
    <w:p w14:paraId="7AD0103F" w14:textId="77777777" w:rsidR="00280320" w:rsidRDefault="00280320" w:rsidP="004C46C3">
      <w:pPr>
        <w:rPr>
          <w:rFonts w:asciiTheme="majorHAnsi" w:hAnsiTheme="majorHAnsi"/>
        </w:rPr>
      </w:pPr>
    </w:p>
    <w:p w14:paraId="1B0C3421" w14:textId="77777777" w:rsidR="004C46C3" w:rsidRDefault="00416FCF" w:rsidP="004C46C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Washington </w:t>
      </w:r>
      <w:r w:rsidR="007A4AC1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tate should continue to develop policies that encourage customers to take up solar and net-metering, as the balance between costs and benefits will be difficult to discern until the state has a higher degree of solar </w:t>
      </w:r>
      <w:r w:rsidR="007A4AC1">
        <w:rPr>
          <w:rFonts w:asciiTheme="majorHAnsi" w:hAnsiTheme="majorHAnsi"/>
        </w:rPr>
        <w:t>penetration</w:t>
      </w:r>
      <w:r>
        <w:rPr>
          <w:rFonts w:asciiTheme="majorHAnsi" w:hAnsiTheme="majorHAnsi"/>
        </w:rPr>
        <w:t>.</w:t>
      </w:r>
      <w:r w:rsidR="00F2107B">
        <w:rPr>
          <w:rFonts w:asciiTheme="majorHAnsi" w:hAnsiTheme="majorHAnsi"/>
        </w:rPr>
        <w:t xml:space="preserve">  Even assuming that a net cost shift </w:t>
      </w:r>
      <w:r w:rsidR="00784EFD">
        <w:rPr>
          <w:rFonts w:asciiTheme="majorHAnsi" w:hAnsiTheme="majorHAnsi"/>
        </w:rPr>
        <w:t>were</w:t>
      </w:r>
      <w:r w:rsidR="00F2107B">
        <w:rPr>
          <w:rFonts w:asciiTheme="majorHAnsi" w:hAnsiTheme="majorHAnsi"/>
        </w:rPr>
        <w:t xml:space="preserve"> occurring</w:t>
      </w:r>
      <w:r w:rsidR="00784EFD">
        <w:rPr>
          <w:rFonts w:asciiTheme="majorHAnsi" w:hAnsiTheme="majorHAnsi"/>
        </w:rPr>
        <w:t xml:space="preserve"> at this stage</w:t>
      </w:r>
      <w:r w:rsidR="00F2107B">
        <w:rPr>
          <w:rFonts w:asciiTheme="majorHAnsi" w:hAnsiTheme="majorHAnsi"/>
        </w:rPr>
        <w:t xml:space="preserve">—which we do not—the magnitude would be </w:t>
      </w:r>
      <w:r w:rsidR="00F2107B">
        <w:rPr>
          <w:rFonts w:asciiTheme="majorHAnsi" w:hAnsiTheme="majorHAnsi"/>
        </w:rPr>
        <w:lastRenderedPageBreak/>
        <w:t xml:space="preserve">too small to justify </w:t>
      </w:r>
      <w:r w:rsidR="00784EFD">
        <w:rPr>
          <w:rFonts w:asciiTheme="majorHAnsi" w:hAnsiTheme="majorHAnsi"/>
        </w:rPr>
        <w:t xml:space="preserve">the resource commitment to perform </w:t>
      </w:r>
      <w:r w:rsidR="00F2107B">
        <w:rPr>
          <w:rFonts w:asciiTheme="majorHAnsi" w:hAnsiTheme="majorHAnsi"/>
        </w:rPr>
        <w:t xml:space="preserve">a full-scale analysis.  For now, Washington should continue to </w:t>
      </w:r>
      <w:r w:rsidR="00784EFD">
        <w:rPr>
          <w:rFonts w:asciiTheme="majorHAnsi" w:hAnsiTheme="majorHAnsi"/>
        </w:rPr>
        <w:t xml:space="preserve">focus on </w:t>
      </w:r>
      <w:r w:rsidR="00F2107B">
        <w:rPr>
          <w:rFonts w:asciiTheme="majorHAnsi" w:hAnsiTheme="majorHAnsi"/>
        </w:rPr>
        <w:t>align</w:t>
      </w:r>
      <w:r w:rsidR="00784EFD">
        <w:rPr>
          <w:rFonts w:asciiTheme="majorHAnsi" w:hAnsiTheme="majorHAnsi"/>
        </w:rPr>
        <w:t>ing</w:t>
      </w:r>
      <w:r w:rsidR="00F2107B">
        <w:rPr>
          <w:rFonts w:asciiTheme="majorHAnsi" w:hAnsiTheme="majorHAnsi"/>
        </w:rPr>
        <w:t xml:space="preserve"> its policies to achieve a more significant penetration of DG solar.</w:t>
      </w:r>
    </w:p>
    <w:p w14:paraId="3E38978D" w14:textId="77777777" w:rsidR="00DE0BFC" w:rsidRDefault="00DE0BFC" w:rsidP="004C46C3">
      <w:pPr>
        <w:rPr>
          <w:rFonts w:asciiTheme="majorHAnsi" w:hAnsiTheme="majorHAnsi"/>
        </w:rPr>
      </w:pPr>
    </w:p>
    <w:p w14:paraId="1C1AD397" w14:textId="77777777" w:rsidR="00DE0BFC" w:rsidRDefault="00DE0BFC" w:rsidP="004C46C3">
      <w:pPr>
        <w:rPr>
          <w:rFonts w:asciiTheme="majorHAnsi" w:hAnsiTheme="majorHAnsi"/>
        </w:rPr>
      </w:pPr>
      <w:r>
        <w:rPr>
          <w:rFonts w:asciiTheme="majorHAnsi" w:hAnsiTheme="majorHAnsi"/>
        </w:rPr>
        <w:t>Sincerely,</w:t>
      </w:r>
    </w:p>
    <w:p w14:paraId="4C3419C0" w14:textId="77777777" w:rsidR="00DE0BFC" w:rsidRDefault="00DE0BFC" w:rsidP="004C46C3">
      <w:pPr>
        <w:rPr>
          <w:rFonts w:asciiTheme="majorHAnsi" w:hAnsiTheme="majorHAnsi"/>
        </w:rPr>
      </w:pPr>
    </w:p>
    <w:p w14:paraId="05CCC90C" w14:textId="77777777" w:rsidR="00DE0BFC" w:rsidRDefault="00DE0BFC" w:rsidP="004C46C3">
      <w:pPr>
        <w:rPr>
          <w:rFonts w:asciiTheme="majorHAnsi" w:hAnsiTheme="majorHAnsi"/>
        </w:rPr>
      </w:pPr>
      <w:r>
        <w:rPr>
          <w:rFonts w:asciiTheme="majorHAnsi" w:hAnsiTheme="majorHAnsi"/>
        </w:rPr>
        <w:t>Michael O’Brien</w:t>
      </w:r>
    </w:p>
    <w:p w14:paraId="1C499339" w14:textId="77777777" w:rsidR="00DE0BFC" w:rsidRDefault="00DE0BFC" w:rsidP="004C46C3">
      <w:pPr>
        <w:rPr>
          <w:rFonts w:asciiTheme="majorHAnsi" w:hAnsiTheme="majorHAnsi"/>
        </w:rPr>
      </w:pPr>
      <w:r>
        <w:rPr>
          <w:rFonts w:asciiTheme="majorHAnsi" w:hAnsiTheme="majorHAnsi"/>
        </w:rPr>
        <w:t>(Michael@rnp.org)</w:t>
      </w:r>
    </w:p>
    <w:p w14:paraId="4DA1BE95" w14:textId="77777777" w:rsidR="00D77754" w:rsidRDefault="00D77754" w:rsidP="004C46C3">
      <w:pPr>
        <w:rPr>
          <w:rFonts w:asciiTheme="majorHAnsi" w:hAnsiTheme="majorHAnsi"/>
        </w:rPr>
      </w:pPr>
      <w:r>
        <w:rPr>
          <w:rFonts w:asciiTheme="majorHAnsi" w:hAnsiTheme="majorHAnsi"/>
        </w:rPr>
        <w:t>Megan Walseth Decker</w:t>
      </w:r>
    </w:p>
    <w:p w14:paraId="511941E7" w14:textId="77777777" w:rsidR="00D77754" w:rsidRDefault="00D77754" w:rsidP="004C46C3">
      <w:pPr>
        <w:rPr>
          <w:rFonts w:asciiTheme="majorHAnsi" w:hAnsiTheme="majorHAnsi"/>
        </w:rPr>
      </w:pPr>
      <w:r>
        <w:rPr>
          <w:rFonts w:asciiTheme="majorHAnsi" w:hAnsiTheme="majorHAnsi"/>
        </w:rPr>
        <w:t>(Megan@rnp.org)</w:t>
      </w:r>
    </w:p>
    <w:p w14:paraId="51022AB6" w14:textId="77777777" w:rsidR="00DE0BFC" w:rsidRDefault="00DE0BFC" w:rsidP="004C46C3">
      <w:pPr>
        <w:rPr>
          <w:rFonts w:asciiTheme="majorHAnsi" w:hAnsiTheme="majorHAnsi"/>
        </w:rPr>
      </w:pPr>
      <w:r>
        <w:rPr>
          <w:rFonts w:asciiTheme="majorHAnsi" w:hAnsiTheme="majorHAnsi"/>
        </w:rPr>
        <w:t>Renewable Northwest Project</w:t>
      </w:r>
    </w:p>
    <w:p w14:paraId="5B2D6241" w14:textId="77777777" w:rsidR="00DE0BFC" w:rsidRDefault="00DE0BFC" w:rsidP="004C46C3">
      <w:pPr>
        <w:rPr>
          <w:rFonts w:asciiTheme="majorHAnsi" w:hAnsiTheme="majorHAnsi"/>
        </w:rPr>
      </w:pPr>
      <w:r>
        <w:rPr>
          <w:rFonts w:asciiTheme="majorHAnsi" w:hAnsiTheme="majorHAnsi"/>
        </w:rPr>
        <w:t>421 SW 6</w:t>
      </w:r>
      <w:r w:rsidRPr="00DE0BFC">
        <w:rPr>
          <w:rFonts w:asciiTheme="majorHAnsi" w:hAnsiTheme="majorHAnsi"/>
        </w:rPr>
        <w:t>th</w:t>
      </w:r>
      <w:r>
        <w:rPr>
          <w:rFonts w:asciiTheme="majorHAnsi" w:hAnsiTheme="majorHAnsi"/>
        </w:rPr>
        <w:t xml:space="preserve"> Avenue, Suite 1125</w:t>
      </w:r>
    </w:p>
    <w:p w14:paraId="771F4528" w14:textId="77777777" w:rsidR="00DE0BFC" w:rsidRDefault="00DE0BFC" w:rsidP="004C46C3">
      <w:pPr>
        <w:rPr>
          <w:rFonts w:asciiTheme="majorHAnsi" w:hAnsiTheme="majorHAnsi"/>
        </w:rPr>
      </w:pPr>
      <w:r>
        <w:rPr>
          <w:rFonts w:asciiTheme="majorHAnsi" w:hAnsiTheme="majorHAnsi"/>
        </w:rPr>
        <w:t>Portland, OR 97204</w:t>
      </w:r>
    </w:p>
    <w:p w14:paraId="05ACFECE" w14:textId="77777777" w:rsidR="00D77754" w:rsidRDefault="00D77754" w:rsidP="004C46C3">
      <w:pPr>
        <w:rPr>
          <w:rFonts w:asciiTheme="majorHAnsi" w:hAnsiTheme="majorHAnsi"/>
        </w:rPr>
      </w:pPr>
      <w:r>
        <w:rPr>
          <w:rFonts w:asciiTheme="majorHAnsi" w:hAnsiTheme="majorHAnsi"/>
        </w:rPr>
        <w:t>503-223-4544</w:t>
      </w:r>
    </w:p>
    <w:p w14:paraId="58B7CE45" w14:textId="77777777" w:rsidR="00160C55" w:rsidRDefault="00160C55" w:rsidP="004C46C3">
      <w:pPr>
        <w:rPr>
          <w:rFonts w:asciiTheme="majorHAnsi" w:hAnsiTheme="majorHAnsi"/>
        </w:rPr>
      </w:pPr>
    </w:p>
    <w:p w14:paraId="1E711811" w14:textId="77777777" w:rsidR="00160C55" w:rsidRPr="00DE0BFC" w:rsidRDefault="00160C55" w:rsidP="004C46C3">
      <w:pPr>
        <w:rPr>
          <w:rFonts w:asciiTheme="majorHAnsi" w:hAnsiTheme="majorHAnsi"/>
        </w:rPr>
      </w:pPr>
    </w:p>
    <w:p w14:paraId="73B50656" w14:textId="77777777" w:rsidR="00441504" w:rsidRDefault="00441504" w:rsidP="0044150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40202"/>
        </w:rPr>
      </w:pPr>
    </w:p>
    <w:p w14:paraId="02C0F9FF" w14:textId="77777777" w:rsidR="00441504" w:rsidRDefault="00441504" w:rsidP="0044150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40202"/>
        </w:rPr>
      </w:pPr>
    </w:p>
    <w:p w14:paraId="40435CB7" w14:textId="77777777" w:rsidR="00441504" w:rsidRDefault="00441504" w:rsidP="0044150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40202"/>
        </w:rPr>
      </w:pPr>
    </w:p>
    <w:p w14:paraId="7348B158" w14:textId="77777777" w:rsidR="00441504" w:rsidRPr="00441504" w:rsidRDefault="00441504" w:rsidP="00441504">
      <w:pPr>
        <w:rPr>
          <w:rFonts w:asciiTheme="majorHAnsi" w:hAnsiTheme="majorHAnsi"/>
        </w:rPr>
      </w:pPr>
    </w:p>
    <w:sectPr w:rsidR="00441504" w:rsidRPr="00441504" w:rsidSect="0021272E"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D8C87" w14:textId="77777777" w:rsidR="00FE6F0B" w:rsidRDefault="00FE6F0B" w:rsidP="004C46C3">
      <w:r>
        <w:separator/>
      </w:r>
    </w:p>
  </w:endnote>
  <w:endnote w:type="continuationSeparator" w:id="0">
    <w:p w14:paraId="78CECE03" w14:textId="77777777" w:rsidR="00FE6F0B" w:rsidRDefault="00FE6F0B" w:rsidP="004C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2F558" w14:textId="77777777" w:rsidR="00FE6F0B" w:rsidRDefault="00FE6F0B" w:rsidP="00A06A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6AEAF6" w14:textId="77777777" w:rsidR="00FE6F0B" w:rsidRDefault="00FE6F0B" w:rsidP="00A06A27">
    <w:pPr>
      <w:pStyle w:val="Footer"/>
      <w:ind w:right="360"/>
    </w:pPr>
    <w:sdt>
      <w:sdtPr>
        <w:id w:val="969400743"/>
        <w:placeholder>
          <w:docPart w:val="88E4209D9DD98B4AABEC794B5B491C18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3D03FC53FBDD8E47ADA1F8049321DED6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ED290E34981AE840ABA2B99FC57CA030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610F2" w14:textId="77777777" w:rsidR="00FE6F0B" w:rsidRDefault="00FE6F0B" w:rsidP="00A06A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087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A4E356" w14:textId="77777777" w:rsidR="00FE6F0B" w:rsidRDefault="00FE6F0B" w:rsidP="00A06A27">
    <w:pPr>
      <w:pStyle w:val="Footer"/>
      <w:ind w:right="360"/>
    </w:pPr>
    <w:r>
      <w:t xml:space="preserve">UE-131883 / </w:t>
    </w:r>
    <w:r>
      <w:t>Renewable Northwest Project / November 6,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C30FA" w14:textId="77777777" w:rsidR="00FE6F0B" w:rsidRDefault="00FE6F0B" w:rsidP="004C46C3">
      <w:r>
        <w:separator/>
      </w:r>
    </w:p>
  </w:footnote>
  <w:footnote w:type="continuationSeparator" w:id="0">
    <w:p w14:paraId="40062019" w14:textId="77777777" w:rsidR="00FE6F0B" w:rsidRDefault="00FE6F0B" w:rsidP="004C46C3">
      <w:r>
        <w:continuationSeparator/>
      </w:r>
    </w:p>
  </w:footnote>
  <w:footnote w:id="1">
    <w:p w14:paraId="10CAFC0F" w14:textId="77777777" w:rsidR="00FE6F0B" w:rsidRDefault="00FE6F0B" w:rsidP="007E5C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</w:rPr>
        <w:t xml:space="preserve">“Calculating the Benefits and Costs of Distributed Solar Generation”, IREC, October 2013. </w:t>
      </w:r>
      <w:r w:rsidRPr="00DE0BFC">
        <w:rPr>
          <w:sz w:val="20"/>
          <w:szCs w:val="20"/>
        </w:rPr>
        <w:t>www.irecusa.org/wp-content/uploads/2013/10/IREC_Rabago_Regulators-Guidebook-to-Assessing-Benefits-and-Costs-of-DSG.pdf</w:t>
      </w:r>
    </w:p>
  </w:footnote>
  <w:footnote w:id="2">
    <w:p w14:paraId="563489DD" w14:textId="77777777" w:rsidR="00FE6F0B" w:rsidRDefault="00FE6F0B" w:rsidP="00D155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</w:rPr>
        <w:t xml:space="preserve">“California Net Energy Metering—Ratepayer Impacts Evaluation”, CPUC/E3, October 2013 </w:t>
      </w:r>
    </w:p>
  </w:footnote>
  <w:footnote w:id="3">
    <w:p w14:paraId="3899C8E4" w14:textId="77777777" w:rsidR="00FE6F0B" w:rsidRDefault="00FE6F0B">
      <w:pPr>
        <w:pStyle w:val="FootnoteText"/>
      </w:pPr>
      <w:r>
        <w:rPr>
          <w:rStyle w:val="FootnoteReference"/>
        </w:rPr>
        <w:footnoteRef/>
      </w:r>
      <w:r>
        <w:rPr>
          <w:sz w:val="20"/>
          <w:szCs w:val="20"/>
        </w:rPr>
        <w:t xml:space="preserve">California Assembly Bill 2415, Bradford, Net Energy Metering, September 2012 </w:t>
      </w:r>
      <w:r w:rsidRPr="00DE0BFC">
        <w:rPr>
          <w:sz w:val="20"/>
          <w:szCs w:val="20"/>
        </w:rPr>
        <w:t>http://leginfo.legislature.ca.gov/faces/billNavClient.xhtml?bill_id=201120120AB2514</w:t>
      </w:r>
    </w:p>
  </w:footnote>
  <w:footnote w:id="4">
    <w:p w14:paraId="7EBC91FD" w14:textId="77777777" w:rsidR="00FE6F0B" w:rsidRDefault="00FE6F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</w:rPr>
        <w:t>“California Net Energy Metering—Ratepayer Impacts Evaluation”, CPUC/E3, October 2013, p</w:t>
      </w:r>
      <w:r w:rsidRPr="00DE0BFC">
        <w:rPr>
          <w:sz w:val="20"/>
          <w:szCs w:val="20"/>
        </w:rPr>
        <w:t>4</w:t>
      </w:r>
    </w:p>
  </w:footnote>
  <w:footnote w:id="5">
    <w:p w14:paraId="23399BD6" w14:textId="77777777" w:rsidR="00FE6F0B" w:rsidRDefault="00FE6F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</w:rPr>
        <w:t>Ibid,</w:t>
      </w:r>
      <w:r w:rsidRPr="00DE0BFC">
        <w:rPr>
          <w:sz w:val="20"/>
          <w:szCs w:val="20"/>
        </w:rPr>
        <w:t xml:space="preserve"> p2</w:t>
      </w:r>
    </w:p>
  </w:footnote>
  <w:footnote w:id="6">
    <w:p w14:paraId="741C1D35" w14:textId="77777777" w:rsidR="00FE6F0B" w:rsidRDefault="00FE6F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E0BFC">
        <w:rPr>
          <w:sz w:val="20"/>
          <w:szCs w:val="20"/>
        </w:rPr>
        <w:t>www.utc.wa.gov/docs/Pages/DocketLookup.aspx?FilingID=112133</w:t>
      </w:r>
    </w:p>
  </w:footnote>
  <w:footnote w:id="7">
    <w:p w14:paraId="75996A7E" w14:textId="3C5B7B2C" w:rsidR="00FE6F0B" w:rsidRPr="00A06A27" w:rsidRDefault="00FE6F0B" w:rsidP="00607C6A">
      <w:pPr>
        <w:rPr>
          <w:rFonts w:eastAsia="Times New Roman" w:cs="Times New Roman"/>
          <w:sz w:val="20"/>
          <w:szCs w:val="20"/>
          <w:lang w:val="en-GB"/>
        </w:rPr>
      </w:pPr>
      <w:r w:rsidRPr="00A06A27">
        <w:rPr>
          <w:rStyle w:val="FootnoteReference"/>
          <w:sz w:val="20"/>
          <w:szCs w:val="20"/>
        </w:rPr>
        <w:footnoteRef/>
      </w:r>
      <w:r w:rsidRPr="00A06A2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California </w:t>
      </w:r>
      <w:r w:rsidR="00780873">
        <w:rPr>
          <w:sz w:val="20"/>
          <w:szCs w:val="20"/>
        </w:rPr>
        <w:t>Assembly</w:t>
      </w:r>
      <w:bookmarkStart w:id="0" w:name="_GoBack"/>
      <w:bookmarkEnd w:id="0"/>
      <w:r>
        <w:rPr>
          <w:sz w:val="20"/>
          <w:szCs w:val="20"/>
        </w:rPr>
        <w:t xml:space="preserve"> Bill 510, Skinner, Net Energy Metering, February 2010 </w:t>
      </w:r>
      <w:r w:rsidRPr="004047FB">
        <w:rPr>
          <w:sz w:val="20"/>
          <w:szCs w:val="20"/>
        </w:rPr>
        <w:t>www.leginfo.ca.gov/pub/09-10/bill/asm/ab_0501-0550/ab_510_bill_20100218_enrolled.pdf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5E7656"/>
    <w:multiLevelType w:val="hybridMultilevel"/>
    <w:tmpl w:val="33C6A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93"/>
    <w:rsid w:val="00024A5C"/>
    <w:rsid w:val="00033A42"/>
    <w:rsid w:val="00160C55"/>
    <w:rsid w:val="001A20AD"/>
    <w:rsid w:val="0021272E"/>
    <w:rsid w:val="00222B02"/>
    <w:rsid w:val="00280320"/>
    <w:rsid w:val="00350F5E"/>
    <w:rsid w:val="003A7893"/>
    <w:rsid w:val="004047FB"/>
    <w:rsid w:val="00416FCF"/>
    <w:rsid w:val="00441504"/>
    <w:rsid w:val="004C46C3"/>
    <w:rsid w:val="004C69C5"/>
    <w:rsid w:val="004E4F13"/>
    <w:rsid w:val="00607C6A"/>
    <w:rsid w:val="006461FE"/>
    <w:rsid w:val="006575CC"/>
    <w:rsid w:val="006739A0"/>
    <w:rsid w:val="006B6042"/>
    <w:rsid w:val="007014C8"/>
    <w:rsid w:val="00707522"/>
    <w:rsid w:val="007256B5"/>
    <w:rsid w:val="00780873"/>
    <w:rsid w:val="00784EFD"/>
    <w:rsid w:val="00785260"/>
    <w:rsid w:val="007A4AC1"/>
    <w:rsid w:val="007E5C1C"/>
    <w:rsid w:val="00A06A27"/>
    <w:rsid w:val="00A7580F"/>
    <w:rsid w:val="00BE072B"/>
    <w:rsid w:val="00C36DEA"/>
    <w:rsid w:val="00C94ED6"/>
    <w:rsid w:val="00D155EB"/>
    <w:rsid w:val="00D77754"/>
    <w:rsid w:val="00DE0BFC"/>
    <w:rsid w:val="00F107CE"/>
    <w:rsid w:val="00F2107B"/>
    <w:rsid w:val="00FE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5800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50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C46C3"/>
  </w:style>
  <w:style w:type="character" w:customStyle="1" w:styleId="FootnoteTextChar">
    <w:name w:val="Footnote Text Char"/>
    <w:basedOn w:val="DefaultParagraphFont"/>
    <w:link w:val="FootnoteText"/>
    <w:uiPriority w:val="99"/>
    <w:rsid w:val="004C46C3"/>
  </w:style>
  <w:style w:type="character" w:styleId="FootnoteReference">
    <w:name w:val="footnote reference"/>
    <w:basedOn w:val="DefaultParagraphFont"/>
    <w:uiPriority w:val="99"/>
    <w:unhideWhenUsed/>
    <w:rsid w:val="004C46C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5C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36DE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36DEA"/>
  </w:style>
  <w:style w:type="character" w:styleId="CommentReference">
    <w:name w:val="annotation reference"/>
    <w:basedOn w:val="DefaultParagraphFont"/>
    <w:uiPriority w:val="99"/>
    <w:semiHidden/>
    <w:unhideWhenUsed/>
    <w:rsid w:val="00F2107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07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0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07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07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6A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A27"/>
  </w:style>
  <w:style w:type="paragraph" w:styleId="Footer">
    <w:name w:val="footer"/>
    <w:basedOn w:val="Normal"/>
    <w:link w:val="FooterChar"/>
    <w:uiPriority w:val="99"/>
    <w:unhideWhenUsed/>
    <w:rsid w:val="00A06A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A27"/>
  </w:style>
  <w:style w:type="character" w:styleId="PageNumber">
    <w:name w:val="page number"/>
    <w:basedOn w:val="DefaultParagraphFont"/>
    <w:uiPriority w:val="99"/>
    <w:semiHidden/>
    <w:unhideWhenUsed/>
    <w:rsid w:val="00A06A2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50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C46C3"/>
  </w:style>
  <w:style w:type="character" w:customStyle="1" w:styleId="FootnoteTextChar">
    <w:name w:val="Footnote Text Char"/>
    <w:basedOn w:val="DefaultParagraphFont"/>
    <w:link w:val="FootnoteText"/>
    <w:uiPriority w:val="99"/>
    <w:rsid w:val="004C46C3"/>
  </w:style>
  <w:style w:type="character" w:styleId="FootnoteReference">
    <w:name w:val="footnote reference"/>
    <w:basedOn w:val="DefaultParagraphFont"/>
    <w:uiPriority w:val="99"/>
    <w:unhideWhenUsed/>
    <w:rsid w:val="004C46C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5C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36DE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36DEA"/>
  </w:style>
  <w:style w:type="character" w:styleId="CommentReference">
    <w:name w:val="annotation reference"/>
    <w:basedOn w:val="DefaultParagraphFont"/>
    <w:uiPriority w:val="99"/>
    <w:semiHidden/>
    <w:unhideWhenUsed/>
    <w:rsid w:val="00F2107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07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0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07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07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6A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A27"/>
  </w:style>
  <w:style w:type="paragraph" w:styleId="Footer">
    <w:name w:val="footer"/>
    <w:basedOn w:val="Normal"/>
    <w:link w:val="FooterChar"/>
    <w:uiPriority w:val="99"/>
    <w:unhideWhenUsed/>
    <w:rsid w:val="00A06A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A27"/>
  </w:style>
  <w:style w:type="character" w:styleId="PageNumber">
    <w:name w:val="page number"/>
    <w:basedOn w:val="DefaultParagraphFont"/>
    <w:uiPriority w:val="99"/>
    <w:semiHidden/>
    <w:unhideWhenUsed/>
    <w:rsid w:val="00A06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E4209D9DD98B4AABEC794B5B49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E4B0B-1878-6647-A2B1-A4EABF164B92}"/>
      </w:docPartPr>
      <w:docPartBody>
        <w:p w:rsidR="00B540F5" w:rsidRDefault="00B540F5" w:rsidP="00B540F5">
          <w:pPr>
            <w:pStyle w:val="88E4209D9DD98B4AABEC794B5B491C18"/>
          </w:pPr>
          <w:r>
            <w:t>[Type text]</w:t>
          </w:r>
        </w:p>
      </w:docPartBody>
    </w:docPart>
    <w:docPart>
      <w:docPartPr>
        <w:name w:val="3D03FC53FBDD8E47ADA1F8049321D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0D6C3-1507-3C4C-98F2-9CCACF6E3819}"/>
      </w:docPartPr>
      <w:docPartBody>
        <w:p w:rsidR="00B540F5" w:rsidRDefault="00B540F5" w:rsidP="00B540F5">
          <w:pPr>
            <w:pStyle w:val="3D03FC53FBDD8E47ADA1F8049321DED6"/>
          </w:pPr>
          <w:r>
            <w:t>[Type text]</w:t>
          </w:r>
        </w:p>
      </w:docPartBody>
    </w:docPart>
    <w:docPart>
      <w:docPartPr>
        <w:name w:val="ED290E34981AE840ABA2B99FC57CA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C7779-1494-9042-A443-703B03A2FFB7}"/>
      </w:docPartPr>
      <w:docPartBody>
        <w:p w:rsidR="00B540F5" w:rsidRDefault="00B540F5" w:rsidP="00B540F5">
          <w:pPr>
            <w:pStyle w:val="ED290E34981AE840ABA2B99FC57CA0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F5"/>
    <w:rsid w:val="00B5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E4209D9DD98B4AABEC794B5B491C18">
    <w:name w:val="88E4209D9DD98B4AABEC794B5B491C18"/>
    <w:rsid w:val="00B540F5"/>
  </w:style>
  <w:style w:type="paragraph" w:customStyle="1" w:styleId="3D03FC53FBDD8E47ADA1F8049321DED6">
    <w:name w:val="3D03FC53FBDD8E47ADA1F8049321DED6"/>
    <w:rsid w:val="00B540F5"/>
  </w:style>
  <w:style w:type="paragraph" w:customStyle="1" w:styleId="ED290E34981AE840ABA2B99FC57CA030">
    <w:name w:val="ED290E34981AE840ABA2B99FC57CA030"/>
    <w:rsid w:val="00B540F5"/>
  </w:style>
  <w:style w:type="paragraph" w:customStyle="1" w:styleId="33D58CA03AA627409F85447A6C5D968D">
    <w:name w:val="33D58CA03AA627409F85447A6C5D968D"/>
    <w:rsid w:val="00B540F5"/>
  </w:style>
  <w:style w:type="paragraph" w:customStyle="1" w:styleId="5DB734BD2EF09347A2B5391CF8857262">
    <w:name w:val="5DB734BD2EF09347A2B5391CF8857262"/>
    <w:rsid w:val="00B540F5"/>
  </w:style>
  <w:style w:type="paragraph" w:customStyle="1" w:styleId="37E6D64900A31243B3F2DDFFA0D2F427">
    <w:name w:val="37E6D64900A31243B3F2DDFFA0D2F427"/>
    <w:rsid w:val="00B540F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E4209D9DD98B4AABEC794B5B491C18">
    <w:name w:val="88E4209D9DD98B4AABEC794B5B491C18"/>
    <w:rsid w:val="00B540F5"/>
  </w:style>
  <w:style w:type="paragraph" w:customStyle="1" w:styleId="3D03FC53FBDD8E47ADA1F8049321DED6">
    <w:name w:val="3D03FC53FBDD8E47ADA1F8049321DED6"/>
    <w:rsid w:val="00B540F5"/>
  </w:style>
  <w:style w:type="paragraph" w:customStyle="1" w:styleId="ED290E34981AE840ABA2B99FC57CA030">
    <w:name w:val="ED290E34981AE840ABA2B99FC57CA030"/>
    <w:rsid w:val="00B540F5"/>
  </w:style>
  <w:style w:type="paragraph" w:customStyle="1" w:styleId="33D58CA03AA627409F85447A6C5D968D">
    <w:name w:val="33D58CA03AA627409F85447A6C5D968D"/>
    <w:rsid w:val="00B540F5"/>
  </w:style>
  <w:style w:type="paragraph" w:customStyle="1" w:styleId="5DB734BD2EF09347A2B5391CF8857262">
    <w:name w:val="5DB734BD2EF09347A2B5391CF8857262"/>
    <w:rsid w:val="00B540F5"/>
  </w:style>
  <w:style w:type="paragraph" w:customStyle="1" w:styleId="37E6D64900A31243B3F2DDFFA0D2F427">
    <w:name w:val="37E6D64900A31243B3F2DDFFA0D2F427"/>
    <w:rsid w:val="00B540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259CE7B3065B469C07EAF4D87CAA77" ma:contentTypeVersion="135" ma:contentTypeDescription="" ma:contentTypeScope="" ma:versionID="523b28fd6f45d40f736895252ce8b9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2013-10-02T07:00:00+00:00</OpenedDate>
    <Date1 xmlns="dc463f71-b30c-4ab2-9473-d307f9d35888">2013-11-06T08:00:00+00:00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131883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AB91A85-17FF-4BE3-BE1B-0AEDB81DEE21}"/>
</file>

<file path=customXml/itemProps2.xml><?xml version="1.0" encoding="utf-8"?>
<ds:datastoreItem xmlns:ds="http://schemas.openxmlformats.org/officeDocument/2006/customXml" ds:itemID="{62C96B39-282B-4F30-9298-FB3DD57E142B}"/>
</file>

<file path=customXml/itemProps3.xml><?xml version="1.0" encoding="utf-8"?>
<ds:datastoreItem xmlns:ds="http://schemas.openxmlformats.org/officeDocument/2006/customXml" ds:itemID="{57514215-B96D-41F4-B0C1-3A88FF5C26EE}"/>
</file>

<file path=customXml/itemProps4.xml><?xml version="1.0" encoding="utf-8"?>
<ds:datastoreItem xmlns:ds="http://schemas.openxmlformats.org/officeDocument/2006/customXml" ds:itemID="{94B3A72F-272B-9048-A26F-1C4EE91E76CF}"/>
</file>

<file path=customXml/itemProps5.xml><?xml version="1.0" encoding="utf-8"?>
<ds:datastoreItem xmlns:ds="http://schemas.openxmlformats.org/officeDocument/2006/customXml" ds:itemID="{7906CDA0-CBE1-4358-98A9-A545642952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814</Words>
  <Characters>4643</Characters>
  <Application>Microsoft Macintosh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O'Brien</dc:creator>
  <cp:keywords/>
  <dc:description/>
  <cp:lastModifiedBy>Michael O'Brien</cp:lastModifiedBy>
  <cp:revision>4</cp:revision>
  <cp:lastPrinted>2013-11-06T23:45:00Z</cp:lastPrinted>
  <dcterms:created xsi:type="dcterms:W3CDTF">2013-11-06T23:45:00Z</dcterms:created>
  <dcterms:modified xsi:type="dcterms:W3CDTF">2013-11-07T00:04:00Z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0x0101006E56B4D1795A2E4DB2F0B01679ED314A00A2259CE7B3065B469C07EAF4D87CAA77</vt:lpwstr>
  </property>
  <property fmtid="{D5CDD505-2E9C-101B-9397-08002B2CF9AE}" pid="3" name="_docset_NoMedatataSyncRequired">
    <vt:lpwstr>False</vt:lpwstr>
  </property>
</Properties>
</file>