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D13A" w14:textId="77777777" w:rsidR="00633FE5" w:rsidRPr="00474A0A" w:rsidRDefault="00633FE5" w:rsidP="00474A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bookmarkStart w:id="0" w:name="_GoBack"/>
      <w:bookmarkEnd w:id="0"/>
      <w:r w:rsidRPr="00474A0A">
        <w:rPr>
          <w:rFonts w:ascii="Times New Roman" w:hAnsi="Times New Roman"/>
          <w:b/>
          <w:bCs/>
          <w:sz w:val="24"/>
        </w:rPr>
        <w:t>Agenda Date:</w:t>
      </w:r>
      <w:r w:rsidRPr="00474A0A">
        <w:rPr>
          <w:rFonts w:ascii="Times New Roman" w:hAnsi="Times New Roman"/>
          <w:b/>
          <w:bCs/>
          <w:sz w:val="24"/>
        </w:rPr>
        <w:tab/>
      </w:r>
      <w:r w:rsidRPr="00474A0A">
        <w:rPr>
          <w:rFonts w:ascii="Times New Roman" w:hAnsi="Times New Roman"/>
          <w:b/>
          <w:bCs/>
          <w:sz w:val="24"/>
        </w:rPr>
        <w:tab/>
      </w:r>
      <w:r w:rsidR="00A77552" w:rsidRPr="00474A0A">
        <w:rPr>
          <w:rFonts w:ascii="Times New Roman" w:hAnsi="Times New Roman"/>
          <w:bCs/>
          <w:sz w:val="24"/>
        </w:rPr>
        <w:t xml:space="preserve">October </w:t>
      </w:r>
      <w:r w:rsidR="00474A0A" w:rsidRPr="00474A0A">
        <w:rPr>
          <w:rFonts w:ascii="Times New Roman" w:hAnsi="Times New Roman"/>
          <w:bCs/>
          <w:sz w:val="24"/>
        </w:rPr>
        <w:t>30</w:t>
      </w:r>
      <w:r w:rsidR="00A77552" w:rsidRPr="00474A0A">
        <w:rPr>
          <w:rFonts w:ascii="Times New Roman" w:hAnsi="Times New Roman"/>
          <w:bCs/>
          <w:sz w:val="24"/>
        </w:rPr>
        <w:t>, 201</w:t>
      </w:r>
      <w:r w:rsidR="00474A0A" w:rsidRPr="00474A0A">
        <w:rPr>
          <w:rFonts w:ascii="Times New Roman" w:hAnsi="Times New Roman"/>
          <w:bCs/>
          <w:sz w:val="24"/>
        </w:rPr>
        <w:t>3</w:t>
      </w:r>
      <w:r w:rsidR="00D178DC" w:rsidRPr="00474A0A">
        <w:rPr>
          <w:rFonts w:ascii="Times New Roman" w:hAnsi="Times New Roman"/>
          <w:bCs/>
          <w:sz w:val="24"/>
        </w:rPr>
        <w:t xml:space="preserve"> </w:t>
      </w:r>
    </w:p>
    <w:p w14:paraId="04D5D13B" w14:textId="25F88EA4" w:rsidR="00633FE5" w:rsidRPr="004970DA" w:rsidRDefault="0094336B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>Item Number</w:t>
      </w:r>
      <w:r w:rsidR="00633FE5" w:rsidRPr="004970DA">
        <w:rPr>
          <w:rFonts w:ascii="Times New Roman" w:hAnsi="Times New Roman"/>
          <w:sz w:val="24"/>
        </w:rPr>
        <w:t>:</w:t>
      </w:r>
      <w:r w:rsidR="00633FE5" w:rsidRPr="004970DA">
        <w:rPr>
          <w:rFonts w:ascii="Times New Roman" w:hAnsi="Times New Roman"/>
          <w:sz w:val="24"/>
        </w:rPr>
        <w:tab/>
      </w:r>
      <w:r w:rsidR="00497E69" w:rsidRPr="004970DA">
        <w:rPr>
          <w:rFonts w:ascii="Times New Roman" w:hAnsi="Times New Roman"/>
          <w:sz w:val="24"/>
        </w:rPr>
        <w:tab/>
        <w:t>A</w:t>
      </w:r>
      <w:r w:rsidR="003E1196">
        <w:rPr>
          <w:rFonts w:ascii="Times New Roman" w:hAnsi="Times New Roman"/>
          <w:sz w:val="24"/>
        </w:rPr>
        <w:t>9</w:t>
      </w:r>
    </w:p>
    <w:p w14:paraId="04D5D13C" w14:textId="77777777" w:rsidR="00633FE5" w:rsidRPr="004970DA" w:rsidRDefault="00633FE5" w:rsidP="0053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3D" w14:textId="77777777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r w:rsidRPr="004970DA">
        <w:rPr>
          <w:rFonts w:ascii="Times New Roman" w:hAnsi="Times New Roman"/>
          <w:b/>
          <w:bCs/>
          <w:sz w:val="24"/>
        </w:rPr>
        <w:t xml:space="preserve">Docket: </w:t>
      </w:r>
      <w:r w:rsidRPr="004970DA">
        <w:rPr>
          <w:rFonts w:ascii="Times New Roman" w:hAnsi="Times New Roman"/>
          <w:b/>
          <w:bCs/>
          <w:sz w:val="24"/>
        </w:rPr>
        <w:tab/>
      </w:r>
      <w:r w:rsidRPr="004970DA">
        <w:rPr>
          <w:rFonts w:ascii="Times New Roman" w:hAnsi="Times New Roman"/>
          <w:b/>
          <w:bCs/>
          <w:sz w:val="24"/>
        </w:rPr>
        <w:tab/>
        <w:t>UG-</w:t>
      </w:r>
      <w:r w:rsidR="00EB5440" w:rsidRPr="004970DA">
        <w:rPr>
          <w:rFonts w:ascii="Times New Roman" w:hAnsi="Times New Roman"/>
          <w:b/>
          <w:bCs/>
          <w:sz w:val="24"/>
        </w:rPr>
        <w:t>1</w:t>
      </w:r>
      <w:r w:rsidR="00474A0A">
        <w:rPr>
          <w:rFonts w:ascii="Times New Roman" w:hAnsi="Times New Roman"/>
          <w:b/>
          <w:bCs/>
          <w:sz w:val="24"/>
        </w:rPr>
        <w:t>3</w:t>
      </w:r>
      <w:r w:rsidR="00EB5440" w:rsidRPr="004970DA">
        <w:rPr>
          <w:rFonts w:ascii="Times New Roman" w:hAnsi="Times New Roman"/>
          <w:b/>
          <w:bCs/>
          <w:sz w:val="24"/>
        </w:rPr>
        <w:t>1</w:t>
      </w:r>
      <w:r w:rsidR="00827D29">
        <w:rPr>
          <w:rFonts w:ascii="Times New Roman" w:hAnsi="Times New Roman"/>
          <w:b/>
          <w:bCs/>
          <w:sz w:val="24"/>
        </w:rPr>
        <w:t>816</w:t>
      </w:r>
    </w:p>
    <w:p w14:paraId="04D5D13E" w14:textId="77777777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>Company Name:</w:t>
      </w:r>
      <w:r w:rsidRPr="004970DA">
        <w:rPr>
          <w:rFonts w:ascii="Times New Roman" w:hAnsi="Times New Roman"/>
          <w:sz w:val="24"/>
        </w:rPr>
        <w:tab/>
        <w:t>Puget Sound Energy, Inc.</w:t>
      </w:r>
    </w:p>
    <w:p w14:paraId="04D5D13F" w14:textId="77777777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0" w14:textId="77777777" w:rsidR="00633FE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  <w:u w:val="single"/>
        </w:rPr>
        <w:t>Staff:</w:t>
      </w:r>
      <w:r w:rsidRPr="004970DA">
        <w:rPr>
          <w:rFonts w:ascii="Times New Roman" w:hAnsi="Times New Roman"/>
          <w:sz w:val="24"/>
        </w:rPr>
        <w:tab/>
      </w:r>
      <w:r w:rsidRPr="004970DA">
        <w:rPr>
          <w:rFonts w:ascii="Times New Roman" w:hAnsi="Times New Roman"/>
          <w:sz w:val="24"/>
        </w:rPr>
        <w:tab/>
      </w:r>
      <w:r w:rsidRPr="004970DA">
        <w:rPr>
          <w:rFonts w:ascii="Times New Roman" w:hAnsi="Times New Roman"/>
          <w:sz w:val="24"/>
        </w:rPr>
        <w:tab/>
      </w:r>
      <w:r w:rsidR="00C34664" w:rsidRPr="004970DA">
        <w:rPr>
          <w:rFonts w:ascii="Times New Roman" w:hAnsi="Times New Roman"/>
          <w:sz w:val="24"/>
        </w:rPr>
        <w:t>Christopher T. Mickelson</w:t>
      </w:r>
      <w:r w:rsidR="00EC12A3" w:rsidRPr="004970DA">
        <w:rPr>
          <w:rFonts w:ascii="Times New Roman" w:hAnsi="Times New Roman"/>
          <w:sz w:val="24"/>
        </w:rPr>
        <w:t>, Regulatory Analyst</w:t>
      </w:r>
    </w:p>
    <w:p w14:paraId="04D5D141" w14:textId="77777777" w:rsidR="009B602E" w:rsidRPr="004970DA" w:rsidRDefault="009B602E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Kendra White, Regulatory Analyst</w:t>
      </w:r>
    </w:p>
    <w:p w14:paraId="04D5D142" w14:textId="77777777" w:rsidR="00633FE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3" w14:textId="77777777" w:rsidR="00474A0A" w:rsidRPr="004970DA" w:rsidRDefault="00474A0A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4" w14:textId="77777777" w:rsidR="00633FE5" w:rsidRPr="00025483" w:rsidRDefault="00633FE5" w:rsidP="00025483">
      <w:pPr>
        <w:pStyle w:val="Heading1"/>
        <w:rPr>
          <w:rStyle w:val="BookTitle"/>
        </w:rPr>
      </w:pPr>
      <w:r w:rsidRPr="00025483">
        <w:rPr>
          <w:rStyle w:val="BookTitle"/>
        </w:rPr>
        <w:t>Recommendation</w:t>
      </w:r>
    </w:p>
    <w:p w14:paraId="04D5D145" w14:textId="77777777" w:rsidR="00633FE5" w:rsidRPr="008007AF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6" w14:textId="77777777" w:rsidR="00F273C6" w:rsidRPr="004970DA" w:rsidRDefault="009467D6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8007AF">
        <w:rPr>
          <w:rFonts w:ascii="Times New Roman" w:hAnsi="Times New Roman"/>
          <w:sz w:val="24"/>
        </w:rPr>
        <w:t>Take no action</w:t>
      </w:r>
      <w:r w:rsidR="004B3D34">
        <w:rPr>
          <w:rFonts w:ascii="Times New Roman" w:hAnsi="Times New Roman"/>
          <w:sz w:val="24"/>
        </w:rPr>
        <w:t xml:space="preserve"> thereby</w:t>
      </w:r>
      <w:r w:rsidRPr="008007AF">
        <w:rPr>
          <w:rFonts w:ascii="Times New Roman" w:hAnsi="Times New Roman"/>
          <w:sz w:val="24"/>
        </w:rPr>
        <w:t xml:space="preserve"> allowing the </w:t>
      </w:r>
      <w:r w:rsidR="000A681F" w:rsidRPr="008007AF">
        <w:rPr>
          <w:rFonts w:ascii="Times New Roman" w:hAnsi="Times New Roman"/>
          <w:sz w:val="24"/>
        </w:rPr>
        <w:t xml:space="preserve">tariff </w:t>
      </w:r>
      <w:r w:rsidRPr="008007AF">
        <w:rPr>
          <w:rFonts w:ascii="Times New Roman" w:hAnsi="Times New Roman"/>
          <w:sz w:val="24"/>
        </w:rPr>
        <w:t>revis</w:t>
      </w:r>
      <w:r w:rsidR="000A681F" w:rsidRPr="008007AF">
        <w:rPr>
          <w:rFonts w:ascii="Times New Roman" w:hAnsi="Times New Roman"/>
          <w:sz w:val="24"/>
        </w:rPr>
        <w:t>ions</w:t>
      </w:r>
      <w:r w:rsidRPr="008007AF">
        <w:rPr>
          <w:rFonts w:ascii="Times New Roman" w:hAnsi="Times New Roman"/>
          <w:sz w:val="24"/>
        </w:rPr>
        <w:t xml:space="preserve"> </w:t>
      </w:r>
      <w:r w:rsidR="004B3D34">
        <w:rPr>
          <w:rFonts w:ascii="Times New Roman" w:hAnsi="Times New Roman"/>
          <w:sz w:val="24"/>
        </w:rPr>
        <w:t xml:space="preserve">filed in Docket UG-131816 </w:t>
      </w:r>
      <w:r w:rsidRPr="008007AF">
        <w:rPr>
          <w:rFonts w:ascii="Times New Roman" w:hAnsi="Times New Roman"/>
          <w:sz w:val="24"/>
        </w:rPr>
        <w:t>to become effective</w:t>
      </w:r>
      <w:r w:rsidRPr="009467D6">
        <w:rPr>
          <w:rFonts w:ascii="Times New Roman" w:hAnsi="Times New Roman"/>
          <w:sz w:val="24"/>
        </w:rPr>
        <w:t xml:space="preserve"> by operation of law</w:t>
      </w:r>
      <w:r w:rsidR="00F273C6" w:rsidRPr="004970DA">
        <w:rPr>
          <w:rFonts w:ascii="Times New Roman" w:hAnsi="Times New Roman"/>
          <w:sz w:val="24"/>
        </w:rPr>
        <w:t>.</w:t>
      </w:r>
    </w:p>
    <w:p w14:paraId="04D5D147" w14:textId="77777777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8" w14:textId="77777777" w:rsidR="00633FE5" w:rsidRPr="00025483" w:rsidRDefault="00633FE5" w:rsidP="00025483">
      <w:pPr>
        <w:pStyle w:val="Heading1"/>
        <w:rPr>
          <w:rStyle w:val="BookTitle"/>
        </w:rPr>
      </w:pPr>
      <w:r w:rsidRPr="00025483">
        <w:rPr>
          <w:rStyle w:val="BookTitle"/>
        </w:rPr>
        <w:t>Background</w:t>
      </w:r>
    </w:p>
    <w:p w14:paraId="04D5D149" w14:textId="77777777" w:rsidR="00633FE5" w:rsidRPr="004970DA" w:rsidRDefault="00633FE5" w:rsidP="00633FE5">
      <w:pPr>
        <w:rPr>
          <w:rFonts w:ascii="Times New Roman" w:hAnsi="Times New Roman"/>
          <w:sz w:val="24"/>
        </w:rPr>
      </w:pPr>
    </w:p>
    <w:p w14:paraId="04D5D14A" w14:textId="77777777" w:rsidR="00420096" w:rsidRDefault="00633FE5" w:rsidP="00633FE5">
      <w:pPr>
        <w:rPr>
          <w:rFonts w:ascii="Times New Roman" w:hAnsi="Times New Roman"/>
          <w:sz w:val="24"/>
        </w:rPr>
      </w:pPr>
      <w:r w:rsidRPr="008007AF">
        <w:rPr>
          <w:rFonts w:ascii="Times New Roman" w:hAnsi="Times New Roman"/>
          <w:sz w:val="24"/>
        </w:rPr>
        <w:t xml:space="preserve">On </w:t>
      </w:r>
      <w:r w:rsidR="00FB2E5A" w:rsidRPr="008007AF">
        <w:rPr>
          <w:rFonts w:ascii="Times New Roman" w:hAnsi="Times New Roman"/>
          <w:sz w:val="24"/>
        </w:rPr>
        <w:t xml:space="preserve">September </w:t>
      </w:r>
      <w:r w:rsidR="00F17B8C" w:rsidRPr="008007AF">
        <w:rPr>
          <w:rFonts w:ascii="Times New Roman" w:hAnsi="Times New Roman"/>
          <w:sz w:val="24"/>
        </w:rPr>
        <w:t>24</w:t>
      </w:r>
      <w:r w:rsidR="00EC12A3" w:rsidRPr="008007AF">
        <w:rPr>
          <w:rFonts w:ascii="Times New Roman" w:hAnsi="Times New Roman"/>
          <w:sz w:val="24"/>
        </w:rPr>
        <w:t xml:space="preserve">, </w:t>
      </w:r>
      <w:r w:rsidRPr="008007AF">
        <w:rPr>
          <w:rFonts w:ascii="Times New Roman" w:hAnsi="Times New Roman"/>
          <w:sz w:val="24"/>
        </w:rPr>
        <w:t>20</w:t>
      </w:r>
      <w:r w:rsidR="00A77552" w:rsidRPr="008007AF">
        <w:rPr>
          <w:rFonts w:ascii="Times New Roman" w:hAnsi="Times New Roman"/>
          <w:sz w:val="24"/>
        </w:rPr>
        <w:t>1</w:t>
      </w:r>
      <w:r w:rsidR="000A681F" w:rsidRPr="008007AF">
        <w:rPr>
          <w:rFonts w:ascii="Times New Roman" w:hAnsi="Times New Roman"/>
          <w:sz w:val="24"/>
        </w:rPr>
        <w:t>3</w:t>
      </w:r>
      <w:r w:rsidRPr="008007AF">
        <w:rPr>
          <w:rFonts w:ascii="Times New Roman" w:hAnsi="Times New Roman"/>
          <w:sz w:val="24"/>
        </w:rPr>
        <w:t xml:space="preserve">, Puget Sound Energy, Inc. (PSE or </w:t>
      </w:r>
      <w:r w:rsidR="00E62FFA" w:rsidRPr="008007AF">
        <w:rPr>
          <w:rFonts w:ascii="Times New Roman" w:hAnsi="Times New Roman"/>
          <w:sz w:val="24"/>
        </w:rPr>
        <w:t>c</w:t>
      </w:r>
      <w:r w:rsidRPr="008007AF">
        <w:rPr>
          <w:rFonts w:ascii="Times New Roman" w:hAnsi="Times New Roman"/>
          <w:sz w:val="24"/>
        </w:rPr>
        <w:t xml:space="preserve">ompany) filed </w:t>
      </w:r>
      <w:r w:rsidR="00FB2E5A" w:rsidRPr="008007AF">
        <w:rPr>
          <w:rFonts w:ascii="Times New Roman" w:hAnsi="Times New Roman"/>
          <w:sz w:val="24"/>
        </w:rPr>
        <w:t xml:space="preserve">with the Utilities and Transportation Commission (commission) </w:t>
      </w:r>
      <w:r w:rsidR="004B3D34">
        <w:rPr>
          <w:rFonts w:ascii="Times New Roman" w:hAnsi="Times New Roman"/>
          <w:sz w:val="24"/>
        </w:rPr>
        <w:t xml:space="preserve">to revise WN U-2 </w:t>
      </w:r>
      <w:r w:rsidR="00FB2E5A" w:rsidRPr="008007AF">
        <w:rPr>
          <w:rFonts w:ascii="Times New Roman" w:hAnsi="Times New Roman"/>
          <w:sz w:val="24"/>
        </w:rPr>
        <w:t>tariff</w:t>
      </w:r>
      <w:r w:rsidR="004B3D34">
        <w:rPr>
          <w:rFonts w:ascii="Times New Roman" w:hAnsi="Times New Roman"/>
          <w:sz w:val="24"/>
        </w:rPr>
        <w:t xml:space="preserve"> for natural gas service.</w:t>
      </w:r>
      <w:r w:rsidR="00873905">
        <w:rPr>
          <w:rFonts w:ascii="Times New Roman" w:hAnsi="Times New Roman"/>
          <w:sz w:val="24"/>
        </w:rPr>
        <w:t xml:space="preserve"> </w:t>
      </w:r>
      <w:r w:rsidR="004B3D34">
        <w:rPr>
          <w:rFonts w:ascii="Times New Roman" w:hAnsi="Times New Roman"/>
          <w:sz w:val="24"/>
        </w:rPr>
        <w:t>The</w:t>
      </w:r>
      <w:r w:rsidR="00FB2E5A" w:rsidRPr="008007AF">
        <w:rPr>
          <w:rFonts w:ascii="Times New Roman" w:hAnsi="Times New Roman"/>
          <w:sz w:val="24"/>
        </w:rPr>
        <w:t xml:space="preserve"> revisions</w:t>
      </w:r>
      <w:r w:rsidR="004B3D34">
        <w:rPr>
          <w:rFonts w:ascii="Times New Roman" w:hAnsi="Times New Roman"/>
          <w:sz w:val="24"/>
        </w:rPr>
        <w:t xml:space="preserve"> request the approval of the 37</w:t>
      </w:r>
      <w:r w:rsidR="004B3D34" w:rsidRPr="00873905">
        <w:rPr>
          <w:rFonts w:ascii="Times New Roman" w:hAnsi="Times New Roman"/>
          <w:sz w:val="24"/>
          <w:vertAlign w:val="superscript"/>
        </w:rPr>
        <w:t>th</w:t>
      </w:r>
      <w:r w:rsidR="004B3D34">
        <w:rPr>
          <w:rFonts w:ascii="Times New Roman" w:hAnsi="Times New Roman"/>
          <w:sz w:val="24"/>
        </w:rPr>
        <w:t xml:space="preserve"> Revision of Sheet No. 1101</w:t>
      </w:r>
      <w:r w:rsidR="003944FB">
        <w:rPr>
          <w:rFonts w:ascii="Times New Roman" w:hAnsi="Times New Roman"/>
          <w:sz w:val="24"/>
        </w:rPr>
        <w:t xml:space="preserve"> – </w:t>
      </w:r>
      <w:r w:rsidR="004B3D34">
        <w:rPr>
          <w:rFonts w:ascii="Times New Roman" w:hAnsi="Times New Roman"/>
          <w:sz w:val="24"/>
        </w:rPr>
        <w:t>Gas Cost Rates; the 40</w:t>
      </w:r>
      <w:r w:rsidR="004B3D34" w:rsidRPr="00873905">
        <w:rPr>
          <w:rFonts w:ascii="Times New Roman" w:hAnsi="Times New Roman"/>
          <w:sz w:val="24"/>
          <w:vertAlign w:val="superscript"/>
        </w:rPr>
        <w:t>th</w:t>
      </w:r>
      <w:r w:rsidR="004B3D34">
        <w:rPr>
          <w:rFonts w:ascii="Times New Roman" w:hAnsi="Times New Roman"/>
          <w:sz w:val="24"/>
        </w:rPr>
        <w:t xml:space="preserve"> Revision of Sheet No. 1106 – Deferred Account Adjustment; and the 2</w:t>
      </w:r>
      <w:r w:rsidR="004B3D34" w:rsidRPr="00873905">
        <w:rPr>
          <w:rFonts w:ascii="Times New Roman" w:hAnsi="Times New Roman"/>
          <w:sz w:val="24"/>
          <w:vertAlign w:val="superscript"/>
        </w:rPr>
        <w:t>nd</w:t>
      </w:r>
      <w:r w:rsidR="004B3D34">
        <w:rPr>
          <w:rFonts w:ascii="Times New Roman" w:hAnsi="Times New Roman"/>
          <w:sz w:val="24"/>
        </w:rPr>
        <w:t xml:space="preserve"> Revision of Sheet No. 40 – Purchased Gas Adjustment Mechanism.</w:t>
      </w:r>
      <w:r w:rsidR="00873905">
        <w:rPr>
          <w:rFonts w:ascii="Times New Roman" w:hAnsi="Times New Roman"/>
          <w:sz w:val="24"/>
        </w:rPr>
        <w:t xml:space="preserve"> </w:t>
      </w:r>
      <w:r w:rsidR="00420096">
        <w:rPr>
          <w:rFonts w:ascii="Times New Roman" w:hAnsi="Times New Roman"/>
          <w:sz w:val="24"/>
        </w:rPr>
        <w:t>The tariff sheets have an effective date of November 1, 2013.</w:t>
      </w:r>
    </w:p>
    <w:p w14:paraId="04D5D14B" w14:textId="77777777" w:rsidR="00420096" w:rsidRDefault="00420096" w:rsidP="00633FE5">
      <w:pPr>
        <w:rPr>
          <w:rFonts w:ascii="Times New Roman" w:hAnsi="Times New Roman"/>
          <w:sz w:val="24"/>
        </w:rPr>
      </w:pPr>
    </w:p>
    <w:p w14:paraId="04D5D14C" w14:textId="4D196283" w:rsidR="00633FE5" w:rsidRPr="004970DA" w:rsidRDefault="00420096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revisions filed by PSE </w:t>
      </w:r>
      <w:r w:rsidR="00C14DFE">
        <w:rPr>
          <w:rFonts w:ascii="Times New Roman" w:hAnsi="Times New Roman"/>
          <w:sz w:val="24"/>
        </w:rPr>
        <w:t xml:space="preserve">in docket UG-131816 </w:t>
      </w:r>
      <w:r>
        <w:rPr>
          <w:rFonts w:ascii="Times New Roman" w:hAnsi="Times New Roman"/>
          <w:sz w:val="24"/>
        </w:rPr>
        <w:t>are related to its</w:t>
      </w:r>
      <w:r w:rsidR="00873905">
        <w:rPr>
          <w:rFonts w:ascii="Times New Roman" w:hAnsi="Times New Roman"/>
          <w:sz w:val="24"/>
        </w:rPr>
        <w:t xml:space="preserve"> </w:t>
      </w:r>
      <w:r w:rsidR="00633FE5" w:rsidRPr="008007AF">
        <w:rPr>
          <w:rFonts w:ascii="Times New Roman" w:hAnsi="Times New Roman"/>
          <w:sz w:val="24"/>
        </w:rPr>
        <w:t>Purchase</w:t>
      </w:r>
      <w:r w:rsidR="0047045A" w:rsidRPr="008007AF">
        <w:rPr>
          <w:rFonts w:ascii="Times New Roman" w:hAnsi="Times New Roman"/>
          <w:sz w:val="24"/>
        </w:rPr>
        <w:t>d</w:t>
      </w:r>
      <w:r w:rsidR="00633FE5" w:rsidRPr="008007AF">
        <w:rPr>
          <w:rFonts w:ascii="Times New Roman" w:hAnsi="Times New Roman"/>
          <w:sz w:val="24"/>
        </w:rPr>
        <w:t xml:space="preserve"> Gas Adjustment </w:t>
      </w:r>
      <w:r w:rsidR="0047045A" w:rsidRPr="008007AF">
        <w:rPr>
          <w:rFonts w:ascii="Times New Roman" w:hAnsi="Times New Roman"/>
          <w:sz w:val="24"/>
        </w:rPr>
        <w:t xml:space="preserve">(PGA) </w:t>
      </w:r>
      <w:r>
        <w:rPr>
          <w:rFonts w:ascii="Times New Roman" w:hAnsi="Times New Roman"/>
          <w:sz w:val="24"/>
        </w:rPr>
        <w:t xml:space="preserve">mechanism </w:t>
      </w:r>
      <w:r w:rsidR="00633FE5" w:rsidRPr="008007AF">
        <w:rPr>
          <w:rFonts w:ascii="Times New Roman" w:hAnsi="Times New Roman"/>
          <w:sz w:val="24"/>
        </w:rPr>
        <w:t xml:space="preserve">and </w:t>
      </w:r>
      <w:r w:rsidR="00FB2E5A" w:rsidRPr="008007AF">
        <w:rPr>
          <w:rFonts w:ascii="Times New Roman" w:hAnsi="Times New Roman"/>
          <w:sz w:val="24"/>
        </w:rPr>
        <w:t>D</w:t>
      </w:r>
      <w:r w:rsidR="00633FE5" w:rsidRPr="008007AF">
        <w:rPr>
          <w:rFonts w:ascii="Times New Roman" w:hAnsi="Times New Roman"/>
          <w:sz w:val="24"/>
        </w:rPr>
        <w:t xml:space="preserve">eferred </w:t>
      </w:r>
      <w:r w:rsidR="00FB2E5A" w:rsidRPr="00602735">
        <w:rPr>
          <w:rFonts w:ascii="Times New Roman" w:hAnsi="Times New Roman"/>
          <w:sz w:val="24"/>
        </w:rPr>
        <w:t>G</w:t>
      </w:r>
      <w:r w:rsidR="00633FE5" w:rsidRPr="00602735">
        <w:rPr>
          <w:rFonts w:ascii="Times New Roman" w:hAnsi="Times New Roman"/>
          <w:sz w:val="24"/>
        </w:rPr>
        <w:t xml:space="preserve">as </w:t>
      </w:r>
      <w:r w:rsidR="00FB2E5A" w:rsidRPr="00602735">
        <w:rPr>
          <w:rFonts w:ascii="Times New Roman" w:hAnsi="Times New Roman"/>
          <w:sz w:val="24"/>
        </w:rPr>
        <w:t>C</w:t>
      </w:r>
      <w:r w:rsidR="00633FE5" w:rsidRPr="00602735">
        <w:rPr>
          <w:rFonts w:ascii="Times New Roman" w:hAnsi="Times New Roman"/>
          <w:sz w:val="24"/>
        </w:rPr>
        <w:t xml:space="preserve">ost </w:t>
      </w:r>
      <w:r w:rsidR="00FB2E5A" w:rsidRPr="00602735">
        <w:rPr>
          <w:rFonts w:ascii="Times New Roman" w:hAnsi="Times New Roman"/>
          <w:sz w:val="24"/>
        </w:rPr>
        <w:t>A</w:t>
      </w:r>
      <w:r w:rsidR="00633FE5" w:rsidRPr="00602735">
        <w:rPr>
          <w:rFonts w:ascii="Times New Roman" w:hAnsi="Times New Roman"/>
          <w:sz w:val="24"/>
        </w:rPr>
        <w:t>mortization</w:t>
      </w:r>
      <w:r w:rsidR="00FB2E5A" w:rsidRPr="00602735">
        <w:rPr>
          <w:rFonts w:ascii="Times New Roman" w:hAnsi="Times New Roman"/>
          <w:sz w:val="24"/>
        </w:rPr>
        <w:t xml:space="preserve"> (Deferral)</w:t>
      </w:r>
      <w:r w:rsidR="00633FE5" w:rsidRPr="00602735">
        <w:rPr>
          <w:rFonts w:ascii="Times New Roman" w:hAnsi="Times New Roman"/>
          <w:sz w:val="24"/>
        </w:rPr>
        <w:t xml:space="preserve"> </w:t>
      </w:r>
      <w:r w:rsidR="00FB2E5A" w:rsidRPr="00602735">
        <w:rPr>
          <w:rFonts w:ascii="Times New Roman" w:hAnsi="Times New Roman"/>
          <w:sz w:val="24"/>
        </w:rPr>
        <w:t>mechanism</w:t>
      </w:r>
      <w:r>
        <w:rPr>
          <w:rFonts w:ascii="Times New Roman" w:hAnsi="Times New Roman"/>
          <w:sz w:val="24"/>
        </w:rPr>
        <w:t>. The filing seeks to</w:t>
      </w:r>
      <w:r w:rsidR="00FB2E5A" w:rsidRPr="00602735">
        <w:rPr>
          <w:rFonts w:ascii="Times New Roman" w:hAnsi="Times New Roman"/>
          <w:sz w:val="24"/>
        </w:rPr>
        <w:t xml:space="preserve"> </w:t>
      </w:r>
      <w:r w:rsidR="00602735" w:rsidRPr="00602735">
        <w:rPr>
          <w:rFonts w:ascii="Times New Roman" w:hAnsi="Times New Roman"/>
          <w:sz w:val="24"/>
        </w:rPr>
        <w:t>in</w:t>
      </w:r>
      <w:r w:rsidR="00FB2E5A" w:rsidRPr="00602735">
        <w:rPr>
          <w:rFonts w:ascii="Times New Roman" w:hAnsi="Times New Roman"/>
          <w:sz w:val="24"/>
        </w:rPr>
        <w:t>crease annual revenue by approximately $</w:t>
      </w:r>
      <w:r w:rsidR="00602735" w:rsidRPr="00602735">
        <w:rPr>
          <w:rFonts w:ascii="Times New Roman" w:hAnsi="Times New Roman"/>
          <w:sz w:val="24"/>
        </w:rPr>
        <w:t>13</w:t>
      </w:r>
      <w:r w:rsidR="00FB2E5A" w:rsidRPr="00602735">
        <w:rPr>
          <w:rFonts w:ascii="Times New Roman" w:hAnsi="Times New Roman"/>
          <w:sz w:val="24"/>
        </w:rPr>
        <w:t>.</w:t>
      </w:r>
      <w:r w:rsidR="00D23A2C">
        <w:rPr>
          <w:rFonts w:ascii="Times New Roman" w:hAnsi="Times New Roman"/>
          <w:sz w:val="24"/>
        </w:rPr>
        <w:t>497</w:t>
      </w:r>
      <w:r w:rsidR="00FB2E5A" w:rsidRPr="00602735">
        <w:rPr>
          <w:rFonts w:ascii="Times New Roman" w:hAnsi="Times New Roman"/>
          <w:sz w:val="24"/>
        </w:rPr>
        <w:t xml:space="preserve"> million (</w:t>
      </w:r>
      <w:r w:rsidR="00602735" w:rsidRPr="00602735">
        <w:rPr>
          <w:rFonts w:ascii="Times New Roman" w:hAnsi="Times New Roman"/>
          <w:sz w:val="24"/>
        </w:rPr>
        <w:t>1.5</w:t>
      </w:r>
      <w:r w:rsidR="00FB2E5A" w:rsidRPr="00602735">
        <w:rPr>
          <w:rFonts w:ascii="Times New Roman" w:hAnsi="Times New Roman"/>
          <w:sz w:val="24"/>
        </w:rPr>
        <w:t xml:space="preserve"> percent).</w:t>
      </w:r>
      <w:r w:rsidR="00D178DC" w:rsidRPr="00602735">
        <w:rPr>
          <w:rFonts w:ascii="Times New Roman" w:hAnsi="Times New Roman"/>
          <w:sz w:val="24"/>
        </w:rPr>
        <w:t xml:space="preserve"> </w:t>
      </w:r>
      <w:r w:rsidR="00223A6B" w:rsidRPr="00602735">
        <w:rPr>
          <w:rFonts w:ascii="Times New Roman" w:hAnsi="Times New Roman"/>
          <w:sz w:val="24"/>
        </w:rPr>
        <w:t xml:space="preserve">PSE </w:t>
      </w:r>
      <w:r w:rsidR="00223A6B" w:rsidRPr="00474076">
        <w:rPr>
          <w:rFonts w:ascii="Times New Roman" w:hAnsi="Times New Roman"/>
          <w:sz w:val="24"/>
        </w:rPr>
        <w:t>serves 7</w:t>
      </w:r>
      <w:r w:rsidR="00914865" w:rsidRPr="00474076">
        <w:rPr>
          <w:rFonts w:ascii="Times New Roman" w:hAnsi="Times New Roman"/>
          <w:sz w:val="24"/>
        </w:rPr>
        <w:t>8</w:t>
      </w:r>
      <w:r w:rsidR="00474076" w:rsidRPr="00474076">
        <w:rPr>
          <w:rFonts w:ascii="Times New Roman" w:hAnsi="Times New Roman"/>
          <w:sz w:val="24"/>
        </w:rPr>
        <w:t>3</w:t>
      </w:r>
      <w:r w:rsidR="00223A6B" w:rsidRPr="00474076">
        <w:rPr>
          <w:rFonts w:ascii="Times New Roman" w:hAnsi="Times New Roman"/>
          <w:sz w:val="24"/>
        </w:rPr>
        <w:t>,</w:t>
      </w:r>
      <w:r w:rsidR="00474076" w:rsidRPr="00474076">
        <w:rPr>
          <w:rFonts w:ascii="Times New Roman" w:hAnsi="Times New Roman"/>
          <w:sz w:val="24"/>
        </w:rPr>
        <w:t>659</w:t>
      </w:r>
      <w:r w:rsidR="00223A6B" w:rsidRPr="00474076">
        <w:rPr>
          <w:rFonts w:ascii="Times New Roman" w:hAnsi="Times New Roman"/>
          <w:sz w:val="24"/>
        </w:rPr>
        <w:t xml:space="preserve"> natural gas customers in six counties in Washington – King, Kittitas, Lewis, Pierce, </w:t>
      </w:r>
      <w:r w:rsidR="00223A6B" w:rsidRPr="004970DA">
        <w:rPr>
          <w:rFonts w:ascii="Times New Roman" w:hAnsi="Times New Roman"/>
          <w:sz w:val="24"/>
        </w:rPr>
        <w:t>Snohomish, and Thurston</w:t>
      </w:r>
      <w:r w:rsidR="00FB2E5A" w:rsidRPr="004970DA">
        <w:rPr>
          <w:rFonts w:ascii="Times New Roman" w:hAnsi="Times New Roman"/>
          <w:sz w:val="24"/>
        </w:rPr>
        <w:t>.</w:t>
      </w:r>
      <w:r w:rsidR="00D178DC" w:rsidRPr="004970DA">
        <w:rPr>
          <w:rFonts w:ascii="Times New Roman" w:hAnsi="Times New Roman"/>
          <w:sz w:val="24"/>
        </w:rPr>
        <w:t xml:space="preserve"> </w:t>
      </w:r>
    </w:p>
    <w:p w14:paraId="04D5D14D" w14:textId="77777777" w:rsidR="00633FE5" w:rsidRPr="004970DA" w:rsidRDefault="00633FE5" w:rsidP="00633FE5">
      <w:pPr>
        <w:rPr>
          <w:rFonts w:ascii="Times New Roman" w:hAnsi="Times New Roman"/>
          <w:sz w:val="24"/>
        </w:rPr>
      </w:pPr>
    </w:p>
    <w:p w14:paraId="04D5D14E" w14:textId="77777777" w:rsidR="00FB2E5A" w:rsidRPr="004970DA" w:rsidRDefault="00633FE5" w:rsidP="00446BE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4970DA">
        <w:rPr>
          <w:rFonts w:ascii="Times New Roman" w:hAnsi="Times New Roman"/>
        </w:rPr>
        <w:t xml:space="preserve">The PGA and </w:t>
      </w:r>
      <w:r w:rsidR="00FB2E5A" w:rsidRPr="004970DA">
        <w:rPr>
          <w:rFonts w:ascii="Times New Roman" w:hAnsi="Times New Roman"/>
        </w:rPr>
        <w:t>Deferral mechanism are de</w:t>
      </w:r>
      <w:r w:rsidRPr="004970DA">
        <w:rPr>
          <w:rFonts w:ascii="Times New Roman" w:hAnsi="Times New Roman"/>
        </w:rPr>
        <w:t xml:space="preserve">signed to pass through </w:t>
      </w:r>
      <w:r w:rsidR="00FB2E5A" w:rsidRPr="004970DA">
        <w:rPr>
          <w:rFonts w:ascii="Times New Roman" w:hAnsi="Times New Roman"/>
        </w:rPr>
        <w:t>t</w:t>
      </w:r>
      <w:r w:rsidRPr="004970DA">
        <w:rPr>
          <w:rFonts w:ascii="Times New Roman" w:hAnsi="Times New Roman"/>
        </w:rPr>
        <w:t>he utility’s actual cost of natural gas</w:t>
      </w:r>
      <w:r w:rsidR="00FB2E5A" w:rsidRPr="004970DA">
        <w:rPr>
          <w:rFonts w:ascii="Times New Roman" w:hAnsi="Times New Roman"/>
        </w:rPr>
        <w:t xml:space="preserve"> to customers on an annual</w:t>
      </w:r>
      <w:r w:rsidRPr="004970DA">
        <w:rPr>
          <w:rFonts w:ascii="Times New Roman" w:hAnsi="Times New Roman"/>
        </w:rPr>
        <w:t xml:space="preserve"> basis. </w:t>
      </w:r>
      <w:r w:rsidR="00FB2E5A" w:rsidRPr="004970DA">
        <w:rPr>
          <w:rFonts w:ascii="Times New Roman" w:hAnsi="Times New Roman"/>
        </w:rPr>
        <w:t xml:space="preserve">Periodic technical adjustments to rates are necessary under the terms of the </w:t>
      </w:r>
      <w:r w:rsidR="006E0F13">
        <w:rPr>
          <w:rFonts w:ascii="Times New Roman" w:hAnsi="Times New Roman"/>
        </w:rPr>
        <w:t>c</w:t>
      </w:r>
      <w:r w:rsidR="00FB2E5A" w:rsidRPr="004970DA">
        <w:rPr>
          <w:rFonts w:ascii="Times New Roman" w:hAnsi="Times New Roman"/>
        </w:rPr>
        <w:t xml:space="preserve">ompany’s tariffs in order to return to </w:t>
      </w:r>
      <w:r w:rsidR="00C31843" w:rsidRPr="004970DA">
        <w:rPr>
          <w:rFonts w:ascii="Times New Roman" w:hAnsi="Times New Roman"/>
        </w:rPr>
        <w:t>customer’s</w:t>
      </w:r>
      <w:r w:rsidR="00FB2E5A" w:rsidRPr="004970DA">
        <w:rPr>
          <w:rFonts w:ascii="Times New Roman" w:hAnsi="Times New Roman"/>
        </w:rPr>
        <w:t xml:space="preserve"> credit or debit balances with interest in its deferred gas cost account (Account 191).</w:t>
      </w:r>
    </w:p>
    <w:p w14:paraId="04D5D14F" w14:textId="77777777" w:rsidR="00FB2E5A" w:rsidRPr="004970DA" w:rsidRDefault="00FB2E5A" w:rsidP="00FB2E5A">
      <w:pPr>
        <w:rPr>
          <w:rFonts w:ascii="Times New Roman" w:hAnsi="Times New Roman"/>
          <w:sz w:val="24"/>
        </w:rPr>
      </w:pPr>
    </w:p>
    <w:p w14:paraId="04D5D150" w14:textId="77777777" w:rsidR="00633FE5" w:rsidRDefault="00633FE5" w:rsidP="00FB2E5A">
      <w:pPr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 xml:space="preserve">The PGA </w:t>
      </w:r>
      <w:r w:rsidR="00420096">
        <w:rPr>
          <w:rFonts w:ascii="Times New Roman" w:hAnsi="Times New Roman"/>
          <w:sz w:val="24"/>
        </w:rPr>
        <w:t xml:space="preserve">also </w:t>
      </w:r>
      <w:r w:rsidRPr="004970DA">
        <w:rPr>
          <w:rFonts w:ascii="Times New Roman" w:hAnsi="Times New Roman"/>
          <w:sz w:val="24"/>
        </w:rPr>
        <w:t>establishes a projection of the utility’s gas costs</w:t>
      </w:r>
      <w:r w:rsidR="00420096" w:rsidRPr="00420096">
        <w:rPr>
          <w:rFonts w:ascii="Times New Roman" w:hAnsi="Times New Roman"/>
          <w:sz w:val="24"/>
        </w:rPr>
        <w:t xml:space="preserve"> </w:t>
      </w:r>
      <w:r w:rsidR="00420096" w:rsidRPr="004970DA">
        <w:rPr>
          <w:rFonts w:ascii="Times New Roman" w:hAnsi="Times New Roman"/>
          <w:sz w:val="24"/>
        </w:rPr>
        <w:t>for the upcoming year</w:t>
      </w:r>
      <w:r w:rsidRPr="004970DA">
        <w:rPr>
          <w:rFonts w:ascii="Times New Roman" w:hAnsi="Times New Roman"/>
          <w:sz w:val="24"/>
        </w:rPr>
        <w:t xml:space="preserve">. The difference between the projected cost and the actual cost is deferred and ultimately amortized back to customers with interest, as </w:t>
      </w:r>
      <w:r w:rsidR="0047045A" w:rsidRPr="004970DA">
        <w:rPr>
          <w:rFonts w:ascii="Times New Roman" w:hAnsi="Times New Roman"/>
          <w:sz w:val="24"/>
        </w:rPr>
        <w:t xml:space="preserve">a </w:t>
      </w:r>
      <w:r w:rsidRPr="004970DA">
        <w:rPr>
          <w:rFonts w:ascii="Times New Roman" w:hAnsi="Times New Roman"/>
          <w:sz w:val="24"/>
        </w:rPr>
        <w:t>surcharge or refund.</w:t>
      </w:r>
    </w:p>
    <w:p w14:paraId="04D5D151" w14:textId="77777777" w:rsidR="00312FE6" w:rsidRDefault="00312FE6" w:rsidP="00FB2E5A">
      <w:pPr>
        <w:rPr>
          <w:rFonts w:ascii="Times New Roman" w:hAnsi="Times New Roman"/>
          <w:sz w:val="24"/>
        </w:rPr>
      </w:pPr>
    </w:p>
    <w:p w14:paraId="04D5D152" w14:textId="77777777" w:rsidR="00312FE6" w:rsidRDefault="00312FE6" w:rsidP="00FB2E5A">
      <w:pPr>
        <w:rPr>
          <w:rFonts w:ascii="Times New Roman" w:hAnsi="Times New Roman"/>
          <w:sz w:val="24"/>
        </w:rPr>
      </w:pPr>
      <w:r w:rsidRPr="00312FE6">
        <w:rPr>
          <w:rFonts w:ascii="Times New Roman" w:hAnsi="Times New Roman"/>
          <w:sz w:val="24"/>
        </w:rPr>
        <w:t xml:space="preserve">Staff’s analysis showed a lower revenue requirement for </w:t>
      </w:r>
      <w:r w:rsidRPr="00400AF9">
        <w:rPr>
          <w:rFonts w:ascii="Times New Roman" w:hAnsi="Times New Roman"/>
          <w:sz w:val="24"/>
        </w:rPr>
        <w:t xml:space="preserve">PSE’s PGA </w:t>
      </w:r>
      <w:r w:rsidR="00A71DE6" w:rsidRPr="00400AF9">
        <w:rPr>
          <w:rFonts w:ascii="Times New Roman" w:hAnsi="Times New Roman"/>
          <w:sz w:val="24"/>
        </w:rPr>
        <w:t xml:space="preserve">and Deferral </w:t>
      </w:r>
      <w:r w:rsidRPr="00400AF9">
        <w:rPr>
          <w:rFonts w:ascii="Times New Roman" w:hAnsi="Times New Roman"/>
          <w:sz w:val="24"/>
        </w:rPr>
        <w:t xml:space="preserve">than what </w:t>
      </w:r>
      <w:r w:rsidRPr="00312FE6">
        <w:rPr>
          <w:rFonts w:ascii="Times New Roman" w:hAnsi="Times New Roman"/>
          <w:sz w:val="24"/>
        </w:rPr>
        <w:t xml:space="preserve">the company proposed. Staff and the company agreed to a revised revenue </w:t>
      </w:r>
      <w:r w:rsidRPr="00400AF9">
        <w:rPr>
          <w:rFonts w:ascii="Times New Roman" w:hAnsi="Times New Roman"/>
          <w:sz w:val="24"/>
        </w:rPr>
        <w:t xml:space="preserve">requirement of </w:t>
      </w:r>
      <w:r w:rsidR="0085688D" w:rsidRPr="00400AF9">
        <w:rPr>
          <w:rFonts w:ascii="Times New Roman" w:hAnsi="Times New Roman"/>
          <w:sz w:val="24"/>
        </w:rPr>
        <w:t>$</w:t>
      </w:r>
      <w:r w:rsidR="00400AF9">
        <w:rPr>
          <w:rFonts w:ascii="Times New Roman" w:hAnsi="Times New Roman"/>
          <w:sz w:val="24"/>
        </w:rPr>
        <w:t>3</w:t>
      </w:r>
      <w:r w:rsidR="0085688D" w:rsidRPr="00400AF9">
        <w:rPr>
          <w:rFonts w:ascii="Times New Roman" w:hAnsi="Times New Roman"/>
          <w:sz w:val="24"/>
        </w:rPr>
        <w:t>.</w:t>
      </w:r>
      <w:r w:rsidR="00400AF9">
        <w:rPr>
          <w:rFonts w:ascii="Times New Roman" w:hAnsi="Times New Roman"/>
          <w:sz w:val="24"/>
        </w:rPr>
        <w:t>955</w:t>
      </w:r>
      <w:r w:rsidR="0085688D" w:rsidRPr="00400AF9">
        <w:rPr>
          <w:rFonts w:ascii="Times New Roman" w:hAnsi="Times New Roman"/>
          <w:sz w:val="24"/>
        </w:rPr>
        <w:t xml:space="preserve"> million</w:t>
      </w:r>
      <w:r w:rsidRPr="00400AF9">
        <w:rPr>
          <w:rFonts w:ascii="Times New Roman" w:hAnsi="Times New Roman"/>
          <w:sz w:val="24"/>
        </w:rPr>
        <w:t xml:space="preserve"> (</w:t>
      </w:r>
      <w:r w:rsidR="0085688D" w:rsidRPr="00400AF9">
        <w:rPr>
          <w:rFonts w:ascii="Times New Roman" w:hAnsi="Times New Roman"/>
          <w:sz w:val="24"/>
        </w:rPr>
        <w:t>0.4</w:t>
      </w:r>
      <w:r w:rsidRPr="00400AF9">
        <w:rPr>
          <w:rFonts w:ascii="Times New Roman" w:hAnsi="Times New Roman"/>
          <w:sz w:val="24"/>
        </w:rPr>
        <w:t xml:space="preserve"> percent) in additional </w:t>
      </w:r>
      <w:r w:rsidRPr="00312FE6">
        <w:rPr>
          <w:rFonts w:ascii="Times New Roman" w:hAnsi="Times New Roman"/>
          <w:sz w:val="24"/>
        </w:rPr>
        <w:t xml:space="preserve">annual revenue </w:t>
      </w:r>
      <w:r w:rsidRPr="00AC5A84">
        <w:rPr>
          <w:rFonts w:ascii="Times New Roman" w:hAnsi="Times New Roman"/>
          <w:sz w:val="24"/>
        </w:rPr>
        <w:t>and revised rates. On October 1</w:t>
      </w:r>
      <w:r w:rsidR="00400AF9" w:rsidRPr="00AC5A84">
        <w:rPr>
          <w:rFonts w:ascii="Times New Roman" w:hAnsi="Times New Roman"/>
          <w:sz w:val="24"/>
        </w:rPr>
        <w:t>4</w:t>
      </w:r>
      <w:r w:rsidRPr="00AC5A84">
        <w:rPr>
          <w:rFonts w:ascii="Times New Roman" w:hAnsi="Times New Roman"/>
          <w:sz w:val="24"/>
        </w:rPr>
        <w:t xml:space="preserve">, 2013, the </w:t>
      </w:r>
      <w:r w:rsidRPr="00312FE6">
        <w:rPr>
          <w:rFonts w:ascii="Times New Roman" w:hAnsi="Times New Roman"/>
          <w:sz w:val="24"/>
        </w:rPr>
        <w:t>company filed revised rates at staff recommended levels.</w:t>
      </w:r>
    </w:p>
    <w:p w14:paraId="4829C669" w14:textId="77777777" w:rsidR="009814BE" w:rsidRDefault="009814BE" w:rsidP="00FB2E5A">
      <w:pPr>
        <w:rPr>
          <w:rFonts w:ascii="Times New Roman" w:hAnsi="Times New Roman"/>
          <w:sz w:val="24"/>
        </w:rPr>
      </w:pPr>
    </w:p>
    <w:p w14:paraId="05AD8509" w14:textId="77777777" w:rsidR="009814BE" w:rsidRDefault="009814BE" w:rsidP="00FB2E5A">
      <w:pPr>
        <w:rPr>
          <w:rFonts w:ascii="Times New Roman" w:hAnsi="Times New Roman"/>
          <w:sz w:val="24"/>
        </w:rPr>
      </w:pPr>
    </w:p>
    <w:p w14:paraId="6CD56A68" w14:textId="77777777" w:rsidR="009814BE" w:rsidRPr="004970DA" w:rsidRDefault="009814BE" w:rsidP="00FB2E5A">
      <w:pPr>
        <w:rPr>
          <w:rFonts w:ascii="Times New Roman" w:hAnsi="Times New Roman"/>
          <w:sz w:val="24"/>
        </w:rPr>
      </w:pPr>
    </w:p>
    <w:p w14:paraId="04D5D153" w14:textId="77777777" w:rsidR="009B58B4" w:rsidRDefault="009B58B4" w:rsidP="00FB2E5A">
      <w:pPr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2451"/>
        <w:gridCol w:w="2469"/>
      </w:tblGrid>
      <w:tr w:rsidR="00BE4528" w:rsidRPr="00B7671F" w14:paraId="3CC833D8" w14:textId="77777777" w:rsidTr="00BE4528">
        <w:tc>
          <w:tcPr>
            <w:tcW w:w="2431" w:type="pct"/>
            <w:vAlign w:val="bottom"/>
          </w:tcPr>
          <w:p w14:paraId="751CCBC3" w14:textId="228292DF" w:rsidR="00BE4528" w:rsidRPr="00B7671F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Description</w:t>
            </w:r>
          </w:p>
        </w:tc>
        <w:tc>
          <w:tcPr>
            <w:tcW w:w="1280" w:type="pct"/>
            <w:vAlign w:val="bottom"/>
          </w:tcPr>
          <w:p w14:paraId="21B8B52E" w14:textId="77777777" w:rsidR="00BE4528" w:rsidRPr="00B7671F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71F">
              <w:rPr>
                <w:rFonts w:ascii="Times New Roman" w:hAnsi="Times New Roman"/>
                <w:b/>
                <w:sz w:val="24"/>
              </w:rPr>
              <w:t>Revenue Impact</w:t>
            </w:r>
          </w:p>
        </w:tc>
        <w:tc>
          <w:tcPr>
            <w:tcW w:w="1289" w:type="pct"/>
            <w:vAlign w:val="bottom"/>
          </w:tcPr>
          <w:p w14:paraId="460B5BA9" w14:textId="77777777" w:rsidR="00BE4528" w:rsidRPr="00B7671F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71F">
              <w:rPr>
                <w:rFonts w:ascii="Times New Roman" w:hAnsi="Times New Roman"/>
                <w:b/>
                <w:sz w:val="24"/>
              </w:rPr>
              <w:t>Percent Change</w:t>
            </w:r>
          </w:p>
        </w:tc>
      </w:tr>
      <w:tr w:rsidR="00BE4528" w:rsidRPr="008A0305" w14:paraId="48A44C45" w14:textId="77777777" w:rsidTr="00CA34F4">
        <w:tc>
          <w:tcPr>
            <w:tcW w:w="2431" w:type="pct"/>
          </w:tcPr>
          <w:p w14:paraId="725E64D4" w14:textId="5466638E" w:rsidR="00BE4528" w:rsidRPr="008A0305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PGA</w:t>
            </w:r>
          </w:p>
        </w:tc>
        <w:tc>
          <w:tcPr>
            <w:tcW w:w="1280" w:type="pct"/>
            <w:vAlign w:val="center"/>
          </w:tcPr>
          <w:p w14:paraId="258045AB" w14:textId="127F29D4" w:rsidR="00BE4528" w:rsidRPr="008A0305" w:rsidRDefault="00BE4528" w:rsidP="00CA3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8A0305">
              <w:rPr>
                <w:rFonts w:ascii="Times New Roman" w:hAnsi="Times New Roman"/>
                <w:sz w:val="24"/>
              </w:rPr>
              <w:t>$2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8A030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661</w:t>
            </w:r>
            <w:r w:rsidRPr="008A030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003)</w:t>
            </w:r>
          </w:p>
        </w:tc>
        <w:tc>
          <w:tcPr>
            <w:tcW w:w="1289" w:type="pct"/>
            <w:vAlign w:val="center"/>
          </w:tcPr>
          <w:p w14:paraId="44FD68A5" w14:textId="2877A81D" w:rsidR="00BE4528" w:rsidRPr="008A0305" w:rsidRDefault="00BE4528" w:rsidP="00CA3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</w:t>
            </w:r>
            <w:r w:rsidRPr="008A030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A030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9814BE" w:rsidRPr="008A0305" w14:paraId="16D7B5BD" w14:textId="77777777" w:rsidTr="00CA34F4">
        <w:tc>
          <w:tcPr>
            <w:tcW w:w="2431" w:type="pct"/>
            <w:tcBorders>
              <w:bottom w:val="single" w:sz="18" w:space="0" w:color="auto"/>
            </w:tcBorders>
          </w:tcPr>
          <w:p w14:paraId="311E4C75" w14:textId="59CD81C0" w:rsidR="009814BE" w:rsidRPr="008A0305" w:rsidRDefault="009814BE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Deferral</w:t>
            </w:r>
          </w:p>
        </w:tc>
        <w:tc>
          <w:tcPr>
            <w:tcW w:w="1280" w:type="pct"/>
            <w:tcBorders>
              <w:bottom w:val="single" w:sz="18" w:space="0" w:color="auto"/>
            </w:tcBorders>
            <w:vAlign w:val="center"/>
          </w:tcPr>
          <w:p w14:paraId="3ED57A66" w14:textId="2239AA19" w:rsidR="009814BE" w:rsidRPr="008A0305" w:rsidRDefault="009814BE" w:rsidP="00CA3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8A030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,616</w:t>
            </w:r>
            <w:r w:rsidRPr="008A030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337</w:t>
            </w:r>
          </w:p>
        </w:tc>
        <w:tc>
          <w:tcPr>
            <w:tcW w:w="1289" w:type="pct"/>
            <w:tcBorders>
              <w:bottom w:val="single" w:sz="18" w:space="0" w:color="auto"/>
            </w:tcBorders>
            <w:vAlign w:val="center"/>
          </w:tcPr>
          <w:p w14:paraId="1EC56C48" w14:textId="28E72297" w:rsidR="009814BE" w:rsidRPr="008A0305" w:rsidRDefault="009814BE" w:rsidP="00CA3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8A030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A030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BE4528" w:rsidRPr="008A0305" w14:paraId="6EBA2AA3" w14:textId="77777777" w:rsidTr="00CA34F4">
        <w:tc>
          <w:tcPr>
            <w:tcW w:w="2431" w:type="pct"/>
            <w:tcBorders>
              <w:top w:val="single" w:sz="18" w:space="0" w:color="auto"/>
            </w:tcBorders>
            <w:vAlign w:val="center"/>
          </w:tcPr>
          <w:p w14:paraId="25E7B702" w14:textId="77777777" w:rsidR="00BE4528" w:rsidRPr="008A0305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128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D264C1" w14:textId="77777777" w:rsidR="00BE4528" w:rsidRPr="008A0305" w:rsidRDefault="00BE4528" w:rsidP="00CA3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$3,955,333</w:t>
            </w:r>
          </w:p>
        </w:tc>
        <w:tc>
          <w:tcPr>
            <w:tcW w:w="128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70214C" w14:textId="77777777" w:rsidR="00BE4528" w:rsidRPr="008A0305" w:rsidRDefault="00BE4528" w:rsidP="00CA3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0.4%</w:t>
            </w:r>
          </w:p>
        </w:tc>
      </w:tr>
    </w:tbl>
    <w:p w14:paraId="3FB6C8CE" w14:textId="77777777" w:rsidR="00BE4528" w:rsidRDefault="00BE4528" w:rsidP="00FB2E5A">
      <w:pPr>
        <w:rPr>
          <w:rFonts w:ascii="Times New Roman" w:hAnsi="Times New Roman"/>
          <w:sz w:val="24"/>
        </w:rPr>
      </w:pPr>
    </w:p>
    <w:p w14:paraId="04D5D154" w14:textId="77777777" w:rsidR="009B58B4" w:rsidRPr="00474A0A" w:rsidRDefault="009B58B4" w:rsidP="00025483">
      <w:pPr>
        <w:pStyle w:val="Heading1"/>
        <w:rPr>
          <w:rStyle w:val="BookTitle"/>
        </w:rPr>
      </w:pPr>
      <w:r w:rsidRPr="00474A0A">
        <w:rPr>
          <w:rStyle w:val="BookTitle"/>
        </w:rPr>
        <w:t>Discussion</w:t>
      </w:r>
    </w:p>
    <w:p w14:paraId="04D5D155" w14:textId="77777777" w:rsidR="00D4342A" w:rsidRPr="004970DA" w:rsidRDefault="00D4342A" w:rsidP="00FB2E5A">
      <w:pPr>
        <w:rPr>
          <w:rFonts w:ascii="Times New Roman" w:hAnsi="Times New Roman"/>
          <w:sz w:val="24"/>
        </w:rPr>
      </w:pPr>
    </w:p>
    <w:p w14:paraId="04D5D156" w14:textId="77777777" w:rsidR="009B58B4" w:rsidRPr="00025483" w:rsidRDefault="00FB2E5A" w:rsidP="00025483">
      <w:pPr>
        <w:pStyle w:val="Heading2"/>
      </w:pPr>
      <w:r w:rsidRPr="00025483">
        <w:t>Purchased Gas Adjustment</w:t>
      </w:r>
    </w:p>
    <w:p w14:paraId="04D5D157" w14:textId="632BC087" w:rsidR="00FB2E5A" w:rsidRPr="00400AF9" w:rsidRDefault="00FB2E5A" w:rsidP="00FB2E5A">
      <w:pPr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 xml:space="preserve">The PGA </w:t>
      </w:r>
      <w:r w:rsidR="00420096">
        <w:rPr>
          <w:rFonts w:ascii="Times New Roman" w:hAnsi="Times New Roman"/>
          <w:sz w:val="24"/>
        </w:rPr>
        <w:t>includes</w:t>
      </w:r>
      <w:r w:rsidRPr="004970DA">
        <w:rPr>
          <w:rFonts w:ascii="Times New Roman" w:hAnsi="Times New Roman"/>
          <w:sz w:val="24"/>
        </w:rPr>
        <w:t xml:space="preserve"> a projection of gas cost</w:t>
      </w:r>
      <w:r w:rsidR="00420096">
        <w:rPr>
          <w:rFonts w:ascii="Times New Roman" w:hAnsi="Times New Roman"/>
          <w:sz w:val="24"/>
        </w:rPr>
        <w:t>s</w:t>
      </w:r>
      <w:r w:rsidRPr="004970DA">
        <w:rPr>
          <w:rFonts w:ascii="Times New Roman" w:hAnsi="Times New Roman"/>
          <w:sz w:val="24"/>
        </w:rPr>
        <w:t xml:space="preserve"> for the coming 201</w:t>
      </w:r>
      <w:r w:rsidR="00536629">
        <w:rPr>
          <w:rFonts w:ascii="Times New Roman" w:hAnsi="Times New Roman"/>
          <w:sz w:val="24"/>
        </w:rPr>
        <w:t>3</w:t>
      </w:r>
      <w:r w:rsidRPr="004970DA">
        <w:rPr>
          <w:rFonts w:ascii="Times New Roman" w:hAnsi="Times New Roman"/>
          <w:sz w:val="24"/>
        </w:rPr>
        <w:t>-201</w:t>
      </w:r>
      <w:r w:rsidR="00536629">
        <w:rPr>
          <w:rFonts w:ascii="Times New Roman" w:hAnsi="Times New Roman"/>
          <w:sz w:val="24"/>
        </w:rPr>
        <w:t>4</w:t>
      </w:r>
      <w:r w:rsidRPr="004970DA">
        <w:rPr>
          <w:rFonts w:ascii="Times New Roman" w:hAnsi="Times New Roman"/>
          <w:sz w:val="24"/>
        </w:rPr>
        <w:t xml:space="preserve"> </w:t>
      </w:r>
      <w:r w:rsidR="004970DA" w:rsidRPr="004970DA">
        <w:rPr>
          <w:rFonts w:ascii="Times New Roman" w:hAnsi="Times New Roman"/>
          <w:sz w:val="24"/>
        </w:rPr>
        <w:t xml:space="preserve">heating </w:t>
      </w:r>
      <w:r w:rsidRPr="004970DA">
        <w:rPr>
          <w:rFonts w:ascii="Times New Roman" w:hAnsi="Times New Roman"/>
          <w:sz w:val="24"/>
        </w:rPr>
        <w:t xml:space="preserve">season. The PGA consists of two </w:t>
      </w:r>
      <w:r w:rsidR="00420096">
        <w:rPr>
          <w:rFonts w:ascii="Times New Roman" w:hAnsi="Times New Roman"/>
          <w:sz w:val="24"/>
        </w:rPr>
        <w:t>cost categories</w:t>
      </w:r>
      <w:r w:rsidRPr="004970DA">
        <w:rPr>
          <w:rFonts w:ascii="Times New Roman" w:hAnsi="Times New Roman"/>
          <w:sz w:val="24"/>
        </w:rPr>
        <w:t xml:space="preserve">: the cost of </w:t>
      </w:r>
      <w:r w:rsidR="00420096">
        <w:rPr>
          <w:rFonts w:ascii="Times New Roman" w:hAnsi="Times New Roman"/>
          <w:sz w:val="24"/>
        </w:rPr>
        <w:t xml:space="preserve">the </w:t>
      </w:r>
      <w:r w:rsidRPr="004970DA">
        <w:rPr>
          <w:rFonts w:ascii="Times New Roman" w:hAnsi="Times New Roman"/>
          <w:sz w:val="24"/>
        </w:rPr>
        <w:t xml:space="preserve">gas purchased by the company from its gas suppliers </w:t>
      </w:r>
      <w:r w:rsidR="00420096" w:rsidRPr="004970DA">
        <w:rPr>
          <w:rFonts w:ascii="Times New Roman" w:hAnsi="Times New Roman"/>
          <w:sz w:val="24"/>
        </w:rPr>
        <w:t xml:space="preserve">(commodity) </w:t>
      </w:r>
      <w:r w:rsidRPr="004970DA">
        <w:rPr>
          <w:rFonts w:ascii="Times New Roman" w:hAnsi="Times New Roman"/>
          <w:sz w:val="24"/>
        </w:rPr>
        <w:t>and the cost of pipeline and storage capacity under contract with pipeline transporters</w:t>
      </w:r>
      <w:r w:rsidR="00420096">
        <w:rPr>
          <w:rFonts w:ascii="Times New Roman" w:hAnsi="Times New Roman"/>
          <w:sz w:val="24"/>
        </w:rPr>
        <w:t xml:space="preserve"> </w:t>
      </w:r>
      <w:r w:rsidR="00420096" w:rsidRPr="004970DA">
        <w:rPr>
          <w:rFonts w:ascii="Times New Roman" w:hAnsi="Times New Roman"/>
          <w:sz w:val="24"/>
        </w:rPr>
        <w:t>(</w:t>
      </w:r>
      <w:r w:rsidR="00420096" w:rsidRPr="00400AF9">
        <w:rPr>
          <w:rFonts w:ascii="Times New Roman" w:hAnsi="Times New Roman"/>
          <w:sz w:val="24"/>
        </w:rPr>
        <w:t>demand)</w:t>
      </w:r>
      <w:r w:rsidRPr="00400AF9">
        <w:rPr>
          <w:rFonts w:ascii="Times New Roman" w:hAnsi="Times New Roman"/>
          <w:sz w:val="24"/>
        </w:rPr>
        <w:t>.</w:t>
      </w:r>
      <w:r w:rsidR="00D178DC" w:rsidRPr="00400AF9">
        <w:rPr>
          <w:rFonts w:ascii="Times New Roman" w:hAnsi="Times New Roman"/>
          <w:sz w:val="24"/>
        </w:rPr>
        <w:t xml:space="preserve"> </w:t>
      </w:r>
      <w:r w:rsidRPr="00400AF9">
        <w:rPr>
          <w:rFonts w:ascii="Times New Roman" w:hAnsi="Times New Roman"/>
          <w:sz w:val="24"/>
        </w:rPr>
        <w:t>Due to lower commodity gas cost</w:t>
      </w:r>
      <w:r w:rsidR="00420096" w:rsidRPr="00400AF9">
        <w:rPr>
          <w:rFonts w:ascii="Times New Roman" w:hAnsi="Times New Roman"/>
          <w:sz w:val="24"/>
        </w:rPr>
        <w:t>s</w:t>
      </w:r>
      <w:r w:rsidRPr="00400AF9">
        <w:rPr>
          <w:rFonts w:ascii="Times New Roman" w:hAnsi="Times New Roman"/>
          <w:sz w:val="24"/>
        </w:rPr>
        <w:t>, the company is proposing a</w:t>
      </w:r>
      <w:r w:rsidR="00400AF9" w:rsidRPr="00400AF9">
        <w:rPr>
          <w:rFonts w:ascii="Times New Roman" w:hAnsi="Times New Roman"/>
          <w:sz w:val="24"/>
        </w:rPr>
        <w:t xml:space="preserve"> revised</w:t>
      </w:r>
      <w:r w:rsidRPr="00400AF9">
        <w:rPr>
          <w:rFonts w:ascii="Times New Roman" w:hAnsi="Times New Roman"/>
          <w:sz w:val="24"/>
        </w:rPr>
        <w:t xml:space="preserve"> decrease of approximately $</w:t>
      </w:r>
      <w:r w:rsidR="00400AF9" w:rsidRPr="00400AF9">
        <w:rPr>
          <w:rFonts w:ascii="Times New Roman" w:hAnsi="Times New Roman"/>
          <w:sz w:val="24"/>
        </w:rPr>
        <w:t>20</w:t>
      </w:r>
      <w:r w:rsidR="00136D36" w:rsidRPr="00400AF9">
        <w:rPr>
          <w:rFonts w:ascii="Times New Roman" w:hAnsi="Times New Roman"/>
          <w:sz w:val="24"/>
        </w:rPr>
        <w:t>.</w:t>
      </w:r>
      <w:r w:rsidR="00400AF9">
        <w:rPr>
          <w:rFonts w:ascii="Times New Roman" w:hAnsi="Times New Roman"/>
          <w:sz w:val="24"/>
        </w:rPr>
        <w:t>661</w:t>
      </w:r>
      <w:r w:rsidRPr="00400AF9">
        <w:rPr>
          <w:rFonts w:ascii="Times New Roman" w:hAnsi="Times New Roman"/>
          <w:sz w:val="24"/>
        </w:rPr>
        <w:t xml:space="preserve"> million (</w:t>
      </w:r>
      <w:r w:rsidR="00136D36" w:rsidRPr="00400AF9">
        <w:rPr>
          <w:rFonts w:ascii="Times New Roman" w:hAnsi="Times New Roman"/>
          <w:sz w:val="24"/>
        </w:rPr>
        <w:t>-</w:t>
      </w:r>
      <w:r w:rsidR="00400AF9" w:rsidRPr="00400AF9">
        <w:rPr>
          <w:rFonts w:ascii="Times New Roman" w:hAnsi="Times New Roman"/>
          <w:sz w:val="24"/>
        </w:rPr>
        <w:t>2</w:t>
      </w:r>
      <w:r w:rsidR="00474076" w:rsidRPr="00400AF9">
        <w:rPr>
          <w:rFonts w:ascii="Times New Roman" w:hAnsi="Times New Roman"/>
          <w:sz w:val="24"/>
        </w:rPr>
        <w:t>.</w:t>
      </w:r>
      <w:r w:rsidR="00400AF9" w:rsidRPr="00400AF9">
        <w:rPr>
          <w:rFonts w:ascii="Times New Roman" w:hAnsi="Times New Roman"/>
          <w:sz w:val="24"/>
        </w:rPr>
        <w:t>3</w:t>
      </w:r>
      <w:r w:rsidRPr="00400AF9">
        <w:rPr>
          <w:rFonts w:ascii="Times New Roman" w:hAnsi="Times New Roman"/>
          <w:sz w:val="24"/>
        </w:rPr>
        <w:t xml:space="preserve"> percent) in annual revenue for this portion. </w:t>
      </w:r>
      <w:r w:rsidR="000F3DB5" w:rsidRPr="00400AF9">
        <w:rPr>
          <w:rFonts w:ascii="Times New Roman" w:hAnsi="Times New Roman"/>
          <w:sz w:val="24"/>
        </w:rPr>
        <w:t>PSE</w:t>
      </w:r>
      <w:r w:rsidRPr="00400AF9">
        <w:rPr>
          <w:rFonts w:ascii="Times New Roman" w:hAnsi="Times New Roman"/>
          <w:sz w:val="24"/>
        </w:rPr>
        <w:t>’s embedded</w:t>
      </w:r>
      <w:r w:rsidR="004D76A5">
        <w:rPr>
          <w:rFonts w:ascii="Times New Roman" w:hAnsi="Times New Roman"/>
          <w:sz w:val="24"/>
        </w:rPr>
        <w:t xml:space="preserve"> residential</w:t>
      </w:r>
      <w:r w:rsidRPr="00400AF9">
        <w:rPr>
          <w:rFonts w:ascii="Times New Roman" w:hAnsi="Times New Roman"/>
          <w:sz w:val="24"/>
        </w:rPr>
        <w:t xml:space="preserve"> </w:t>
      </w:r>
      <w:r w:rsidR="00B94F05" w:rsidRPr="00400AF9">
        <w:rPr>
          <w:rFonts w:ascii="Times New Roman" w:hAnsi="Times New Roman"/>
          <w:sz w:val="24"/>
        </w:rPr>
        <w:t>w</w:t>
      </w:r>
      <w:r w:rsidR="006A388D" w:rsidRPr="00400AF9">
        <w:rPr>
          <w:rFonts w:ascii="Times New Roman" w:hAnsi="Times New Roman"/>
          <w:sz w:val="24"/>
        </w:rPr>
        <w:t xml:space="preserve">eighted </w:t>
      </w:r>
      <w:r w:rsidR="00B94F05" w:rsidRPr="00400AF9">
        <w:rPr>
          <w:rFonts w:ascii="Times New Roman" w:hAnsi="Times New Roman"/>
          <w:sz w:val="24"/>
        </w:rPr>
        <w:t>a</w:t>
      </w:r>
      <w:r w:rsidR="006A388D" w:rsidRPr="00400AF9">
        <w:rPr>
          <w:rFonts w:ascii="Times New Roman" w:hAnsi="Times New Roman"/>
          <w:sz w:val="24"/>
        </w:rPr>
        <w:t xml:space="preserve">verage </w:t>
      </w:r>
      <w:r w:rsidR="00B94F05" w:rsidRPr="00400AF9">
        <w:rPr>
          <w:rFonts w:ascii="Times New Roman" w:hAnsi="Times New Roman"/>
          <w:sz w:val="24"/>
        </w:rPr>
        <w:t>c</w:t>
      </w:r>
      <w:r w:rsidR="006A388D" w:rsidRPr="00400AF9">
        <w:rPr>
          <w:rFonts w:ascii="Times New Roman" w:hAnsi="Times New Roman"/>
          <w:sz w:val="24"/>
        </w:rPr>
        <w:t xml:space="preserve">ost of </w:t>
      </w:r>
      <w:r w:rsidR="00B94F05" w:rsidRPr="00400AF9">
        <w:rPr>
          <w:rFonts w:ascii="Times New Roman" w:hAnsi="Times New Roman"/>
          <w:sz w:val="24"/>
        </w:rPr>
        <w:t>g</w:t>
      </w:r>
      <w:r w:rsidR="006A388D" w:rsidRPr="00400AF9">
        <w:rPr>
          <w:rFonts w:ascii="Times New Roman" w:hAnsi="Times New Roman"/>
          <w:sz w:val="24"/>
        </w:rPr>
        <w:t>as (</w:t>
      </w:r>
      <w:r w:rsidRPr="00400AF9">
        <w:rPr>
          <w:rFonts w:ascii="Times New Roman" w:hAnsi="Times New Roman"/>
          <w:sz w:val="24"/>
        </w:rPr>
        <w:t>WACOG</w:t>
      </w:r>
      <w:r w:rsidR="006A388D" w:rsidRPr="00400AF9">
        <w:rPr>
          <w:rFonts w:ascii="Times New Roman" w:hAnsi="Times New Roman"/>
          <w:sz w:val="24"/>
        </w:rPr>
        <w:t>)</w:t>
      </w:r>
      <w:r w:rsidR="00536629" w:rsidRPr="00400AF9">
        <w:rPr>
          <w:rFonts w:ascii="Times New Roman" w:hAnsi="Times New Roman"/>
          <w:sz w:val="24"/>
        </w:rPr>
        <w:t xml:space="preserve"> is $0.57</w:t>
      </w:r>
      <w:r w:rsidR="007E7F9F">
        <w:rPr>
          <w:rFonts w:ascii="Times New Roman" w:hAnsi="Times New Roman"/>
          <w:sz w:val="24"/>
        </w:rPr>
        <w:t>996</w:t>
      </w:r>
      <w:r w:rsidRPr="00400AF9">
        <w:rPr>
          <w:rFonts w:ascii="Times New Roman" w:hAnsi="Times New Roman"/>
          <w:sz w:val="24"/>
        </w:rPr>
        <w:t xml:space="preserve"> </w:t>
      </w:r>
      <w:r w:rsidRPr="004970DA">
        <w:rPr>
          <w:rFonts w:ascii="Times New Roman" w:hAnsi="Times New Roman"/>
          <w:sz w:val="24"/>
        </w:rPr>
        <w:t>per therm ($0.</w:t>
      </w:r>
      <w:r w:rsidR="00536629">
        <w:rPr>
          <w:rFonts w:ascii="Times New Roman" w:hAnsi="Times New Roman"/>
          <w:sz w:val="24"/>
        </w:rPr>
        <w:t>43770</w:t>
      </w:r>
      <w:r w:rsidRPr="004970DA">
        <w:rPr>
          <w:rFonts w:ascii="Times New Roman" w:hAnsi="Times New Roman"/>
          <w:sz w:val="24"/>
        </w:rPr>
        <w:t xml:space="preserve"> commodity and $0.1</w:t>
      </w:r>
      <w:r w:rsidR="007E7F9F">
        <w:rPr>
          <w:rFonts w:ascii="Times New Roman" w:hAnsi="Times New Roman"/>
          <w:sz w:val="24"/>
        </w:rPr>
        <w:t>4226</w:t>
      </w:r>
      <w:r w:rsidRPr="004970DA">
        <w:rPr>
          <w:rFonts w:ascii="Times New Roman" w:hAnsi="Times New Roman"/>
          <w:sz w:val="24"/>
        </w:rPr>
        <w:t xml:space="preserve"> firm demand</w:t>
      </w:r>
      <w:r w:rsidR="008E1357" w:rsidRPr="004970DA">
        <w:rPr>
          <w:rFonts w:ascii="Times New Roman" w:hAnsi="Times New Roman"/>
          <w:sz w:val="24"/>
        </w:rPr>
        <w:t xml:space="preserve">) </w:t>
      </w:r>
      <w:r w:rsidR="008E1357" w:rsidRPr="00400AF9">
        <w:rPr>
          <w:rFonts w:ascii="Times New Roman" w:hAnsi="Times New Roman"/>
          <w:sz w:val="24"/>
        </w:rPr>
        <w:t>and the proposed WACOG is $0.5</w:t>
      </w:r>
      <w:r w:rsidR="00B24E22" w:rsidRPr="00400AF9">
        <w:rPr>
          <w:rFonts w:ascii="Times New Roman" w:hAnsi="Times New Roman"/>
          <w:sz w:val="24"/>
        </w:rPr>
        <w:t>5</w:t>
      </w:r>
      <w:r w:rsidR="007E7F9F">
        <w:rPr>
          <w:rFonts w:ascii="Times New Roman" w:hAnsi="Times New Roman"/>
          <w:sz w:val="24"/>
        </w:rPr>
        <w:t>874</w:t>
      </w:r>
      <w:r w:rsidRPr="00400AF9">
        <w:rPr>
          <w:rFonts w:ascii="Times New Roman" w:hAnsi="Times New Roman"/>
          <w:sz w:val="24"/>
        </w:rPr>
        <w:t xml:space="preserve"> per therm ($0.4</w:t>
      </w:r>
      <w:r w:rsidR="00400AF9" w:rsidRPr="00400AF9">
        <w:rPr>
          <w:rFonts w:ascii="Times New Roman" w:hAnsi="Times New Roman"/>
          <w:sz w:val="24"/>
        </w:rPr>
        <w:t>0747</w:t>
      </w:r>
      <w:r w:rsidRPr="00400AF9">
        <w:rPr>
          <w:rFonts w:ascii="Times New Roman" w:hAnsi="Times New Roman"/>
          <w:sz w:val="24"/>
        </w:rPr>
        <w:t xml:space="preserve"> commodity and $0.1</w:t>
      </w:r>
      <w:r w:rsidR="007E7F9F">
        <w:rPr>
          <w:rFonts w:ascii="Times New Roman" w:hAnsi="Times New Roman"/>
          <w:sz w:val="24"/>
        </w:rPr>
        <w:t>5127</w:t>
      </w:r>
      <w:r w:rsidRPr="00400AF9">
        <w:rPr>
          <w:rFonts w:ascii="Times New Roman" w:hAnsi="Times New Roman"/>
          <w:sz w:val="24"/>
        </w:rPr>
        <w:t xml:space="preserve"> firm demand).</w:t>
      </w:r>
    </w:p>
    <w:p w14:paraId="04D5D158" w14:textId="77777777" w:rsidR="003B77FD" w:rsidRPr="00B24E22" w:rsidRDefault="003B77FD" w:rsidP="00FB2E5A">
      <w:pPr>
        <w:rPr>
          <w:rFonts w:ascii="Times New Roman" w:hAnsi="Times New Roman"/>
          <w:sz w:val="24"/>
        </w:rPr>
      </w:pPr>
    </w:p>
    <w:p w14:paraId="04D5D159" w14:textId="77777777" w:rsidR="00706239" w:rsidRDefault="00706239" w:rsidP="00706239">
      <w:pPr>
        <w:rPr>
          <w:rFonts w:ascii="Times New Roman" w:hAnsi="Times New Roman"/>
          <w:sz w:val="24"/>
        </w:rPr>
      </w:pPr>
      <w:r w:rsidRPr="00B24E22">
        <w:rPr>
          <w:rFonts w:ascii="Times New Roman" w:hAnsi="Times New Roman"/>
          <w:sz w:val="24"/>
        </w:rPr>
        <w:t xml:space="preserve">In arriving at an estimated commodity cost for the coming </w:t>
      </w:r>
      <w:r w:rsidRPr="00706239">
        <w:rPr>
          <w:rFonts w:ascii="Times New Roman" w:hAnsi="Times New Roman"/>
          <w:sz w:val="24"/>
        </w:rPr>
        <w:t xml:space="preserve">year, the company uses a variety of known and estimated inputs. Known inputs include volumes of gas to be delivered within the PGA year hedged at a fixed price, actual cost and volume of gas in storage, and the remaining expected load </w:t>
      </w:r>
      <w:r w:rsidR="00420096">
        <w:rPr>
          <w:rFonts w:ascii="Times New Roman" w:hAnsi="Times New Roman"/>
          <w:sz w:val="24"/>
        </w:rPr>
        <w:t xml:space="preserve">that will either be </w:t>
      </w:r>
      <w:r w:rsidRPr="00706239">
        <w:rPr>
          <w:rFonts w:ascii="Times New Roman" w:hAnsi="Times New Roman"/>
          <w:sz w:val="24"/>
        </w:rPr>
        <w:t>transacted at spot market prices or hedged at a fixed price</w:t>
      </w:r>
      <w:r w:rsidR="009B58B4">
        <w:rPr>
          <w:rFonts w:ascii="Times New Roman" w:hAnsi="Times New Roman"/>
          <w:sz w:val="24"/>
        </w:rPr>
        <w:t xml:space="preserve"> through financial instruments</w:t>
      </w:r>
      <w:r w:rsidRPr="0070623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706239">
        <w:rPr>
          <w:rFonts w:ascii="Times New Roman" w:hAnsi="Times New Roman"/>
          <w:sz w:val="24"/>
        </w:rPr>
        <w:t xml:space="preserve">Estimated inputs include </w:t>
      </w:r>
      <w:r w:rsidR="00420096">
        <w:rPr>
          <w:rFonts w:ascii="Times New Roman" w:hAnsi="Times New Roman"/>
          <w:sz w:val="24"/>
        </w:rPr>
        <w:t xml:space="preserve">the </w:t>
      </w:r>
      <w:r w:rsidRPr="00706239">
        <w:rPr>
          <w:rFonts w:ascii="Times New Roman" w:hAnsi="Times New Roman"/>
          <w:sz w:val="24"/>
        </w:rPr>
        <w:t>load for the PGA year, future spot</w:t>
      </w:r>
      <w:r w:rsidR="009B58B4">
        <w:rPr>
          <w:rFonts w:ascii="Times New Roman" w:hAnsi="Times New Roman"/>
          <w:sz w:val="24"/>
        </w:rPr>
        <w:t>/index</w:t>
      </w:r>
      <w:r w:rsidRPr="00706239">
        <w:rPr>
          <w:rFonts w:ascii="Times New Roman" w:hAnsi="Times New Roman"/>
          <w:sz w:val="24"/>
        </w:rPr>
        <w:t xml:space="preserve"> market prices</w:t>
      </w:r>
      <w:r w:rsidR="00420096">
        <w:rPr>
          <w:rFonts w:ascii="Times New Roman" w:hAnsi="Times New Roman"/>
          <w:sz w:val="24"/>
        </w:rPr>
        <w:t>,</w:t>
      </w:r>
      <w:r w:rsidRPr="00706239">
        <w:rPr>
          <w:rFonts w:ascii="Times New Roman" w:hAnsi="Times New Roman"/>
          <w:sz w:val="24"/>
        </w:rPr>
        <w:t xml:space="preserve"> and prices for financial hedges that will be transacted in, and for,</w:t>
      </w:r>
      <w:r>
        <w:rPr>
          <w:rFonts w:ascii="Times New Roman" w:hAnsi="Times New Roman"/>
          <w:sz w:val="24"/>
        </w:rPr>
        <w:t xml:space="preserve"> the PGA year.</w:t>
      </w:r>
    </w:p>
    <w:p w14:paraId="04D5D15A" w14:textId="77777777" w:rsidR="00280D8C" w:rsidRDefault="00280D8C" w:rsidP="00FB2E5A">
      <w:pPr>
        <w:rPr>
          <w:rFonts w:ascii="Times New Roman" w:hAnsi="Times New Roman"/>
          <w:sz w:val="24"/>
        </w:rPr>
      </w:pPr>
    </w:p>
    <w:p w14:paraId="04D5D15B" w14:textId="77777777" w:rsidR="00706239" w:rsidRDefault="00420096" w:rsidP="00FB2E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 uses the term</w:t>
      </w:r>
      <w:r w:rsidR="00280D8C" w:rsidRPr="00972BC9">
        <w:rPr>
          <w:rFonts w:ascii="Times New Roman" w:hAnsi="Times New Roman"/>
          <w:sz w:val="24"/>
        </w:rPr>
        <w:t xml:space="preserve"> </w:t>
      </w:r>
      <w:r w:rsidR="00280D8C">
        <w:rPr>
          <w:rFonts w:ascii="Times New Roman" w:hAnsi="Times New Roman"/>
          <w:sz w:val="24"/>
        </w:rPr>
        <w:t>“</w:t>
      </w:r>
      <w:r w:rsidR="00280D8C" w:rsidRPr="00972BC9">
        <w:rPr>
          <w:rFonts w:ascii="Times New Roman" w:hAnsi="Times New Roman"/>
          <w:sz w:val="24"/>
        </w:rPr>
        <w:t>hedg</w:t>
      </w:r>
      <w:r>
        <w:rPr>
          <w:rFonts w:ascii="Times New Roman" w:hAnsi="Times New Roman"/>
          <w:sz w:val="24"/>
        </w:rPr>
        <w:t>ing</w:t>
      </w:r>
      <w:r w:rsidR="00280D8C">
        <w:rPr>
          <w:rFonts w:ascii="Times New Roman" w:hAnsi="Times New Roman"/>
          <w:sz w:val="24"/>
        </w:rPr>
        <w:t>”</w:t>
      </w:r>
      <w:r w:rsidR="00280D8C" w:rsidRPr="0097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 w:rsidR="00280D8C" w:rsidRPr="00972BC9">
        <w:rPr>
          <w:rFonts w:ascii="Times New Roman" w:hAnsi="Times New Roman"/>
          <w:sz w:val="24"/>
        </w:rPr>
        <w:t xml:space="preserve"> refer to the conversion of a future supply contract at </w:t>
      </w:r>
      <w:r>
        <w:rPr>
          <w:rFonts w:ascii="Times New Roman" w:hAnsi="Times New Roman"/>
          <w:sz w:val="24"/>
        </w:rPr>
        <w:t xml:space="preserve">a </w:t>
      </w:r>
      <w:r w:rsidR="00280D8C" w:rsidRPr="00972BC9">
        <w:rPr>
          <w:rFonts w:ascii="Times New Roman" w:hAnsi="Times New Roman"/>
          <w:sz w:val="24"/>
        </w:rPr>
        <w:t>market price to a fixed price through the use of financial instruments</w:t>
      </w:r>
      <w:r w:rsidR="001724EB">
        <w:rPr>
          <w:rFonts w:ascii="Times New Roman" w:hAnsi="Times New Roman"/>
          <w:sz w:val="24"/>
        </w:rPr>
        <w:t>, including options</w:t>
      </w:r>
      <w:r w:rsidR="00280D8C" w:rsidRPr="00972BC9">
        <w:rPr>
          <w:rFonts w:ascii="Times New Roman" w:hAnsi="Times New Roman"/>
          <w:sz w:val="24"/>
        </w:rPr>
        <w:t>.</w:t>
      </w:r>
    </w:p>
    <w:p w14:paraId="04D5D15C" w14:textId="77777777" w:rsidR="00280D8C" w:rsidRPr="004970DA" w:rsidRDefault="00280D8C" w:rsidP="00FB2E5A">
      <w:pPr>
        <w:rPr>
          <w:rFonts w:ascii="Times New Roman" w:hAnsi="Times New Roman"/>
          <w:sz w:val="24"/>
        </w:rPr>
      </w:pPr>
    </w:p>
    <w:p w14:paraId="04D5D15D" w14:textId="77777777" w:rsidR="009B58B4" w:rsidRPr="00EF46DD" w:rsidRDefault="00C140CB" w:rsidP="00025483">
      <w:pPr>
        <w:pStyle w:val="Heading2"/>
      </w:pPr>
      <w:r w:rsidRPr="00EF46DD">
        <w:t xml:space="preserve">Deferral </w:t>
      </w:r>
      <w:r w:rsidR="009B58B4" w:rsidRPr="00EF46DD">
        <w:t>Gas Cost</w:t>
      </w:r>
    </w:p>
    <w:p w14:paraId="04D5D15E" w14:textId="77777777" w:rsidR="00573514" w:rsidRDefault="00FB2E5A" w:rsidP="00573514">
      <w:pPr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 xml:space="preserve">The Deferral reflects balances in Account 191 </w:t>
      </w:r>
      <w:r w:rsidR="00942041">
        <w:rPr>
          <w:rFonts w:ascii="Times New Roman" w:hAnsi="Times New Roman"/>
          <w:sz w:val="24"/>
        </w:rPr>
        <w:t xml:space="preserve">that result </w:t>
      </w:r>
      <w:r w:rsidR="00942041" w:rsidRPr="004970DA">
        <w:rPr>
          <w:rFonts w:ascii="Times New Roman" w:hAnsi="Times New Roman"/>
          <w:sz w:val="24"/>
        </w:rPr>
        <w:t xml:space="preserve">from the difference between </w:t>
      </w:r>
      <w:r w:rsidR="00942041">
        <w:rPr>
          <w:rFonts w:ascii="Times New Roman" w:hAnsi="Times New Roman"/>
          <w:sz w:val="24"/>
        </w:rPr>
        <w:t xml:space="preserve">the </w:t>
      </w:r>
      <w:r w:rsidR="00942041" w:rsidRPr="004970DA">
        <w:rPr>
          <w:rFonts w:ascii="Times New Roman" w:hAnsi="Times New Roman"/>
          <w:sz w:val="24"/>
        </w:rPr>
        <w:t xml:space="preserve">actual gas costs incurred and </w:t>
      </w:r>
      <w:r w:rsidR="00942041">
        <w:rPr>
          <w:rFonts w:ascii="Times New Roman" w:hAnsi="Times New Roman"/>
          <w:sz w:val="24"/>
        </w:rPr>
        <w:t xml:space="preserve">the </w:t>
      </w:r>
      <w:r w:rsidR="00942041" w:rsidRPr="004970DA">
        <w:rPr>
          <w:rFonts w:ascii="Times New Roman" w:hAnsi="Times New Roman"/>
          <w:sz w:val="24"/>
        </w:rPr>
        <w:t xml:space="preserve">gas costs projected </w:t>
      </w:r>
      <w:r w:rsidRPr="004970DA">
        <w:rPr>
          <w:rFonts w:ascii="Times New Roman" w:hAnsi="Times New Roman"/>
          <w:sz w:val="24"/>
        </w:rPr>
        <w:t>for the period of November 201</w:t>
      </w:r>
      <w:r w:rsidR="00536629">
        <w:rPr>
          <w:rFonts w:ascii="Times New Roman" w:hAnsi="Times New Roman"/>
          <w:sz w:val="24"/>
        </w:rPr>
        <w:t>2</w:t>
      </w:r>
      <w:r w:rsidRPr="004970DA">
        <w:rPr>
          <w:rFonts w:ascii="Times New Roman" w:hAnsi="Times New Roman"/>
          <w:sz w:val="24"/>
        </w:rPr>
        <w:t xml:space="preserve"> to </w:t>
      </w:r>
      <w:r w:rsidR="004970DA" w:rsidRPr="004970DA">
        <w:rPr>
          <w:rFonts w:ascii="Times New Roman" w:hAnsi="Times New Roman"/>
          <w:sz w:val="24"/>
        </w:rPr>
        <w:t xml:space="preserve">October </w:t>
      </w:r>
      <w:r w:rsidRPr="004970DA">
        <w:rPr>
          <w:rFonts w:ascii="Times New Roman" w:hAnsi="Times New Roman"/>
          <w:sz w:val="24"/>
        </w:rPr>
        <w:t>201</w:t>
      </w:r>
      <w:r w:rsidR="00536629">
        <w:rPr>
          <w:rFonts w:ascii="Times New Roman" w:hAnsi="Times New Roman"/>
          <w:sz w:val="24"/>
        </w:rPr>
        <w:t>3</w:t>
      </w:r>
      <w:r w:rsidR="00942041">
        <w:rPr>
          <w:rFonts w:ascii="Times New Roman" w:hAnsi="Times New Roman"/>
          <w:sz w:val="24"/>
        </w:rPr>
        <w:t>.</w:t>
      </w:r>
      <w:r w:rsidR="00F43C68">
        <w:rPr>
          <w:rFonts w:ascii="Times New Roman" w:hAnsi="Times New Roman"/>
          <w:sz w:val="24"/>
        </w:rPr>
        <w:t xml:space="preserve"> </w:t>
      </w:r>
      <w:r w:rsidRPr="004970DA">
        <w:rPr>
          <w:rFonts w:ascii="Times New Roman" w:hAnsi="Times New Roman"/>
          <w:sz w:val="24"/>
        </w:rPr>
        <w:t xml:space="preserve">Actual gas costs were </w:t>
      </w:r>
      <w:r w:rsidR="00477AF0" w:rsidRPr="002276ED">
        <w:rPr>
          <w:rFonts w:ascii="Times New Roman" w:hAnsi="Times New Roman"/>
          <w:sz w:val="24"/>
        </w:rPr>
        <w:t>higher</w:t>
      </w:r>
      <w:r w:rsidRPr="002276ED">
        <w:rPr>
          <w:rFonts w:ascii="Times New Roman" w:hAnsi="Times New Roman"/>
          <w:sz w:val="24"/>
        </w:rPr>
        <w:t xml:space="preserve"> than projected by </w:t>
      </w:r>
      <w:r w:rsidRPr="00400AF9">
        <w:rPr>
          <w:rFonts w:ascii="Times New Roman" w:hAnsi="Times New Roman"/>
          <w:sz w:val="24"/>
        </w:rPr>
        <w:t>approximately $</w:t>
      </w:r>
      <w:r w:rsidR="001E1FC2" w:rsidRPr="00400AF9">
        <w:rPr>
          <w:rFonts w:ascii="Times New Roman" w:hAnsi="Times New Roman"/>
          <w:sz w:val="24"/>
        </w:rPr>
        <w:t>2</w:t>
      </w:r>
      <w:r w:rsidR="00400AF9" w:rsidRPr="00400AF9">
        <w:rPr>
          <w:rFonts w:ascii="Times New Roman" w:hAnsi="Times New Roman"/>
          <w:sz w:val="24"/>
        </w:rPr>
        <w:t>4</w:t>
      </w:r>
      <w:r w:rsidR="001E1FC2" w:rsidRPr="00400AF9">
        <w:rPr>
          <w:rFonts w:ascii="Times New Roman" w:hAnsi="Times New Roman"/>
          <w:sz w:val="24"/>
        </w:rPr>
        <w:t>.</w:t>
      </w:r>
      <w:r w:rsidR="00400AF9" w:rsidRPr="00400AF9">
        <w:rPr>
          <w:rFonts w:ascii="Times New Roman" w:hAnsi="Times New Roman"/>
          <w:sz w:val="24"/>
        </w:rPr>
        <w:t>6</w:t>
      </w:r>
      <w:r w:rsidR="00400AF9">
        <w:rPr>
          <w:rFonts w:ascii="Times New Roman" w:hAnsi="Times New Roman"/>
          <w:sz w:val="24"/>
        </w:rPr>
        <w:t>16</w:t>
      </w:r>
      <w:r w:rsidR="001E1FC2" w:rsidRPr="00400AF9">
        <w:rPr>
          <w:rFonts w:ascii="Times New Roman" w:hAnsi="Times New Roman"/>
          <w:sz w:val="24"/>
        </w:rPr>
        <w:t xml:space="preserve"> million (</w:t>
      </w:r>
      <w:r w:rsidR="00400AF9" w:rsidRPr="00400AF9">
        <w:rPr>
          <w:rFonts w:ascii="Times New Roman" w:hAnsi="Times New Roman"/>
          <w:sz w:val="24"/>
        </w:rPr>
        <w:t>2</w:t>
      </w:r>
      <w:r w:rsidR="00477AF0" w:rsidRPr="00400AF9">
        <w:rPr>
          <w:rFonts w:ascii="Times New Roman" w:hAnsi="Times New Roman"/>
          <w:sz w:val="24"/>
        </w:rPr>
        <w:t>.</w:t>
      </w:r>
      <w:r w:rsidR="00400AF9" w:rsidRPr="00400AF9">
        <w:rPr>
          <w:rFonts w:ascii="Times New Roman" w:hAnsi="Times New Roman"/>
          <w:sz w:val="24"/>
        </w:rPr>
        <w:t>7</w:t>
      </w:r>
      <w:r w:rsidR="001E1FC2" w:rsidRPr="00400AF9">
        <w:rPr>
          <w:rFonts w:ascii="Times New Roman" w:hAnsi="Times New Roman"/>
          <w:sz w:val="24"/>
        </w:rPr>
        <w:t xml:space="preserve"> percent)</w:t>
      </w:r>
      <w:r w:rsidR="00942041" w:rsidRPr="00400AF9">
        <w:rPr>
          <w:rFonts w:ascii="Times New Roman" w:hAnsi="Times New Roman"/>
          <w:sz w:val="24"/>
        </w:rPr>
        <w:t>, which</w:t>
      </w:r>
      <w:r w:rsidRPr="00400AF9">
        <w:rPr>
          <w:rFonts w:ascii="Times New Roman" w:hAnsi="Times New Roman"/>
          <w:sz w:val="24"/>
        </w:rPr>
        <w:t xml:space="preserve"> </w:t>
      </w:r>
      <w:r w:rsidRPr="002276ED">
        <w:rPr>
          <w:rFonts w:ascii="Times New Roman" w:hAnsi="Times New Roman"/>
          <w:sz w:val="24"/>
        </w:rPr>
        <w:t>requir</w:t>
      </w:r>
      <w:r w:rsidR="00942041">
        <w:rPr>
          <w:rFonts w:ascii="Times New Roman" w:hAnsi="Times New Roman"/>
          <w:sz w:val="24"/>
        </w:rPr>
        <w:t>es</w:t>
      </w:r>
      <w:r w:rsidRPr="002276ED">
        <w:rPr>
          <w:rFonts w:ascii="Times New Roman" w:hAnsi="Times New Roman"/>
          <w:sz w:val="24"/>
        </w:rPr>
        <w:t xml:space="preserve"> a</w:t>
      </w:r>
      <w:r w:rsidR="00477AF0" w:rsidRPr="002276ED">
        <w:rPr>
          <w:rFonts w:ascii="Times New Roman" w:hAnsi="Times New Roman"/>
          <w:sz w:val="24"/>
        </w:rPr>
        <w:t>n</w:t>
      </w:r>
      <w:r w:rsidRPr="002276ED">
        <w:rPr>
          <w:rFonts w:ascii="Times New Roman" w:hAnsi="Times New Roman"/>
          <w:sz w:val="24"/>
        </w:rPr>
        <w:t xml:space="preserve"> </w:t>
      </w:r>
      <w:r w:rsidR="00477AF0" w:rsidRPr="002276ED">
        <w:rPr>
          <w:rFonts w:ascii="Times New Roman" w:hAnsi="Times New Roman"/>
          <w:sz w:val="24"/>
        </w:rPr>
        <w:t>in</w:t>
      </w:r>
      <w:r w:rsidRPr="002276ED">
        <w:rPr>
          <w:rFonts w:ascii="Times New Roman" w:hAnsi="Times New Roman"/>
          <w:sz w:val="24"/>
        </w:rPr>
        <w:t xml:space="preserve">crease in annual </w:t>
      </w:r>
      <w:r w:rsidRPr="004970DA">
        <w:rPr>
          <w:rFonts w:ascii="Times New Roman" w:hAnsi="Times New Roman"/>
          <w:sz w:val="24"/>
        </w:rPr>
        <w:t>revenue.</w:t>
      </w:r>
    </w:p>
    <w:p w14:paraId="04D5D15F" w14:textId="77777777" w:rsidR="00972BC9" w:rsidRDefault="00972BC9" w:rsidP="00573514">
      <w:pPr>
        <w:rPr>
          <w:rFonts w:ascii="Times New Roman" w:hAnsi="Times New Roman"/>
          <w:sz w:val="24"/>
        </w:rPr>
      </w:pPr>
    </w:p>
    <w:p w14:paraId="04D5D160" w14:textId="77777777" w:rsidR="006A4FF8" w:rsidRPr="00EF46DD" w:rsidRDefault="00536629" w:rsidP="00025483">
      <w:pPr>
        <w:pStyle w:val="Heading2"/>
      </w:pPr>
      <w:r>
        <w:t>Financial Hedging Costs</w:t>
      </w:r>
    </w:p>
    <w:p w14:paraId="04D5D161" w14:textId="77777777" w:rsidR="00280D8C" w:rsidRDefault="00280D8C" w:rsidP="006A4FF8">
      <w:pPr>
        <w:rPr>
          <w:rFonts w:ascii="Times New Roman" w:hAnsi="Times New Roman"/>
          <w:sz w:val="24"/>
        </w:rPr>
      </w:pPr>
      <w:r w:rsidRPr="00972BC9">
        <w:rPr>
          <w:rFonts w:ascii="Times New Roman" w:hAnsi="Times New Roman"/>
          <w:sz w:val="24"/>
        </w:rPr>
        <w:t xml:space="preserve">Financial instruments known as hedges have the </w:t>
      </w:r>
      <w:r w:rsidRPr="00353151">
        <w:rPr>
          <w:rFonts w:ascii="Times New Roman" w:hAnsi="Times New Roman"/>
          <w:sz w:val="24"/>
        </w:rPr>
        <w:t>potential</w:t>
      </w:r>
      <w:r w:rsidRPr="00942041">
        <w:rPr>
          <w:rFonts w:ascii="Times New Roman" w:hAnsi="Times New Roman"/>
          <w:sz w:val="24"/>
        </w:rPr>
        <w:t xml:space="preserve"> </w:t>
      </w:r>
      <w:r w:rsidRPr="00972BC9">
        <w:rPr>
          <w:rFonts w:ascii="Times New Roman" w:hAnsi="Times New Roman"/>
          <w:sz w:val="24"/>
        </w:rPr>
        <w:t xml:space="preserve">to mitigate </w:t>
      </w:r>
      <w:r w:rsidR="00942041">
        <w:rPr>
          <w:rFonts w:ascii="Times New Roman" w:hAnsi="Times New Roman"/>
          <w:sz w:val="24"/>
        </w:rPr>
        <w:t xml:space="preserve">the </w:t>
      </w:r>
      <w:r w:rsidRPr="00972BC9">
        <w:rPr>
          <w:rFonts w:ascii="Times New Roman" w:hAnsi="Times New Roman"/>
          <w:sz w:val="24"/>
        </w:rPr>
        <w:t>risk of rising natural gas prices by locking in an assumed low fixed price now. However, in a declining</w:t>
      </w:r>
      <w:r>
        <w:rPr>
          <w:rFonts w:ascii="Times New Roman" w:hAnsi="Times New Roman"/>
          <w:sz w:val="24"/>
        </w:rPr>
        <w:t xml:space="preserve"> or slowly inclining</w:t>
      </w:r>
      <w:r w:rsidRPr="00972BC9">
        <w:rPr>
          <w:rFonts w:ascii="Times New Roman" w:hAnsi="Times New Roman"/>
          <w:sz w:val="24"/>
        </w:rPr>
        <w:t xml:space="preserve"> natural gas price environment, financial hedging ha</w:t>
      </w:r>
      <w:r w:rsidR="00942041">
        <w:rPr>
          <w:rFonts w:ascii="Times New Roman" w:hAnsi="Times New Roman"/>
          <w:sz w:val="24"/>
        </w:rPr>
        <w:t>ve</w:t>
      </w:r>
      <w:r w:rsidRPr="00972BC9">
        <w:rPr>
          <w:rFonts w:ascii="Times New Roman" w:hAnsi="Times New Roman"/>
          <w:sz w:val="24"/>
        </w:rPr>
        <w:t xml:space="preserve"> the </w:t>
      </w:r>
      <w:r w:rsidRPr="00353151">
        <w:rPr>
          <w:rFonts w:ascii="Times New Roman" w:hAnsi="Times New Roman"/>
          <w:sz w:val="24"/>
        </w:rPr>
        <w:t>potential</w:t>
      </w:r>
      <w:r w:rsidRPr="00942041">
        <w:rPr>
          <w:rFonts w:ascii="Times New Roman" w:hAnsi="Times New Roman"/>
          <w:sz w:val="24"/>
        </w:rPr>
        <w:t xml:space="preserve"> </w:t>
      </w:r>
      <w:r w:rsidRPr="00972BC9">
        <w:rPr>
          <w:rFonts w:ascii="Times New Roman" w:hAnsi="Times New Roman"/>
          <w:sz w:val="24"/>
        </w:rPr>
        <w:t>to lock in “above market” prices for gas customers.</w:t>
      </w:r>
      <w:r>
        <w:rPr>
          <w:rFonts w:ascii="Times New Roman" w:hAnsi="Times New Roman"/>
          <w:sz w:val="24"/>
        </w:rPr>
        <w:t xml:space="preserve"> </w:t>
      </w:r>
      <w:r w:rsidR="00942041">
        <w:rPr>
          <w:rFonts w:ascii="Times New Roman" w:hAnsi="Times New Roman"/>
          <w:sz w:val="24"/>
        </w:rPr>
        <w:t>In either case, both t</w:t>
      </w:r>
      <w:r w:rsidRPr="00280D8C">
        <w:rPr>
          <w:rFonts w:ascii="Times New Roman" w:hAnsi="Times New Roman"/>
          <w:sz w:val="24"/>
        </w:rPr>
        <w:t xml:space="preserve">he </w:t>
      </w:r>
      <w:r w:rsidR="006A4FF8" w:rsidRPr="00280D8C">
        <w:rPr>
          <w:rFonts w:ascii="Times New Roman" w:hAnsi="Times New Roman"/>
          <w:sz w:val="24"/>
        </w:rPr>
        <w:t>actual spot/index market prices</w:t>
      </w:r>
      <w:r w:rsidR="00942041">
        <w:rPr>
          <w:rFonts w:ascii="Times New Roman" w:hAnsi="Times New Roman"/>
          <w:sz w:val="24"/>
        </w:rPr>
        <w:t xml:space="preserve"> and</w:t>
      </w:r>
      <w:r w:rsidR="006A4FF8" w:rsidRPr="00280D8C">
        <w:rPr>
          <w:rFonts w:ascii="Times New Roman" w:hAnsi="Times New Roman"/>
          <w:sz w:val="24"/>
        </w:rPr>
        <w:t xml:space="preserve"> </w:t>
      </w:r>
      <w:r w:rsidR="00942041">
        <w:rPr>
          <w:rFonts w:ascii="Times New Roman" w:hAnsi="Times New Roman"/>
          <w:sz w:val="24"/>
        </w:rPr>
        <w:t xml:space="preserve">the </w:t>
      </w:r>
      <w:r w:rsidR="006A4FF8" w:rsidRPr="00280D8C">
        <w:rPr>
          <w:rFonts w:ascii="Times New Roman" w:hAnsi="Times New Roman"/>
          <w:sz w:val="24"/>
        </w:rPr>
        <w:t>financial hedging costs</w:t>
      </w:r>
      <w:r w:rsidR="00942041">
        <w:rPr>
          <w:rFonts w:ascii="Times New Roman" w:hAnsi="Times New Roman"/>
          <w:sz w:val="24"/>
        </w:rPr>
        <w:t xml:space="preserve"> are passed on to ratepayers, where </w:t>
      </w:r>
      <w:r w:rsidR="006A4FF8" w:rsidRPr="00280D8C">
        <w:rPr>
          <w:rFonts w:ascii="Times New Roman" w:hAnsi="Times New Roman"/>
          <w:sz w:val="24"/>
        </w:rPr>
        <w:t>the percentage of volumes hedged</w:t>
      </w:r>
      <w:r w:rsidR="00942041">
        <w:rPr>
          <w:rFonts w:ascii="Times New Roman" w:hAnsi="Times New Roman"/>
          <w:sz w:val="24"/>
        </w:rPr>
        <w:t xml:space="preserve"> is an important component in determining the cost of hedging.</w:t>
      </w:r>
    </w:p>
    <w:p w14:paraId="04D5D162" w14:textId="77777777" w:rsidR="00280D8C" w:rsidRPr="00AE587E" w:rsidRDefault="00280D8C" w:rsidP="006A4FF8">
      <w:pPr>
        <w:rPr>
          <w:rFonts w:ascii="Times New Roman" w:hAnsi="Times New Roman"/>
          <w:sz w:val="24"/>
        </w:rPr>
      </w:pPr>
    </w:p>
    <w:p w14:paraId="04D5D163" w14:textId="77777777" w:rsidR="006A4FF8" w:rsidRPr="00AE587E" w:rsidRDefault="006A4FF8" w:rsidP="006A4FF8">
      <w:pPr>
        <w:rPr>
          <w:rFonts w:ascii="Times New Roman" w:hAnsi="Times New Roman"/>
          <w:sz w:val="24"/>
        </w:rPr>
      </w:pPr>
      <w:r w:rsidRPr="00AE587E">
        <w:rPr>
          <w:rFonts w:ascii="Times New Roman" w:hAnsi="Times New Roman"/>
          <w:sz w:val="24"/>
        </w:rPr>
        <w:t>Th</w:t>
      </w:r>
      <w:r w:rsidR="00F2778F" w:rsidRPr="00AE587E">
        <w:rPr>
          <w:rFonts w:ascii="Times New Roman" w:hAnsi="Times New Roman"/>
          <w:sz w:val="24"/>
        </w:rPr>
        <w:t>is</w:t>
      </w:r>
      <w:r w:rsidRPr="00AE587E">
        <w:rPr>
          <w:rFonts w:ascii="Times New Roman" w:hAnsi="Times New Roman"/>
          <w:sz w:val="24"/>
        </w:rPr>
        <w:t xml:space="preserve"> </w:t>
      </w:r>
      <w:r w:rsidR="00536629" w:rsidRPr="00AE587E">
        <w:rPr>
          <w:rFonts w:ascii="Times New Roman" w:hAnsi="Times New Roman"/>
          <w:sz w:val="24"/>
        </w:rPr>
        <w:t xml:space="preserve">past </w:t>
      </w:r>
      <w:r w:rsidRPr="00AE587E">
        <w:rPr>
          <w:rFonts w:ascii="Times New Roman" w:hAnsi="Times New Roman"/>
          <w:sz w:val="24"/>
        </w:rPr>
        <w:t>year ha</w:t>
      </w:r>
      <w:r w:rsidR="00536629" w:rsidRPr="00AE587E">
        <w:rPr>
          <w:rFonts w:ascii="Times New Roman" w:hAnsi="Times New Roman"/>
          <w:sz w:val="24"/>
        </w:rPr>
        <w:t>s</w:t>
      </w:r>
      <w:r w:rsidRPr="00AE587E">
        <w:rPr>
          <w:rFonts w:ascii="Times New Roman" w:hAnsi="Times New Roman"/>
          <w:sz w:val="24"/>
        </w:rPr>
        <w:t xml:space="preserve"> seen a </w:t>
      </w:r>
      <w:r w:rsidR="00536629" w:rsidRPr="00AE587E">
        <w:rPr>
          <w:rFonts w:ascii="Times New Roman" w:hAnsi="Times New Roman"/>
          <w:sz w:val="24"/>
        </w:rPr>
        <w:t>steady in</w:t>
      </w:r>
      <w:r w:rsidRPr="00AE587E">
        <w:rPr>
          <w:rFonts w:ascii="Times New Roman" w:hAnsi="Times New Roman"/>
          <w:sz w:val="24"/>
        </w:rPr>
        <w:t xml:space="preserve">cline in </w:t>
      </w:r>
      <w:r w:rsidRPr="00312FE6">
        <w:rPr>
          <w:rFonts w:ascii="Times New Roman" w:hAnsi="Times New Roman"/>
          <w:sz w:val="24"/>
        </w:rPr>
        <w:t>natural gas prices</w:t>
      </w:r>
      <w:r w:rsidR="00B37B17" w:rsidRPr="00312FE6">
        <w:rPr>
          <w:rFonts w:ascii="Times New Roman" w:hAnsi="Times New Roman"/>
          <w:sz w:val="24"/>
        </w:rPr>
        <w:t xml:space="preserve"> year-over-year</w:t>
      </w:r>
      <w:r w:rsidR="00942041" w:rsidRPr="00312FE6">
        <w:rPr>
          <w:rFonts w:ascii="Times New Roman" w:hAnsi="Times New Roman"/>
          <w:sz w:val="24"/>
        </w:rPr>
        <w:t>.</w:t>
      </w:r>
      <w:r w:rsidR="00873905" w:rsidRPr="00312FE6">
        <w:rPr>
          <w:rFonts w:ascii="Times New Roman" w:hAnsi="Times New Roman"/>
          <w:sz w:val="24"/>
        </w:rPr>
        <w:t xml:space="preserve"> </w:t>
      </w:r>
      <w:r w:rsidR="00942041" w:rsidRPr="00312FE6">
        <w:rPr>
          <w:rFonts w:ascii="Times New Roman" w:hAnsi="Times New Roman"/>
          <w:sz w:val="24"/>
        </w:rPr>
        <w:t>The fixed prices locked in by PSE</w:t>
      </w:r>
      <w:r w:rsidR="00873905" w:rsidRPr="00312FE6">
        <w:rPr>
          <w:rFonts w:ascii="Times New Roman" w:hAnsi="Times New Roman"/>
          <w:sz w:val="24"/>
        </w:rPr>
        <w:t xml:space="preserve"> </w:t>
      </w:r>
      <w:r w:rsidR="00397FC9" w:rsidRPr="00312FE6">
        <w:rPr>
          <w:rFonts w:ascii="Times New Roman" w:hAnsi="Times New Roman"/>
          <w:sz w:val="24"/>
        </w:rPr>
        <w:t xml:space="preserve">resulted in </w:t>
      </w:r>
      <w:r w:rsidR="00942041" w:rsidRPr="00312FE6">
        <w:rPr>
          <w:rFonts w:ascii="Times New Roman" w:hAnsi="Times New Roman"/>
          <w:sz w:val="24"/>
        </w:rPr>
        <w:t xml:space="preserve">a total cost of </w:t>
      </w:r>
      <w:r w:rsidR="00397FC9" w:rsidRPr="00312FE6">
        <w:rPr>
          <w:rFonts w:ascii="Times New Roman" w:hAnsi="Times New Roman"/>
          <w:sz w:val="24"/>
        </w:rPr>
        <w:t>$</w:t>
      </w:r>
      <w:r w:rsidR="00556C01" w:rsidRPr="00312FE6">
        <w:rPr>
          <w:rFonts w:ascii="Times New Roman" w:hAnsi="Times New Roman"/>
          <w:sz w:val="24"/>
        </w:rPr>
        <w:t>7</w:t>
      </w:r>
      <w:r w:rsidR="00C00B7C" w:rsidRPr="00312FE6">
        <w:rPr>
          <w:rFonts w:ascii="Times New Roman" w:hAnsi="Times New Roman"/>
          <w:sz w:val="24"/>
        </w:rPr>
        <w:t>6</w:t>
      </w:r>
      <w:r w:rsidR="00556C01" w:rsidRPr="00312FE6">
        <w:rPr>
          <w:rFonts w:ascii="Times New Roman" w:hAnsi="Times New Roman"/>
          <w:sz w:val="24"/>
        </w:rPr>
        <w:t>.</w:t>
      </w:r>
      <w:r w:rsidR="00C00B7C" w:rsidRPr="00312FE6">
        <w:rPr>
          <w:rFonts w:ascii="Times New Roman" w:hAnsi="Times New Roman"/>
          <w:sz w:val="24"/>
        </w:rPr>
        <w:t>84</w:t>
      </w:r>
      <w:r w:rsidR="00397FC9" w:rsidRPr="00312FE6">
        <w:rPr>
          <w:rFonts w:ascii="Times New Roman" w:hAnsi="Times New Roman"/>
          <w:sz w:val="24"/>
        </w:rPr>
        <w:t xml:space="preserve"> million</w:t>
      </w:r>
      <w:r w:rsidR="00942041" w:rsidRPr="00312FE6">
        <w:rPr>
          <w:rFonts w:ascii="Times New Roman" w:hAnsi="Times New Roman"/>
          <w:sz w:val="24"/>
        </w:rPr>
        <w:t xml:space="preserve"> above spot prices</w:t>
      </w:r>
      <w:r w:rsidR="00397FC9" w:rsidRPr="00312FE6">
        <w:rPr>
          <w:rFonts w:ascii="Times New Roman" w:hAnsi="Times New Roman"/>
          <w:sz w:val="24"/>
        </w:rPr>
        <w:t xml:space="preserve">. </w:t>
      </w:r>
      <w:r w:rsidRPr="00312FE6">
        <w:rPr>
          <w:rFonts w:ascii="Times New Roman" w:hAnsi="Times New Roman"/>
          <w:sz w:val="24"/>
        </w:rPr>
        <w:t xml:space="preserve">Commission staff </w:t>
      </w:r>
      <w:r w:rsidR="00942041" w:rsidRPr="00312FE6">
        <w:rPr>
          <w:rFonts w:ascii="Times New Roman" w:hAnsi="Times New Roman"/>
          <w:sz w:val="24"/>
        </w:rPr>
        <w:t>does</w:t>
      </w:r>
      <w:r w:rsidRPr="00312FE6">
        <w:rPr>
          <w:rFonts w:ascii="Times New Roman" w:hAnsi="Times New Roman"/>
          <w:sz w:val="24"/>
        </w:rPr>
        <w:t xml:space="preserve"> not pre-determine prudency, or lack thereof, for </w:t>
      </w:r>
      <w:r w:rsidR="00942041" w:rsidRPr="00312FE6">
        <w:rPr>
          <w:rFonts w:ascii="Times New Roman" w:hAnsi="Times New Roman"/>
          <w:sz w:val="24"/>
        </w:rPr>
        <w:t xml:space="preserve">the cost of </w:t>
      </w:r>
      <w:r w:rsidR="00397FC9" w:rsidRPr="00312FE6">
        <w:rPr>
          <w:rFonts w:ascii="Times New Roman" w:hAnsi="Times New Roman"/>
          <w:sz w:val="24"/>
        </w:rPr>
        <w:t xml:space="preserve">PSE’s </w:t>
      </w:r>
      <w:r w:rsidRPr="00312FE6">
        <w:rPr>
          <w:rFonts w:ascii="Times New Roman" w:hAnsi="Times New Roman"/>
          <w:sz w:val="24"/>
        </w:rPr>
        <w:t xml:space="preserve">natural </w:t>
      </w:r>
      <w:r w:rsidRPr="00AE587E">
        <w:rPr>
          <w:rFonts w:ascii="Times New Roman" w:hAnsi="Times New Roman"/>
          <w:sz w:val="24"/>
        </w:rPr>
        <w:t xml:space="preserve">gas </w:t>
      </w:r>
      <w:r w:rsidR="00397FC9" w:rsidRPr="00AE587E">
        <w:rPr>
          <w:rFonts w:ascii="Times New Roman" w:hAnsi="Times New Roman"/>
          <w:sz w:val="24"/>
        </w:rPr>
        <w:t>operations</w:t>
      </w:r>
      <w:r w:rsidR="00942041">
        <w:rPr>
          <w:rFonts w:ascii="Times New Roman" w:hAnsi="Times New Roman"/>
          <w:sz w:val="24"/>
        </w:rPr>
        <w:t xml:space="preserve"> as </w:t>
      </w:r>
      <w:r w:rsidR="00942041">
        <w:rPr>
          <w:rFonts w:ascii="Times New Roman" w:hAnsi="Times New Roman"/>
          <w:sz w:val="24"/>
        </w:rPr>
        <w:lastRenderedPageBreak/>
        <w:t>reflect</w:t>
      </w:r>
      <w:r w:rsidR="00F565EB">
        <w:rPr>
          <w:rFonts w:ascii="Times New Roman" w:hAnsi="Times New Roman"/>
          <w:sz w:val="24"/>
        </w:rPr>
        <w:t>ed</w:t>
      </w:r>
      <w:r w:rsidR="00942041">
        <w:rPr>
          <w:rFonts w:ascii="Times New Roman" w:hAnsi="Times New Roman"/>
          <w:sz w:val="24"/>
        </w:rPr>
        <w:t xml:space="preserve"> in the PGA mechanism.</w:t>
      </w:r>
      <w:r w:rsidR="00353151">
        <w:rPr>
          <w:rFonts w:ascii="Times New Roman" w:hAnsi="Times New Roman"/>
          <w:sz w:val="24"/>
        </w:rPr>
        <w:t xml:space="preserve"> </w:t>
      </w:r>
      <w:r w:rsidR="00942041">
        <w:rPr>
          <w:rFonts w:ascii="Times New Roman" w:hAnsi="Times New Roman"/>
          <w:sz w:val="24"/>
        </w:rPr>
        <w:t>I</w:t>
      </w:r>
      <w:r w:rsidRPr="00AE587E">
        <w:rPr>
          <w:rFonts w:ascii="Times New Roman" w:hAnsi="Times New Roman"/>
          <w:sz w:val="24"/>
        </w:rPr>
        <w:t xml:space="preserve">t should </w:t>
      </w:r>
      <w:r w:rsidR="00942041">
        <w:rPr>
          <w:rFonts w:ascii="Times New Roman" w:hAnsi="Times New Roman"/>
          <w:sz w:val="24"/>
        </w:rPr>
        <w:t xml:space="preserve">also </w:t>
      </w:r>
      <w:r w:rsidRPr="00AE587E">
        <w:rPr>
          <w:rFonts w:ascii="Times New Roman" w:hAnsi="Times New Roman"/>
          <w:sz w:val="24"/>
        </w:rPr>
        <w:t>be noted that financial hedging</w:t>
      </w:r>
      <w:r w:rsidR="00536629" w:rsidRPr="00AE587E">
        <w:rPr>
          <w:rFonts w:ascii="Times New Roman" w:hAnsi="Times New Roman"/>
          <w:sz w:val="24"/>
        </w:rPr>
        <w:t xml:space="preserve"> activities</w:t>
      </w:r>
      <w:r w:rsidR="001724EB">
        <w:rPr>
          <w:rFonts w:ascii="Times New Roman" w:hAnsi="Times New Roman"/>
          <w:sz w:val="24"/>
        </w:rPr>
        <w:t>, PGA guidelines,</w:t>
      </w:r>
      <w:r w:rsidR="00536629" w:rsidRPr="00AE587E">
        <w:rPr>
          <w:rFonts w:ascii="Times New Roman" w:hAnsi="Times New Roman"/>
          <w:sz w:val="24"/>
        </w:rPr>
        <w:t xml:space="preserve"> and policies will be discussed in a</w:t>
      </w:r>
      <w:r w:rsidR="00F565EB">
        <w:rPr>
          <w:rFonts w:ascii="Times New Roman" w:hAnsi="Times New Roman"/>
          <w:sz w:val="24"/>
        </w:rPr>
        <w:t>n</w:t>
      </w:r>
      <w:r w:rsidR="00536629" w:rsidRPr="00AE587E">
        <w:rPr>
          <w:rFonts w:ascii="Times New Roman" w:hAnsi="Times New Roman"/>
          <w:sz w:val="24"/>
        </w:rPr>
        <w:t xml:space="preserve"> upcoming </w:t>
      </w:r>
      <w:r w:rsidR="00C31843" w:rsidRPr="00AE587E">
        <w:rPr>
          <w:rFonts w:ascii="Times New Roman" w:hAnsi="Times New Roman"/>
          <w:sz w:val="24"/>
        </w:rPr>
        <w:t>workshop</w:t>
      </w:r>
      <w:r w:rsidR="00C31843">
        <w:rPr>
          <w:rFonts w:ascii="Times New Roman" w:hAnsi="Times New Roman"/>
          <w:sz w:val="24"/>
        </w:rPr>
        <w:t xml:space="preserve"> for</w:t>
      </w:r>
      <w:r w:rsidR="00942041" w:rsidRPr="00AE587E">
        <w:rPr>
          <w:rFonts w:ascii="Times New Roman" w:hAnsi="Times New Roman"/>
          <w:sz w:val="24"/>
        </w:rPr>
        <w:t xml:space="preserve"> all natural gas utilities regulated by this commission</w:t>
      </w:r>
      <w:r w:rsidRPr="00AE587E">
        <w:rPr>
          <w:rFonts w:ascii="Times New Roman" w:hAnsi="Times New Roman"/>
          <w:sz w:val="24"/>
        </w:rPr>
        <w:t>.</w:t>
      </w:r>
    </w:p>
    <w:p w14:paraId="04D5D164" w14:textId="77777777" w:rsidR="00971300" w:rsidRDefault="00971300" w:rsidP="00971300">
      <w:pPr>
        <w:rPr>
          <w:rFonts w:ascii="Times New Roman" w:hAnsi="Times New Roman"/>
          <w:sz w:val="24"/>
        </w:rPr>
      </w:pPr>
    </w:p>
    <w:p w14:paraId="04D5D165" w14:textId="77777777" w:rsidR="00971300" w:rsidRPr="00EF46DD" w:rsidRDefault="00971300" w:rsidP="00971300">
      <w:pPr>
        <w:pStyle w:val="Heading2"/>
      </w:pPr>
      <w:r>
        <w:t xml:space="preserve">Anomalous </w:t>
      </w:r>
      <w:r w:rsidR="00AF1934">
        <w:t>Conditions</w:t>
      </w:r>
    </w:p>
    <w:p w14:paraId="04D5D166" w14:textId="77777777" w:rsidR="006B16D9" w:rsidRPr="00AC5A84" w:rsidRDefault="00CF3E1D" w:rsidP="00971300">
      <w:pPr>
        <w:rPr>
          <w:rFonts w:ascii="Times New Roman" w:hAnsi="Times New Roman"/>
          <w:sz w:val="24"/>
        </w:rPr>
      </w:pPr>
      <w:r w:rsidRPr="00AC5A84">
        <w:rPr>
          <w:rFonts w:ascii="Times New Roman" w:hAnsi="Times New Roman"/>
          <w:sz w:val="24"/>
        </w:rPr>
        <w:t xml:space="preserve">There are </w:t>
      </w:r>
      <w:r w:rsidR="00E6143F" w:rsidRPr="00AC5A84">
        <w:rPr>
          <w:rFonts w:ascii="Times New Roman" w:hAnsi="Times New Roman"/>
          <w:sz w:val="24"/>
        </w:rPr>
        <w:t>f</w:t>
      </w:r>
      <w:r w:rsidR="0009020A" w:rsidRPr="00AC5A84">
        <w:rPr>
          <w:rFonts w:ascii="Times New Roman" w:hAnsi="Times New Roman"/>
          <w:sz w:val="24"/>
        </w:rPr>
        <w:t>ive</w:t>
      </w:r>
      <w:r w:rsidRPr="00AC5A84">
        <w:rPr>
          <w:rFonts w:ascii="Times New Roman" w:hAnsi="Times New Roman"/>
          <w:sz w:val="24"/>
        </w:rPr>
        <w:t xml:space="preserve"> </w:t>
      </w:r>
      <w:r w:rsidR="0009020A" w:rsidRPr="00AC5A84">
        <w:rPr>
          <w:rFonts w:ascii="Times New Roman" w:hAnsi="Times New Roman"/>
          <w:sz w:val="24"/>
        </w:rPr>
        <w:t xml:space="preserve">unusual </w:t>
      </w:r>
      <w:r w:rsidRPr="00AC5A84">
        <w:rPr>
          <w:rFonts w:ascii="Times New Roman" w:hAnsi="Times New Roman"/>
          <w:sz w:val="24"/>
        </w:rPr>
        <w:t>circumstances within this PGA filing</w:t>
      </w:r>
      <w:r w:rsidR="0009020A" w:rsidRPr="00AC5A84">
        <w:rPr>
          <w:rFonts w:ascii="Times New Roman" w:hAnsi="Times New Roman"/>
          <w:sz w:val="24"/>
        </w:rPr>
        <w:t>:</w:t>
      </w:r>
    </w:p>
    <w:p w14:paraId="04D5D167" w14:textId="218DC739" w:rsidR="006A4FF8" w:rsidRDefault="005255A7" w:rsidP="0035315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Escalating l</w:t>
      </w:r>
      <w:r w:rsidR="00E6143F" w:rsidRPr="00AC5A84">
        <w:rPr>
          <w:rFonts w:ascii="Times New Roman" w:hAnsi="Times New Roman"/>
          <w:sz w:val="24"/>
        </w:rPr>
        <w:t xml:space="preserve">ateral expansion </w:t>
      </w:r>
      <w:r w:rsidR="00E6143F">
        <w:rPr>
          <w:rFonts w:ascii="Times New Roman" w:hAnsi="Times New Roman"/>
          <w:sz w:val="24"/>
        </w:rPr>
        <w:t>costs that are owned and operated by Northwest Pipeline, but designed and paid for by PSE’s customers</w:t>
      </w:r>
      <w:r w:rsidR="00C7723A" w:rsidRPr="00353151">
        <w:rPr>
          <w:rFonts w:ascii="Times New Roman" w:hAnsi="Times New Roman"/>
          <w:sz w:val="24"/>
        </w:rPr>
        <w:t>.</w:t>
      </w:r>
    </w:p>
    <w:p w14:paraId="04D5D168" w14:textId="77777777" w:rsidR="00F04357" w:rsidRDefault="00F04357" w:rsidP="0035315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Jackson Prairie storage related to Cedar Hills Biogas</w:t>
      </w:r>
      <w:r w:rsidR="00C31843">
        <w:rPr>
          <w:rFonts w:ascii="Times New Roman" w:hAnsi="Times New Roman"/>
          <w:sz w:val="24"/>
        </w:rPr>
        <w:t>.</w:t>
      </w:r>
      <w:r w:rsidR="00C31843">
        <w:rPr>
          <w:rStyle w:val="FootnoteReference"/>
          <w:rFonts w:ascii="Times New Roman" w:hAnsi="Times New Roman"/>
          <w:sz w:val="24"/>
        </w:rPr>
        <w:footnoteReference w:id="1"/>
      </w:r>
    </w:p>
    <w:p w14:paraId="04D5D169" w14:textId="40B3FA92" w:rsidR="0009020A" w:rsidRDefault="0009020A" w:rsidP="0009020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Implantation of converting swaps to options.</w:t>
      </w:r>
    </w:p>
    <w:p w14:paraId="04D5D16A" w14:textId="77777777" w:rsidR="0009020A" w:rsidRDefault="0009020A" w:rsidP="0009020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353151">
        <w:rPr>
          <w:rFonts w:ascii="Times New Roman" w:hAnsi="Times New Roman"/>
          <w:sz w:val="24"/>
        </w:rPr>
        <w:t>n increase in projected sales volume (therms) from decreasing billing determinants (customers)</w:t>
      </w:r>
      <w:r>
        <w:rPr>
          <w:rFonts w:ascii="Times New Roman" w:hAnsi="Times New Roman"/>
          <w:sz w:val="24"/>
        </w:rPr>
        <w:t>.</w:t>
      </w:r>
    </w:p>
    <w:p w14:paraId="04D5D16B" w14:textId="3D20A47E" w:rsidR="0009020A" w:rsidRPr="0009020A" w:rsidRDefault="0009020A" w:rsidP="0009020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353151">
        <w:rPr>
          <w:rFonts w:ascii="Times New Roman" w:hAnsi="Times New Roman"/>
          <w:sz w:val="24"/>
        </w:rPr>
        <w:t xml:space="preserve"> greater amount of gas supply</w:t>
      </w:r>
      <w:r w:rsidR="004A38B4">
        <w:rPr>
          <w:rFonts w:ascii="Times New Roman" w:hAnsi="Times New Roman"/>
          <w:sz w:val="24"/>
        </w:rPr>
        <w:t xml:space="preserve"> purchased,</w:t>
      </w:r>
      <w:r w:rsidRPr="00353151">
        <w:rPr>
          <w:rFonts w:ascii="Times New Roman" w:hAnsi="Times New Roman"/>
          <w:sz w:val="24"/>
        </w:rPr>
        <w:t xml:space="preserve"> contracted</w:t>
      </w:r>
      <w:r w:rsidR="004A38B4">
        <w:rPr>
          <w:rFonts w:ascii="Times New Roman" w:hAnsi="Times New Roman"/>
          <w:sz w:val="24"/>
        </w:rPr>
        <w:t>,</w:t>
      </w:r>
      <w:r w:rsidRPr="00353151">
        <w:rPr>
          <w:rFonts w:ascii="Times New Roman" w:hAnsi="Times New Roman"/>
          <w:sz w:val="24"/>
        </w:rPr>
        <w:t xml:space="preserve"> and hedged compared to expected forecast sales volumes</w:t>
      </w:r>
      <w:r>
        <w:rPr>
          <w:rFonts w:ascii="Times New Roman" w:hAnsi="Times New Roman"/>
          <w:sz w:val="24"/>
        </w:rPr>
        <w:t>.</w:t>
      </w:r>
    </w:p>
    <w:p w14:paraId="04D5D16C" w14:textId="77777777" w:rsidR="00445411" w:rsidRPr="00AE587E" w:rsidRDefault="00445411" w:rsidP="00971300">
      <w:pPr>
        <w:rPr>
          <w:rFonts w:ascii="Times New Roman" w:hAnsi="Times New Roman"/>
          <w:sz w:val="24"/>
        </w:rPr>
      </w:pPr>
    </w:p>
    <w:p w14:paraId="04D5D16D" w14:textId="77777777" w:rsidR="009B58B4" w:rsidRPr="00EF46DD" w:rsidRDefault="009B58B4" w:rsidP="00025483">
      <w:pPr>
        <w:pStyle w:val="Heading2"/>
      </w:pPr>
      <w:r w:rsidRPr="00EF46DD">
        <w:t>Revenue and Residential Bill Impacts</w:t>
      </w:r>
    </w:p>
    <w:p w14:paraId="04D5D16E" w14:textId="77777777" w:rsidR="00FB2E5A" w:rsidRPr="00593AAA" w:rsidRDefault="000B2FCA" w:rsidP="00593AAA">
      <w:pPr>
        <w:rPr>
          <w:rFonts w:ascii="Times New Roman" w:hAnsi="Times New Roman"/>
          <w:sz w:val="24"/>
        </w:rPr>
      </w:pPr>
      <w:r w:rsidRPr="00593AAA">
        <w:rPr>
          <w:rFonts w:ascii="Times New Roman" w:hAnsi="Times New Roman"/>
          <w:sz w:val="24"/>
        </w:rPr>
        <w:t xml:space="preserve">A residential customer </w:t>
      </w:r>
      <w:r w:rsidRPr="00E37D98">
        <w:rPr>
          <w:rFonts w:ascii="Times New Roman" w:hAnsi="Times New Roman"/>
          <w:sz w:val="24"/>
        </w:rPr>
        <w:t>using 6</w:t>
      </w:r>
      <w:r w:rsidR="00E37D98" w:rsidRPr="00E37D98">
        <w:rPr>
          <w:rFonts w:ascii="Times New Roman" w:hAnsi="Times New Roman"/>
          <w:sz w:val="24"/>
        </w:rPr>
        <w:t>8</w:t>
      </w:r>
      <w:r w:rsidR="00FB2E5A" w:rsidRPr="00E37D98">
        <w:rPr>
          <w:rFonts w:ascii="Times New Roman" w:hAnsi="Times New Roman"/>
          <w:sz w:val="24"/>
        </w:rPr>
        <w:t xml:space="preserve"> therms </w:t>
      </w:r>
      <w:r w:rsidR="00FB2E5A" w:rsidRPr="002C5EEA">
        <w:rPr>
          <w:rFonts w:ascii="Times New Roman" w:hAnsi="Times New Roman"/>
          <w:sz w:val="24"/>
        </w:rPr>
        <w:t xml:space="preserve">(the calculated monthly </w:t>
      </w:r>
      <w:r w:rsidR="00FB2E5A" w:rsidRPr="008A0305">
        <w:rPr>
          <w:rFonts w:ascii="Times New Roman" w:hAnsi="Times New Roman"/>
          <w:sz w:val="24"/>
        </w:rPr>
        <w:t>average) would pay $</w:t>
      </w:r>
      <w:r w:rsidR="008A0305" w:rsidRPr="008A0305">
        <w:rPr>
          <w:rFonts w:ascii="Times New Roman" w:hAnsi="Times New Roman"/>
          <w:sz w:val="24"/>
        </w:rPr>
        <w:t>0</w:t>
      </w:r>
      <w:r w:rsidR="002C5EEA" w:rsidRPr="008A0305">
        <w:rPr>
          <w:rFonts w:ascii="Times New Roman" w:hAnsi="Times New Roman"/>
          <w:sz w:val="24"/>
        </w:rPr>
        <w:t>.</w:t>
      </w:r>
      <w:r w:rsidR="008A0305" w:rsidRPr="008A0305">
        <w:rPr>
          <w:rFonts w:ascii="Times New Roman" w:hAnsi="Times New Roman"/>
          <w:sz w:val="24"/>
        </w:rPr>
        <w:t>36</w:t>
      </w:r>
      <w:r w:rsidR="00FB2E5A" w:rsidRPr="008A0305">
        <w:rPr>
          <w:rFonts w:ascii="Times New Roman" w:hAnsi="Times New Roman"/>
          <w:sz w:val="24"/>
        </w:rPr>
        <w:t xml:space="preserve"> </w:t>
      </w:r>
      <w:r w:rsidR="002C5EEA" w:rsidRPr="008A0305">
        <w:rPr>
          <w:rFonts w:ascii="Times New Roman" w:hAnsi="Times New Roman"/>
          <w:sz w:val="24"/>
        </w:rPr>
        <w:t>more</w:t>
      </w:r>
      <w:r w:rsidRPr="008A0305">
        <w:rPr>
          <w:rFonts w:ascii="Times New Roman" w:hAnsi="Times New Roman"/>
          <w:sz w:val="24"/>
        </w:rPr>
        <w:t xml:space="preserve"> per month</w:t>
      </w:r>
      <w:r w:rsidR="006B16D9" w:rsidRPr="008A0305">
        <w:rPr>
          <w:rFonts w:ascii="Times New Roman" w:hAnsi="Times New Roman"/>
          <w:sz w:val="24"/>
        </w:rPr>
        <w:t>, increasing their average bill</w:t>
      </w:r>
      <w:r w:rsidRPr="008A0305">
        <w:rPr>
          <w:rFonts w:ascii="Times New Roman" w:hAnsi="Times New Roman"/>
          <w:sz w:val="24"/>
        </w:rPr>
        <w:t xml:space="preserve"> from $</w:t>
      </w:r>
      <w:r w:rsidR="002C5EEA" w:rsidRPr="008A0305">
        <w:rPr>
          <w:rFonts w:ascii="Times New Roman" w:hAnsi="Times New Roman"/>
          <w:sz w:val="24"/>
        </w:rPr>
        <w:t>7</w:t>
      </w:r>
      <w:r w:rsidR="00E37D98" w:rsidRPr="008A0305">
        <w:rPr>
          <w:rFonts w:ascii="Times New Roman" w:hAnsi="Times New Roman"/>
          <w:sz w:val="24"/>
        </w:rPr>
        <w:t>7</w:t>
      </w:r>
      <w:r w:rsidR="002C5EEA" w:rsidRPr="008A0305">
        <w:rPr>
          <w:rFonts w:ascii="Times New Roman" w:hAnsi="Times New Roman"/>
          <w:sz w:val="24"/>
        </w:rPr>
        <w:t>.</w:t>
      </w:r>
      <w:r w:rsidR="00E37D98" w:rsidRPr="008A0305">
        <w:rPr>
          <w:rFonts w:ascii="Times New Roman" w:hAnsi="Times New Roman"/>
          <w:sz w:val="24"/>
        </w:rPr>
        <w:t>48</w:t>
      </w:r>
      <w:r w:rsidR="00FB2E5A" w:rsidRPr="008A0305">
        <w:rPr>
          <w:rFonts w:ascii="Times New Roman" w:hAnsi="Times New Roman"/>
          <w:sz w:val="24"/>
        </w:rPr>
        <w:t xml:space="preserve"> to $</w:t>
      </w:r>
      <w:r w:rsidR="002C5EEA" w:rsidRPr="008A0305">
        <w:rPr>
          <w:rFonts w:ascii="Times New Roman" w:hAnsi="Times New Roman"/>
          <w:sz w:val="24"/>
        </w:rPr>
        <w:t>7</w:t>
      </w:r>
      <w:r w:rsidR="008A0305" w:rsidRPr="008A0305">
        <w:rPr>
          <w:rFonts w:ascii="Times New Roman" w:hAnsi="Times New Roman"/>
          <w:sz w:val="24"/>
        </w:rPr>
        <w:t>7</w:t>
      </w:r>
      <w:r w:rsidR="002C5EEA" w:rsidRPr="008A0305">
        <w:rPr>
          <w:rFonts w:ascii="Times New Roman" w:hAnsi="Times New Roman"/>
          <w:sz w:val="24"/>
        </w:rPr>
        <w:t>.</w:t>
      </w:r>
      <w:r w:rsidR="008A0305" w:rsidRPr="008A0305">
        <w:rPr>
          <w:rFonts w:ascii="Times New Roman" w:hAnsi="Times New Roman"/>
          <w:sz w:val="24"/>
        </w:rPr>
        <w:t>84</w:t>
      </w:r>
      <w:r w:rsidR="00FB2E5A" w:rsidRPr="008A0305">
        <w:rPr>
          <w:rFonts w:ascii="Times New Roman" w:hAnsi="Times New Roman"/>
          <w:sz w:val="24"/>
        </w:rPr>
        <w:t xml:space="preserve">. The combined </w:t>
      </w:r>
      <w:r w:rsidR="00FB2E5A" w:rsidRPr="00593AAA">
        <w:rPr>
          <w:rFonts w:ascii="Times New Roman" w:hAnsi="Times New Roman"/>
          <w:sz w:val="24"/>
        </w:rPr>
        <w:t xml:space="preserve">effects of the PGA and Deferral mechanisms on </w:t>
      </w:r>
      <w:r w:rsidR="004959F2" w:rsidRPr="00593AAA">
        <w:rPr>
          <w:rFonts w:ascii="Times New Roman" w:hAnsi="Times New Roman"/>
          <w:sz w:val="24"/>
        </w:rPr>
        <w:t>PSE</w:t>
      </w:r>
      <w:r w:rsidR="00FB2E5A" w:rsidRPr="00593AAA">
        <w:rPr>
          <w:rFonts w:ascii="Times New Roman" w:hAnsi="Times New Roman"/>
          <w:sz w:val="24"/>
        </w:rPr>
        <w:t>’s rates ($/therm) and annual revenues are as follow</w:t>
      </w:r>
      <w:r w:rsidR="006B16D9">
        <w:rPr>
          <w:rFonts w:ascii="Times New Roman" w:hAnsi="Times New Roman"/>
          <w:sz w:val="24"/>
        </w:rPr>
        <w:t>s</w:t>
      </w:r>
      <w:r w:rsidR="00FB2E5A" w:rsidRPr="00593AAA">
        <w:rPr>
          <w:rFonts w:ascii="Times New Roman" w:hAnsi="Times New Roman"/>
          <w:sz w:val="24"/>
        </w:rPr>
        <w:t>:</w:t>
      </w:r>
    </w:p>
    <w:p w14:paraId="04D5D16F" w14:textId="77777777" w:rsidR="00D4342A" w:rsidRPr="004970DA" w:rsidRDefault="00D4342A" w:rsidP="00D4342A">
      <w:pPr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532"/>
        <w:gridCol w:w="1710"/>
        <w:gridCol w:w="1620"/>
        <w:gridCol w:w="1636"/>
      </w:tblGrid>
      <w:tr w:rsidR="008A0305" w:rsidRPr="00B7671F" w14:paraId="04D5D175" w14:textId="77777777" w:rsidTr="00D4342A">
        <w:tc>
          <w:tcPr>
            <w:tcW w:w="1607" w:type="pct"/>
            <w:vAlign w:val="bottom"/>
          </w:tcPr>
          <w:p w14:paraId="04D5D170" w14:textId="77777777" w:rsidR="00D4342A" w:rsidRPr="00B7671F" w:rsidRDefault="00D4342A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71F">
              <w:rPr>
                <w:rFonts w:ascii="Times New Roman" w:hAnsi="Times New Roman"/>
                <w:b/>
                <w:sz w:val="24"/>
              </w:rPr>
              <w:t>Schedule Classes</w:t>
            </w:r>
          </w:p>
        </w:tc>
        <w:tc>
          <w:tcPr>
            <w:tcW w:w="800" w:type="pct"/>
            <w:vAlign w:val="bottom"/>
          </w:tcPr>
          <w:p w14:paraId="04D5D171" w14:textId="77777777" w:rsidR="00D4342A" w:rsidRPr="00B7671F" w:rsidRDefault="00D4342A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71F">
              <w:rPr>
                <w:rFonts w:ascii="Times New Roman" w:hAnsi="Times New Roman"/>
                <w:b/>
                <w:sz w:val="24"/>
              </w:rPr>
              <w:t>PGA Change</w:t>
            </w:r>
          </w:p>
        </w:tc>
        <w:tc>
          <w:tcPr>
            <w:tcW w:w="893" w:type="pct"/>
            <w:vAlign w:val="bottom"/>
          </w:tcPr>
          <w:p w14:paraId="04D5D172" w14:textId="77777777" w:rsidR="00D4342A" w:rsidRPr="00B7671F" w:rsidRDefault="00D4342A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71F">
              <w:rPr>
                <w:rFonts w:ascii="Times New Roman" w:hAnsi="Times New Roman"/>
                <w:b/>
                <w:sz w:val="24"/>
              </w:rPr>
              <w:t>Deferral Change</w:t>
            </w:r>
          </w:p>
        </w:tc>
        <w:tc>
          <w:tcPr>
            <w:tcW w:w="846" w:type="pct"/>
            <w:vAlign w:val="bottom"/>
          </w:tcPr>
          <w:p w14:paraId="04D5D173" w14:textId="77777777" w:rsidR="00D4342A" w:rsidRPr="00B7671F" w:rsidRDefault="00D4342A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71F">
              <w:rPr>
                <w:rFonts w:ascii="Times New Roman" w:hAnsi="Times New Roman"/>
                <w:b/>
                <w:sz w:val="24"/>
              </w:rPr>
              <w:t>Revenue Impact</w:t>
            </w:r>
          </w:p>
        </w:tc>
        <w:tc>
          <w:tcPr>
            <w:tcW w:w="854" w:type="pct"/>
            <w:vAlign w:val="bottom"/>
          </w:tcPr>
          <w:p w14:paraId="04D5D174" w14:textId="77777777" w:rsidR="00D4342A" w:rsidRPr="00B7671F" w:rsidRDefault="00D4342A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71F">
              <w:rPr>
                <w:rFonts w:ascii="Times New Roman" w:hAnsi="Times New Roman"/>
                <w:b/>
                <w:sz w:val="24"/>
              </w:rPr>
              <w:t>Percent Change</w:t>
            </w:r>
          </w:p>
        </w:tc>
      </w:tr>
      <w:tr w:rsidR="008A0305" w:rsidRPr="008A0305" w14:paraId="04D5D17B" w14:textId="77777777" w:rsidTr="00D4342A">
        <w:tc>
          <w:tcPr>
            <w:tcW w:w="1607" w:type="pct"/>
          </w:tcPr>
          <w:p w14:paraId="04D5D176" w14:textId="77777777" w:rsidR="00D4342A" w:rsidRPr="008A0305" w:rsidRDefault="00D4342A" w:rsidP="006231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A0305">
              <w:rPr>
                <w:rFonts w:ascii="Times New Roman" w:hAnsi="Times New Roman"/>
                <w:i/>
                <w:sz w:val="24"/>
              </w:rPr>
              <w:t>Residential</w:t>
            </w:r>
          </w:p>
        </w:tc>
        <w:tc>
          <w:tcPr>
            <w:tcW w:w="800" w:type="pct"/>
            <w:vAlign w:val="center"/>
          </w:tcPr>
          <w:p w14:paraId="04D5D177" w14:textId="77777777" w:rsidR="00D4342A" w:rsidRPr="008A0305" w:rsidRDefault="00D4342A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pct"/>
          </w:tcPr>
          <w:p w14:paraId="04D5D178" w14:textId="77777777" w:rsidR="00D4342A" w:rsidRPr="008A0305" w:rsidRDefault="00D4342A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pct"/>
          </w:tcPr>
          <w:p w14:paraId="04D5D179" w14:textId="77777777" w:rsidR="00D4342A" w:rsidRPr="008A0305" w:rsidRDefault="00D4342A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pct"/>
          </w:tcPr>
          <w:p w14:paraId="04D5D17A" w14:textId="77777777" w:rsidR="00D4342A" w:rsidRPr="008A0305" w:rsidRDefault="00D4342A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0305" w:rsidRPr="008A0305" w14:paraId="04D5D181" w14:textId="77777777" w:rsidTr="00D4342A">
        <w:tc>
          <w:tcPr>
            <w:tcW w:w="1607" w:type="pct"/>
          </w:tcPr>
          <w:p w14:paraId="04D5D17C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Schedule 23</w:t>
            </w:r>
          </w:p>
        </w:tc>
        <w:tc>
          <w:tcPr>
            <w:tcW w:w="800" w:type="pct"/>
            <w:vAlign w:val="center"/>
          </w:tcPr>
          <w:p w14:paraId="04D5D17D" w14:textId="77777777" w:rsidR="001655BD" w:rsidRPr="008A0305" w:rsidRDefault="001655BD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($0.0</w:t>
            </w:r>
            <w:r w:rsidR="008A0305" w:rsidRPr="008A0305">
              <w:rPr>
                <w:rFonts w:ascii="Times New Roman" w:hAnsi="Times New Roman"/>
                <w:sz w:val="24"/>
              </w:rPr>
              <w:t>2204</w:t>
            </w:r>
            <w:r w:rsidRPr="008A030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93" w:type="pct"/>
          </w:tcPr>
          <w:p w14:paraId="04D5D17E" w14:textId="77777777" w:rsidR="001655BD" w:rsidRPr="008A0305" w:rsidRDefault="001655BD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$0.0</w:t>
            </w:r>
            <w:r w:rsidR="008A0305" w:rsidRPr="008A0305">
              <w:rPr>
                <w:rFonts w:ascii="Times New Roman" w:hAnsi="Times New Roman"/>
                <w:sz w:val="24"/>
              </w:rPr>
              <w:t>2735</w:t>
            </w:r>
          </w:p>
        </w:tc>
        <w:tc>
          <w:tcPr>
            <w:tcW w:w="846" w:type="pct"/>
          </w:tcPr>
          <w:p w14:paraId="04D5D17F" w14:textId="77777777" w:rsidR="001655BD" w:rsidRPr="008A0305" w:rsidRDefault="001655BD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</w:t>
            </w:r>
            <w:r w:rsidR="008A0305" w:rsidRPr="008A0305">
              <w:rPr>
                <w:rFonts w:ascii="Times New Roman" w:hAnsi="Times New Roman"/>
                <w:sz w:val="24"/>
              </w:rPr>
              <w:t>2,998,519</w:t>
            </w:r>
          </w:p>
        </w:tc>
        <w:tc>
          <w:tcPr>
            <w:tcW w:w="854" w:type="pct"/>
          </w:tcPr>
          <w:p w14:paraId="04D5D180" w14:textId="77777777" w:rsidR="001655BD" w:rsidRPr="008A0305" w:rsidRDefault="008A0305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0</w:t>
            </w:r>
            <w:r w:rsidR="00B7671F" w:rsidRPr="008A0305">
              <w:rPr>
                <w:rFonts w:ascii="Times New Roman" w:hAnsi="Times New Roman"/>
                <w:sz w:val="24"/>
              </w:rPr>
              <w:t>.</w:t>
            </w:r>
            <w:r w:rsidRPr="008A0305">
              <w:rPr>
                <w:rFonts w:ascii="Times New Roman" w:hAnsi="Times New Roman"/>
                <w:sz w:val="24"/>
              </w:rPr>
              <w:t>5</w:t>
            </w:r>
            <w:r w:rsidR="001655BD" w:rsidRPr="008A030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8A0305" w:rsidRPr="008A0305" w14:paraId="04D5D187" w14:textId="77777777" w:rsidTr="00D4342A">
        <w:tc>
          <w:tcPr>
            <w:tcW w:w="1607" w:type="pct"/>
          </w:tcPr>
          <w:p w14:paraId="04D5D182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Schedule 16</w:t>
            </w:r>
          </w:p>
        </w:tc>
        <w:tc>
          <w:tcPr>
            <w:tcW w:w="800" w:type="pct"/>
            <w:vAlign w:val="center"/>
          </w:tcPr>
          <w:p w14:paraId="04D5D183" w14:textId="77777777" w:rsidR="001655BD" w:rsidRPr="008A0305" w:rsidRDefault="001655BD" w:rsidP="00B767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($0.0</w:t>
            </w:r>
            <w:r w:rsidR="008A0305" w:rsidRPr="008A0305">
              <w:rPr>
                <w:rFonts w:ascii="Times New Roman" w:hAnsi="Times New Roman"/>
                <w:sz w:val="24"/>
              </w:rPr>
              <w:t>2204</w:t>
            </w:r>
            <w:r w:rsidRPr="008A030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93" w:type="pct"/>
          </w:tcPr>
          <w:p w14:paraId="04D5D184" w14:textId="77777777" w:rsidR="001655BD" w:rsidRPr="008A0305" w:rsidRDefault="001655BD" w:rsidP="003F20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$0.0</w:t>
            </w:r>
            <w:r w:rsidR="008A0305" w:rsidRPr="008A0305">
              <w:rPr>
                <w:rFonts w:ascii="Times New Roman" w:hAnsi="Times New Roman"/>
                <w:sz w:val="24"/>
              </w:rPr>
              <w:t>2735</w:t>
            </w:r>
          </w:p>
        </w:tc>
        <w:tc>
          <w:tcPr>
            <w:tcW w:w="846" w:type="pct"/>
          </w:tcPr>
          <w:p w14:paraId="04D5D185" w14:textId="77777777" w:rsidR="001655BD" w:rsidRPr="008A0305" w:rsidRDefault="008E1357" w:rsidP="00B767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</w:t>
            </w:r>
            <w:r w:rsidR="008A0305" w:rsidRPr="008A0305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54" w:type="pct"/>
          </w:tcPr>
          <w:p w14:paraId="04D5D186" w14:textId="77777777" w:rsidR="001655BD" w:rsidRPr="008A0305" w:rsidRDefault="008A0305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0</w:t>
            </w:r>
            <w:r w:rsidR="00B7671F" w:rsidRPr="008A0305">
              <w:rPr>
                <w:rFonts w:ascii="Times New Roman" w:hAnsi="Times New Roman"/>
                <w:sz w:val="24"/>
              </w:rPr>
              <w:t>.</w:t>
            </w:r>
            <w:r w:rsidRPr="008A0305">
              <w:rPr>
                <w:rFonts w:ascii="Times New Roman" w:hAnsi="Times New Roman"/>
                <w:sz w:val="24"/>
              </w:rPr>
              <w:t>5</w:t>
            </w:r>
            <w:r w:rsidR="001655BD" w:rsidRPr="008A030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8A0305" w:rsidRPr="008A0305" w14:paraId="04D5D18D" w14:textId="77777777" w:rsidTr="00D4342A">
        <w:tc>
          <w:tcPr>
            <w:tcW w:w="1607" w:type="pct"/>
          </w:tcPr>
          <w:p w14:paraId="04D5D188" w14:textId="77777777" w:rsidR="001655BD" w:rsidRPr="008A0305" w:rsidRDefault="001655BD" w:rsidP="006231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A0305">
              <w:rPr>
                <w:rFonts w:ascii="Times New Roman" w:hAnsi="Times New Roman"/>
                <w:i/>
                <w:sz w:val="24"/>
              </w:rPr>
              <w:t>Commercial</w:t>
            </w:r>
          </w:p>
        </w:tc>
        <w:tc>
          <w:tcPr>
            <w:tcW w:w="800" w:type="pct"/>
            <w:vAlign w:val="center"/>
          </w:tcPr>
          <w:p w14:paraId="04D5D189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pct"/>
          </w:tcPr>
          <w:p w14:paraId="04D5D18A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pct"/>
          </w:tcPr>
          <w:p w14:paraId="04D5D18B" w14:textId="77777777" w:rsidR="001655BD" w:rsidRPr="008A0305" w:rsidRDefault="001655BD" w:rsidP="008E13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pct"/>
          </w:tcPr>
          <w:p w14:paraId="04D5D18C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0305" w:rsidRPr="008A0305" w14:paraId="04D5D193" w14:textId="77777777" w:rsidTr="00D4342A">
        <w:tc>
          <w:tcPr>
            <w:tcW w:w="1607" w:type="pct"/>
          </w:tcPr>
          <w:p w14:paraId="04D5D18E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Schedule 31</w:t>
            </w:r>
          </w:p>
        </w:tc>
        <w:tc>
          <w:tcPr>
            <w:tcW w:w="800" w:type="pct"/>
            <w:vAlign w:val="center"/>
          </w:tcPr>
          <w:p w14:paraId="04D5D18F" w14:textId="77777777" w:rsidR="001655BD" w:rsidRPr="008A0305" w:rsidRDefault="001655BD" w:rsidP="00B767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($0.0</w:t>
            </w:r>
            <w:r w:rsidR="008A0305" w:rsidRPr="008A0305">
              <w:rPr>
                <w:rFonts w:ascii="Times New Roman" w:hAnsi="Times New Roman"/>
                <w:sz w:val="24"/>
              </w:rPr>
              <w:t>2246</w:t>
            </w:r>
            <w:r w:rsidRPr="008A030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93" w:type="pct"/>
          </w:tcPr>
          <w:p w14:paraId="04D5D190" w14:textId="77777777" w:rsidR="001655BD" w:rsidRPr="008A0305" w:rsidRDefault="001655BD" w:rsidP="00B767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$0.0</w:t>
            </w:r>
            <w:r w:rsidR="008A0305" w:rsidRPr="008A0305">
              <w:rPr>
                <w:rFonts w:ascii="Times New Roman" w:hAnsi="Times New Roman"/>
                <w:sz w:val="24"/>
              </w:rPr>
              <w:t>2734</w:t>
            </w:r>
          </w:p>
        </w:tc>
        <w:tc>
          <w:tcPr>
            <w:tcW w:w="846" w:type="pct"/>
          </w:tcPr>
          <w:p w14:paraId="04D5D191" w14:textId="77777777" w:rsidR="001655BD" w:rsidRPr="008A0305" w:rsidRDefault="001655BD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</w:t>
            </w:r>
            <w:r w:rsidR="008A0305" w:rsidRPr="008A0305">
              <w:rPr>
                <w:rFonts w:ascii="Times New Roman" w:hAnsi="Times New Roman"/>
                <w:sz w:val="24"/>
              </w:rPr>
              <w:t>1</w:t>
            </w:r>
            <w:r w:rsidRPr="008A0305">
              <w:rPr>
                <w:rFonts w:ascii="Times New Roman" w:hAnsi="Times New Roman"/>
                <w:sz w:val="24"/>
              </w:rPr>
              <w:t>,</w:t>
            </w:r>
            <w:r w:rsidR="008A0305" w:rsidRPr="008A0305">
              <w:rPr>
                <w:rFonts w:ascii="Times New Roman" w:hAnsi="Times New Roman"/>
                <w:sz w:val="24"/>
              </w:rPr>
              <w:t>000</w:t>
            </w:r>
            <w:r w:rsidRPr="008A0305">
              <w:rPr>
                <w:rFonts w:ascii="Times New Roman" w:hAnsi="Times New Roman"/>
                <w:sz w:val="24"/>
              </w:rPr>
              <w:t>,</w:t>
            </w:r>
            <w:r w:rsidR="008A0305" w:rsidRPr="008A0305">
              <w:rPr>
                <w:rFonts w:ascii="Times New Roman" w:hAnsi="Times New Roman"/>
                <w:sz w:val="24"/>
              </w:rPr>
              <w:t>705</w:t>
            </w:r>
          </w:p>
        </w:tc>
        <w:tc>
          <w:tcPr>
            <w:tcW w:w="854" w:type="pct"/>
          </w:tcPr>
          <w:p w14:paraId="04D5D192" w14:textId="77777777" w:rsidR="001655BD" w:rsidRPr="008A0305" w:rsidRDefault="008A0305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0</w:t>
            </w:r>
            <w:r w:rsidR="00B7671F" w:rsidRPr="008A0305">
              <w:rPr>
                <w:rFonts w:ascii="Times New Roman" w:hAnsi="Times New Roman"/>
                <w:sz w:val="24"/>
              </w:rPr>
              <w:t>.</w:t>
            </w:r>
            <w:r w:rsidRPr="008A0305">
              <w:rPr>
                <w:rFonts w:ascii="Times New Roman" w:hAnsi="Times New Roman"/>
                <w:sz w:val="24"/>
              </w:rPr>
              <w:t>5</w:t>
            </w:r>
            <w:r w:rsidR="001655BD" w:rsidRPr="008A030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8A0305" w:rsidRPr="008A0305" w14:paraId="04D5D199" w14:textId="77777777" w:rsidTr="00D4342A">
        <w:tc>
          <w:tcPr>
            <w:tcW w:w="1607" w:type="pct"/>
          </w:tcPr>
          <w:p w14:paraId="04D5D194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Schedule 41</w:t>
            </w:r>
          </w:p>
        </w:tc>
        <w:tc>
          <w:tcPr>
            <w:tcW w:w="800" w:type="pct"/>
            <w:vAlign w:val="center"/>
          </w:tcPr>
          <w:p w14:paraId="04D5D195" w14:textId="77777777" w:rsidR="001655BD" w:rsidRPr="008A0305" w:rsidRDefault="001655BD" w:rsidP="003F20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($0.0</w:t>
            </w:r>
            <w:r w:rsidR="008A0305" w:rsidRPr="008A0305">
              <w:rPr>
                <w:rFonts w:ascii="Times New Roman" w:hAnsi="Times New Roman"/>
                <w:sz w:val="24"/>
              </w:rPr>
              <w:t>2855</w:t>
            </w:r>
            <w:r w:rsidRPr="008A030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93" w:type="pct"/>
          </w:tcPr>
          <w:p w14:paraId="04D5D196" w14:textId="77777777" w:rsidR="001655BD" w:rsidRPr="008A0305" w:rsidRDefault="001655BD" w:rsidP="003F20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$0.0</w:t>
            </w:r>
            <w:r w:rsidR="008A0305" w:rsidRPr="008A0305">
              <w:rPr>
                <w:rFonts w:ascii="Times New Roman" w:hAnsi="Times New Roman"/>
                <w:sz w:val="24"/>
              </w:rPr>
              <w:t>2720</w:t>
            </w:r>
          </w:p>
        </w:tc>
        <w:tc>
          <w:tcPr>
            <w:tcW w:w="846" w:type="pct"/>
          </w:tcPr>
          <w:p w14:paraId="04D5D197" w14:textId="77777777" w:rsidR="001655BD" w:rsidRPr="008A0305" w:rsidRDefault="008A0305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(</w:t>
            </w:r>
            <w:r w:rsidR="001655BD" w:rsidRPr="008A0305">
              <w:rPr>
                <w:rFonts w:ascii="Times New Roman" w:hAnsi="Times New Roman"/>
                <w:sz w:val="24"/>
              </w:rPr>
              <w:t>$</w:t>
            </w:r>
            <w:r w:rsidRPr="008A0305">
              <w:rPr>
                <w:rFonts w:ascii="Times New Roman" w:hAnsi="Times New Roman"/>
                <w:sz w:val="24"/>
              </w:rPr>
              <w:t>101,349)</w:t>
            </w:r>
          </w:p>
        </w:tc>
        <w:tc>
          <w:tcPr>
            <w:tcW w:w="854" w:type="pct"/>
          </w:tcPr>
          <w:p w14:paraId="04D5D198" w14:textId="77777777" w:rsidR="001655BD" w:rsidRPr="008A0305" w:rsidRDefault="008A0305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-0</w:t>
            </w:r>
            <w:r w:rsidR="00B7671F" w:rsidRPr="008A0305">
              <w:rPr>
                <w:rFonts w:ascii="Times New Roman" w:hAnsi="Times New Roman"/>
                <w:sz w:val="24"/>
              </w:rPr>
              <w:t>.</w:t>
            </w:r>
            <w:r w:rsidRPr="008A0305">
              <w:rPr>
                <w:rFonts w:ascii="Times New Roman" w:hAnsi="Times New Roman"/>
                <w:sz w:val="24"/>
              </w:rPr>
              <w:t>2</w:t>
            </w:r>
            <w:r w:rsidR="001655BD" w:rsidRPr="008A030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8A0305" w:rsidRPr="008A0305" w14:paraId="04D5D19F" w14:textId="77777777" w:rsidTr="00D4342A">
        <w:tc>
          <w:tcPr>
            <w:tcW w:w="1607" w:type="pct"/>
          </w:tcPr>
          <w:p w14:paraId="04D5D19A" w14:textId="77777777" w:rsidR="001655BD" w:rsidRPr="008A0305" w:rsidRDefault="001655BD" w:rsidP="006231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A0305">
              <w:rPr>
                <w:rFonts w:ascii="Times New Roman" w:hAnsi="Times New Roman"/>
                <w:i/>
                <w:sz w:val="24"/>
              </w:rPr>
              <w:t>Interruptible</w:t>
            </w:r>
          </w:p>
        </w:tc>
        <w:tc>
          <w:tcPr>
            <w:tcW w:w="800" w:type="pct"/>
          </w:tcPr>
          <w:p w14:paraId="04D5D19B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pct"/>
          </w:tcPr>
          <w:p w14:paraId="04D5D19C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pct"/>
          </w:tcPr>
          <w:p w14:paraId="04D5D19D" w14:textId="77777777" w:rsidR="001655BD" w:rsidRPr="008A0305" w:rsidRDefault="001655BD" w:rsidP="008E13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pct"/>
          </w:tcPr>
          <w:p w14:paraId="04D5D19E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0305" w:rsidRPr="008A0305" w14:paraId="04D5D1A5" w14:textId="77777777" w:rsidTr="00571FC9">
        <w:tc>
          <w:tcPr>
            <w:tcW w:w="1607" w:type="pct"/>
          </w:tcPr>
          <w:p w14:paraId="04D5D1A0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Schedule 85</w:t>
            </w:r>
          </w:p>
        </w:tc>
        <w:tc>
          <w:tcPr>
            <w:tcW w:w="800" w:type="pct"/>
            <w:vAlign w:val="center"/>
          </w:tcPr>
          <w:p w14:paraId="04D5D1A1" w14:textId="77777777" w:rsidR="001655BD" w:rsidRPr="008A0305" w:rsidRDefault="001655BD" w:rsidP="003F20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($0.0</w:t>
            </w:r>
            <w:r w:rsidR="008A0305" w:rsidRPr="008A0305">
              <w:rPr>
                <w:rFonts w:ascii="Times New Roman" w:hAnsi="Times New Roman"/>
                <w:sz w:val="24"/>
              </w:rPr>
              <w:t>2624</w:t>
            </w:r>
            <w:r w:rsidRPr="008A030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93" w:type="pct"/>
          </w:tcPr>
          <w:p w14:paraId="04D5D1A2" w14:textId="77777777" w:rsidR="001655BD" w:rsidRPr="008A0305" w:rsidRDefault="001655BD" w:rsidP="003F20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$0.0</w:t>
            </w:r>
            <w:r w:rsidR="008A0305" w:rsidRPr="008A0305">
              <w:rPr>
                <w:rFonts w:ascii="Times New Roman" w:hAnsi="Times New Roman"/>
                <w:sz w:val="24"/>
              </w:rPr>
              <w:t>2725</w:t>
            </w:r>
          </w:p>
        </w:tc>
        <w:tc>
          <w:tcPr>
            <w:tcW w:w="846" w:type="pct"/>
          </w:tcPr>
          <w:p w14:paraId="04D5D1A3" w14:textId="77777777" w:rsidR="001655BD" w:rsidRPr="008A0305" w:rsidRDefault="001655BD" w:rsidP="00B767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</w:t>
            </w:r>
            <w:r w:rsidR="00B7671F" w:rsidRPr="008A0305">
              <w:rPr>
                <w:rFonts w:ascii="Times New Roman" w:hAnsi="Times New Roman"/>
                <w:sz w:val="24"/>
              </w:rPr>
              <w:t>207</w:t>
            </w:r>
            <w:r w:rsidRPr="008A0305">
              <w:rPr>
                <w:rFonts w:ascii="Times New Roman" w:hAnsi="Times New Roman"/>
                <w:sz w:val="24"/>
              </w:rPr>
              <w:t>,</w:t>
            </w:r>
            <w:r w:rsidR="00B7671F" w:rsidRPr="008A0305">
              <w:rPr>
                <w:rFonts w:ascii="Times New Roman" w:hAnsi="Times New Roman"/>
                <w:sz w:val="24"/>
              </w:rPr>
              <w:t>432</w:t>
            </w:r>
          </w:p>
        </w:tc>
        <w:tc>
          <w:tcPr>
            <w:tcW w:w="854" w:type="pct"/>
          </w:tcPr>
          <w:p w14:paraId="04D5D1A4" w14:textId="77777777" w:rsidR="001655BD" w:rsidRPr="008A0305" w:rsidRDefault="008A0305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0</w:t>
            </w:r>
            <w:r w:rsidR="00B7671F" w:rsidRPr="008A0305">
              <w:rPr>
                <w:rFonts w:ascii="Times New Roman" w:hAnsi="Times New Roman"/>
                <w:sz w:val="24"/>
              </w:rPr>
              <w:t>.</w:t>
            </w:r>
            <w:r w:rsidRPr="008A0305">
              <w:rPr>
                <w:rFonts w:ascii="Times New Roman" w:hAnsi="Times New Roman"/>
                <w:sz w:val="24"/>
              </w:rPr>
              <w:t>2</w:t>
            </w:r>
            <w:r w:rsidR="001655BD" w:rsidRPr="008A030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8A0305" w:rsidRPr="008A0305" w14:paraId="04D5D1AB" w14:textId="77777777" w:rsidTr="0004736C">
        <w:tc>
          <w:tcPr>
            <w:tcW w:w="1607" w:type="pct"/>
            <w:tcBorders>
              <w:bottom w:val="single" w:sz="4" w:space="0" w:color="auto"/>
            </w:tcBorders>
          </w:tcPr>
          <w:p w14:paraId="04D5D1A6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Schedule 86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04D5D1A7" w14:textId="77777777" w:rsidR="001655BD" w:rsidRPr="008A0305" w:rsidRDefault="001655BD" w:rsidP="003F20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($0.0</w:t>
            </w:r>
            <w:r w:rsidR="008A0305" w:rsidRPr="008A0305">
              <w:rPr>
                <w:rFonts w:ascii="Times New Roman" w:hAnsi="Times New Roman"/>
                <w:sz w:val="24"/>
              </w:rPr>
              <w:t>2592</w:t>
            </w:r>
            <w:r w:rsidRPr="008A030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04D5D1A8" w14:textId="77777777" w:rsidR="001655BD" w:rsidRPr="008A0305" w:rsidRDefault="001655BD" w:rsidP="003F20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$0.0</w:t>
            </w:r>
            <w:r w:rsidR="008A0305" w:rsidRPr="008A0305">
              <w:rPr>
                <w:rFonts w:ascii="Times New Roman" w:hAnsi="Times New Roman"/>
                <w:sz w:val="24"/>
              </w:rPr>
              <w:t>2726</w:t>
            </w:r>
          </w:p>
        </w:tc>
        <w:tc>
          <w:tcPr>
            <w:tcW w:w="846" w:type="pct"/>
          </w:tcPr>
          <w:p w14:paraId="04D5D1A9" w14:textId="77777777" w:rsidR="001655BD" w:rsidRPr="008A0305" w:rsidRDefault="001655BD" w:rsidP="00FD6C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</w:t>
            </w:r>
            <w:r w:rsidR="00B7671F" w:rsidRPr="008A0305">
              <w:rPr>
                <w:rFonts w:ascii="Times New Roman" w:hAnsi="Times New Roman"/>
                <w:sz w:val="24"/>
              </w:rPr>
              <w:t>145,505</w:t>
            </w:r>
          </w:p>
        </w:tc>
        <w:tc>
          <w:tcPr>
            <w:tcW w:w="854" w:type="pct"/>
          </w:tcPr>
          <w:p w14:paraId="04D5D1AA" w14:textId="77777777" w:rsidR="001655BD" w:rsidRPr="008A0305" w:rsidRDefault="008A0305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0.2</w:t>
            </w:r>
            <w:r w:rsidR="001655BD" w:rsidRPr="008A030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8A0305" w:rsidRPr="008A0305" w14:paraId="04D5D1B1" w14:textId="77777777" w:rsidTr="0004736C">
        <w:tc>
          <w:tcPr>
            <w:tcW w:w="1607" w:type="pct"/>
            <w:tcBorders>
              <w:bottom w:val="single" w:sz="18" w:space="0" w:color="auto"/>
            </w:tcBorders>
          </w:tcPr>
          <w:p w14:paraId="04D5D1AC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Schedule 87</w:t>
            </w:r>
          </w:p>
        </w:tc>
        <w:tc>
          <w:tcPr>
            <w:tcW w:w="800" w:type="pct"/>
            <w:tcBorders>
              <w:bottom w:val="single" w:sz="18" w:space="0" w:color="auto"/>
            </w:tcBorders>
          </w:tcPr>
          <w:p w14:paraId="04D5D1AD" w14:textId="77777777" w:rsidR="001655BD" w:rsidRPr="008A0305" w:rsidRDefault="001655BD" w:rsidP="003F2075">
            <w:pPr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($0.0</w:t>
            </w:r>
            <w:r w:rsidR="008A0305" w:rsidRPr="008A0305">
              <w:rPr>
                <w:rFonts w:ascii="Times New Roman" w:hAnsi="Times New Roman"/>
                <w:sz w:val="24"/>
              </w:rPr>
              <w:t>2635</w:t>
            </w:r>
            <w:r w:rsidRPr="008A030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93" w:type="pct"/>
            <w:tcBorders>
              <w:bottom w:val="single" w:sz="18" w:space="0" w:color="auto"/>
            </w:tcBorders>
          </w:tcPr>
          <w:p w14:paraId="04D5D1AE" w14:textId="77777777" w:rsidR="001655BD" w:rsidRPr="008A0305" w:rsidRDefault="008A0305" w:rsidP="00B767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$0.02725</w:t>
            </w:r>
          </w:p>
        </w:tc>
        <w:tc>
          <w:tcPr>
            <w:tcW w:w="846" w:type="pct"/>
            <w:tcBorders>
              <w:bottom w:val="single" w:sz="18" w:space="0" w:color="auto"/>
            </w:tcBorders>
          </w:tcPr>
          <w:p w14:paraId="04D5D1AF" w14:textId="77777777" w:rsidR="001655BD" w:rsidRPr="008A0305" w:rsidRDefault="001655BD" w:rsidP="00B767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</w:t>
            </w:r>
            <w:r w:rsidR="00B7671F" w:rsidRPr="008A0305">
              <w:rPr>
                <w:rFonts w:ascii="Times New Roman" w:hAnsi="Times New Roman"/>
                <w:sz w:val="24"/>
              </w:rPr>
              <w:t>320,392</w:t>
            </w:r>
          </w:p>
        </w:tc>
        <w:tc>
          <w:tcPr>
            <w:tcW w:w="854" w:type="pct"/>
            <w:tcBorders>
              <w:bottom w:val="single" w:sz="18" w:space="0" w:color="auto"/>
            </w:tcBorders>
          </w:tcPr>
          <w:p w14:paraId="04D5D1B0" w14:textId="77777777" w:rsidR="001655BD" w:rsidRPr="008A0305" w:rsidRDefault="008A0305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0</w:t>
            </w:r>
            <w:r w:rsidR="00B7671F" w:rsidRPr="008A0305">
              <w:rPr>
                <w:rFonts w:ascii="Times New Roman" w:hAnsi="Times New Roman"/>
                <w:sz w:val="24"/>
              </w:rPr>
              <w:t>.</w:t>
            </w:r>
            <w:r w:rsidRPr="008A0305">
              <w:rPr>
                <w:rFonts w:ascii="Times New Roman" w:hAnsi="Times New Roman"/>
                <w:sz w:val="24"/>
              </w:rPr>
              <w:t>2</w:t>
            </w:r>
            <w:r w:rsidR="001655BD" w:rsidRPr="008A030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8A0305" w:rsidRPr="008A0305" w14:paraId="04D5D1B5" w14:textId="77777777" w:rsidTr="0004736C">
        <w:tc>
          <w:tcPr>
            <w:tcW w:w="3300" w:type="pct"/>
            <w:gridSpan w:val="3"/>
            <w:tcBorders>
              <w:top w:val="single" w:sz="18" w:space="0" w:color="auto"/>
            </w:tcBorders>
            <w:vAlign w:val="center"/>
          </w:tcPr>
          <w:p w14:paraId="04D5D1B2" w14:textId="77777777" w:rsidR="001655BD" w:rsidRPr="008A0305" w:rsidRDefault="001655BD" w:rsidP="00D434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846" w:type="pct"/>
            <w:tcBorders>
              <w:top w:val="single" w:sz="18" w:space="0" w:color="auto"/>
              <w:bottom w:val="single" w:sz="18" w:space="0" w:color="auto"/>
            </w:tcBorders>
          </w:tcPr>
          <w:p w14:paraId="04D5D1B3" w14:textId="77777777" w:rsidR="001655BD" w:rsidRPr="008A0305" w:rsidRDefault="008E1357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</w:t>
            </w:r>
            <w:r w:rsidR="00B7671F" w:rsidRPr="008A0305">
              <w:rPr>
                <w:rFonts w:ascii="Times New Roman" w:hAnsi="Times New Roman"/>
                <w:sz w:val="24"/>
              </w:rPr>
              <w:t>3</w:t>
            </w:r>
            <w:r w:rsidR="001655BD" w:rsidRPr="008A0305">
              <w:rPr>
                <w:rFonts w:ascii="Times New Roman" w:hAnsi="Times New Roman"/>
                <w:sz w:val="24"/>
              </w:rPr>
              <w:t>,</w:t>
            </w:r>
            <w:r w:rsidR="008A0305" w:rsidRPr="008A0305">
              <w:rPr>
                <w:rFonts w:ascii="Times New Roman" w:hAnsi="Times New Roman"/>
                <w:sz w:val="24"/>
              </w:rPr>
              <w:t>955</w:t>
            </w:r>
            <w:r w:rsidR="001655BD" w:rsidRPr="008A0305">
              <w:rPr>
                <w:rFonts w:ascii="Times New Roman" w:hAnsi="Times New Roman"/>
                <w:sz w:val="24"/>
              </w:rPr>
              <w:t>,</w:t>
            </w:r>
            <w:r w:rsidR="008A0305" w:rsidRPr="008A0305">
              <w:rPr>
                <w:rFonts w:ascii="Times New Roman" w:hAnsi="Times New Roman"/>
                <w:sz w:val="24"/>
              </w:rPr>
              <w:t>333</w:t>
            </w:r>
          </w:p>
        </w:tc>
        <w:tc>
          <w:tcPr>
            <w:tcW w:w="854" w:type="pct"/>
            <w:tcBorders>
              <w:top w:val="single" w:sz="18" w:space="0" w:color="auto"/>
              <w:bottom w:val="single" w:sz="18" w:space="0" w:color="auto"/>
            </w:tcBorders>
          </w:tcPr>
          <w:p w14:paraId="04D5D1B4" w14:textId="77777777" w:rsidR="001655BD" w:rsidRPr="008A0305" w:rsidRDefault="008A0305" w:rsidP="008A03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0</w:t>
            </w:r>
            <w:r w:rsidR="00B7671F" w:rsidRPr="008A0305">
              <w:rPr>
                <w:rFonts w:ascii="Times New Roman" w:hAnsi="Times New Roman"/>
                <w:sz w:val="24"/>
              </w:rPr>
              <w:t>.</w:t>
            </w:r>
            <w:r w:rsidRPr="008A0305">
              <w:rPr>
                <w:rFonts w:ascii="Times New Roman" w:hAnsi="Times New Roman"/>
                <w:sz w:val="24"/>
              </w:rPr>
              <w:t>4</w:t>
            </w:r>
            <w:r w:rsidR="001655BD" w:rsidRPr="008A0305">
              <w:rPr>
                <w:rFonts w:ascii="Times New Roman" w:hAnsi="Times New Roman"/>
                <w:sz w:val="24"/>
              </w:rPr>
              <w:t>%</w:t>
            </w:r>
          </w:p>
        </w:tc>
      </w:tr>
    </w:tbl>
    <w:p w14:paraId="31EA3476" w14:textId="77777777" w:rsidR="006A61BF" w:rsidRPr="00AE587E" w:rsidRDefault="006A61BF" w:rsidP="006A61BF">
      <w:pPr>
        <w:rPr>
          <w:rFonts w:ascii="Times New Roman" w:hAnsi="Times New Roman"/>
          <w:sz w:val="24"/>
        </w:rPr>
      </w:pPr>
    </w:p>
    <w:p w14:paraId="00EB5435" w14:textId="643B86A8" w:rsidR="006A61BF" w:rsidRPr="00EF46DD" w:rsidRDefault="00BE4528" w:rsidP="006A61BF">
      <w:pPr>
        <w:pStyle w:val="Heading2"/>
      </w:pPr>
      <w:r>
        <w:t>Residential WACOG</w:t>
      </w:r>
      <w:r w:rsidR="006A61BF">
        <w:t xml:space="preserve"> Comparisons</w:t>
      </w:r>
    </w:p>
    <w:p w14:paraId="39137275" w14:textId="3085175C" w:rsidR="006A61BF" w:rsidRDefault="006A61BF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8A03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comparison of the</w:t>
      </w:r>
      <w:r w:rsidR="00BE4528">
        <w:rPr>
          <w:rFonts w:ascii="Times New Roman" w:hAnsi="Times New Roman"/>
          <w:sz w:val="24"/>
        </w:rPr>
        <w:t xml:space="preserve"> WACOG for the commission’s regulated local distribution companies</w:t>
      </w:r>
      <w:r w:rsidR="00D92559">
        <w:rPr>
          <w:rFonts w:ascii="Times New Roman" w:hAnsi="Times New Roman"/>
          <w:sz w:val="24"/>
        </w:rPr>
        <w:t xml:space="preserve"> </w:t>
      </w:r>
      <w:r w:rsidR="00BE4528">
        <w:rPr>
          <w:rFonts w:ascii="Times New Roman" w:hAnsi="Times New Roman"/>
          <w:sz w:val="24"/>
        </w:rPr>
        <w:t>(</w:t>
      </w:r>
      <w:r w:rsidR="00D92559">
        <w:rPr>
          <w:rFonts w:ascii="Times New Roman" w:hAnsi="Times New Roman"/>
          <w:sz w:val="24"/>
        </w:rPr>
        <w:t>LDCs</w:t>
      </w:r>
      <w:r w:rsidR="00BE4528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Pr="008A0305">
        <w:rPr>
          <w:rFonts w:ascii="Times New Roman" w:hAnsi="Times New Roman"/>
          <w:sz w:val="24"/>
        </w:rPr>
        <w:t xml:space="preserve">combined </w:t>
      </w:r>
      <w:r w:rsidRPr="00593AAA">
        <w:rPr>
          <w:rFonts w:ascii="Times New Roman" w:hAnsi="Times New Roman"/>
          <w:sz w:val="24"/>
        </w:rPr>
        <w:t xml:space="preserve">effects </w:t>
      </w:r>
      <w:r>
        <w:rPr>
          <w:rFonts w:ascii="Times New Roman" w:hAnsi="Times New Roman"/>
          <w:sz w:val="24"/>
        </w:rPr>
        <w:t>f</w:t>
      </w:r>
      <w:r w:rsidRPr="00593AAA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r</w:t>
      </w:r>
      <w:r w:rsidRPr="00593AAA">
        <w:rPr>
          <w:rFonts w:ascii="Times New Roman" w:hAnsi="Times New Roman"/>
          <w:sz w:val="24"/>
        </w:rPr>
        <w:t xml:space="preserve"> the </w:t>
      </w:r>
      <w:r w:rsidR="00BE4528">
        <w:rPr>
          <w:rFonts w:ascii="Times New Roman" w:hAnsi="Times New Roman"/>
          <w:sz w:val="24"/>
        </w:rPr>
        <w:t>commodity</w:t>
      </w:r>
      <w:r w:rsidRPr="00593AAA">
        <w:rPr>
          <w:rFonts w:ascii="Times New Roman" w:hAnsi="Times New Roman"/>
          <w:sz w:val="24"/>
        </w:rPr>
        <w:t xml:space="preserve"> and </w:t>
      </w:r>
      <w:r w:rsidR="00BE4528">
        <w:rPr>
          <w:rFonts w:ascii="Times New Roman" w:hAnsi="Times New Roman"/>
          <w:sz w:val="24"/>
        </w:rPr>
        <w:t>demand</w:t>
      </w:r>
      <w:r w:rsidRPr="00593AAA">
        <w:rPr>
          <w:rFonts w:ascii="Times New Roman" w:hAnsi="Times New Roman"/>
          <w:sz w:val="24"/>
        </w:rPr>
        <w:t xml:space="preserve"> on </w:t>
      </w:r>
      <w:r w:rsidR="00610A36">
        <w:rPr>
          <w:rFonts w:ascii="Times New Roman" w:hAnsi="Times New Roman"/>
          <w:sz w:val="24"/>
        </w:rPr>
        <w:t xml:space="preserve">residential </w:t>
      </w:r>
      <w:r w:rsidR="00D92559">
        <w:rPr>
          <w:rFonts w:ascii="Times New Roman" w:hAnsi="Times New Roman"/>
          <w:sz w:val="24"/>
        </w:rPr>
        <w:t xml:space="preserve">gas </w:t>
      </w:r>
      <w:r w:rsidRPr="00593AAA">
        <w:rPr>
          <w:rFonts w:ascii="Times New Roman" w:hAnsi="Times New Roman"/>
          <w:sz w:val="24"/>
        </w:rPr>
        <w:t>rates ($/therm) are as follow</w:t>
      </w:r>
      <w:r>
        <w:rPr>
          <w:rFonts w:ascii="Times New Roman" w:hAnsi="Times New Roman"/>
          <w:sz w:val="24"/>
        </w:rPr>
        <w:t>s</w:t>
      </w:r>
      <w:r w:rsidRPr="00593AAA">
        <w:rPr>
          <w:rFonts w:ascii="Times New Roman" w:hAnsi="Times New Roman"/>
          <w:sz w:val="24"/>
        </w:rPr>
        <w:t>:</w:t>
      </w:r>
    </w:p>
    <w:p w14:paraId="77EF67C8" w14:textId="77777777" w:rsidR="006A61BF" w:rsidRDefault="006A61BF" w:rsidP="00633FE5">
      <w:pPr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6"/>
        <w:gridCol w:w="2019"/>
        <w:gridCol w:w="2007"/>
        <w:gridCol w:w="1894"/>
      </w:tblGrid>
      <w:tr w:rsidR="00BE4528" w:rsidRPr="00B7671F" w14:paraId="7B60F5F5" w14:textId="77777777" w:rsidTr="00BE4528">
        <w:tc>
          <w:tcPr>
            <w:tcW w:w="1909" w:type="pct"/>
            <w:vAlign w:val="bottom"/>
          </w:tcPr>
          <w:p w14:paraId="6FA1E01B" w14:textId="1E5713CE" w:rsidR="00BE4528" w:rsidRPr="00B7671F" w:rsidRDefault="00BE4528" w:rsidP="00D92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LDCs</w:t>
            </w:r>
          </w:p>
        </w:tc>
        <w:tc>
          <w:tcPr>
            <w:tcW w:w="1054" w:type="pct"/>
            <w:vAlign w:val="bottom"/>
          </w:tcPr>
          <w:p w14:paraId="301F53CF" w14:textId="0C5B0F41" w:rsidR="00BE4528" w:rsidRPr="00B7671F" w:rsidRDefault="00BE4528" w:rsidP="00D92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Commodity</w:t>
            </w:r>
          </w:p>
        </w:tc>
        <w:tc>
          <w:tcPr>
            <w:tcW w:w="1048" w:type="pct"/>
            <w:vAlign w:val="bottom"/>
          </w:tcPr>
          <w:p w14:paraId="3CDF0A89" w14:textId="2F76CE8F" w:rsidR="00BE4528" w:rsidRPr="00B7671F" w:rsidRDefault="00BE4528" w:rsidP="00D92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Demand</w:t>
            </w:r>
          </w:p>
        </w:tc>
        <w:tc>
          <w:tcPr>
            <w:tcW w:w="990" w:type="pct"/>
          </w:tcPr>
          <w:p w14:paraId="7884FAAE" w14:textId="2FBF00A7" w:rsidR="00BE4528" w:rsidRPr="00B7671F" w:rsidRDefault="00BE4528" w:rsidP="00D92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 WACOG</w:t>
            </w:r>
          </w:p>
        </w:tc>
      </w:tr>
      <w:tr w:rsidR="00BE4528" w:rsidRPr="008A0305" w14:paraId="057E023C" w14:textId="77777777" w:rsidTr="00BE4528">
        <w:tc>
          <w:tcPr>
            <w:tcW w:w="1909" w:type="pct"/>
          </w:tcPr>
          <w:p w14:paraId="3B37624A" w14:textId="3926343D" w:rsidR="00BE4528" w:rsidRPr="008A0305" w:rsidRDefault="00BE4528" w:rsidP="00D92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Avista Corporation</w:t>
            </w:r>
          </w:p>
        </w:tc>
        <w:tc>
          <w:tcPr>
            <w:tcW w:w="1054" w:type="pct"/>
            <w:vAlign w:val="center"/>
          </w:tcPr>
          <w:p w14:paraId="56C27FDB" w14:textId="13DD95FD" w:rsidR="00BE4528" w:rsidRPr="008A0305" w:rsidRDefault="00BE4528" w:rsidP="00C133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</w:t>
            </w:r>
            <w:r>
              <w:rPr>
                <w:rFonts w:ascii="Times New Roman" w:hAnsi="Times New Roman"/>
                <w:sz w:val="24"/>
              </w:rPr>
              <w:t>36280</w:t>
            </w:r>
          </w:p>
        </w:tc>
        <w:tc>
          <w:tcPr>
            <w:tcW w:w="1048" w:type="pct"/>
          </w:tcPr>
          <w:p w14:paraId="7EAFDFA1" w14:textId="1374FC73" w:rsidR="00BE4528" w:rsidRPr="008A0305" w:rsidRDefault="00BE4528" w:rsidP="00C133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</w:t>
            </w:r>
            <w:r>
              <w:rPr>
                <w:rFonts w:ascii="Times New Roman" w:hAnsi="Times New Roman"/>
                <w:sz w:val="24"/>
              </w:rPr>
              <w:t>11298</w:t>
            </w:r>
          </w:p>
        </w:tc>
        <w:tc>
          <w:tcPr>
            <w:tcW w:w="990" w:type="pct"/>
          </w:tcPr>
          <w:p w14:paraId="17E72796" w14:textId="1D5A2CAE" w:rsidR="00BE4528" w:rsidRPr="008A0305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</w:t>
            </w:r>
            <w:r>
              <w:rPr>
                <w:rFonts w:ascii="Times New Roman" w:hAnsi="Times New Roman"/>
                <w:sz w:val="24"/>
              </w:rPr>
              <w:t>47578</w:t>
            </w:r>
          </w:p>
        </w:tc>
      </w:tr>
      <w:tr w:rsidR="00BE4528" w:rsidRPr="008A0305" w14:paraId="7327ABA9" w14:textId="77777777" w:rsidTr="00BE4528">
        <w:tc>
          <w:tcPr>
            <w:tcW w:w="1909" w:type="pct"/>
          </w:tcPr>
          <w:p w14:paraId="4E2858D7" w14:textId="04528FAA" w:rsidR="00BE4528" w:rsidRPr="008A0305" w:rsidRDefault="00BE4528" w:rsidP="00D92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</w:tc>
        <w:tc>
          <w:tcPr>
            <w:tcW w:w="1054" w:type="pct"/>
            <w:vAlign w:val="center"/>
          </w:tcPr>
          <w:p w14:paraId="7CE50DEA" w14:textId="76D8FCE4" w:rsidR="00BE4528" w:rsidRPr="008A0305" w:rsidRDefault="00BE4528" w:rsidP="00610A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</w:t>
            </w:r>
            <w:r>
              <w:rPr>
                <w:rFonts w:ascii="Times New Roman" w:hAnsi="Times New Roman"/>
                <w:sz w:val="24"/>
              </w:rPr>
              <w:t>40747</w:t>
            </w:r>
          </w:p>
        </w:tc>
        <w:tc>
          <w:tcPr>
            <w:tcW w:w="1048" w:type="pct"/>
          </w:tcPr>
          <w:p w14:paraId="7A53B3BA" w14:textId="14DC68E6" w:rsidR="00BE4528" w:rsidRPr="008A0305" w:rsidRDefault="00BE4528" w:rsidP="00610A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8A0305">
              <w:rPr>
                <w:rFonts w:ascii="Times New Roman" w:hAnsi="Times New Roman"/>
                <w:sz w:val="24"/>
              </w:rPr>
              <w:t>$0.</w:t>
            </w:r>
            <w:r>
              <w:rPr>
                <w:rFonts w:ascii="Times New Roman" w:hAnsi="Times New Roman"/>
                <w:sz w:val="24"/>
              </w:rPr>
              <w:t>15127</w:t>
            </w:r>
          </w:p>
        </w:tc>
        <w:tc>
          <w:tcPr>
            <w:tcW w:w="990" w:type="pct"/>
          </w:tcPr>
          <w:p w14:paraId="35884CEA" w14:textId="58A9D1CD" w:rsidR="00BE4528" w:rsidRPr="008A0305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$0.55874</w:t>
            </w:r>
          </w:p>
        </w:tc>
      </w:tr>
      <w:tr w:rsidR="00BE4528" w:rsidRPr="008A0305" w14:paraId="30D015D1" w14:textId="77777777" w:rsidTr="00BE4528">
        <w:tc>
          <w:tcPr>
            <w:tcW w:w="1909" w:type="pct"/>
          </w:tcPr>
          <w:p w14:paraId="1699917A" w14:textId="0CB8B3A4" w:rsidR="00BE4528" w:rsidRPr="008A0305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Northwest Natural Gas</w:t>
            </w:r>
          </w:p>
        </w:tc>
        <w:tc>
          <w:tcPr>
            <w:tcW w:w="1054" w:type="pct"/>
            <w:vAlign w:val="center"/>
          </w:tcPr>
          <w:p w14:paraId="1C6EBC34" w14:textId="25340700" w:rsidR="00BE4528" w:rsidRPr="008A0305" w:rsidRDefault="00BE4528" w:rsidP="00D92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$0.37961</w:t>
            </w:r>
          </w:p>
        </w:tc>
        <w:tc>
          <w:tcPr>
            <w:tcW w:w="1048" w:type="pct"/>
          </w:tcPr>
          <w:p w14:paraId="5F36EA49" w14:textId="0C478463" w:rsidR="00BE4528" w:rsidRPr="008A0305" w:rsidRDefault="00BE4528" w:rsidP="00D92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$0.13393</w:t>
            </w:r>
          </w:p>
        </w:tc>
        <w:tc>
          <w:tcPr>
            <w:tcW w:w="990" w:type="pct"/>
          </w:tcPr>
          <w:p w14:paraId="70635330" w14:textId="1A7C8CC8" w:rsidR="00BE4528" w:rsidRPr="008A0305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$0.50394</w:t>
            </w:r>
          </w:p>
        </w:tc>
      </w:tr>
      <w:tr w:rsidR="00BE4528" w:rsidRPr="008A0305" w14:paraId="2C3F5089" w14:textId="77777777" w:rsidTr="00BE4528">
        <w:tc>
          <w:tcPr>
            <w:tcW w:w="1909" w:type="pct"/>
          </w:tcPr>
          <w:p w14:paraId="16BCA367" w14:textId="24D05FF7" w:rsidR="00BE4528" w:rsidRPr="008A0305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Cascade Natural Gas</w:t>
            </w:r>
          </w:p>
        </w:tc>
        <w:tc>
          <w:tcPr>
            <w:tcW w:w="1054" w:type="pct"/>
            <w:vAlign w:val="center"/>
          </w:tcPr>
          <w:p w14:paraId="5DD56C8D" w14:textId="62A8F90E" w:rsidR="00BE4528" w:rsidRPr="008A0305" w:rsidRDefault="00BE4528" w:rsidP="00D92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$0.43796</w:t>
            </w:r>
          </w:p>
        </w:tc>
        <w:tc>
          <w:tcPr>
            <w:tcW w:w="1048" w:type="pct"/>
          </w:tcPr>
          <w:p w14:paraId="5FB237A9" w14:textId="338F9159" w:rsidR="00BE4528" w:rsidRPr="008A0305" w:rsidRDefault="00BE4528" w:rsidP="00D92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$0.16394</w:t>
            </w:r>
          </w:p>
        </w:tc>
        <w:tc>
          <w:tcPr>
            <w:tcW w:w="990" w:type="pct"/>
          </w:tcPr>
          <w:p w14:paraId="6EAE4CA3" w14:textId="474DF950" w:rsidR="00BE4528" w:rsidRPr="008A0305" w:rsidRDefault="00BE4528" w:rsidP="00BE45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$0.60190</w:t>
            </w:r>
          </w:p>
        </w:tc>
      </w:tr>
    </w:tbl>
    <w:p w14:paraId="16CAD9C4" w14:textId="77777777" w:rsidR="006A61BF" w:rsidRPr="008A0305" w:rsidRDefault="006A61BF" w:rsidP="00633FE5">
      <w:pPr>
        <w:rPr>
          <w:rFonts w:ascii="Times New Roman" w:hAnsi="Times New Roman"/>
          <w:sz w:val="24"/>
        </w:rPr>
      </w:pPr>
    </w:p>
    <w:p w14:paraId="04D5D1B7" w14:textId="77777777" w:rsidR="000A3A72" w:rsidRPr="003F7E5A" w:rsidRDefault="000A3A72" w:rsidP="00025483">
      <w:pPr>
        <w:pStyle w:val="Heading1"/>
        <w:rPr>
          <w:rStyle w:val="BookTitle"/>
        </w:rPr>
      </w:pPr>
      <w:r w:rsidRPr="003F7E5A">
        <w:rPr>
          <w:rStyle w:val="BookTitle"/>
        </w:rPr>
        <w:t>Customer Comment</w:t>
      </w:r>
      <w:r w:rsidR="00186A7F">
        <w:rPr>
          <w:rStyle w:val="BookTitle"/>
        </w:rPr>
        <w:t>s</w:t>
      </w:r>
    </w:p>
    <w:p w14:paraId="04D5D1B8" w14:textId="77777777" w:rsidR="00950485" w:rsidRPr="003F7E5A" w:rsidRDefault="00950485" w:rsidP="00EB55D8">
      <w:pPr>
        <w:rPr>
          <w:rFonts w:ascii="Times New Roman" w:hAnsi="Times New Roman"/>
          <w:sz w:val="24"/>
        </w:rPr>
      </w:pPr>
    </w:p>
    <w:p w14:paraId="04D5D1B9" w14:textId="7E823452" w:rsidR="00EB55D8" w:rsidRDefault="00EB55D8" w:rsidP="00EB55D8">
      <w:pPr>
        <w:rPr>
          <w:rFonts w:ascii="Times New Roman" w:hAnsi="Times New Roman"/>
          <w:sz w:val="24"/>
        </w:rPr>
      </w:pPr>
      <w:r w:rsidRPr="003F7E5A">
        <w:rPr>
          <w:rFonts w:ascii="Times New Roman" w:hAnsi="Times New Roman"/>
          <w:sz w:val="24"/>
        </w:rPr>
        <w:t>PSE posted its proposed tariff changes on its website as required by WAC 480-</w:t>
      </w:r>
      <w:r w:rsidR="008666CE">
        <w:rPr>
          <w:rFonts w:ascii="Times New Roman" w:hAnsi="Times New Roman"/>
          <w:sz w:val="24"/>
        </w:rPr>
        <w:t>90</w:t>
      </w:r>
      <w:r w:rsidRPr="003F7E5A">
        <w:rPr>
          <w:rFonts w:ascii="Times New Roman" w:hAnsi="Times New Roman"/>
          <w:sz w:val="24"/>
        </w:rPr>
        <w:t>-19</w:t>
      </w:r>
      <w:r w:rsidR="008666CE">
        <w:rPr>
          <w:rFonts w:ascii="Times New Roman" w:hAnsi="Times New Roman"/>
          <w:sz w:val="24"/>
        </w:rPr>
        <w:t>4</w:t>
      </w:r>
      <w:r w:rsidRPr="003F7E5A">
        <w:rPr>
          <w:rFonts w:ascii="Times New Roman" w:hAnsi="Times New Roman"/>
          <w:sz w:val="24"/>
        </w:rPr>
        <w:t>. This filing represents a</w:t>
      </w:r>
      <w:r w:rsidR="00475D2B" w:rsidRPr="003F7E5A">
        <w:rPr>
          <w:rFonts w:ascii="Times New Roman" w:hAnsi="Times New Roman"/>
          <w:sz w:val="24"/>
        </w:rPr>
        <w:t>n</w:t>
      </w:r>
      <w:r w:rsidRPr="003F7E5A">
        <w:rPr>
          <w:rFonts w:ascii="Times New Roman" w:hAnsi="Times New Roman"/>
          <w:sz w:val="24"/>
        </w:rPr>
        <w:t xml:space="preserve"> </w:t>
      </w:r>
      <w:r w:rsidR="00475D2B" w:rsidRPr="003F7E5A">
        <w:rPr>
          <w:rFonts w:ascii="Times New Roman" w:hAnsi="Times New Roman"/>
          <w:sz w:val="24"/>
        </w:rPr>
        <w:t>in</w:t>
      </w:r>
      <w:r w:rsidRPr="003F7E5A">
        <w:rPr>
          <w:rFonts w:ascii="Times New Roman" w:hAnsi="Times New Roman"/>
          <w:sz w:val="24"/>
        </w:rPr>
        <w:t>crease in rates; therefore PSE is required to provide an additional notice to its customers. The company</w:t>
      </w:r>
      <w:r w:rsidR="006059C6">
        <w:rPr>
          <w:rFonts w:ascii="Times New Roman" w:hAnsi="Times New Roman"/>
          <w:sz w:val="24"/>
        </w:rPr>
        <w:t>’s</w:t>
      </w:r>
      <w:r w:rsidRPr="003F7E5A">
        <w:rPr>
          <w:rFonts w:ascii="Times New Roman" w:hAnsi="Times New Roman"/>
          <w:sz w:val="24"/>
        </w:rPr>
        <w:t xml:space="preserve"> news release to </w:t>
      </w:r>
      <w:r w:rsidR="005C1410">
        <w:rPr>
          <w:rFonts w:ascii="Times New Roman" w:hAnsi="Times New Roman"/>
          <w:sz w:val="24"/>
        </w:rPr>
        <w:t xml:space="preserve">the </w:t>
      </w:r>
      <w:r w:rsidRPr="003F7E5A">
        <w:rPr>
          <w:rFonts w:ascii="Times New Roman" w:hAnsi="Times New Roman"/>
          <w:sz w:val="24"/>
        </w:rPr>
        <w:t xml:space="preserve">media in its service territory </w:t>
      </w:r>
      <w:r w:rsidR="006B16D9" w:rsidRPr="003F7E5A">
        <w:rPr>
          <w:rFonts w:ascii="Times New Roman" w:hAnsi="Times New Roman"/>
          <w:sz w:val="24"/>
        </w:rPr>
        <w:t>included</w:t>
      </w:r>
      <w:r w:rsidRPr="003F7E5A">
        <w:rPr>
          <w:rFonts w:ascii="Times New Roman" w:hAnsi="Times New Roman"/>
          <w:sz w:val="24"/>
        </w:rPr>
        <w:t xml:space="preserve"> the specifics of the filing</w:t>
      </w:r>
      <w:r w:rsidR="006059C6">
        <w:rPr>
          <w:rFonts w:ascii="Times New Roman" w:hAnsi="Times New Roman"/>
          <w:sz w:val="24"/>
        </w:rPr>
        <w:t>,</w:t>
      </w:r>
      <w:r w:rsidR="00186A7F">
        <w:rPr>
          <w:rFonts w:ascii="Times New Roman" w:hAnsi="Times New Roman"/>
          <w:sz w:val="24"/>
        </w:rPr>
        <w:t xml:space="preserve"> and </w:t>
      </w:r>
      <w:r w:rsidR="006059C6">
        <w:rPr>
          <w:rFonts w:ascii="Times New Roman" w:hAnsi="Times New Roman"/>
          <w:sz w:val="24"/>
        </w:rPr>
        <w:t xml:space="preserve">PSE </w:t>
      </w:r>
      <w:r w:rsidR="00186A7F">
        <w:rPr>
          <w:rFonts w:ascii="Times New Roman" w:hAnsi="Times New Roman"/>
          <w:sz w:val="24"/>
        </w:rPr>
        <w:t>provided bill inserts to customers explaining the specifics of the filing</w:t>
      </w:r>
      <w:r w:rsidRPr="003F7E5A">
        <w:rPr>
          <w:rFonts w:ascii="Times New Roman" w:hAnsi="Times New Roman"/>
          <w:sz w:val="24"/>
        </w:rPr>
        <w:t xml:space="preserve">. The commission received </w:t>
      </w:r>
      <w:r w:rsidR="00186A7F">
        <w:rPr>
          <w:rFonts w:ascii="Times New Roman" w:hAnsi="Times New Roman"/>
          <w:sz w:val="24"/>
        </w:rPr>
        <w:t>four</w:t>
      </w:r>
      <w:r w:rsidRPr="003F7E5A">
        <w:rPr>
          <w:rFonts w:ascii="Times New Roman" w:hAnsi="Times New Roman"/>
          <w:sz w:val="24"/>
        </w:rPr>
        <w:t xml:space="preserve"> customer comment</w:t>
      </w:r>
      <w:r w:rsidR="00186A7F">
        <w:rPr>
          <w:rFonts w:ascii="Times New Roman" w:hAnsi="Times New Roman"/>
          <w:sz w:val="24"/>
        </w:rPr>
        <w:t>s, all</w:t>
      </w:r>
      <w:r w:rsidRPr="003F7E5A">
        <w:rPr>
          <w:rFonts w:ascii="Times New Roman" w:hAnsi="Times New Roman"/>
          <w:sz w:val="24"/>
        </w:rPr>
        <w:t xml:space="preserve"> opposing the </w:t>
      </w:r>
      <w:r w:rsidR="00475D2B" w:rsidRPr="003F7E5A">
        <w:rPr>
          <w:rFonts w:ascii="Times New Roman" w:hAnsi="Times New Roman"/>
          <w:sz w:val="24"/>
        </w:rPr>
        <w:t>in</w:t>
      </w:r>
      <w:r w:rsidR="003F7E5A">
        <w:rPr>
          <w:rFonts w:ascii="Times New Roman" w:hAnsi="Times New Roman"/>
          <w:sz w:val="24"/>
        </w:rPr>
        <w:t>crease.</w:t>
      </w:r>
    </w:p>
    <w:p w14:paraId="04D5D1BA" w14:textId="77777777" w:rsidR="00186A7F" w:rsidRDefault="00186A7F" w:rsidP="00EB55D8">
      <w:pPr>
        <w:rPr>
          <w:rFonts w:ascii="Times New Roman" w:hAnsi="Times New Roman"/>
          <w:sz w:val="24"/>
        </w:rPr>
      </w:pPr>
    </w:p>
    <w:p w14:paraId="04D5D1BB" w14:textId="77777777" w:rsidR="00186A7F" w:rsidRPr="003F7E5A" w:rsidRDefault="00186A7F" w:rsidP="00EB55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Consumer </w:t>
      </w:r>
      <w:r w:rsidR="00AF3EDE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rotection staff informed the consumer that the</w:t>
      </w:r>
      <w:r w:rsidR="008F0C7B">
        <w:rPr>
          <w:rFonts w:ascii="Times New Roman" w:hAnsi="Times New Roman"/>
          <w:sz w:val="24"/>
        </w:rPr>
        <w:t xml:space="preserve"> documents about this filing</w:t>
      </w:r>
      <w:r>
        <w:rPr>
          <w:rFonts w:ascii="Times New Roman" w:hAnsi="Times New Roman"/>
          <w:sz w:val="24"/>
        </w:rPr>
        <w:t xml:space="preserve"> are available at </w:t>
      </w:r>
      <w:hyperlink r:id="rId11" w:history="1">
        <w:r w:rsidRPr="00186A7F">
          <w:rPr>
            <w:rFonts w:ascii="Times New Roman" w:hAnsi="Times New Roman"/>
            <w:sz w:val="24"/>
          </w:rPr>
          <w:t>www.utc.wa.gov</w:t>
        </w:r>
      </w:hyperlink>
      <w:r w:rsidRPr="00186A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 questions should be directed to Roger Kouchi at</w:t>
      </w:r>
      <w:r w:rsidR="00F43C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1-888-333-9882. The consumer</w:t>
      </w:r>
      <w:r w:rsidR="008F0C7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w</w:t>
      </w:r>
      <w:r w:rsidR="008F0C7B">
        <w:rPr>
          <w:rFonts w:ascii="Times New Roman" w:hAnsi="Times New Roman"/>
          <w:sz w:val="24"/>
        </w:rPr>
        <w:t>ere</w:t>
      </w:r>
      <w:r>
        <w:rPr>
          <w:rFonts w:ascii="Times New Roman" w:hAnsi="Times New Roman"/>
          <w:sz w:val="24"/>
        </w:rPr>
        <w:t xml:space="preserve"> </w:t>
      </w:r>
      <w:r w:rsidR="008F0C7B">
        <w:rPr>
          <w:rFonts w:ascii="Times New Roman" w:hAnsi="Times New Roman"/>
          <w:sz w:val="24"/>
        </w:rPr>
        <w:t xml:space="preserve">advised of the </w:t>
      </w:r>
      <w:r>
        <w:rPr>
          <w:rFonts w:ascii="Times New Roman" w:hAnsi="Times New Roman"/>
          <w:sz w:val="24"/>
        </w:rPr>
        <w:t>opportunity to participate at the</w:t>
      </w:r>
      <w:r w:rsidR="008F0C7B">
        <w:rPr>
          <w:rFonts w:ascii="Times New Roman" w:hAnsi="Times New Roman"/>
          <w:sz w:val="24"/>
        </w:rPr>
        <w:t xml:space="preserve"> public</w:t>
      </w:r>
      <w:r>
        <w:rPr>
          <w:rFonts w:ascii="Times New Roman" w:hAnsi="Times New Roman"/>
          <w:sz w:val="24"/>
        </w:rPr>
        <w:t xml:space="preserve"> open meeting.</w:t>
      </w:r>
    </w:p>
    <w:p w14:paraId="04D5D1BC" w14:textId="77777777" w:rsidR="00186A7F" w:rsidRPr="003F7E5A" w:rsidRDefault="00186A7F" w:rsidP="00186A7F">
      <w:pPr>
        <w:rPr>
          <w:rFonts w:ascii="Times New Roman" w:hAnsi="Times New Roman"/>
          <w:sz w:val="24"/>
        </w:rPr>
      </w:pPr>
    </w:p>
    <w:p w14:paraId="04D5D1BD" w14:textId="77777777" w:rsidR="00186A7F" w:rsidRPr="00AF3EDE" w:rsidRDefault="00186A7F" w:rsidP="00186A7F">
      <w:pPr>
        <w:pStyle w:val="Heading2"/>
      </w:pPr>
      <w:r w:rsidRPr="00AF3EDE">
        <w:t>General Comment</w:t>
      </w:r>
      <w:r w:rsidR="008A1477">
        <w:t>s</w:t>
      </w:r>
    </w:p>
    <w:p w14:paraId="04D5D1BE" w14:textId="77777777" w:rsidR="007C13B4" w:rsidRDefault="007C13B4" w:rsidP="00186A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 four </w:t>
      </w:r>
      <w:r w:rsidR="00186A7F" w:rsidRPr="00AF3EDE">
        <w:rPr>
          <w:rFonts w:ascii="Times New Roman" w:hAnsi="Times New Roman"/>
          <w:sz w:val="24"/>
        </w:rPr>
        <w:t>customer</w:t>
      </w:r>
      <w:r>
        <w:rPr>
          <w:rFonts w:ascii="Times New Roman" w:hAnsi="Times New Roman"/>
          <w:sz w:val="24"/>
        </w:rPr>
        <w:t>s</w:t>
      </w:r>
      <w:r w:rsidR="00186A7F" w:rsidRPr="00AF3EDE">
        <w:rPr>
          <w:rFonts w:ascii="Times New Roman" w:hAnsi="Times New Roman"/>
          <w:sz w:val="24"/>
        </w:rPr>
        <w:t xml:space="preserve"> </w:t>
      </w:r>
      <w:r w:rsidR="00AF3EDE" w:rsidRPr="00AF3EDE">
        <w:rPr>
          <w:rFonts w:ascii="Times New Roman" w:hAnsi="Times New Roman"/>
          <w:sz w:val="24"/>
        </w:rPr>
        <w:t xml:space="preserve">expressed frustration with the </w:t>
      </w:r>
      <w:r>
        <w:rPr>
          <w:rFonts w:ascii="Times New Roman" w:hAnsi="Times New Roman"/>
          <w:sz w:val="24"/>
        </w:rPr>
        <w:t xml:space="preserve">constant </w:t>
      </w:r>
      <w:r w:rsidR="00AF3EDE" w:rsidRPr="00AF3EDE">
        <w:rPr>
          <w:rFonts w:ascii="Times New Roman" w:hAnsi="Times New Roman"/>
          <w:sz w:val="24"/>
        </w:rPr>
        <w:t>increase</w:t>
      </w:r>
      <w:r>
        <w:rPr>
          <w:rFonts w:ascii="Times New Roman" w:hAnsi="Times New Roman"/>
          <w:sz w:val="24"/>
        </w:rPr>
        <w:t>s</w:t>
      </w:r>
      <w:r w:rsidR="00AF3EDE" w:rsidRPr="00AF3EDE">
        <w:rPr>
          <w:rFonts w:ascii="Times New Roman" w:hAnsi="Times New Roman"/>
          <w:sz w:val="24"/>
        </w:rPr>
        <w:t>.</w:t>
      </w:r>
      <w:r w:rsidR="00F43C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Two </w:t>
      </w:r>
      <w:r w:rsidR="00AF3EDE" w:rsidRPr="00AF3EDE">
        <w:rPr>
          <w:rFonts w:ascii="Times New Roman" w:hAnsi="Times New Roman"/>
          <w:sz w:val="24"/>
        </w:rPr>
        <w:t>customer</w:t>
      </w:r>
      <w:r>
        <w:rPr>
          <w:rFonts w:ascii="Times New Roman" w:hAnsi="Times New Roman"/>
          <w:sz w:val="24"/>
        </w:rPr>
        <w:t>s</w:t>
      </w:r>
      <w:r w:rsidR="00AF3EDE" w:rsidRPr="00AF3E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commented about PSE having a monopoly in their </w:t>
      </w:r>
      <w:r w:rsidR="00DF7341">
        <w:rPr>
          <w:rFonts w:ascii="Times New Roman" w:hAnsi="Times New Roman"/>
          <w:sz w:val="24"/>
        </w:rPr>
        <w:t xml:space="preserve">service </w:t>
      </w:r>
      <w:r>
        <w:rPr>
          <w:rFonts w:ascii="Times New Roman" w:hAnsi="Times New Roman"/>
          <w:sz w:val="24"/>
        </w:rPr>
        <w:t xml:space="preserve">area and having no other </w:t>
      </w:r>
      <w:r w:rsidR="00C1202D">
        <w:rPr>
          <w:rFonts w:ascii="Times New Roman" w:hAnsi="Times New Roman"/>
          <w:sz w:val="24"/>
        </w:rPr>
        <w:t xml:space="preserve">options </w:t>
      </w:r>
      <w:r>
        <w:rPr>
          <w:rFonts w:ascii="Times New Roman" w:hAnsi="Times New Roman"/>
          <w:sz w:val="24"/>
        </w:rPr>
        <w:t xml:space="preserve">for their energy needs. The majority of the customers voiced concerns about </w:t>
      </w:r>
      <w:r w:rsidR="00AF3EDE" w:rsidRPr="00AF3EDE">
        <w:rPr>
          <w:rFonts w:ascii="Times New Roman" w:hAnsi="Times New Roman"/>
          <w:sz w:val="24"/>
        </w:rPr>
        <w:t>struggling to maintain</w:t>
      </w:r>
      <w:r>
        <w:rPr>
          <w:rFonts w:ascii="Times New Roman" w:hAnsi="Times New Roman"/>
          <w:sz w:val="24"/>
        </w:rPr>
        <w:t>, are having cash flow problems, or on fixed incomes.</w:t>
      </w:r>
    </w:p>
    <w:p w14:paraId="04D5D1BF" w14:textId="77777777" w:rsidR="00186A7F" w:rsidRPr="00AF3EDE" w:rsidRDefault="00186A7F" w:rsidP="00186A7F">
      <w:pPr>
        <w:rPr>
          <w:rFonts w:ascii="Times New Roman" w:hAnsi="Times New Roman"/>
          <w:sz w:val="24"/>
        </w:rPr>
      </w:pPr>
    </w:p>
    <w:p w14:paraId="04D5D1C0" w14:textId="77777777" w:rsidR="00EB55D8" w:rsidRPr="003F7E5A" w:rsidRDefault="00950485" w:rsidP="00025483">
      <w:pPr>
        <w:pStyle w:val="Heading2"/>
      </w:pPr>
      <w:r w:rsidRPr="003F7E5A">
        <w:t>Staff Response</w:t>
      </w:r>
    </w:p>
    <w:p w14:paraId="04D5D1C1" w14:textId="77777777" w:rsidR="00EB55D8" w:rsidRPr="003F7E5A" w:rsidRDefault="00EB55D8" w:rsidP="00950485">
      <w:pPr>
        <w:rPr>
          <w:rFonts w:ascii="Times New Roman" w:hAnsi="Times New Roman"/>
          <w:sz w:val="24"/>
        </w:rPr>
      </w:pPr>
      <w:r w:rsidRPr="003F7E5A">
        <w:rPr>
          <w:rFonts w:ascii="Times New Roman" w:hAnsi="Times New Roman"/>
          <w:sz w:val="24"/>
        </w:rPr>
        <w:t>Staff advised the customer</w:t>
      </w:r>
      <w:r w:rsidR="00F43C68">
        <w:rPr>
          <w:rFonts w:ascii="Times New Roman" w:hAnsi="Times New Roman"/>
          <w:sz w:val="24"/>
        </w:rPr>
        <w:t>s</w:t>
      </w:r>
      <w:r w:rsidRPr="003F7E5A">
        <w:rPr>
          <w:rFonts w:ascii="Times New Roman" w:hAnsi="Times New Roman"/>
          <w:sz w:val="24"/>
        </w:rPr>
        <w:t xml:space="preserve"> that PSE receives no profit from the wholesale purchase of natural gas</w:t>
      </w:r>
      <w:r w:rsidR="00446FFA">
        <w:rPr>
          <w:rFonts w:ascii="Times New Roman" w:hAnsi="Times New Roman"/>
          <w:sz w:val="24"/>
        </w:rPr>
        <w:t xml:space="preserve"> and that spot market prices are not reflective of gas available for longer term contracts</w:t>
      </w:r>
      <w:r w:rsidRPr="003F7E5A">
        <w:rPr>
          <w:rFonts w:ascii="Times New Roman" w:hAnsi="Times New Roman"/>
          <w:sz w:val="24"/>
        </w:rPr>
        <w:t xml:space="preserve">. Staff provided the consumer the fact sheet entitled </w:t>
      </w:r>
      <w:r w:rsidR="006B16D9" w:rsidRPr="003F7E5A">
        <w:rPr>
          <w:rFonts w:ascii="Times New Roman" w:hAnsi="Times New Roman"/>
          <w:sz w:val="24"/>
        </w:rPr>
        <w:t>“</w:t>
      </w:r>
      <w:r w:rsidRPr="003F7E5A">
        <w:rPr>
          <w:rFonts w:ascii="Times New Roman" w:hAnsi="Times New Roman"/>
          <w:sz w:val="24"/>
        </w:rPr>
        <w:t>Understanding Purchased Gas Cost Adjustments.</w:t>
      </w:r>
      <w:r w:rsidR="006B16D9" w:rsidRPr="003F7E5A">
        <w:rPr>
          <w:rFonts w:ascii="Times New Roman" w:hAnsi="Times New Roman"/>
          <w:sz w:val="24"/>
        </w:rPr>
        <w:t>”</w:t>
      </w:r>
      <w:r w:rsidRPr="003F7E5A">
        <w:rPr>
          <w:rFonts w:ascii="Times New Roman" w:hAnsi="Times New Roman"/>
          <w:sz w:val="24"/>
        </w:rPr>
        <w:t xml:space="preserve"> The consumer was also advised of the opportunity to participate at the </w:t>
      </w:r>
      <w:r w:rsidR="006B16D9" w:rsidRPr="003F7E5A">
        <w:rPr>
          <w:rFonts w:ascii="Times New Roman" w:hAnsi="Times New Roman"/>
          <w:sz w:val="24"/>
        </w:rPr>
        <w:t xml:space="preserve">public </w:t>
      </w:r>
      <w:r w:rsidRPr="003F7E5A">
        <w:rPr>
          <w:rFonts w:ascii="Times New Roman" w:hAnsi="Times New Roman"/>
          <w:sz w:val="24"/>
        </w:rPr>
        <w:t>open meeting.</w:t>
      </w:r>
      <w:r w:rsidR="00F43C68" w:rsidRPr="00F43C68">
        <w:rPr>
          <w:rFonts w:ascii="Times New Roman" w:hAnsi="Times New Roman"/>
          <w:sz w:val="24"/>
        </w:rPr>
        <w:t xml:space="preserve"> </w:t>
      </w:r>
      <w:r w:rsidR="00F43C68">
        <w:rPr>
          <w:rFonts w:ascii="Times New Roman" w:hAnsi="Times New Roman"/>
          <w:sz w:val="24"/>
        </w:rPr>
        <w:t>In addition, the customers were informed</w:t>
      </w:r>
      <w:r w:rsidR="00F43C68" w:rsidRPr="003F7E5A">
        <w:rPr>
          <w:rFonts w:ascii="Times New Roman" w:hAnsi="Times New Roman"/>
          <w:sz w:val="24"/>
        </w:rPr>
        <w:t xml:space="preserve"> </w:t>
      </w:r>
      <w:r w:rsidR="00F43C68">
        <w:rPr>
          <w:rFonts w:ascii="Times New Roman" w:hAnsi="Times New Roman"/>
          <w:sz w:val="24"/>
        </w:rPr>
        <w:t>that the commission’s regulatory staff reviews the filing to ensure that all rates are appropriate.</w:t>
      </w:r>
    </w:p>
    <w:p w14:paraId="04D5D1C2" w14:textId="77777777" w:rsidR="0017037D" w:rsidRPr="003F7E5A" w:rsidRDefault="0017037D" w:rsidP="00950485">
      <w:pPr>
        <w:rPr>
          <w:rFonts w:ascii="Times New Roman" w:hAnsi="Times New Roman"/>
          <w:sz w:val="24"/>
        </w:rPr>
      </w:pPr>
    </w:p>
    <w:p w14:paraId="04D5D1C3" w14:textId="77777777" w:rsidR="00633FE5" w:rsidRPr="00474A0A" w:rsidRDefault="00633FE5" w:rsidP="00025483">
      <w:pPr>
        <w:pStyle w:val="Heading1"/>
        <w:rPr>
          <w:rStyle w:val="BookTitle"/>
        </w:rPr>
      </w:pPr>
      <w:r w:rsidRPr="00474A0A">
        <w:rPr>
          <w:rStyle w:val="BookTitle"/>
        </w:rPr>
        <w:t>Conclusion</w:t>
      </w:r>
    </w:p>
    <w:p w14:paraId="04D5D1C4" w14:textId="77777777" w:rsidR="00633FE5" w:rsidRDefault="00633FE5" w:rsidP="00633FE5">
      <w:pPr>
        <w:rPr>
          <w:rFonts w:ascii="Times New Roman" w:hAnsi="Times New Roman"/>
          <w:sz w:val="24"/>
        </w:rPr>
      </w:pPr>
    </w:p>
    <w:p w14:paraId="04D5D1C5" w14:textId="77777777" w:rsidR="0017037D" w:rsidRDefault="0017037D" w:rsidP="0017037D">
      <w:pPr>
        <w:pStyle w:val="BodyText"/>
        <w:rPr>
          <w:rFonts w:ascii="Times New Roman" w:hAnsi="Times New Roman"/>
        </w:rPr>
      </w:pPr>
      <w:r w:rsidRPr="0017037D">
        <w:rPr>
          <w:rFonts w:ascii="Times New Roman" w:hAnsi="Times New Roman"/>
        </w:rPr>
        <w:t>Commission staff has completed its review of the company’s supporting financial documents, prospective gas cost</w:t>
      </w:r>
      <w:r w:rsidR="006B16D9">
        <w:rPr>
          <w:rFonts w:ascii="Times New Roman" w:hAnsi="Times New Roman"/>
        </w:rPr>
        <w:t>s</w:t>
      </w:r>
      <w:r w:rsidRPr="0017037D">
        <w:rPr>
          <w:rFonts w:ascii="Times New Roman" w:hAnsi="Times New Roman"/>
        </w:rPr>
        <w:t xml:space="preserve"> and deferral amortization filing. Staff’s review shows that the expenses are reasonable and required as part of the company’s operation. The company’s financial information </w:t>
      </w:r>
      <w:r w:rsidR="00C31843" w:rsidRPr="0017037D">
        <w:rPr>
          <w:rFonts w:ascii="Times New Roman" w:hAnsi="Times New Roman"/>
        </w:rPr>
        <w:t>supports</w:t>
      </w:r>
      <w:r w:rsidR="006B16D9">
        <w:rPr>
          <w:rFonts w:ascii="Times New Roman" w:hAnsi="Times New Roman"/>
        </w:rPr>
        <w:t xml:space="preserve"> the conclusion that the </w:t>
      </w:r>
      <w:r w:rsidRPr="0017037D">
        <w:rPr>
          <w:rFonts w:ascii="Times New Roman" w:hAnsi="Times New Roman"/>
        </w:rPr>
        <w:t>revised rates and charges are fair, just, reasonable, and sufficient.</w:t>
      </w:r>
    </w:p>
    <w:p w14:paraId="04D5D1C6" w14:textId="77777777" w:rsidR="0017037D" w:rsidRPr="004970DA" w:rsidRDefault="0017037D" w:rsidP="00633FE5">
      <w:pPr>
        <w:rPr>
          <w:rFonts w:ascii="Times New Roman" w:hAnsi="Times New Roman"/>
          <w:sz w:val="24"/>
        </w:rPr>
      </w:pPr>
    </w:p>
    <w:p w14:paraId="04D5D1C7" w14:textId="77777777" w:rsidR="00633FE5" w:rsidRPr="00AC5A84" w:rsidRDefault="0017037D" w:rsidP="001703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9467D6">
        <w:rPr>
          <w:rFonts w:ascii="Times New Roman" w:hAnsi="Times New Roman"/>
          <w:sz w:val="24"/>
        </w:rPr>
        <w:t xml:space="preserve">Take no action, allowing the </w:t>
      </w:r>
      <w:r>
        <w:rPr>
          <w:rFonts w:ascii="Times New Roman" w:hAnsi="Times New Roman"/>
          <w:sz w:val="24"/>
        </w:rPr>
        <w:t xml:space="preserve">tariff </w:t>
      </w:r>
      <w:r w:rsidRPr="008007AF">
        <w:rPr>
          <w:rFonts w:ascii="Times New Roman" w:hAnsi="Times New Roman"/>
          <w:sz w:val="24"/>
        </w:rPr>
        <w:t xml:space="preserve">revisions filed by Puget </w:t>
      </w:r>
      <w:r w:rsidRPr="00AC5A84">
        <w:rPr>
          <w:rFonts w:ascii="Times New Roman" w:hAnsi="Times New Roman"/>
          <w:sz w:val="24"/>
        </w:rPr>
        <w:t xml:space="preserve">Sound Energy, Inc., on </w:t>
      </w:r>
      <w:r w:rsidR="00A40A31" w:rsidRPr="00AC5A84">
        <w:rPr>
          <w:rFonts w:ascii="Times New Roman" w:hAnsi="Times New Roman"/>
          <w:sz w:val="24"/>
        </w:rPr>
        <w:t>October 1</w:t>
      </w:r>
      <w:r w:rsidR="00400AF9" w:rsidRPr="00AC5A84">
        <w:rPr>
          <w:rFonts w:ascii="Times New Roman" w:hAnsi="Times New Roman"/>
          <w:sz w:val="24"/>
        </w:rPr>
        <w:t>4</w:t>
      </w:r>
      <w:r w:rsidRPr="00AC5A84">
        <w:rPr>
          <w:rFonts w:ascii="Times New Roman" w:hAnsi="Times New Roman"/>
          <w:sz w:val="24"/>
        </w:rPr>
        <w:t>, 2013, to become effective November 1, 2013, by operation of law.</w:t>
      </w:r>
    </w:p>
    <w:sectPr w:rsidR="00633FE5" w:rsidRPr="00AC5A84" w:rsidSect="00446B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5D1CA" w14:textId="77777777" w:rsidR="00BE4528" w:rsidRDefault="00BE4528" w:rsidP="00446BE3">
      <w:r>
        <w:separator/>
      </w:r>
    </w:p>
  </w:endnote>
  <w:endnote w:type="continuationSeparator" w:id="0">
    <w:p w14:paraId="04D5D1CB" w14:textId="77777777" w:rsidR="00BE4528" w:rsidRDefault="00BE4528" w:rsidP="004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A567" w14:textId="77777777" w:rsidR="008A5545" w:rsidRDefault="008A55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E305E" w14:textId="77777777" w:rsidR="008A5545" w:rsidRDefault="008A55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5D691" w14:textId="77777777" w:rsidR="008A5545" w:rsidRDefault="008A5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5D1C8" w14:textId="77777777" w:rsidR="00BE4528" w:rsidRDefault="00BE4528" w:rsidP="00446BE3">
      <w:r>
        <w:separator/>
      </w:r>
    </w:p>
  </w:footnote>
  <w:footnote w:type="continuationSeparator" w:id="0">
    <w:p w14:paraId="04D5D1C9" w14:textId="77777777" w:rsidR="00BE4528" w:rsidRDefault="00BE4528" w:rsidP="00446BE3">
      <w:r>
        <w:continuationSeparator/>
      </w:r>
    </w:p>
  </w:footnote>
  <w:footnote w:id="1">
    <w:p w14:paraId="04D5D1D0" w14:textId="77777777" w:rsidR="00BE4528" w:rsidRPr="00C31843" w:rsidRDefault="00BE4528">
      <w:pPr>
        <w:pStyle w:val="FootnoteText"/>
        <w:rPr>
          <w:rFonts w:ascii="Times New Roman" w:hAnsi="Times New Roman"/>
        </w:rPr>
      </w:pPr>
      <w:r w:rsidRPr="00610A36">
        <w:rPr>
          <w:rFonts w:ascii="Times New Roman" w:hAnsi="Times New Roman"/>
          <w:vertAlign w:val="superscript"/>
        </w:rPr>
        <w:footnoteRef/>
      </w:r>
      <w:r w:rsidRPr="00610A36">
        <w:rPr>
          <w:rFonts w:ascii="Times New Roman" w:hAnsi="Times New Roman"/>
        </w:rPr>
        <w:t xml:space="preserve"> </w:t>
      </w:r>
      <w:r w:rsidRPr="00C31843">
        <w:rPr>
          <w:rFonts w:ascii="Times New Roman" w:hAnsi="Times New Roman"/>
        </w:rPr>
        <w:t xml:space="preserve">Is a </w:t>
      </w:r>
      <w:r>
        <w:rPr>
          <w:rFonts w:ascii="Times New Roman" w:hAnsi="Times New Roman"/>
        </w:rPr>
        <w:t>resource in PSE’s electric portfolio.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08979" w14:textId="77777777" w:rsidR="008A5545" w:rsidRDefault="008A55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D1CC" w14:textId="77777777" w:rsidR="00BE4528" w:rsidRPr="006E5DA4" w:rsidRDefault="00BE4528" w:rsidP="00D4342A">
    <w:pPr>
      <w:rPr>
        <w:rFonts w:ascii="Times New Roman" w:hAnsi="Times New Roman"/>
        <w:szCs w:val="20"/>
      </w:rPr>
    </w:pPr>
    <w:r w:rsidRPr="006E5DA4">
      <w:rPr>
        <w:rFonts w:ascii="Times New Roman" w:hAnsi="Times New Roman"/>
        <w:szCs w:val="20"/>
      </w:rPr>
      <w:t>Docket UG-1</w:t>
    </w:r>
    <w:r>
      <w:rPr>
        <w:rFonts w:ascii="Times New Roman" w:hAnsi="Times New Roman"/>
        <w:szCs w:val="20"/>
      </w:rPr>
      <w:t>3</w:t>
    </w:r>
    <w:r w:rsidRPr="006E5DA4">
      <w:rPr>
        <w:rFonts w:ascii="Times New Roman" w:hAnsi="Times New Roman"/>
        <w:szCs w:val="20"/>
      </w:rPr>
      <w:t>1</w:t>
    </w:r>
    <w:r>
      <w:rPr>
        <w:rFonts w:ascii="Times New Roman" w:hAnsi="Times New Roman"/>
        <w:szCs w:val="20"/>
      </w:rPr>
      <w:t>816</w:t>
    </w:r>
  </w:p>
  <w:p w14:paraId="04D5D1CD" w14:textId="77777777" w:rsidR="00BE4528" w:rsidRPr="006E5DA4" w:rsidRDefault="00BE4528" w:rsidP="00D4342A">
    <w:pPr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October 30</w:t>
    </w:r>
    <w:r w:rsidRPr="006E5DA4">
      <w:rPr>
        <w:rFonts w:ascii="Times New Roman" w:hAnsi="Times New Roman"/>
        <w:szCs w:val="20"/>
      </w:rPr>
      <w:t>, 201</w:t>
    </w:r>
    <w:r>
      <w:rPr>
        <w:rFonts w:ascii="Times New Roman" w:hAnsi="Times New Roman"/>
        <w:szCs w:val="20"/>
      </w:rPr>
      <w:t>3</w:t>
    </w:r>
  </w:p>
  <w:p w14:paraId="04D5D1CE" w14:textId="77777777" w:rsidR="00BE4528" w:rsidRPr="006E5DA4" w:rsidRDefault="00BE4528" w:rsidP="00D4342A">
    <w:pPr>
      <w:rPr>
        <w:rFonts w:ascii="Times New Roman" w:hAnsi="Times New Roman"/>
        <w:szCs w:val="20"/>
      </w:rPr>
    </w:pPr>
    <w:r w:rsidRPr="006E5DA4">
      <w:rPr>
        <w:rFonts w:ascii="Times New Roman" w:hAnsi="Times New Roman"/>
        <w:szCs w:val="20"/>
      </w:rPr>
      <w:t xml:space="preserve">Page </w:t>
    </w:r>
    <w:r w:rsidRPr="006E5DA4">
      <w:rPr>
        <w:rFonts w:ascii="Times New Roman" w:hAnsi="Times New Roman"/>
        <w:szCs w:val="20"/>
      </w:rPr>
      <w:fldChar w:fldCharType="begin"/>
    </w:r>
    <w:r w:rsidRPr="006E5DA4">
      <w:rPr>
        <w:rFonts w:ascii="Times New Roman" w:hAnsi="Times New Roman"/>
        <w:szCs w:val="20"/>
      </w:rPr>
      <w:instrText xml:space="preserve">PAGE </w:instrText>
    </w:r>
    <w:r w:rsidRPr="006E5DA4">
      <w:rPr>
        <w:rFonts w:ascii="Times New Roman" w:hAnsi="Times New Roman"/>
        <w:szCs w:val="20"/>
      </w:rPr>
      <w:fldChar w:fldCharType="separate"/>
    </w:r>
    <w:r w:rsidR="00F34D7A">
      <w:rPr>
        <w:rFonts w:ascii="Times New Roman" w:hAnsi="Times New Roman"/>
        <w:noProof/>
        <w:szCs w:val="20"/>
      </w:rPr>
      <w:t>4</w:t>
    </w:r>
    <w:r w:rsidRPr="006E5DA4">
      <w:rPr>
        <w:rFonts w:ascii="Times New Roman" w:hAnsi="Times New Roman"/>
        <w:szCs w:val="20"/>
      </w:rPr>
      <w:fldChar w:fldCharType="end"/>
    </w:r>
  </w:p>
  <w:p w14:paraId="04D5D1CF" w14:textId="77777777" w:rsidR="00BE4528" w:rsidRPr="00D4342A" w:rsidRDefault="00BE4528" w:rsidP="001D1631">
    <w:pPr>
      <w:pStyle w:val="Head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6DF58" w14:textId="77777777" w:rsidR="008A5545" w:rsidRDefault="008A5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1405"/>
    <w:multiLevelType w:val="hybridMultilevel"/>
    <w:tmpl w:val="DA906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E4A20"/>
    <w:multiLevelType w:val="hybridMultilevel"/>
    <w:tmpl w:val="63A4E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64A5"/>
    <w:multiLevelType w:val="hybridMultilevel"/>
    <w:tmpl w:val="DAA2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77285"/>
    <w:multiLevelType w:val="hybridMultilevel"/>
    <w:tmpl w:val="0A804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50B54"/>
    <w:multiLevelType w:val="hybridMultilevel"/>
    <w:tmpl w:val="7AA23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E5"/>
    <w:rsid w:val="00025483"/>
    <w:rsid w:val="00026A37"/>
    <w:rsid w:val="00046C04"/>
    <w:rsid w:val="0004736C"/>
    <w:rsid w:val="00066E1D"/>
    <w:rsid w:val="0009020A"/>
    <w:rsid w:val="000A3A72"/>
    <w:rsid w:val="000A681F"/>
    <w:rsid w:val="000A704B"/>
    <w:rsid w:val="000B2FCA"/>
    <w:rsid w:val="000D3226"/>
    <w:rsid w:val="000E640C"/>
    <w:rsid w:val="000F2DC4"/>
    <w:rsid w:val="000F3DB5"/>
    <w:rsid w:val="000F6B99"/>
    <w:rsid w:val="00117B59"/>
    <w:rsid w:val="00136D36"/>
    <w:rsid w:val="00156C69"/>
    <w:rsid w:val="00160690"/>
    <w:rsid w:val="001655BD"/>
    <w:rsid w:val="0017037D"/>
    <w:rsid w:val="001724EB"/>
    <w:rsid w:val="00177632"/>
    <w:rsid w:val="00186A7F"/>
    <w:rsid w:val="001A6FE3"/>
    <w:rsid w:val="001B4E77"/>
    <w:rsid w:val="001B6212"/>
    <w:rsid w:val="001C0159"/>
    <w:rsid w:val="001C374F"/>
    <w:rsid w:val="001C5AB1"/>
    <w:rsid w:val="001D094C"/>
    <w:rsid w:val="001D1631"/>
    <w:rsid w:val="001D2123"/>
    <w:rsid w:val="001D79D8"/>
    <w:rsid w:val="001E1FC2"/>
    <w:rsid w:val="001E274F"/>
    <w:rsid w:val="001F0360"/>
    <w:rsid w:val="00223A6B"/>
    <w:rsid w:val="002276ED"/>
    <w:rsid w:val="002346FC"/>
    <w:rsid w:val="00243FF5"/>
    <w:rsid w:val="00256B1E"/>
    <w:rsid w:val="00280D8C"/>
    <w:rsid w:val="002867F5"/>
    <w:rsid w:val="0028770C"/>
    <w:rsid w:val="00290FB9"/>
    <w:rsid w:val="002A20B6"/>
    <w:rsid w:val="002A31D5"/>
    <w:rsid w:val="002C039A"/>
    <w:rsid w:val="002C1456"/>
    <w:rsid w:val="002C41D3"/>
    <w:rsid w:val="002C5EEA"/>
    <w:rsid w:val="002D433E"/>
    <w:rsid w:val="002F2D25"/>
    <w:rsid w:val="002F4908"/>
    <w:rsid w:val="0030204A"/>
    <w:rsid w:val="00304468"/>
    <w:rsid w:val="00306A5C"/>
    <w:rsid w:val="00311379"/>
    <w:rsid w:val="00312FE6"/>
    <w:rsid w:val="00317CE1"/>
    <w:rsid w:val="00321DC4"/>
    <w:rsid w:val="00324DA6"/>
    <w:rsid w:val="00346234"/>
    <w:rsid w:val="003527B7"/>
    <w:rsid w:val="00353151"/>
    <w:rsid w:val="003716A9"/>
    <w:rsid w:val="00372469"/>
    <w:rsid w:val="00373110"/>
    <w:rsid w:val="0038333D"/>
    <w:rsid w:val="003944FB"/>
    <w:rsid w:val="00397FC9"/>
    <w:rsid w:val="003B3214"/>
    <w:rsid w:val="003B77FD"/>
    <w:rsid w:val="003C7604"/>
    <w:rsid w:val="003D0731"/>
    <w:rsid w:val="003D3006"/>
    <w:rsid w:val="003D619F"/>
    <w:rsid w:val="003E1196"/>
    <w:rsid w:val="003E328C"/>
    <w:rsid w:val="003F2075"/>
    <w:rsid w:val="003F35C6"/>
    <w:rsid w:val="003F7E5A"/>
    <w:rsid w:val="00400AF9"/>
    <w:rsid w:val="004019AD"/>
    <w:rsid w:val="00420096"/>
    <w:rsid w:val="0042210D"/>
    <w:rsid w:val="00445411"/>
    <w:rsid w:val="00446BE3"/>
    <w:rsid w:val="00446FFA"/>
    <w:rsid w:val="00447C71"/>
    <w:rsid w:val="0047045A"/>
    <w:rsid w:val="00474076"/>
    <w:rsid w:val="00474A0A"/>
    <w:rsid w:val="00475D2B"/>
    <w:rsid w:val="00477AF0"/>
    <w:rsid w:val="004806E9"/>
    <w:rsid w:val="004822D5"/>
    <w:rsid w:val="00482CCC"/>
    <w:rsid w:val="004936EB"/>
    <w:rsid w:val="00493B04"/>
    <w:rsid w:val="004959F2"/>
    <w:rsid w:val="004963FC"/>
    <w:rsid w:val="004970DA"/>
    <w:rsid w:val="00497895"/>
    <w:rsid w:val="00497E69"/>
    <w:rsid w:val="004A38B4"/>
    <w:rsid w:val="004A466B"/>
    <w:rsid w:val="004B3D34"/>
    <w:rsid w:val="004C0754"/>
    <w:rsid w:val="004D01F3"/>
    <w:rsid w:val="004D76A5"/>
    <w:rsid w:val="004E5439"/>
    <w:rsid w:val="00511448"/>
    <w:rsid w:val="005255A7"/>
    <w:rsid w:val="00526128"/>
    <w:rsid w:val="00527D0C"/>
    <w:rsid w:val="005304A4"/>
    <w:rsid w:val="00536629"/>
    <w:rsid w:val="00537004"/>
    <w:rsid w:val="00537D65"/>
    <w:rsid w:val="005432F7"/>
    <w:rsid w:val="00544395"/>
    <w:rsid w:val="00552600"/>
    <w:rsid w:val="00556C01"/>
    <w:rsid w:val="005604DD"/>
    <w:rsid w:val="00571FC9"/>
    <w:rsid w:val="00573514"/>
    <w:rsid w:val="00582D68"/>
    <w:rsid w:val="00593AAA"/>
    <w:rsid w:val="00593F87"/>
    <w:rsid w:val="00595887"/>
    <w:rsid w:val="005A6C74"/>
    <w:rsid w:val="005A6D66"/>
    <w:rsid w:val="005C1410"/>
    <w:rsid w:val="005C1FF7"/>
    <w:rsid w:val="005E159D"/>
    <w:rsid w:val="005F4DF5"/>
    <w:rsid w:val="00602735"/>
    <w:rsid w:val="006059C6"/>
    <w:rsid w:val="00610A36"/>
    <w:rsid w:val="006112E4"/>
    <w:rsid w:val="006169C1"/>
    <w:rsid w:val="0062117C"/>
    <w:rsid w:val="00623164"/>
    <w:rsid w:val="0063230B"/>
    <w:rsid w:val="00633FE5"/>
    <w:rsid w:val="006415D5"/>
    <w:rsid w:val="00672F7B"/>
    <w:rsid w:val="00683411"/>
    <w:rsid w:val="00687B64"/>
    <w:rsid w:val="006A388D"/>
    <w:rsid w:val="006A41EE"/>
    <w:rsid w:val="006A4FF8"/>
    <w:rsid w:val="006A61BF"/>
    <w:rsid w:val="006B16D9"/>
    <w:rsid w:val="006B2EC9"/>
    <w:rsid w:val="006B74E9"/>
    <w:rsid w:val="006C2E3A"/>
    <w:rsid w:val="006D6651"/>
    <w:rsid w:val="006E0F13"/>
    <w:rsid w:val="006E1137"/>
    <w:rsid w:val="006E5DA4"/>
    <w:rsid w:val="00706239"/>
    <w:rsid w:val="00717B32"/>
    <w:rsid w:val="0072386F"/>
    <w:rsid w:val="00732295"/>
    <w:rsid w:val="00736648"/>
    <w:rsid w:val="00755346"/>
    <w:rsid w:val="00762422"/>
    <w:rsid w:val="007667EA"/>
    <w:rsid w:val="00772B5A"/>
    <w:rsid w:val="00775521"/>
    <w:rsid w:val="007842F2"/>
    <w:rsid w:val="00787371"/>
    <w:rsid w:val="007A2709"/>
    <w:rsid w:val="007A4774"/>
    <w:rsid w:val="007C13B4"/>
    <w:rsid w:val="007D6104"/>
    <w:rsid w:val="007E31BF"/>
    <w:rsid w:val="007E5FA3"/>
    <w:rsid w:val="007E7A4F"/>
    <w:rsid w:val="007E7F9F"/>
    <w:rsid w:val="007F51DC"/>
    <w:rsid w:val="008007AF"/>
    <w:rsid w:val="0080254B"/>
    <w:rsid w:val="00827D29"/>
    <w:rsid w:val="00835F23"/>
    <w:rsid w:val="008404F8"/>
    <w:rsid w:val="0085688D"/>
    <w:rsid w:val="00857931"/>
    <w:rsid w:val="008650F8"/>
    <w:rsid w:val="008666CE"/>
    <w:rsid w:val="00873905"/>
    <w:rsid w:val="00881976"/>
    <w:rsid w:val="0089773C"/>
    <w:rsid w:val="008A0305"/>
    <w:rsid w:val="008A1477"/>
    <w:rsid w:val="008A5545"/>
    <w:rsid w:val="008A6E77"/>
    <w:rsid w:val="008B28B6"/>
    <w:rsid w:val="008C7845"/>
    <w:rsid w:val="008D53ED"/>
    <w:rsid w:val="008E1357"/>
    <w:rsid w:val="008E2647"/>
    <w:rsid w:val="008E5104"/>
    <w:rsid w:val="008E7EF1"/>
    <w:rsid w:val="008F0C7B"/>
    <w:rsid w:val="008F4FFA"/>
    <w:rsid w:val="008F67A0"/>
    <w:rsid w:val="009110FB"/>
    <w:rsid w:val="00914865"/>
    <w:rsid w:val="009262E9"/>
    <w:rsid w:val="00934319"/>
    <w:rsid w:val="00942041"/>
    <w:rsid w:val="00942F43"/>
    <w:rsid w:val="0094336B"/>
    <w:rsid w:val="00943A95"/>
    <w:rsid w:val="009444D6"/>
    <w:rsid w:val="009467D6"/>
    <w:rsid w:val="00950485"/>
    <w:rsid w:val="00953B32"/>
    <w:rsid w:val="009624C1"/>
    <w:rsid w:val="00971300"/>
    <w:rsid w:val="00972BC9"/>
    <w:rsid w:val="009814BE"/>
    <w:rsid w:val="009A34AD"/>
    <w:rsid w:val="009B1957"/>
    <w:rsid w:val="009B58B4"/>
    <w:rsid w:val="009B602E"/>
    <w:rsid w:val="009C405D"/>
    <w:rsid w:val="009F2BC7"/>
    <w:rsid w:val="00A05DF7"/>
    <w:rsid w:val="00A1066B"/>
    <w:rsid w:val="00A106C0"/>
    <w:rsid w:val="00A11972"/>
    <w:rsid w:val="00A219C9"/>
    <w:rsid w:val="00A30587"/>
    <w:rsid w:val="00A33C31"/>
    <w:rsid w:val="00A356FE"/>
    <w:rsid w:val="00A40A31"/>
    <w:rsid w:val="00A41805"/>
    <w:rsid w:val="00A6374E"/>
    <w:rsid w:val="00A71A44"/>
    <w:rsid w:val="00A71DE6"/>
    <w:rsid w:val="00A77552"/>
    <w:rsid w:val="00A84C2A"/>
    <w:rsid w:val="00AA6CE5"/>
    <w:rsid w:val="00AB0E66"/>
    <w:rsid w:val="00AB3160"/>
    <w:rsid w:val="00AC5A84"/>
    <w:rsid w:val="00AD3312"/>
    <w:rsid w:val="00AE587E"/>
    <w:rsid w:val="00AF1934"/>
    <w:rsid w:val="00AF3EDE"/>
    <w:rsid w:val="00B1167C"/>
    <w:rsid w:val="00B13041"/>
    <w:rsid w:val="00B205F9"/>
    <w:rsid w:val="00B24E22"/>
    <w:rsid w:val="00B25220"/>
    <w:rsid w:val="00B37B17"/>
    <w:rsid w:val="00B7671F"/>
    <w:rsid w:val="00B7730B"/>
    <w:rsid w:val="00B7740B"/>
    <w:rsid w:val="00B8693D"/>
    <w:rsid w:val="00B94F05"/>
    <w:rsid w:val="00BB0B52"/>
    <w:rsid w:val="00BB2F89"/>
    <w:rsid w:val="00BB33C1"/>
    <w:rsid w:val="00BB5C00"/>
    <w:rsid w:val="00BC030F"/>
    <w:rsid w:val="00BD7BB1"/>
    <w:rsid w:val="00BE4528"/>
    <w:rsid w:val="00BE5DA3"/>
    <w:rsid w:val="00BE6FD8"/>
    <w:rsid w:val="00C00B7C"/>
    <w:rsid w:val="00C02A6A"/>
    <w:rsid w:val="00C1202D"/>
    <w:rsid w:val="00C1335C"/>
    <w:rsid w:val="00C140CB"/>
    <w:rsid w:val="00C14DFE"/>
    <w:rsid w:val="00C21276"/>
    <w:rsid w:val="00C31230"/>
    <w:rsid w:val="00C31843"/>
    <w:rsid w:val="00C34664"/>
    <w:rsid w:val="00C622DD"/>
    <w:rsid w:val="00C7355F"/>
    <w:rsid w:val="00C7723A"/>
    <w:rsid w:val="00C833FA"/>
    <w:rsid w:val="00C93991"/>
    <w:rsid w:val="00CA34F4"/>
    <w:rsid w:val="00CC06BE"/>
    <w:rsid w:val="00CC26F0"/>
    <w:rsid w:val="00CD29F3"/>
    <w:rsid w:val="00CD2AB9"/>
    <w:rsid w:val="00CD34D2"/>
    <w:rsid w:val="00CE057D"/>
    <w:rsid w:val="00CE7873"/>
    <w:rsid w:val="00CE7A07"/>
    <w:rsid w:val="00CF3E1D"/>
    <w:rsid w:val="00D04716"/>
    <w:rsid w:val="00D07C39"/>
    <w:rsid w:val="00D104E1"/>
    <w:rsid w:val="00D16ACD"/>
    <w:rsid w:val="00D178DC"/>
    <w:rsid w:val="00D23A2C"/>
    <w:rsid w:val="00D315CF"/>
    <w:rsid w:val="00D35C06"/>
    <w:rsid w:val="00D4342A"/>
    <w:rsid w:val="00D535C4"/>
    <w:rsid w:val="00D6053A"/>
    <w:rsid w:val="00D6438C"/>
    <w:rsid w:val="00D71D8B"/>
    <w:rsid w:val="00D72599"/>
    <w:rsid w:val="00D8206F"/>
    <w:rsid w:val="00D847DD"/>
    <w:rsid w:val="00D92559"/>
    <w:rsid w:val="00DA1B86"/>
    <w:rsid w:val="00DB48A9"/>
    <w:rsid w:val="00DC06DD"/>
    <w:rsid w:val="00DD2A47"/>
    <w:rsid w:val="00DE0917"/>
    <w:rsid w:val="00DF7341"/>
    <w:rsid w:val="00E009B6"/>
    <w:rsid w:val="00E041FB"/>
    <w:rsid w:val="00E161A6"/>
    <w:rsid w:val="00E2042D"/>
    <w:rsid w:val="00E26449"/>
    <w:rsid w:val="00E37D98"/>
    <w:rsid w:val="00E42EAC"/>
    <w:rsid w:val="00E54512"/>
    <w:rsid w:val="00E6143F"/>
    <w:rsid w:val="00E62FFA"/>
    <w:rsid w:val="00EB108F"/>
    <w:rsid w:val="00EB2A69"/>
    <w:rsid w:val="00EB5440"/>
    <w:rsid w:val="00EB55D8"/>
    <w:rsid w:val="00EC12A3"/>
    <w:rsid w:val="00EF1488"/>
    <w:rsid w:val="00EF46DD"/>
    <w:rsid w:val="00F04357"/>
    <w:rsid w:val="00F10EAE"/>
    <w:rsid w:val="00F12260"/>
    <w:rsid w:val="00F13195"/>
    <w:rsid w:val="00F17B8C"/>
    <w:rsid w:val="00F21B68"/>
    <w:rsid w:val="00F273C6"/>
    <w:rsid w:val="00F2778F"/>
    <w:rsid w:val="00F34D7A"/>
    <w:rsid w:val="00F37A05"/>
    <w:rsid w:val="00F43C68"/>
    <w:rsid w:val="00F44145"/>
    <w:rsid w:val="00F565EB"/>
    <w:rsid w:val="00F578AF"/>
    <w:rsid w:val="00F64A81"/>
    <w:rsid w:val="00F82E57"/>
    <w:rsid w:val="00F9114C"/>
    <w:rsid w:val="00F973E3"/>
    <w:rsid w:val="00FA21BC"/>
    <w:rsid w:val="00FA436A"/>
    <w:rsid w:val="00FB2E5A"/>
    <w:rsid w:val="00FB5C5D"/>
    <w:rsid w:val="00FD3C14"/>
    <w:rsid w:val="00FD6C2B"/>
    <w:rsid w:val="00FE3ABA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4D5D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25483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025483"/>
    <w:pPr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483"/>
    <w:rPr>
      <w:rFonts w:ascii="Courier" w:eastAsia="Times New Roman" w:hAnsi="Courier" w:cs="Times New Roman"/>
      <w:sz w:val="20"/>
      <w:szCs w:val="24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4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2548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444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5F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474A0A"/>
    <w:rPr>
      <w:rFonts w:ascii="Times New Roman" w:hAnsi="Times New Roman"/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186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25483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025483"/>
    <w:pPr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483"/>
    <w:rPr>
      <w:rFonts w:ascii="Courier" w:eastAsia="Times New Roman" w:hAnsi="Courier" w:cs="Times New Roman"/>
      <w:sz w:val="20"/>
      <w:szCs w:val="24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4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2548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444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5F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474A0A"/>
    <w:rPr>
      <w:rFonts w:ascii="Times New Roman" w:hAnsi="Times New Roman"/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186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tc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2013-09-24T07:00:00+00:00</OpenedDate>
    <Date1 xmlns="dc463f71-b30c-4ab2-9473-d307f9d35888">2013-10-30T07:00:00+00:00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131816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45A6D9337C36418848F563A6209344" ma:contentTypeVersion="135" ma:contentTypeDescription="" ma:contentTypeScope="" ma:versionID="02ab03f0bc14782b8d7841545a5819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EE563-8F98-4DA9-B464-63B0EBC78D89}"/>
</file>

<file path=customXml/itemProps2.xml><?xml version="1.0" encoding="utf-8"?>
<ds:datastoreItem xmlns:ds="http://schemas.openxmlformats.org/officeDocument/2006/customXml" ds:itemID="{EEB79948-C4A0-4641-B77F-6EE0998DDBFC}"/>
</file>

<file path=customXml/itemProps3.xml><?xml version="1.0" encoding="utf-8"?>
<ds:datastoreItem xmlns:ds="http://schemas.openxmlformats.org/officeDocument/2006/customXml" ds:itemID="{49E491FE-7D48-45EB-8528-7EFE6C382E32}"/>
</file>

<file path=customXml/itemProps4.xml><?xml version="1.0" encoding="utf-8"?>
<ds:datastoreItem xmlns:ds="http://schemas.openxmlformats.org/officeDocument/2006/customXml" ds:itemID="{76D655E3-295D-4D3A-A387-9A5196FF1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2013-10-28T20:15:00Z</dcterms:created>
  <dcterms:modified xsi:type="dcterms:W3CDTF">2013-10-28T20:15:00Z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0x0101006E56B4D1795A2E4DB2F0B01679ED314A00CE45A6D9337C36418848F563A6209344</vt:lpwstr>
  </property>
  <property fmtid="{D5CDD505-2E9C-101B-9397-08002B2CF9AE}" pid="3" name="_docset_NoMedatataSyncRequired">
    <vt:lpwstr>False</vt:lpwstr>
  </property>
</Properties>
</file>