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8C" w:rsidRPr="005F0A01" w:rsidRDefault="008D1C8C" w:rsidP="008D1C8C">
      <w:pPr>
        <w:keepNext/>
        <w:spacing w:line="264" w:lineRule="auto"/>
        <w:jc w:val="center"/>
        <w:outlineLvl w:val="0"/>
        <w:rPr>
          <w:b/>
          <w:bCs/>
          <w:sz w:val="25"/>
          <w:szCs w:val="25"/>
        </w:rPr>
      </w:pPr>
      <w:bookmarkStart w:id="0" w:name="_GoBack"/>
      <w:bookmarkEnd w:id="0"/>
    </w:p>
    <w:p w:rsidR="008D1C8C" w:rsidRPr="005F0A01" w:rsidRDefault="008D1C8C" w:rsidP="008D1C8C">
      <w:pPr>
        <w:keepNext/>
        <w:spacing w:line="264" w:lineRule="auto"/>
        <w:jc w:val="center"/>
        <w:outlineLvl w:val="0"/>
        <w:rPr>
          <w:b/>
          <w:bCs/>
          <w:sz w:val="25"/>
          <w:szCs w:val="25"/>
        </w:rPr>
      </w:pPr>
    </w:p>
    <w:p w:rsidR="008D1C8C" w:rsidRPr="005F0A01" w:rsidRDefault="008D1C8C" w:rsidP="008D1C8C">
      <w:pPr>
        <w:keepNext/>
        <w:spacing w:line="264" w:lineRule="auto"/>
        <w:jc w:val="center"/>
        <w:outlineLvl w:val="0"/>
        <w:rPr>
          <w:b/>
          <w:bCs/>
          <w:sz w:val="25"/>
          <w:szCs w:val="25"/>
        </w:rPr>
      </w:pPr>
      <w:r w:rsidRPr="005F0A01">
        <w:rPr>
          <w:b/>
          <w:bCs/>
          <w:sz w:val="25"/>
          <w:szCs w:val="25"/>
        </w:rPr>
        <w:t>BEFORE THE WASHINGTON</w:t>
      </w:r>
    </w:p>
    <w:p w:rsidR="008D1C8C" w:rsidRPr="005F0A01" w:rsidRDefault="008D1C8C" w:rsidP="008D1C8C">
      <w:pPr>
        <w:spacing w:line="264" w:lineRule="auto"/>
        <w:jc w:val="center"/>
        <w:rPr>
          <w:b/>
          <w:sz w:val="25"/>
          <w:szCs w:val="25"/>
        </w:rPr>
      </w:pPr>
      <w:r w:rsidRPr="005F0A01">
        <w:rPr>
          <w:b/>
          <w:sz w:val="25"/>
          <w:szCs w:val="25"/>
        </w:rPr>
        <w:t>UTILITIES AND TRANSPORTATION COMMISSION</w:t>
      </w:r>
    </w:p>
    <w:p w:rsidR="008D1C8C" w:rsidRPr="005F0A01" w:rsidRDefault="008D1C8C" w:rsidP="008D1C8C">
      <w:pPr>
        <w:spacing w:line="264" w:lineRule="auto"/>
        <w:rPr>
          <w:sz w:val="25"/>
          <w:szCs w:val="25"/>
        </w:rPr>
      </w:pPr>
    </w:p>
    <w:tbl>
      <w:tblPr>
        <w:tblW w:w="0" w:type="auto"/>
        <w:tblLook w:val="04A0" w:firstRow="1" w:lastRow="0" w:firstColumn="1" w:lastColumn="0" w:noHBand="0" w:noVBand="1"/>
      </w:tblPr>
      <w:tblGrid>
        <w:gridCol w:w="4091"/>
        <w:gridCol w:w="337"/>
        <w:gridCol w:w="4307"/>
      </w:tblGrid>
      <w:tr w:rsidR="008D1C8C" w:rsidRPr="005F0A01" w:rsidTr="00A033CB">
        <w:tc>
          <w:tcPr>
            <w:tcW w:w="4091" w:type="dxa"/>
            <w:shd w:val="clear" w:color="auto" w:fill="auto"/>
          </w:tcPr>
          <w:p w:rsidR="008D1C8C" w:rsidRPr="005F0A01" w:rsidRDefault="008D1C8C" w:rsidP="008D1C8C">
            <w:pPr>
              <w:tabs>
                <w:tab w:val="left" w:pos="2160"/>
              </w:tabs>
              <w:spacing w:line="264" w:lineRule="auto"/>
              <w:rPr>
                <w:b/>
                <w:bCs/>
                <w:sz w:val="25"/>
                <w:szCs w:val="25"/>
              </w:rPr>
            </w:pPr>
            <w:r w:rsidRPr="005F0A01">
              <w:rPr>
                <w:b/>
                <w:sz w:val="25"/>
                <w:szCs w:val="25"/>
              </w:rPr>
              <w:t xml:space="preserve">Rulemaking to Consider Amending and Adopting Rules in WAC 480-120, Telephone Companies, and WAC 480-123, Universal Service, to Implement Legislation Establishing a State Universal Communications Service Program </w:t>
            </w:r>
          </w:p>
          <w:p w:rsidR="008D1C8C" w:rsidRPr="005F0A01" w:rsidRDefault="008D1C8C" w:rsidP="008D1C8C">
            <w:pPr>
              <w:spacing w:line="264" w:lineRule="auto"/>
              <w:rPr>
                <w:b/>
                <w:sz w:val="25"/>
                <w:szCs w:val="25"/>
              </w:rPr>
            </w:pPr>
          </w:p>
          <w:p w:rsidR="008D1C8C" w:rsidRPr="005F0A01" w:rsidRDefault="005F0A01" w:rsidP="008D1C8C">
            <w:pPr>
              <w:spacing w:line="264" w:lineRule="auto"/>
              <w:rPr>
                <w:b/>
                <w:sz w:val="25"/>
                <w:szCs w:val="25"/>
              </w:rPr>
            </w:pPr>
            <w:r>
              <w:rPr>
                <w:b/>
                <w:sz w:val="25"/>
                <w:szCs w:val="25"/>
              </w:rPr>
              <w:t>______________________________</w:t>
            </w:r>
            <w:r w:rsidR="00A033CB">
              <w:rPr>
                <w:b/>
                <w:sz w:val="25"/>
                <w:szCs w:val="25"/>
              </w:rPr>
              <w:t>_</w:t>
            </w:r>
          </w:p>
        </w:tc>
        <w:tc>
          <w:tcPr>
            <w:tcW w:w="337" w:type="dxa"/>
            <w:shd w:val="clear" w:color="auto" w:fill="auto"/>
          </w:tcPr>
          <w:p w:rsidR="008D1C8C" w:rsidRPr="005F0A01" w:rsidRDefault="008D1C8C" w:rsidP="008D1C8C">
            <w:pPr>
              <w:spacing w:line="264" w:lineRule="auto"/>
              <w:rPr>
                <w:b/>
                <w:sz w:val="25"/>
                <w:szCs w:val="25"/>
              </w:rPr>
            </w:pPr>
            <w:r w:rsidRPr="005F0A01">
              <w:rPr>
                <w:b/>
                <w:sz w:val="25"/>
                <w:szCs w:val="25"/>
              </w:rPr>
              <w:t>)</w:t>
            </w:r>
          </w:p>
          <w:p w:rsidR="008D1C8C" w:rsidRPr="005F0A01" w:rsidRDefault="008D1C8C" w:rsidP="008D1C8C">
            <w:pPr>
              <w:spacing w:line="264" w:lineRule="auto"/>
              <w:rPr>
                <w:b/>
                <w:sz w:val="25"/>
                <w:szCs w:val="25"/>
              </w:rPr>
            </w:pPr>
            <w:r w:rsidRPr="005F0A01">
              <w:rPr>
                <w:b/>
                <w:sz w:val="25"/>
                <w:szCs w:val="25"/>
              </w:rPr>
              <w:t>)</w:t>
            </w:r>
          </w:p>
          <w:p w:rsidR="008D1C8C" w:rsidRPr="005F0A01" w:rsidRDefault="008D1C8C" w:rsidP="008D1C8C">
            <w:pPr>
              <w:spacing w:line="264" w:lineRule="auto"/>
              <w:rPr>
                <w:b/>
                <w:sz w:val="25"/>
                <w:szCs w:val="25"/>
              </w:rPr>
            </w:pPr>
            <w:r w:rsidRPr="005F0A01">
              <w:rPr>
                <w:b/>
                <w:sz w:val="25"/>
                <w:szCs w:val="25"/>
              </w:rPr>
              <w:t>)</w:t>
            </w:r>
          </w:p>
          <w:p w:rsidR="008D1C8C" w:rsidRPr="005F0A01" w:rsidRDefault="008D1C8C" w:rsidP="008D1C8C">
            <w:pPr>
              <w:spacing w:line="264" w:lineRule="auto"/>
              <w:rPr>
                <w:b/>
                <w:sz w:val="25"/>
                <w:szCs w:val="25"/>
              </w:rPr>
            </w:pPr>
            <w:r w:rsidRPr="005F0A01">
              <w:rPr>
                <w:b/>
                <w:sz w:val="25"/>
                <w:szCs w:val="25"/>
              </w:rPr>
              <w:t>)</w:t>
            </w:r>
          </w:p>
          <w:p w:rsidR="008D1C8C" w:rsidRPr="005F0A01" w:rsidRDefault="008D1C8C" w:rsidP="008D1C8C">
            <w:pPr>
              <w:spacing w:line="264" w:lineRule="auto"/>
              <w:rPr>
                <w:b/>
                <w:sz w:val="25"/>
                <w:szCs w:val="25"/>
              </w:rPr>
            </w:pPr>
            <w:r w:rsidRPr="005F0A01">
              <w:rPr>
                <w:b/>
                <w:sz w:val="25"/>
                <w:szCs w:val="25"/>
              </w:rPr>
              <w:t>)</w:t>
            </w:r>
          </w:p>
          <w:p w:rsidR="008D1C8C" w:rsidRPr="005F0A01" w:rsidRDefault="008D1C8C" w:rsidP="008D1C8C">
            <w:pPr>
              <w:spacing w:line="264" w:lineRule="auto"/>
              <w:rPr>
                <w:b/>
                <w:sz w:val="25"/>
                <w:szCs w:val="25"/>
              </w:rPr>
            </w:pPr>
            <w:r w:rsidRPr="005F0A01">
              <w:rPr>
                <w:b/>
                <w:sz w:val="25"/>
                <w:szCs w:val="25"/>
              </w:rPr>
              <w:t>)</w:t>
            </w:r>
          </w:p>
          <w:p w:rsidR="008D1C8C" w:rsidRPr="005F0A01" w:rsidRDefault="008D1C8C" w:rsidP="008D1C8C">
            <w:pPr>
              <w:spacing w:line="264" w:lineRule="auto"/>
              <w:rPr>
                <w:b/>
                <w:sz w:val="25"/>
                <w:szCs w:val="25"/>
              </w:rPr>
            </w:pPr>
            <w:r w:rsidRPr="005F0A01">
              <w:rPr>
                <w:b/>
                <w:sz w:val="25"/>
                <w:szCs w:val="25"/>
              </w:rPr>
              <w:t>)</w:t>
            </w:r>
          </w:p>
          <w:p w:rsidR="008D1C8C" w:rsidRPr="005F0A01" w:rsidRDefault="008D1C8C" w:rsidP="008D1C8C">
            <w:pPr>
              <w:spacing w:line="264" w:lineRule="auto"/>
              <w:rPr>
                <w:b/>
                <w:sz w:val="25"/>
                <w:szCs w:val="25"/>
              </w:rPr>
            </w:pPr>
            <w:r w:rsidRPr="005F0A01">
              <w:rPr>
                <w:b/>
                <w:sz w:val="25"/>
                <w:szCs w:val="25"/>
              </w:rPr>
              <w:t>)</w:t>
            </w:r>
          </w:p>
          <w:p w:rsidR="008D1C8C" w:rsidRPr="005F0A01" w:rsidRDefault="008D1C8C" w:rsidP="008D1C8C">
            <w:pPr>
              <w:spacing w:line="264" w:lineRule="auto"/>
              <w:rPr>
                <w:b/>
                <w:sz w:val="25"/>
                <w:szCs w:val="25"/>
              </w:rPr>
            </w:pPr>
            <w:r w:rsidRPr="005F0A01">
              <w:rPr>
                <w:b/>
                <w:sz w:val="25"/>
                <w:szCs w:val="25"/>
              </w:rPr>
              <w:t>)</w:t>
            </w:r>
          </w:p>
        </w:tc>
        <w:tc>
          <w:tcPr>
            <w:tcW w:w="4307" w:type="dxa"/>
            <w:shd w:val="clear" w:color="auto" w:fill="auto"/>
          </w:tcPr>
          <w:p w:rsidR="003619D6" w:rsidRPr="005F0A01" w:rsidRDefault="003619D6" w:rsidP="003619D6">
            <w:pPr>
              <w:spacing w:line="264" w:lineRule="auto"/>
              <w:rPr>
                <w:b/>
                <w:sz w:val="25"/>
                <w:szCs w:val="25"/>
              </w:rPr>
            </w:pPr>
          </w:p>
          <w:p w:rsidR="003619D6" w:rsidRPr="005F0A01" w:rsidRDefault="003619D6" w:rsidP="003619D6">
            <w:pPr>
              <w:spacing w:line="264" w:lineRule="auto"/>
              <w:rPr>
                <w:b/>
                <w:sz w:val="25"/>
                <w:szCs w:val="25"/>
              </w:rPr>
            </w:pPr>
          </w:p>
          <w:p w:rsidR="003619D6" w:rsidRPr="005F0A01" w:rsidRDefault="003619D6" w:rsidP="003619D6">
            <w:pPr>
              <w:spacing w:line="264" w:lineRule="auto"/>
              <w:rPr>
                <w:b/>
                <w:sz w:val="25"/>
                <w:szCs w:val="25"/>
              </w:rPr>
            </w:pPr>
          </w:p>
          <w:p w:rsidR="003619D6" w:rsidRPr="005F0A01" w:rsidRDefault="003619D6" w:rsidP="003619D6">
            <w:pPr>
              <w:spacing w:line="264" w:lineRule="auto"/>
              <w:rPr>
                <w:b/>
                <w:sz w:val="25"/>
                <w:szCs w:val="25"/>
              </w:rPr>
            </w:pPr>
            <w:r w:rsidRPr="005F0A01">
              <w:rPr>
                <w:b/>
                <w:sz w:val="25"/>
                <w:szCs w:val="25"/>
              </w:rPr>
              <w:t xml:space="preserve">        DOCKET UT-131239</w:t>
            </w:r>
          </w:p>
          <w:p w:rsidR="003619D6" w:rsidRPr="005F0A01" w:rsidRDefault="003619D6" w:rsidP="003619D6">
            <w:pPr>
              <w:spacing w:line="264" w:lineRule="auto"/>
              <w:rPr>
                <w:b/>
                <w:sz w:val="25"/>
                <w:szCs w:val="25"/>
              </w:rPr>
            </w:pPr>
          </w:p>
          <w:p w:rsidR="003619D6" w:rsidRPr="005F0A01" w:rsidRDefault="003619D6" w:rsidP="003619D6">
            <w:pPr>
              <w:spacing w:line="264" w:lineRule="auto"/>
              <w:ind w:right="-504"/>
              <w:rPr>
                <w:b/>
                <w:sz w:val="25"/>
                <w:szCs w:val="25"/>
              </w:rPr>
            </w:pPr>
          </w:p>
        </w:tc>
      </w:tr>
    </w:tbl>
    <w:p w:rsidR="008D1C8C" w:rsidRPr="005F0A01" w:rsidRDefault="008D1C8C" w:rsidP="008D1C8C">
      <w:pPr>
        <w:spacing w:line="264" w:lineRule="auto"/>
        <w:rPr>
          <w:b/>
          <w:sz w:val="25"/>
          <w:szCs w:val="25"/>
        </w:rPr>
      </w:pPr>
    </w:p>
    <w:p w:rsidR="008D1C8C" w:rsidRPr="005F0A01" w:rsidRDefault="008D1C8C" w:rsidP="008D1C8C">
      <w:pPr>
        <w:spacing w:line="264" w:lineRule="auto"/>
        <w:jc w:val="center"/>
        <w:rPr>
          <w:sz w:val="25"/>
          <w:szCs w:val="25"/>
        </w:rPr>
      </w:pPr>
    </w:p>
    <w:p w:rsidR="008D1C8C" w:rsidRPr="005F0A01" w:rsidRDefault="008D1C8C" w:rsidP="008D1C8C">
      <w:pPr>
        <w:spacing w:line="264" w:lineRule="auto"/>
        <w:jc w:val="center"/>
        <w:rPr>
          <w:sz w:val="25"/>
          <w:szCs w:val="25"/>
        </w:rPr>
      </w:pPr>
    </w:p>
    <w:p w:rsidR="008D1C8C" w:rsidRPr="005F0A01" w:rsidRDefault="008D1C8C" w:rsidP="008D1C8C">
      <w:pPr>
        <w:spacing w:line="264" w:lineRule="auto"/>
        <w:jc w:val="center"/>
        <w:rPr>
          <w:b/>
          <w:sz w:val="25"/>
          <w:szCs w:val="25"/>
        </w:rPr>
      </w:pPr>
      <w:r w:rsidRPr="005F0A01">
        <w:rPr>
          <w:b/>
          <w:sz w:val="25"/>
          <w:szCs w:val="25"/>
        </w:rPr>
        <w:t>INITIAL COMMENTS OF THE</w:t>
      </w:r>
    </w:p>
    <w:p w:rsidR="008D1C8C" w:rsidRPr="005F0A01" w:rsidRDefault="008D1C8C" w:rsidP="008D1C8C">
      <w:pPr>
        <w:spacing w:line="264" w:lineRule="auto"/>
        <w:jc w:val="center"/>
        <w:rPr>
          <w:b/>
          <w:sz w:val="25"/>
          <w:szCs w:val="25"/>
        </w:rPr>
      </w:pPr>
      <w:r w:rsidRPr="005F0A01">
        <w:rPr>
          <w:b/>
          <w:sz w:val="25"/>
          <w:szCs w:val="25"/>
        </w:rPr>
        <w:t>BROADBAND COMMUNICATIONS</w:t>
      </w:r>
    </w:p>
    <w:p w:rsidR="008D1C8C" w:rsidRPr="005F0A01" w:rsidRDefault="008D1C8C" w:rsidP="008D1C8C">
      <w:pPr>
        <w:spacing w:line="264" w:lineRule="auto"/>
        <w:jc w:val="center"/>
        <w:rPr>
          <w:b/>
          <w:sz w:val="25"/>
          <w:szCs w:val="25"/>
        </w:rPr>
      </w:pPr>
      <w:r w:rsidRPr="005F0A01">
        <w:rPr>
          <w:b/>
          <w:sz w:val="25"/>
          <w:szCs w:val="25"/>
        </w:rPr>
        <w:t>ASSOCIATION OF WASHINGTON</w:t>
      </w:r>
    </w:p>
    <w:p w:rsidR="008D1C8C" w:rsidRDefault="008D1C8C" w:rsidP="008D1C8C">
      <w:pPr>
        <w:pStyle w:val="DWTNorm"/>
        <w:ind w:firstLine="0"/>
        <w:jc w:val="center"/>
      </w:pPr>
    </w:p>
    <w:p w:rsidR="005F0A01" w:rsidRDefault="005F0A01" w:rsidP="008D1C8C">
      <w:pPr>
        <w:pStyle w:val="DWTNorm"/>
        <w:ind w:firstLine="0"/>
        <w:jc w:val="center"/>
      </w:pPr>
    </w:p>
    <w:p w:rsidR="005F0A01" w:rsidRDefault="005F0A01" w:rsidP="008D1C8C">
      <w:pPr>
        <w:pStyle w:val="DWTNorm"/>
        <w:ind w:firstLine="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F0A01" w:rsidTr="005F0A01">
        <w:tc>
          <w:tcPr>
            <w:tcW w:w="4788" w:type="dxa"/>
          </w:tcPr>
          <w:p w:rsidR="005F0A01" w:rsidRPr="005F0A01" w:rsidRDefault="005F0A01" w:rsidP="005F0A01">
            <w:pPr>
              <w:spacing w:line="276" w:lineRule="auto"/>
              <w:ind w:left="90"/>
              <w:rPr>
                <w:rFonts w:eastAsia="Calibri"/>
                <w:b/>
                <w:bCs/>
              </w:rPr>
            </w:pPr>
            <w:r w:rsidRPr="005F0A01">
              <w:rPr>
                <w:rFonts w:eastAsia="Calibri"/>
                <w:b/>
                <w:bCs/>
              </w:rPr>
              <w:t>Ronald Main, Executive Director</w:t>
            </w:r>
          </w:p>
          <w:p w:rsidR="005F0A01" w:rsidRPr="005F0A01" w:rsidRDefault="005F0A01" w:rsidP="005F0A01">
            <w:pPr>
              <w:spacing w:line="276" w:lineRule="auto"/>
              <w:ind w:left="90"/>
              <w:rPr>
                <w:rStyle w:val="Emphasis"/>
                <w:b/>
                <w:i w:val="0"/>
              </w:rPr>
            </w:pPr>
            <w:r w:rsidRPr="005F0A01">
              <w:rPr>
                <w:rStyle w:val="Emphasis"/>
                <w:b/>
                <w:i w:val="0"/>
              </w:rPr>
              <w:t xml:space="preserve">Broadband Communications </w:t>
            </w:r>
          </w:p>
          <w:p w:rsidR="005F0A01" w:rsidRPr="005F0A01" w:rsidRDefault="005F0A01" w:rsidP="005F0A01">
            <w:pPr>
              <w:spacing w:line="276" w:lineRule="auto"/>
              <w:ind w:left="90"/>
              <w:rPr>
                <w:rFonts w:eastAsia="Calibri"/>
                <w:b/>
                <w:bCs/>
                <w:i/>
              </w:rPr>
            </w:pPr>
            <w:r w:rsidRPr="005F0A01">
              <w:rPr>
                <w:rStyle w:val="Emphasis"/>
                <w:b/>
                <w:i w:val="0"/>
              </w:rPr>
              <w:t xml:space="preserve">   Association of Washington</w:t>
            </w:r>
            <w:r w:rsidRPr="005F0A01">
              <w:rPr>
                <w:b/>
                <w:i/>
                <w:iCs/>
              </w:rPr>
              <w:br/>
            </w:r>
            <w:r w:rsidRPr="005F0A01">
              <w:rPr>
                <w:rStyle w:val="Emphasis"/>
                <w:b/>
                <w:i w:val="0"/>
              </w:rPr>
              <w:t>216 First Ave. So. Suite 435</w:t>
            </w:r>
            <w:r w:rsidRPr="005F0A01">
              <w:rPr>
                <w:b/>
                <w:i/>
                <w:iCs/>
              </w:rPr>
              <w:br/>
            </w:r>
            <w:r w:rsidRPr="005F0A01">
              <w:rPr>
                <w:rStyle w:val="Emphasis"/>
                <w:b/>
                <w:i w:val="0"/>
              </w:rPr>
              <w:t>Seattle, WA 98104</w:t>
            </w:r>
            <w:r w:rsidRPr="005F0A01">
              <w:rPr>
                <w:b/>
                <w:i/>
                <w:iCs/>
              </w:rPr>
              <w:br/>
            </w:r>
            <w:r w:rsidRPr="005F0A01">
              <w:rPr>
                <w:rStyle w:val="Emphasis"/>
                <w:b/>
                <w:i w:val="0"/>
              </w:rPr>
              <w:t>Tel.:</w:t>
            </w:r>
            <w:r w:rsidRPr="005F0A01">
              <w:rPr>
                <w:rStyle w:val="Emphasis"/>
                <w:b/>
                <w:i w:val="0"/>
              </w:rPr>
              <w:tab/>
              <w:t>206-652-9303</w:t>
            </w:r>
            <w:r w:rsidRPr="005F0A01">
              <w:rPr>
                <w:b/>
                <w:i/>
                <w:iCs/>
              </w:rPr>
              <w:br/>
            </w:r>
            <w:r w:rsidRPr="005F0A01">
              <w:rPr>
                <w:rStyle w:val="Emphasis"/>
                <w:b/>
                <w:i w:val="0"/>
              </w:rPr>
              <w:t>Fax:</w:t>
            </w:r>
            <w:r w:rsidRPr="005F0A01">
              <w:rPr>
                <w:rStyle w:val="Emphasis"/>
                <w:b/>
                <w:i w:val="0"/>
              </w:rPr>
              <w:tab/>
              <w:t>206-652-8297</w:t>
            </w:r>
          </w:p>
          <w:p w:rsidR="005F0A01" w:rsidRPr="005F0A01" w:rsidRDefault="005F0A01" w:rsidP="005F0A01">
            <w:pPr>
              <w:spacing w:line="276" w:lineRule="auto"/>
              <w:ind w:left="90"/>
              <w:rPr>
                <w:rFonts w:eastAsia="Calibri"/>
                <w:b/>
                <w:bCs/>
              </w:rPr>
            </w:pPr>
            <w:r w:rsidRPr="005F0A01">
              <w:rPr>
                <w:rFonts w:eastAsia="Calibri"/>
                <w:b/>
                <w:bCs/>
              </w:rPr>
              <w:t xml:space="preserve">Email: </w:t>
            </w:r>
            <w:r w:rsidRPr="000B46FB">
              <w:rPr>
                <w:b/>
              </w:rPr>
              <w:t>rmain@broadbandwashington.org</w:t>
            </w:r>
          </w:p>
          <w:p w:rsidR="005F0A01" w:rsidRDefault="005F0A01" w:rsidP="008D1C8C">
            <w:pPr>
              <w:pStyle w:val="DWTNorm"/>
              <w:ind w:firstLine="0"/>
              <w:jc w:val="center"/>
            </w:pPr>
          </w:p>
        </w:tc>
        <w:tc>
          <w:tcPr>
            <w:tcW w:w="4788" w:type="dxa"/>
          </w:tcPr>
          <w:p w:rsidR="005F0A01" w:rsidRPr="005F0A01" w:rsidRDefault="005F0A01" w:rsidP="005F0A01">
            <w:pPr>
              <w:spacing w:line="276" w:lineRule="auto"/>
              <w:ind w:left="266" w:hanging="30"/>
              <w:rPr>
                <w:rFonts w:eastAsia="Calibri"/>
                <w:b/>
                <w:bCs/>
              </w:rPr>
            </w:pPr>
            <w:r w:rsidRPr="005F0A01">
              <w:rPr>
                <w:rFonts w:eastAsia="Calibri"/>
                <w:b/>
                <w:bCs/>
              </w:rPr>
              <w:t>Mark P. Trinchero</w:t>
            </w:r>
          </w:p>
          <w:p w:rsidR="005F0A01" w:rsidRPr="005F0A01" w:rsidRDefault="005F0A01" w:rsidP="005F0A01">
            <w:pPr>
              <w:spacing w:line="276" w:lineRule="auto"/>
              <w:ind w:left="266" w:hanging="30"/>
              <w:rPr>
                <w:rFonts w:eastAsia="Calibri"/>
                <w:b/>
                <w:bCs/>
              </w:rPr>
            </w:pPr>
            <w:r w:rsidRPr="005F0A01">
              <w:rPr>
                <w:rFonts w:eastAsia="Calibri"/>
                <w:b/>
                <w:bCs/>
              </w:rPr>
              <w:t>Davis Wright Tremaine LLP</w:t>
            </w:r>
          </w:p>
          <w:p w:rsidR="005F0A01" w:rsidRPr="005F0A01" w:rsidRDefault="005F0A01" w:rsidP="005F0A01">
            <w:pPr>
              <w:spacing w:line="276" w:lineRule="auto"/>
              <w:ind w:left="266" w:hanging="30"/>
              <w:rPr>
                <w:rFonts w:eastAsia="Calibri"/>
                <w:b/>
                <w:bCs/>
              </w:rPr>
            </w:pPr>
            <w:r w:rsidRPr="005F0A01">
              <w:rPr>
                <w:rFonts w:eastAsia="Calibri"/>
                <w:b/>
                <w:bCs/>
              </w:rPr>
              <w:t>1300 S.W. Fifth Avenue, Suite 2400</w:t>
            </w:r>
          </w:p>
          <w:p w:rsidR="005F0A01" w:rsidRPr="005F0A01" w:rsidRDefault="005F0A01" w:rsidP="005F0A01">
            <w:pPr>
              <w:spacing w:line="276" w:lineRule="auto"/>
              <w:ind w:left="266" w:hanging="30"/>
              <w:rPr>
                <w:rFonts w:eastAsia="Calibri"/>
                <w:b/>
                <w:bCs/>
              </w:rPr>
            </w:pPr>
            <w:r w:rsidRPr="005F0A01">
              <w:rPr>
                <w:rFonts w:eastAsia="Calibri"/>
                <w:b/>
                <w:bCs/>
              </w:rPr>
              <w:t>Portland, Oregon 97219</w:t>
            </w:r>
          </w:p>
          <w:p w:rsidR="005F0A01" w:rsidRPr="005F0A01" w:rsidRDefault="005F0A01" w:rsidP="005F0A01">
            <w:pPr>
              <w:spacing w:line="276" w:lineRule="auto"/>
              <w:ind w:left="266" w:hanging="30"/>
              <w:rPr>
                <w:rFonts w:eastAsia="Calibri"/>
                <w:b/>
                <w:bCs/>
              </w:rPr>
            </w:pPr>
            <w:r w:rsidRPr="005F0A01">
              <w:rPr>
                <w:rFonts w:eastAsia="Calibri"/>
                <w:b/>
                <w:bCs/>
              </w:rPr>
              <w:t>Tel.:</w:t>
            </w:r>
            <w:r w:rsidRPr="005F0A01">
              <w:rPr>
                <w:rFonts w:eastAsia="Calibri"/>
                <w:b/>
                <w:bCs/>
              </w:rPr>
              <w:tab/>
              <w:t>503-778-5318</w:t>
            </w:r>
          </w:p>
          <w:p w:rsidR="005F0A01" w:rsidRPr="005F0A01" w:rsidRDefault="005F0A01" w:rsidP="005F0A01">
            <w:pPr>
              <w:spacing w:line="276" w:lineRule="auto"/>
              <w:ind w:left="266" w:hanging="30"/>
              <w:rPr>
                <w:rFonts w:eastAsia="Calibri"/>
                <w:b/>
                <w:bCs/>
              </w:rPr>
            </w:pPr>
            <w:r w:rsidRPr="005F0A01">
              <w:rPr>
                <w:rFonts w:eastAsia="Calibri"/>
                <w:b/>
                <w:bCs/>
              </w:rPr>
              <w:t>Fax:</w:t>
            </w:r>
            <w:r w:rsidRPr="005F0A01">
              <w:rPr>
                <w:rFonts w:eastAsia="Calibri"/>
                <w:b/>
                <w:bCs/>
              </w:rPr>
              <w:tab/>
              <w:t>503-778-5299</w:t>
            </w:r>
          </w:p>
          <w:p w:rsidR="005F0A01" w:rsidRPr="005F0A01" w:rsidRDefault="005F0A01" w:rsidP="005F0A01">
            <w:pPr>
              <w:spacing w:line="276" w:lineRule="auto"/>
              <w:ind w:left="266" w:hanging="30"/>
              <w:rPr>
                <w:rFonts w:eastAsia="Calibri"/>
                <w:b/>
                <w:bCs/>
              </w:rPr>
            </w:pPr>
            <w:r w:rsidRPr="005F0A01">
              <w:rPr>
                <w:rFonts w:eastAsia="Calibri"/>
                <w:b/>
                <w:bCs/>
              </w:rPr>
              <w:t>Email:</w:t>
            </w:r>
            <w:r w:rsidR="00A033CB">
              <w:rPr>
                <w:rFonts w:eastAsia="Calibri"/>
                <w:b/>
                <w:bCs/>
              </w:rPr>
              <w:t xml:space="preserve"> </w:t>
            </w:r>
            <w:r w:rsidRPr="000B46FB">
              <w:rPr>
                <w:rFonts w:eastAsia="Calibri"/>
                <w:b/>
                <w:bCs/>
              </w:rPr>
              <w:t>marktrinchero@dwt.com</w:t>
            </w:r>
          </w:p>
          <w:p w:rsidR="005F0A01" w:rsidRDefault="005F0A01" w:rsidP="005F0A01">
            <w:pPr>
              <w:pStyle w:val="DWTNorm"/>
              <w:ind w:left="266" w:hanging="30"/>
              <w:jc w:val="center"/>
            </w:pPr>
          </w:p>
        </w:tc>
      </w:tr>
    </w:tbl>
    <w:p w:rsidR="005F0A01" w:rsidRPr="005F0A01" w:rsidRDefault="005F0A01" w:rsidP="008D1C8C">
      <w:pPr>
        <w:pStyle w:val="DWTNorm"/>
        <w:ind w:firstLine="0"/>
        <w:jc w:val="center"/>
      </w:pPr>
    </w:p>
    <w:p w:rsidR="003619D6" w:rsidRPr="005F0A01" w:rsidRDefault="00A033CB" w:rsidP="008D1C8C">
      <w:pPr>
        <w:spacing w:line="276" w:lineRule="auto"/>
        <w:ind w:left="4320"/>
        <w:rPr>
          <w:rFonts w:eastAsia="Calibri"/>
          <w:b/>
          <w:bCs/>
        </w:rPr>
      </w:pPr>
      <w:r>
        <w:rPr>
          <w:rFonts w:eastAsia="Calibri"/>
          <w:b/>
          <w:bCs/>
        </w:rPr>
        <w:tab/>
      </w:r>
      <w:r w:rsidR="008D1C8C" w:rsidRPr="005F0A01">
        <w:rPr>
          <w:rFonts w:eastAsia="Calibri"/>
          <w:b/>
          <w:bCs/>
        </w:rPr>
        <w:t>Dated:  August 2, 2013</w:t>
      </w:r>
    </w:p>
    <w:p w:rsidR="003619D6" w:rsidRPr="005F0A01" w:rsidRDefault="003619D6">
      <w:pPr>
        <w:rPr>
          <w:rFonts w:eastAsia="Calibri"/>
          <w:b/>
          <w:bCs/>
        </w:rPr>
      </w:pPr>
      <w:r w:rsidRPr="005F0A01">
        <w:rPr>
          <w:rFonts w:eastAsia="Calibri"/>
          <w:b/>
          <w:bCs/>
        </w:rPr>
        <w:br w:type="page"/>
      </w:r>
    </w:p>
    <w:p w:rsidR="008D1C8C" w:rsidRPr="005F0A01" w:rsidRDefault="008D1C8C" w:rsidP="008D1C8C">
      <w:pPr>
        <w:spacing w:line="264" w:lineRule="auto"/>
        <w:jc w:val="center"/>
        <w:rPr>
          <w:b/>
          <w:sz w:val="25"/>
          <w:szCs w:val="25"/>
        </w:rPr>
      </w:pPr>
      <w:r w:rsidRPr="005F0A01">
        <w:rPr>
          <w:b/>
          <w:sz w:val="25"/>
          <w:szCs w:val="25"/>
        </w:rPr>
        <w:lastRenderedPageBreak/>
        <w:t>Initial Comments of the Broadband Communications Association of Washington</w:t>
      </w:r>
    </w:p>
    <w:p w:rsidR="008D1C8C" w:rsidRPr="005F0A01" w:rsidRDefault="008D1C8C" w:rsidP="008D1C8C">
      <w:pPr>
        <w:spacing w:line="264" w:lineRule="auto"/>
        <w:jc w:val="center"/>
        <w:rPr>
          <w:b/>
          <w:sz w:val="25"/>
          <w:szCs w:val="25"/>
        </w:rPr>
      </w:pPr>
      <w:r w:rsidRPr="005F0A01">
        <w:rPr>
          <w:b/>
          <w:sz w:val="25"/>
          <w:szCs w:val="25"/>
        </w:rPr>
        <w:t>Regarding Amending and Adopting Rules to Implement Legislation Establishing</w:t>
      </w:r>
    </w:p>
    <w:p w:rsidR="008D1C8C" w:rsidRPr="005F0A01" w:rsidRDefault="008D1C8C" w:rsidP="008D1C8C">
      <w:pPr>
        <w:spacing w:line="264" w:lineRule="auto"/>
        <w:jc w:val="center"/>
        <w:rPr>
          <w:b/>
          <w:sz w:val="25"/>
          <w:szCs w:val="25"/>
        </w:rPr>
      </w:pPr>
      <w:r w:rsidRPr="005F0A01">
        <w:rPr>
          <w:b/>
          <w:sz w:val="25"/>
          <w:szCs w:val="25"/>
        </w:rPr>
        <w:t>a State Universal Communications Program</w:t>
      </w:r>
    </w:p>
    <w:p w:rsidR="008D1C8C" w:rsidRPr="005F0A01" w:rsidRDefault="008D1C8C" w:rsidP="008D1C8C">
      <w:pPr>
        <w:spacing w:line="264" w:lineRule="auto"/>
        <w:jc w:val="center"/>
        <w:rPr>
          <w:b/>
          <w:sz w:val="25"/>
          <w:szCs w:val="25"/>
        </w:rPr>
      </w:pPr>
    </w:p>
    <w:p w:rsidR="00271535" w:rsidRPr="005F0A01" w:rsidRDefault="00271535" w:rsidP="008D1C8C">
      <w:pPr>
        <w:spacing w:line="264" w:lineRule="auto"/>
        <w:jc w:val="center"/>
        <w:rPr>
          <w:b/>
          <w:sz w:val="25"/>
          <w:szCs w:val="25"/>
        </w:rPr>
      </w:pPr>
    </w:p>
    <w:p w:rsidR="008D1C8C" w:rsidRPr="005F0A01" w:rsidRDefault="00271535" w:rsidP="008D1C8C">
      <w:pPr>
        <w:spacing w:line="264" w:lineRule="auto"/>
        <w:jc w:val="center"/>
        <w:rPr>
          <w:b/>
          <w:sz w:val="25"/>
          <w:szCs w:val="25"/>
        </w:rPr>
      </w:pPr>
      <w:r w:rsidRPr="005F0A01">
        <w:rPr>
          <w:b/>
          <w:sz w:val="25"/>
          <w:szCs w:val="25"/>
        </w:rPr>
        <w:t>INTRODUCTION</w:t>
      </w:r>
    </w:p>
    <w:p w:rsidR="00271535" w:rsidRPr="005F0A01" w:rsidRDefault="00271535" w:rsidP="008D1C8C">
      <w:pPr>
        <w:spacing w:line="264" w:lineRule="auto"/>
        <w:jc w:val="center"/>
        <w:rPr>
          <w:b/>
          <w:sz w:val="25"/>
          <w:szCs w:val="25"/>
        </w:rPr>
      </w:pPr>
    </w:p>
    <w:p w:rsidR="00271535" w:rsidRPr="005F0A01" w:rsidRDefault="008D1C8C" w:rsidP="00271535">
      <w:pPr>
        <w:pStyle w:val="DWTNorm"/>
        <w:spacing w:line="480" w:lineRule="auto"/>
        <w:rPr>
          <w:sz w:val="25"/>
          <w:szCs w:val="25"/>
        </w:rPr>
      </w:pPr>
      <w:r w:rsidRPr="005F0A01">
        <w:rPr>
          <w:sz w:val="25"/>
          <w:szCs w:val="25"/>
        </w:rPr>
        <w:t>The Broadband Communications Association of Washington (</w:t>
      </w:r>
      <w:r w:rsidR="00271535" w:rsidRPr="005F0A01">
        <w:rPr>
          <w:sz w:val="25"/>
          <w:szCs w:val="25"/>
        </w:rPr>
        <w:t>“</w:t>
      </w:r>
      <w:r w:rsidRPr="005F0A01">
        <w:rPr>
          <w:sz w:val="25"/>
          <w:szCs w:val="25"/>
        </w:rPr>
        <w:t>BCAW</w:t>
      </w:r>
      <w:r w:rsidR="00271535" w:rsidRPr="005F0A01">
        <w:rPr>
          <w:sz w:val="25"/>
          <w:szCs w:val="25"/>
        </w:rPr>
        <w:t>”</w:t>
      </w:r>
      <w:r w:rsidRPr="005F0A01">
        <w:rPr>
          <w:sz w:val="25"/>
          <w:szCs w:val="25"/>
        </w:rPr>
        <w:t>) appreciates this opportunity to provide initial comments regarding the Commission’s implementation of the intrastate universal service fund established in recently enacted legislation.</w:t>
      </w:r>
      <w:r w:rsidRPr="005F0A01">
        <w:rPr>
          <w:rStyle w:val="FootnoteReference"/>
          <w:sz w:val="25"/>
          <w:szCs w:val="25"/>
        </w:rPr>
        <w:footnoteReference w:id="1"/>
      </w:r>
      <w:r w:rsidRPr="005F0A01">
        <w:rPr>
          <w:sz w:val="25"/>
          <w:szCs w:val="25"/>
        </w:rPr>
        <w:t xml:space="preserve">   </w:t>
      </w:r>
      <w:r w:rsidR="00271535" w:rsidRPr="005F0A01">
        <w:rPr>
          <w:sz w:val="25"/>
          <w:szCs w:val="25"/>
        </w:rPr>
        <w:t xml:space="preserve">Set forth more fully below are BCAW’s specific initial recommendations.  These recommendations are informed by the overarching goals of ESS HB 1971, </w:t>
      </w:r>
      <w:r w:rsidR="005F0A01">
        <w:rPr>
          <w:sz w:val="25"/>
          <w:szCs w:val="25"/>
        </w:rPr>
        <w:t xml:space="preserve">in </w:t>
      </w:r>
      <w:r w:rsidR="00271535" w:rsidRPr="005F0A01">
        <w:rPr>
          <w:sz w:val="25"/>
          <w:szCs w:val="25"/>
        </w:rPr>
        <w:t>which the Legislature has created as a finite transitional support mechanism designed to provide small companies with temporary relief from the impact of federally-mandated reductions to access revenues while they alter their business plans in order to compete in the marketplace.</w:t>
      </w:r>
    </w:p>
    <w:p w:rsidR="00271535" w:rsidRPr="005F0A01" w:rsidRDefault="00271535" w:rsidP="003619D6">
      <w:pPr>
        <w:pStyle w:val="DWTNorm"/>
        <w:spacing w:line="480" w:lineRule="auto"/>
        <w:rPr>
          <w:sz w:val="25"/>
          <w:szCs w:val="25"/>
        </w:rPr>
      </w:pPr>
      <w:r w:rsidRPr="005F0A01">
        <w:rPr>
          <w:sz w:val="25"/>
          <w:szCs w:val="25"/>
        </w:rPr>
        <w:t xml:space="preserve">The universal service program established in ESS HB 1971 is the result of several years of investigation by this Commission, including significant input from stakeholders, examination of the communications market in the State, and a review of the financial and operational profile of Washington’s small incumbent local exchange companies (“ILECs”).  The legislation is based largely on the Commission’s November 2010 recommendation to the Legislature for the adoption of a limited universal service fund targeted to small rural carriers to “compensate the ILEC for reduced access revenues after increasing local service rates to a ‘benchmark’ but . . . not make the ILEC ‘whole’ relative to its overall shortfall relative to its </w:t>
      </w:r>
      <w:r w:rsidRPr="005F0A01">
        <w:rPr>
          <w:sz w:val="25"/>
          <w:szCs w:val="25"/>
        </w:rPr>
        <w:lastRenderedPageBreak/>
        <w:t>total intrastate revenue requirement.”</w:t>
      </w:r>
      <w:r w:rsidRPr="005F0A01">
        <w:rPr>
          <w:rStyle w:val="FootnoteReference"/>
          <w:sz w:val="25"/>
          <w:szCs w:val="25"/>
        </w:rPr>
        <w:footnoteReference w:id="2"/>
      </w:r>
      <w:r w:rsidRPr="005F0A01">
        <w:rPr>
          <w:sz w:val="25"/>
          <w:szCs w:val="25"/>
        </w:rPr>
        <w:t xml:space="preserve">  In that same recommendation, the Commission made clear that the fund “would serve as a transitional mechanism during which ILECs could make the investments in operational adjustments necessary to further develop their networks and pursue business objectives and </w:t>
      </w:r>
      <w:r w:rsidR="00CD5D6C" w:rsidRPr="005F0A01">
        <w:rPr>
          <w:sz w:val="25"/>
          <w:szCs w:val="25"/>
        </w:rPr>
        <w:t>opportunities</w:t>
      </w:r>
      <w:r w:rsidRPr="005F0A01">
        <w:rPr>
          <w:sz w:val="25"/>
          <w:szCs w:val="25"/>
        </w:rPr>
        <w:t>.”</w:t>
      </w:r>
      <w:r w:rsidR="003619D6" w:rsidRPr="005F0A01">
        <w:rPr>
          <w:rStyle w:val="FootnoteReference"/>
          <w:sz w:val="25"/>
          <w:szCs w:val="25"/>
        </w:rPr>
        <w:footnoteReference w:id="3"/>
      </w:r>
      <w:r w:rsidRPr="005F0A01">
        <w:rPr>
          <w:sz w:val="25"/>
          <w:szCs w:val="25"/>
        </w:rPr>
        <w:t xml:space="preserve">  </w:t>
      </w:r>
      <w:r w:rsidR="003619D6" w:rsidRPr="005F0A01">
        <w:rPr>
          <w:sz w:val="25"/>
          <w:szCs w:val="25"/>
        </w:rPr>
        <w:t>These principles are echoed in the legislative findings set forth in Section 201 of ESS HB 1971.  The Legislature intends the fund to be “targeted and temporary”, and has, therefore, capped the fund at no more than $5 million per year for five years.</w:t>
      </w:r>
      <w:r w:rsidR="003619D6" w:rsidRPr="005F0A01">
        <w:rPr>
          <w:rStyle w:val="FootnoteReference"/>
          <w:sz w:val="25"/>
          <w:szCs w:val="25"/>
        </w:rPr>
        <w:footnoteReference w:id="4"/>
      </w:r>
      <w:r w:rsidR="003619D6" w:rsidRPr="005F0A01">
        <w:rPr>
          <w:sz w:val="25"/>
          <w:szCs w:val="25"/>
        </w:rPr>
        <w:t xml:space="preserve">   </w:t>
      </w:r>
      <w:r w:rsidRPr="005F0A01">
        <w:rPr>
          <w:sz w:val="25"/>
          <w:szCs w:val="25"/>
        </w:rPr>
        <w:t>It is with these principles as a core bedrock that BCAW provides the following recommendations.</w:t>
      </w:r>
    </w:p>
    <w:p w:rsidR="008D1C8C" w:rsidRPr="005F0A01" w:rsidRDefault="008D1C8C" w:rsidP="00271535">
      <w:pPr>
        <w:pStyle w:val="DWTNorm"/>
        <w:spacing w:line="480" w:lineRule="auto"/>
        <w:rPr>
          <w:rFonts w:eastAsia="Calibri"/>
          <w:bCs/>
          <w:sz w:val="25"/>
          <w:szCs w:val="25"/>
        </w:rPr>
      </w:pPr>
      <w:r w:rsidRPr="005F0A01">
        <w:rPr>
          <w:sz w:val="25"/>
          <w:szCs w:val="25"/>
        </w:rPr>
        <w:t>The Co</w:t>
      </w:r>
      <w:r w:rsidR="00271535" w:rsidRPr="005F0A01">
        <w:rPr>
          <w:sz w:val="25"/>
          <w:szCs w:val="25"/>
        </w:rPr>
        <w:t>mmi</w:t>
      </w:r>
      <w:r w:rsidRPr="005F0A01">
        <w:rPr>
          <w:sz w:val="25"/>
          <w:szCs w:val="25"/>
        </w:rPr>
        <w:t xml:space="preserve">ssion’s </w:t>
      </w:r>
      <w:r w:rsidR="00271535" w:rsidRPr="005F0A01">
        <w:rPr>
          <w:sz w:val="25"/>
          <w:szCs w:val="25"/>
        </w:rPr>
        <w:t xml:space="preserve">July 3, 2013 Notice of Workshop and </w:t>
      </w:r>
      <w:r w:rsidRPr="005F0A01">
        <w:rPr>
          <w:sz w:val="25"/>
          <w:szCs w:val="25"/>
        </w:rPr>
        <w:t xml:space="preserve">Notice </w:t>
      </w:r>
      <w:r w:rsidR="00271535" w:rsidRPr="005F0A01">
        <w:rPr>
          <w:sz w:val="25"/>
          <w:szCs w:val="25"/>
        </w:rPr>
        <w:t>of Opportunity to File Written Comments identifies the following topics for discussion both at the workshop and in written comments:</w:t>
      </w:r>
    </w:p>
    <w:p w:rsidR="008D1C8C" w:rsidRPr="005F0A01" w:rsidRDefault="008D1C8C" w:rsidP="008D1C8C">
      <w:pPr>
        <w:numPr>
          <w:ilvl w:val="0"/>
          <w:numId w:val="2"/>
        </w:numPr>
        <w:spacing w:after="200" w:line="264" w:lineRule="auto"/>
        <w:contextualSpacing/>
        <w:rPr>
          <w:sz w:val="25"/>
          <w:szCs w:val="25"/>
        </w:rPr>
      </w:pPr>
      <w:r w:rsidRPr="005F0A01">
        <w:rPr>
          <w:sz w:val="25"/>
          <w:szCs w:val="25"/>
        </w:rPr>
        <w:t xml:space="preserve"> Rules to implement the state universal communications service program (including establishment of a benchmark).</w:t>
      </w:r>
    </w:p>
    <w:p w:rsidR="008D1C8C" w:rsidRPr="005F0A01" w:rsidRDefault="008D1C8C" w:rsidP="008D1C8C">
      <w:pPr>
        <w:numPr>
          <w:ilvl w:val="0"/>
          <w:numId w:val="2"/>
        </w:numPr>
        <w:spacing w:after="200" w:line="264" w:lineRule="auto"/>
        <w:contextualSpacing/>
        <w:rPr>
          <w:sz w:val="25"/>
          <w:szCs w:val="25"/>
        </w:rPr>
      </w:pPr>
      <w:r w:rsidRPr="005F0A01">
        <w:rPr>
          <w:sz w:val="25"/>
          <w:szCs w:val="25"/>
        </w:rPr>
        <w:t>Rules governing operation of the program.</w:t>
      </w:r>
    </w:p>
    <w:p w:rsidR="008D1C8C" w:rsidRPr="005F0A01" w:rsidRDefault="008D1C8C" w:rsidP="008D1C8C">
      <w:pPr>
        <w:numPr>
          <w:ilvl w:val="0"/>
          <w:numId w:val="2"/>
        </w:numPr>
        <w:spacing w:after="200" w:line="264" w:lineRule="auto"/>
        <w:contextualSpacing/>
        <w:rPr>
          <w:sz w:val="25"/>
          <w:szCs w:val="25"/>
        </w:rPr>
      </w:pPr>
      <w:r w:rsidRPr="005F0A01">
        <w:rPr>
          <w:sz w:val="25"/>
          <w:szCs w:val="25"/>
        </w:rPr>
        <w:t>Rules concerning monitoring, compliance and use of funds.</w:t>
      </w:r>
    </w:p>
    <w:p w:rsidR="008D1C8C" w:rsidRPr="005F0A01" w:rsidRDefault="008D1C8C" w:rsidP="008D1C8C">
      <w:pPr>
        <w:numPr>
          <w:ilvl w:val="0"/>
          <w:numId w:val="2"/>
        </w:numPr>
        <w:spacing w:after="200" w:line="264" w:lineRule="auto"/>
        <w:contextualSpacing/>
        <w:rPr>
          <w:sz w:val="25"/>
          <w:szCs w:val="25"/>
        </w:rPr>
      </w:pPr>
      <w:r w:rsidRPr="005F0A01">
        <w:rPr>
          <w:sz w:val="25"/>
          <w:szCs w:val="25"/>
        </w:rPr>
        <w:t>Changes to existing rules.</w:t>
      </w:r>
    </w:p>
    <w:p w:rsidR="008D1C8C" w:rsidRPr="005F0A01" w:rsidRDefault="008D1C8C" w:rsidP="008D1C8C">
      <w:pPr>
        <w:numPr>
          <w:ilvl w:val="0"/>
          <w:numId w:val="2"/>
        </w:numPr>
        <w:spacing w:after="200" w:line="264" w:lineRule="auto"/>
        <w:contextualSpacing/>
        <w:rPr>
          <w:sz w:val="25"/>
          <w:szCs w:val="25"/>
        </w:rPr>
      </w:pPr>
      <w:r w:rsidRPr="005F0A01">
        <w:rPr>
          <w:sz w:val="25"/>
          <w:szCs w:val="25"/>
        </w:rPr>
        <w:t>Establishment of additional eligibility criteria.</w:t>
      </w:r>
    </w:p>
    <w:p w:rsidR="008D1C8C" w:rsidRPr="005F0A01" w:rsidRDefault="008D1C8C" w:rsidP="008D1C8C">
      <w:pPr>
        <w:numPr>
          <w:ilvl w:val="0"/>
          <w:numId w:val="2"/>
        </w:numPr>
        <w:spacing w:after="200" w:line="264" w:lineRule="auto"/>
        <w:contextualSpacing/>
        <w:rPr>
          <w:sz w:val="25"/>
          <w:szCs w:val="25"/>
        </w:rPr>
      </w:pPr>
      <w:r w:rsidRPr="005F0A01">
        <w:rPr>
          <w:sz w:val="25"/>
          <w:szCs w:val="25"/>
        </w:rPr>
        <w:t>Development of an agreement with eligible communication providers.</w:t>
      </w:r>
    </w:p>
    <w:p w:rsidR="008D1C8C" w:rsidRPr="005F0A01" w:rsidRDefault="008D1C8C" w:rsidP="008D1C8C">
      <w:pPr>
        <w:numPr>
          <w:ilvl w:val="0"/>
          <w:numId w:val="2"/>
        </w:numPr>
        <w:spacing w:after="200" w:line="264" w:lineRule="auto"/>
        <w:contextualSpacing/>
        <w:rPr>
          <w:sz w:val="25"/>
          <w:szCs w:val="25"/>
        </w:rPr>
      </w:pPr>
      <w:r w:rsidRPr="005F0A01">
        <w:rPr>
          <w:sz w:val="25"/>
          <w:szCs w:val="25"/>
        </w:rPr>
        <w:t>Establishment of an Advisory Board.</w:t>
      </w:r>
    </w:p>
    <w:p w:rsidR="00271535" w:rsidRPr="005F0A01" w:rsidRDefault="008D1C8C" w:rsidP="00271535">
      <w:pPr>
        <w:numPr>
          <w:ilvl w:val="0"/>
          <w:numId w:val="2"/>
        </w:numPr>
        <w:spacing w:after="200" w:line="264" w:lineRule="auto"/>
        <w:contextualSpacing/>
        <w:rPr>
          <w:sz w:val="25"/>
          <w:szCs w:val="25"/>
        </w:rPr>
      </w:pPr>
      <w:r w:rsidRPr="005F0A01">
        <w:rPr>
          <w:sz w:val="25"/>
          <w:szCs w:val="25"/>
        </w:rPr>
        <w:t>Delegation of authority to Commission staff.</w:t>
      </w:r>
    </w:p>
    <w:p w:rsidR="00271535" w:rsidRPr="005F0A01" w:rsidRDefault="00271535" w:rsidP="003619D6">
      <w:pPr>
        <w:pStyle w:val="DWTNorm"/>
        <w:spacing w:line="480" w:lineRule="auto"/>
        <w:ind w:firstLine="0"/>
      </w:pPr>
      <w:r w:rsidRPr="005F0A01">
        <w:t>At the July 15, 2013 workshop, the Commission distributed an agenda that set forth in summary form those sections of ESS HB 1971 relating to the topics set forth above.  For ease of reference, BCAW’s initial comments follow the items set forth in the July 15</w:t>
      </w:r>
      <w:r w:rsidRPr="005F0A01">
        <w:rPr>
          <w:vertAlign w:val="superscript"/>
        </w:rPr>
        <w:t>th</w:t>
      </w:r>
      <w:r w:rsidRPr="005F0A01">
        <w:t xml:space="preserve"> Agenda.</w:t>
      </w:r>
      <w:r w:rsidRPr="005F0A01">
        <w:br w:type="page"/>
      </w:r>
    </w:p>
    <w:p w:rsidR="008D1C8C" w:rsidRPr="005F0A01" w:rsidRDefault="00271535" w:rsidP="00271535">
      <w:pPr>
        <w:pStyle w:val="DWTNorm"/>
        <w:spacing w:line="480" w:lineRule="auto"/>
        <w:ind w:firstLine="90"/>
        <w:jc w:val="center"/>
        <w:rPr>
          <w:b/>
          <w:sz w:val="25"/>
          <w:szCs w:val="25"/>
        </w:rPr>
      </w:pPr>
      <w:r w:rsidRPr="005F0A01">
        <w:rPr>
          <w:b/>
          <w:sz w:val="25"/>
          <w:szCs w:val="25"/>
        </w:rPr>
        <w:t>SPECIFIC RECOMMENDATIONS</w:t>
      </w:r>
    </w:p>
    <w:p w:rsidR="00271535" w:rsidRPr="005F0A01" w:rsidRDefault="00271535" w:rsidP="003619D6">
      <w:pPr>
        <w:numPr>
          <w:ilvl w:val="1"/>
          <w:numId w:val="3"/>
        </w:numPr>
        <w:spacing w:after="200" w:line="360" w:lineRule="auto"/>
        <w:ind w:left="360"/>
        <w:contextualSpacing/>
        <w:rPr>
          <w:rFonts w:eastAsiaTheme="minorHAnsi"/>
          <w:b/>
          <w:sz w:val="25"/>
          <w:szCs w:val="25"/>
          <w:u w:val="single"/>
        </w:rPr>
      </w:pPr>
      <w:r w:rsidRPr="005F0A01">
        <w:rPr>
          <w:rFonts w:eastAsiaTheme="minorHAnsi"/>
          <w:b/>
          <w:sz w:val="25"/>
          <w:szCs w:val="25"/>
          <w:u w:val="single"/>
        </w:rPr>
        <w:t>Section 203</w:t>
      </w:r>
    </w:p>
    <w:p w:rsidR="00271535" w:rsidRPr="005F0A01" w:rsidRDefault="00271535" w:rsidP="003619D6">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(3)(a) Communications Provider Eligibility:</w:t>
      </w:r>
    </w:p>
    <w:p w:rsidR="00FC4BBB" w:rsidRPr="005F0A01" w:rsidRDefault="00FC4BBB" w:rsidP="00FC4BBB">
      <w:pPr>
        <w:spacing w:after="200" w:line="276" w:lineRule="auto"/>
        <w:ind w:left="720"/>
        <w:contextualSpacing/>
        <w:rPr>
          <w:rFonts w:eastAsiaTheme="minorHAnsi"/>
          <w:b/>
          <w:sz w:val="25"/>
          <w:szCs w:val="25"/>
        </w:rPr>
      </w:pPr>
    </w:p>
    <w:p w:rsidR="00271535" w:rsidRPr="005F0A01" w:rsidRDefault="00FC4BBB" w:rsidP="003619D6">
      <w:pPr>
        <w:numPr>
          <w:ilvl w:val="3"/>
          <w:numId w:val="3"/>
        </w:numPr>
        <w:spacing w:after="200" w:line="276" w:lineRule="auto"/>
        <w:ind w:left="720"/>
        <w:contextualSpacing/>
        <w:rPr>
          <w:rFonts w:eastAsiaTheme="minorHAnsi"/>
          <w:b/>
          <w:sz w:val="25"/>
          <w:szCs w:val="25"/>
        </w:rPr>
      </w:pPr>
      <w:r w:rsidRPr="005F0A01">
        <w:rPr>
          <w:rFonts w:eastAsiaTheme="minorHAnsi"/>
          <w:b/>
          <w:sz w:val="25"/>
          <w:szCs w:val="25"/>
        </w:rPr>
        <w:t>Incumbent carrier.</w:t>
      </w:r>
    </w:p>
    <w:p w:rsidR="007C3D5D" w:rsidRPr="005F0A01" w:rsidRDefault="007C3D5D" w:rsidP="007C3D5D">
      <w:pPr>
        <w:spacing w:after="200" w:line="276" w:lineRule="auto"/>
        <w:contextualSpacing/>
        <w:rPr>
          <w:rFonts w:eastAsiaTheme="minorHAnsi"/>
          <w:b/>
          <w:sz w:val="25"/>
          <w:szCs w:val="25"/>
        </w:rPr>
      </w:pPr>
    </w:p>
    <w:p w:rsidR="007C3D5D" w:rsidRPr="005F0A01" w:rsidRDefault="007C3D5D" w:rsidP="007C3D5D">
      <w:pPr>
        <w:spacing w:after="200" w:line="276" w:lineRule="auto"/>
        <w:contextualSpacing/>
        <w:rPr>
          <w:rFonts w:eastAsiaTheme="minorHAnsi"/>
          <w:sz w:val="25"/>
          <w:szCs w:val="25"/>
        </w:rPr>
      </w:pPr>
      <w:r w:rsidRPr="005F0A01">
        <w:rPr>
          <w:rFonts w:eastAsiaTheme="minorHAnsi"/>
          <w:b/>
          <w:sz w:val="25"/>
          <w:szCs w:val="25"/>
        </w:rPr>
        <w:t>BCAW Recommendation:</w:t>
      </w:r>
      <w:r w:rsidRPr="005F0A01">
        <w:rPr>
          <w:rFonts w:eastAsiaTheme="minorHAnsi"/>
          <w:sz w:val="25"/>
          <w:szCs w:val="25"/>
        </w:rPr>
        <w:t xml:space="preserve">  The Commission should confirm the ILEC’s access line counts based on data the ILEC submits to the Federal Communications Commission (“FCC”) and to the Universal Service Administrati</w:t>
      </w:r>
      <w:r w:rsidR="00360307" w:rsidRPr="005F0A01">
        <w:rPr>
          <w:rFonts w:eastAsiaTheme="minorHAnsi"/>
          <w:sz w:val="25"/>
          <w:szCs w:val="25"/>
        </w:rPr>
        <w:t>ve</w:t>
      </w:r>
      <w:r w:rsidRPr="005F0A01">
        <w:rPr>
          <w:rFonts w:eastAsiaTheme="minorHAnsi"/>
          <w:sz w:val="25"/>
          <w:szCs w:val="25"/>
        </w:rPr>
        <w:t xml:space="preserve"> Company (“USAC”)</w:t>
      </w:r>
    </w:p>
    <w:p w:rsidR="007C3D5D" w:rsidRPr="005F0A01" w:rsidRDefault="007C3D5D" w:rsidP="007C3D5D">
      <w:pPr>
        <w:spacing w:after="200" w:line="276" w:lineRule="auto"/>
        <w:contextualSpacing/>
        <w:rPr>
          <w:rFonts w:eastAsiaTheme="minorHAnsi"/>
          <w:b/>
          <w:sz w:val="25"/>
          <w:szCs w:val="25"/>
        </w:rPr>
      </w:pPr>
    </w:p>
    <w:p w:rsidR="00271535" w:rsidRPr="005F0A01" w:rsidRDefault="00271535" w:rsidP="003619D6">
      <w:pPr>
        <w:numPr>
          <w:ilvl w:val="3"/>
          <w:numId w:val="3"/>
        </w:numPr>
        <w:spacing w:after="200" w:line="276" w:lineRule="auto"/>
        <w:ind w:left="720"/>
        <w:contextualSpacing/>
        <w:rPr>
          <w:rFonts w:eastAsiaTheme="minorHAnsi"/>
          <w:b/>
          <w:sz w:val="25"/>
          <w:szCs w:val="25"/>
        </w:rPr>
      </w:pPr>
      <w:r w:rsidRPr="005F0A01">
        <w:rPr>
          <w:rFonts w:eastAsiaTheme="minorHAnsi"/>
          <w:b/>
          <w:sz w:val="25"/>
          <w:szCs w:val="25"/>
        </w:rPr>
        <w:t>Wireless carrier.</w:t>
      </w:r>
    </w:p>
    <w:p w:rsidR="007C3D5D" w:rsidRPr="005F0A01" w:rsidRDefault="007C3D5D" w:rsidP="007C3D5D">
      <w:pPr>
        <w:spacing w:after="200" w:line="276" w:lineRule="auto"/>
        <w:contextualSpacing/>
        <w:rPr>
          <w:rFonts w:eastAsiaTheme="minorHAnsi"/>
          <w:b/>
          <w:sz w:val="25"/>
          <w:szCs w:val="25"/>
        </w:rPr>
      </w:pPr>
    </w:p>
    <w:p w:rsidR="007C3D5D" w:rsidRPr="005F0A01" w:rsidRDefault="007C3D5D" w:rsidP="007C3D5D">
      <w:pPr>
        <w:spacing w:after="200" w:line="276" w:lineRule="auto"/>
        <w:contextualSpacing/>
        <w:rPr>
          <w:rFonts w:eastAsiaTheme="minorHAnsi"/>
          <w:sz w:val="25"/>
          <w:szCs w:val="25"/>
        </w:rPr>
      </w:pPr>
      <w:r w:rsidRPr="005F0A01">
        <w:rPr>
          <w:rFonts w:eastAsiaTheme="minorHAnsi"/>
          <w:b/>
          <w:sz w:val="25"/>
          <w:szCs w:val="25"/>
        </w:rPr>
        <w:t>BCAW Recommendation:</w:t>
      </w:r>
      <w:r w:rsidRPr="005F0A01">
        <w:rPr>
          <w:rFonts w:eastAsiaTheme="minorHAnsi"/>
          <w:sz w:val="25"/>
          <w:szCs w:val="25"/>
        </w:rPr>
        <w:t xml:space="preserve">  No position at this time.</w:t>
      </w:r>
    </w:p>
    <w:p w:rsidR="007C3D5D" w:rsidRPr="005F0A01" w:rsidRDefault="007C3D5D" w:rsidP="007C3D5D">
      <w:pPr>
        <w:spacing w:after="200" w:line="276" w:lineRule="auto"/>
        <w:contextualSpacing/>
        <w:rPr>
          <w:rFonts w:eastAsiaTheme="minorHAnsi"/>
          <w:sz w:val="25"/>
          <w:szCs w:val="25"/>
        </w:rPr>
      </w:pPr>
    </w:p>
    <w:p w:rsidR="00271535" w:rsidRPr="005F0A01" w:rsidRDefault="00271535" w:rsidP="003619D6">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(3)(b) Risk of rate instability, service interruptions or cessations absent a distribution to the provider to maintain rate</w:t>
      </w:r>
      <w:r w:rsidR="005F0A01">
        <w:rPr>
          <w:rFonts w:eastAsiaTheme="minorHAnsi"/>
          <w:b/>
          <w:sz w:val="25"/>
          <w:szCs w:val="25"/>
        </w:rPr>
        <w:t>s reasonably close to benchmark.</w:t>
      </w:r>
    </w:p>
    <w:p w:rsidR="007C3D5D" w:rsidRPr="005F0A01" w:rsidRDefault="007C3D5D" w:rsidP="007C3D5D">
      <w:pPr>
        <w:spacing w:after="200" w:line="276" w:lineRule="auto"/>
        <w:ind w:left="720"/>
        <w:contextualSpacing/>
        <w:rPr>
          <w:rFonts w:eastAsiaTheme="minorHAnsi"/>
          <w:b/>
          <w:sz w:val="25"/>
          <w:szCs w:val="25"/>
        </w:rPr>
      </w:pPr>
    </w:p>
    <w:p w:rsidR="007C3D5D" w:rsidRPr="005F0A01" w:rsidRDefault="007C3D5D" w:rsidP="007C3D5D">
      <w:pPr>
        <w:spacing w:after="200" w:line="276" w:lineRule="auto"/>
        <w:contextualSpacing/>
        <w:rPr>
          <w:rFonts w:eastAsiaTheme="minorHAnsi"/>
          <w:sz w:val="25"/>
          <w:szCs w:val="25"/>
        </w:rPr>
      </w:pPr>
      <w:r w:rsidRPr="005F0A01">
        <w:rPr>
          <w:rFonts w:eastAsiaTheme="minorHAnsi"/>
          <w:b/>
          <w:sz w:val="25"/>
          <w:szCs w:val="25"/>
        </w:rPr>
        <w:t>BCAW Recommendation:</w:t>
      </w:r>
      <w:r w:rsidRPr="005F0A01">
        <w:rPr>
          <w:rFonts w:eastAsiaTheme="minorHAnsi"/>
          <w:sz w:val="25"/>
          <w:szCs w:val="25"/>
        </w:rPr>
        <w:t xml:space="preserve">  In order to make the necessary determination that, absent funding, there is a risk of rate instability, service interruptions or cessations at rates close to the benchmark, the Commission should update the earnings review that it </w:t>
      </w:r>
      <w:r w:rsidR="00CD5D6C" w:rsidRPr="005F0A01">
        <w:rPr>
          <w:rFonts w:eastAsiaTheme="minorHAnsi"/>
          <w:sz w:val="25"/>
          <w:szCs w:val="25"/>
        </w:rPr>
        <w:t>previously</w:t>
      </w:r>
      <w:r w:rsidRPr="005F0A01">
        <w:rPr>
          <w:rFonts w:eastAsiaTheme="minorHAnsi"/>
          <w:sz w:val="25"/>
          <w:szCs w:val="25"/>
        </w:rPr>
        <w:t xml:space="preserve"> conducted, the summary of which was discussed at the Commission’s August 14, 2012 Workshop in docket UT-100562, entitled “Overview of Staff’s Earning Review and State USF Analysis” (“Earnings Review Overview”).  The Commission should update the test year period to year end December 31, 2012.  The other parameters of the analysis can remain the same, utilizing the two step process outlined at page 3 of the Earnings Review Overview.  An ILEC would be eligible to receive fund distributions only if:  a) its adjusted rate of return is below its authorized rate of return; and b) its consolidated return on equity</w:t>
      </w:r>
      <w:r w:rsidR="005F0A01">
        <w:rPr>
          <w:rFonts w:eastAsiaTheme="minorHAnsi"/>
          <w:sz w:val="25"/>
          <w:szCs w:val="25"/>
        </w:rPr>
        <w:t xml:space="preserve"> leaves the company in an under-</w:t>
      </w:r>
      <w:r w:rsidRPr="005F0A01">
        <w:rPr>
          <w:rFonts w:eastAsiaTheme="minorHAnsi"/>
          <w:sz w:val="25"/>
          <w:szCs w:val="25"/>
        </w:rPr>
        <w:t>earning position.</w:t>
      </w:r>
    </w:p>
    <w:p w:rsidR="007C3D5D" w:rsidRPr="005F0A01" w:rsidRDefault="007C3D5D" w:rsidP="007C3D5D">
      <w:pPr>
        <w:spacing w:after="200" w:line="276" w:lineRule="auto"/>
        <w:contextualSpacing/>
        <w:rPr>
          <w:rFonts w:eastAsiaTheme="minorHAnsi"/>
          <w:b/>
          <w:sz w:val="25"/>
          <w:szCs w:val="25"/>
        </w:rPr>
      </w:pPr>
    </w:p>
    <w:p w:rsidR="00271535" w:rsidRPr="005F0A01" w:rsidRDefault="00271535" w:rsidP="003619D6">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(3)(c) Any other requirements established by the Commission pertaining to communications services (including basic telecommunications services).</w:t>
      </w:r>
    </w:p>
    <w:p w:rsidR="007C3D5D" w:rsidRPr="005F0A01" w:rsidRDefault="007C3D5D" w:rsidP="007C3D5D">
      <w:pPr>
        <w:spacing w:after="200" w:line="276" w:lineRule="auto"/>
        <w:contextualSpacing/>
        <w:rPr>
          <w:rFonts w:eastAsiaTheme="minorHAnsi"/>
          <w:b/>
          <w:sz w:val="25"/>
          <w:szCs w:val="25"/>
        </w:rPr>
      </w:pPr>
    </w:p>
    <w:p w:rsidR="007C3D5D" w:rsidRPr="005F0A01" w:rsidRDefault="007C3D5D" w:rsidP="007C3D5D">
      <w:pPr>
        <w:spacing w:after="200" w:line="276" w:lineRule="auto"/>
        <w:contextualSpacing/>
        <w:rPr>
          <w:rFonts w:eastAsiaTheme="minorHAnsi"/>
          <w:sz w:val="25"/>
          <w:szCs w:val="25"/>
        </w:rPr>
      </w:pPr>
      <w:r w:rsidRPr="005F0A01">
        <w:rPr>
          <w:rFonts w:eastAsiaTheme="minorHAnsi"/>
          <w:b/>
          <w:sz w:val="25"/>
          <w:szCs w:val="25"/>
        </w:rPr>
        <w:t xml:space="preserve">BCAW Recommendation:  </w:t>
      </w:r>
      <w:r w:rsidRPr="005F0A01">
        <w:rPr>
          <w:rFonts w:eastAsiaTheme="minorHAnsi"/>
          <w:sz w:val="25"/>
          <w:szCs w:val="25"/>
        </w:rPr>
        <w:t>The Commission should, at a minimum, continue to require eligible carriers to satisfy the Commission’s existing service quality standards on basic service.  BCAW takes no position at this stage of the proceeding regarding “other requirements . . . pertaining to communications services” provided by eligible ILECs.</w:t>
      </w:r>
    </w:p>
    <w:p w:rsidR="007C3D5D" w:rsidRPr="005F0A01" w:rsidRDefault="007C3D5D" w:rsidP="007C3D5D">
      <w:pPr>
        <w:spacing w:after="200" w:line="276" w:lineRule="auto"/>
        <w:contextualSpacing/>
        <w:rPr>
          <w:rFonts w:eastAsiaTheme="minorHAnsi"/>
          <w:b/>
          <w:sz w:val="25"/>
          <w:szCs w:val="25"/>
        </w:rPr>
      </w:pPr>
    </w:p>
    <w:p w:rsidR="00271535" w:rsidRPr="005F0A01" w:rsidRDefault="00271535" w:rsidP="003619D6">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(4)(a) Establishment of local rate benchmark (Commission determines reasonable amount customers should pay for basic residential service).</w:t>
      </w:r>
    </w:p>
    <w:p w:rsidR="007C3D5D" w:rsidRPr="005F0A01" w:rsidRDefault="007C3D5D" w:rsidP="007C3D5D">
      <w:pPr>
        <w:spacing w:after="200" w:line="276" w:lineRule="auto"/>
        <w:contextualSpacing/>
        <w:rPr>
          <w:rFonts w:eastAsiaTheme="minorHAnsi"/>
          <w:b/>
          <w:sz w:val="25"/>
          <w:szCs w:val="25"/>
        </w:rPr>
      </w:pPr>
    </w:p>
    <w:p w:rsidR="007C3D5D" w:rsidRPr="005F0A01" w:rsidRDefault="007C3D5D" w:rsidP="007C3D5D">
      <w:pPr>
        <w:spacing w:after="200" w:line="276" w:lineRule="auto"/>
        <w:contextualSpacing/>
        <w:rPr>
          <w:rFonts w:eastAsiaTheme="minorHAnsi"/>
          <w:sz w:val="25"/>
          <w:szCs w:val="25"/>
        </w:rPr>
      </w:pPr>
      <w:r w:rsidRPr="005F0A01">
        <w:rPr>
          <w:rFonts w:eastAsiaTheme="minorHAnsi"/>
          <w:b/>
          <w:sz w:val="25"/>
          <w:szCs w:val="25"/>
        </w:rPr>
        <w:t xml:space="preserve">BCAW Recommendation:  </w:t>
      </w:r>
      <w:r w:rsidRPr="005F0A01">
        <w:rPr>
          <w:rFonts w:eastAsiaTheme="minorHAnsi"/>
          <w:sz w:val="25"/>
          <w:szCs w:val="25"/>
        </w:rPr>
        <w:t>The benchmark should reflect what the average consumer pays for voice service in the State, whether that service is purchased from ILECs, wireless providers, competitive local exchange carriers (“CLECs”) or cable companies.  In the alternative, BCAW suggests the Commission set the benchmark based on the R-1 rate flo</w:t>
      </w:r>
      <w:r w:rsidR="005F0A01">
        <w:rPr>
          <w:rFonts w:eastAsiaTheme="minorHAnsi"/>
          <w:sz w:val="25"/>
          <w:szCs w:val="25"/>
        </w:rPr>
        <w:t>or set by the FCC in effect on July </w:t>
      </w:r>
      <w:r w:rsidRPr="005F0A01">
        <w:rPr>
          <w:rFonts w:eastAsiaTheme="minorHAnsi"/>
          <w:sz w:val="25"/>
          <w:szCs w:val="25"/>
        </w:rPr>
        <w:t xml:space="preserve">1, 2014, which will </w:t>
      </w:r>
      <w:r w:rsidR="007F3F0A" w:rsidRPr="005F0A01">
        <w:rPr>
          <w:rFonts w:eastAsiaTheme="minorHAnsi"/>
          <w:sz w:val="25"/>
          <w:szCs w:val="25"/>
        </w:rPr>
        <w:t>likely</w:t>
      </w:r>
      <w:r w:rsidR="00360307" w:rsidRPr="005F0A01">
        <w:rPr>
          <w:rFonts w:eastAsiaTheme="minorHAnsi"/>
          <w:sz w:val="25"/>
          <w:szCs w:val="25"/>
        </w:rPr>
        <w:t xml:space="preserve"> </w:t>
      </w:r>
      <w:r w:rsidRPr="005F0A01">
        <w:rPr>
          <w:rFonts w:eastAsiaTheme="minorHAnsi"/>
          <w:sz w:val="25"/>
          <w:szCs w:val="25"/>
        </w:rPr>
        <w:t xml:space="preserve">be </w:t>
      </w:r>
      <w:r w:rsidR="00285B70">
        <w:rPr>
          <w:rFonts w:eastAsiaTheme="minorHAnsi"/>
          <w:sz w:val="25"/>
          <w:szCs w:val="25"/>
        </w:rPr>
        <w:t>approximately $16.00.</w:t>
      </w:r>
    </w:p>
    <w:p w:rsidR="007C3D5D" w:rsidRPr="005F0A01" w:rsidRDefault="007C3D5D" w:rsidP="007C3D5D">
      <w:pPr>
        <w:spacing w:after="200" w:line="276" w:lineRule="auto"/>
        <w:contextualSpacing/>
        <w:rPr>
          <w:rFonts w:eastAsiaTheme="minorHAnsi"/>
          <w:b/>
          <w:sz w:val="25"/>
          <w:szCs w:val="25"/>
        </w:rPr>
      </w:pPr>
    </w:p>
    <w:p w:rsidR="00271535" w:rsidRPr="005F0A01" w:rsidRDefault="00271535" w:rsidP="003619D6">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(4)(b) Affirmatively consent to continue to provide communications services.</w:t>
      </w:r>
    </w:p>
    <w:p w:rsidR="007C3D5D" w:rsidRPr="005F0A01" w:rsidRDefault="007C3D5D" w:rsidP="007C3D5D">
      <w:pPr>
        <w:spacing w:after="200" w:line="276" w:lineRule="auto"/>
        <w:contextualSpacing/>
        <w:rPr>
          <w:rFonts w:eastAsiaTheme="minorHAnsi"/>
          <w:b/>
          <w:sz w:val="25"/>
          <w:szCs w:val="25"/>
        </w:rPr>
      </w:pPr>
    </w:p>
    <w:p w:rsidR="007C3D5D" w:rsidRPr="005F0A01" w:rsidRDefault="007C3D5D" w:rsidP="007C3D5D">
      <w:pPr>
        <w:spacing w:after="200" w:line="276" w:lineRule="auto"/>
        <w:contextualSpacing/>
        <w:rPr>
          <w:rFonts w:eastAsiaTheme="minorHAnsi"/>
          <w:sz w:val="25"/>
          <w:szCs w:val="25"/>
        </w:rPr>
      </w:pPr>
      <w:r w:rsidRPr="005F0A01">
        <w:rPr>
          <w:rFonts w:eastAsiaTheme="minorHAnsi"/>
          <w:b/>
          <w:sz w:val="25"/>
          <w:szCs w:val="25"/>
        </w:rPr>
        <w:t xml:space="preserve">BCAW Recommendation:  </w:t>
      </w:r>
      <w:r w:rsidRPr="005F0A01">
        <w:rPr>
          <w:rFonts w:eastAsiaTheme="minorHAnsi"/>
          <w:sz w:val="25"/>
          <w:szCs w:val="25"/>
        </w:rPr>
        <w:t>No position at this time.</w:t>
      </w:r>
    </w:p>
    <w:p w:rsidR="007C3D5D" w:rsidRPr="005F0A01" w:rsidRDefault="007C3D5D" w:rsidP="007C3D5D">
      <w:pPr>
        <w:spacing w:after="200" w:line="276" w:lineRule="auto"/>
        <w:contextualSpacing/>
        <w:rPr>
          <w:rFonts w:eastAsiaTheme="minorHAnsi"/>
          <w:b/>
          <w:sz w:val="25"/>
          <w:szCs w:val="25"/>
        </w:rPr>
      </w:pPr>
    </w:p>
    <w:p w:rsidR="007C3D5D" w:rsidRPr="005F0A01" w:rsidRDefault="00271535" w:rsidP="007C3D5D">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(6) Commission must periodically review the accounts and records of any communications provider receiving distributions to ensure compliance.</w:t>
      </w:r>
    </w:p>
    <w:p w:rsidR="007C3D5D" w:rsidRPr="005F0A01" w:rsidRDefault="007C3D5D" w:rsidP="007C3D5D">
      <w:pPr>
        <w:spacing w:after="200" w:line="276" w:lineRule="auto"/>
        <w:contextualSpacing/>
        <w:rPr>
          <w:rFonts w:eastAsiaTheme="minorHAnsi"/>
          <w:b/>
          <w:sz w:val="25"/>
          <w:szCs w:val="25"/>
        </w:rPr>
      </w:pPr>
    </w:p>
    <w:p w:rsidR="007C3D5D" w:rsidRPr="005F0A01" w:rsidRDefault="007C3D5D" w:rsidP="007C3D5D">
      <w:pPr>
        <w:spacing w:after="200" w:line="276" w:lineRule="auto"/>
        <w:contextualSpacing/>
        <w:rPr>
          <w:rFonts w:eastAsiaTheme="minorHAnsi"/>
          <w:sz w:val="25"/>
          <w:szCs w:val="25"/>
        </w:rPr>
      </w:pPr>
      <w:r w:rsidRPr="005F0A01">
        <w:rPr>
          <w:rFonts w:eastAsiaTheme="minorHAnsi"/>
          <w:b/>
          <w:sz w:val="25"/>
          <w:szCs w:val="25"/>
        </w:rPr>
        <w:t xml:space="preserve">BCAW Recommendation:  </w:t>
      </w:r>
      <w:r w:rsidRPr="005F0A01">
        <w:rPr>
          <w:rFonts w:eastAsiaTheme="minorHAnsi"/>
          <w:sz w:val="25"/>
          <w:szCs w:val="25"/>
        </w:rPr>
        <w:t xml:space="preserve">The Commission should review the </w:t>
      </w:r>
      <w:r w:rsidR="00CD5D6C" w:rsidRPr="005F0A01">
        <w:rPr>
          <w:rFonts w:eastAsiaTheme="minorHAnsi"/>
          <w:sz w:val="25"/>
          <w:szCs w:val="25"/>
        </w:rPr>
        <w:t>accounts</w:t>
      </w:r>
      <w:r w:rsidRPr="005F0A01">
        <w:rPr>
          <w:rFonts w:eastAsiaTheme="minorHAnsi"/>
          <w:sz w:val="25"/>
          <w:szCs w:val="25"/>
        </w:rPr>
        <w:t xml:space="preserve"> and records of fund recipients at least annually to ensure the continuing eligibility of the recipient as well as any modification to the amount of support that should be distributed to the recipient.</w:t>
      </w:r>
    </w:p>
    <w:p w:rsidR="007C3D5D" w:rsidRPr="005F0A01" w:rsidRDefault="007C3D5D" w:rsidP="007C3D5D">
      <w:pPr>
        <w:spacing w:after="200" w:line="276" w:lineRule="auto"/>
        <w:contextualSpacing/>
        <w:rPr>
          <w:rFonts w:eastAsiaTheme="minorHAnsi"/>
          <w:sz w:val="25"/>
          <w:szCs w:val="25"/>
        </w:rPr>
      </w:pPr>
    </w:p>
    <w:p w:rsidR="00271535" w:rsidRPr="005F0A01" w:rsidRDefault="00271535" w:rsidP="003619D6">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 xml:space="preserve">(7) Commission must establish an advisory board consisting of representatives from different types of communications providers and consumers to advise on rules and policies for operation of the program.  </w:t>
      </w:r>
    </w:p>
    <w:p w:rsidR="00271535" w:rsidRPr="005F0A01" w:rsidRDefault="00271535" w:rsidP="00271535">
      <w:pPr>
        <w:spacing w:after="200"/>
        <w:rPr>
          <w:rFonts w:eastAsiaTheme="minorHAnsi"/>
          <w:b/>
          <w:sz w:val="25"/>
          <w:szCs w:val="25"/>
        </w:rPr>
      </w:pPr>
    </w:p>
    <w:p w:rsidR="003619D6" w:rsidRPr="005F0A01" w:rsidRDefault="007C3D5D" w:rsidP="007C3D5D">
      <w:pPr>
        <w:spacing w:after="200"/>
        <w:rPr>
          <w:rFonts w:eastAsiaTheme="minorHAnsi"/>
          <w:sz w:val="25"/>
          <w:szCs w:val="25"/>
        </w:rPr>
      </w:pPr>
      <w:r w:rsidRPr="005F0A01">
        <w:rPr>
          <w:rFonts w:eastAsiaTheme="minorHAnsi"/>
          <w:b/>
          <w:sz w:val="25"/>
          <w:szCs w:val="25"/>
        </w:rPr>
        <w:t>BCAW Recommendation</w:t>
      </w:r>
      <w:r w:rsidR="003619D6" w:rsidRPr="005F0A01">
        <w:rPr>
          <w:rFonts w:eastAsiaTheme="minorHAnsi"/>
          <w:b/>
          <w:sz w:val="25"/>
          <w:szCs w:val="25"/>
        </w:rPr>
        <w:t>:</w:t>
      </w:r>
      <w:r w:rsidR="003619D6" w:rsidRPr="005F0A01">
        <w:rPr>
          <w:rFonts w:eastAsiaTheme="minorHAnsi"/>
          <w:sz w:val="25"/>
          <w:szCs w:val="25"/>
        </w:rPr>
        <w:t xml:space="preserve">  </w:t>
      </w:r>
      <w:r w:rsidRPr="005F0A01">
        <w:rPr>
          <w:rFonts w:eastAsiaTheme="minorHAnsi"/>
          <w:sz w:val="25"/>
          <w:szCs w:val="25"/>
        </w:rPr>
        <w:t>The Commission should establish an advisory board consisting of one representative of the large ILECs, one representative of the small ILECs, one representative from the cable industry, one representative from the wireless industry, one representative from the CLEC industry, one representative of con</w:t>
      </w:r>
      <w:r w:rsidR="004C16B3" w:rsidRPr="005F0A01">
        <w:rPr>
          <w:rFonts w:eastAsiaTheme="minorHAnsi"/>
          <w:sz w:val="25"/>
          <w:szCs w:val="25"/>
        </w:rPr>
        <w:t xml:space="preserve">sumers (e.g., Public Counsel), and one </w:t>
      </w:r>
      <w:r w:rsidRPr="005F0A01">
        <w:rPr>
          <w:rFonts w:eastAsiaTheme="minorHAnsi"/>
          <w:sz w:val="25"/>
          <w:szCs w:val="25"/>
        </w:rPr>
        <w:t>C</w:t>
      </w:r>
      <w:r w:rsidR="004C16B3" w:rsidRPr="005F0A01">
        <w:rPr>
          <w:rFonts w:eastAsiaTheme="minorHAnsi"/>
          <w:sz w:val="25"/>
          <w:szCs w:val="25"/>
        </w:rPr>
        <w:t>ommission Staff member</w:t>
      </w:r>
      <w:r w:rsidRPr="005F0A01">
        <w:rPr>
          <w:rFonts w:eastAsiaTheme="minorHAnsi"/>
          <w:sz w:val="25"/>
          <w:szCs w:val="25"/>
        </w:rPr>
        <w:t>.  The Commission should establish the Advisory Board at its earliest convenience and appoint members immediately thereafter.  This will allow the Advisory Board to advise the Commission on the rules and rule amendments being considered in this docket.  This is consistent with the intent of the Legislature as expressed in Section 203(7) of ESS HB 1971, which requires the Commission to establish an advisory board “. . . to advise the commission on any rules and policies governing the operation of the program.”</w:t>
      </w:r>
      <w:r w:rsidR="004C16B3" w:rsidRPr="005F0A01">
        <w:rPr>
          <w:rFonts w:eastAsiaTheme="minorHAnsi"/>
          <w:sz w:val="25"/>
          <w:szCs w:val="25"/>
        </w:rPr>
        <w:t xml:space="preserve">  It is important that the Advisory Board be established early enough to advise the Commission on the rules and rule amendments being considered in the instant proceeding as these will form the basis for operation of the universal service program.</w:t>
      </w:r>
    </w:p>
    <w:p w:rsidR="00271535" w:rsidRPr="005F0A01" w:rsidRDefault="00271535" w:rsidP="00271535">
      <w:pPr>
        <w:spacing w:after="200"/>
        <w:rPr>
          <w:rFonts w:eastAsiaTheme="minorHAnsi"/>
          <w:b/>
          <w:sz w:val="25"/>
          <w:szCs w:val="25"/>
        </w:rPr>
      </w:pPr>
    </w:p>
    <w:p w:rsidR="00271535" w:rsidRPr="005F0A01" w:rsidRDefault="00271535" w:rsidP="007C3D5D">
      <w:pPr>
        <w:numPr>
          <w:ilvl w:val="1"/>
          <w:numId w:val="3"/>
        </w:numPr>
        <w:spacing w:after="200" w:line="360" w:lineRule="auto"/>
        <w:ind w:left="360"/>
        <w:contextualSpacing/>
        <w:rPr>
          <w:rFonts w:eastAsiaTheme="minorHAnsi"/>
          <w:b/>
          <w:sz w:val="25"/>
          <w:szCs w:val="25"/>
          <w:u w:val="single"/>
        </w:rPr>
      </w:pPr>
      <w:r w:rsidRPr="005F0A01">
        <w:rPr>
          <w:rFonts w:eastAsiaTheme="minorHAnsi"/>
          <w:b/>
          <w:sz w:val="25"/>
          <w:szCs w:val="25"/>
          <w:u w:val="single"/>
        </w:rPr>
        <w:t>Section 204</w:t>
      </w:r>
    </w:p>
    <w:p w:rsidR="00271535" w:rsidRPr="005F0A01" w:rsidRDefault="00271535" w:rsidP="007C3D5D">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(1)(a) Commission must adopt rules for operation of the fund, eligibility, identification of any reports or data to be filed (including how provider used the funds and infrastructure).</w:t>
      </w:r>
    </w:p>
    <w:p w:rsidR="007C3D5D" w:rsidRPr="005F0A01" w:rsidRDefault="007C3D5D" w:rsidP="007C3D5D">
      <w:pPr>
        <w:spacing w:after="200" w:line="276" w:lineRule="auto"/>
        <w:contextualSpacing/>
        <w:rPr>
          <w:rFonts w:eastAsiaTheme="minorHAnsi"/>
          <w:b/>
          <w:sz w:val="25"/>
          <w:szCs w:val="25"/>
        </w:rPr>
      </w:pPr>
    </w:p>
    <w:p w:rsidR="007C3D5D" w:rsidRPr="005F0A01" w:rsidRDefault="007C3D5D" w:rsidP="007C3D5D">
      <w:pPr>
        <w:spacing w:after="200" w:line="276" w:lineRule="auto"/>
        <w:contextualSpacing/>
        <w:rPr>
          <w:rFonts w:eastAsiaTheme="minorHAnsi"/>
          <w:sz w:val="25"/>
          <w:szCs w:val="25"/>
        </w:rPr>
      </w:pPr>
      <w:r w:rsidRPr="005F0A01">
        <w:rPr>
          <w:rFonts w:eastAsiaTheme="minorHAnsi"/>
          <w:b/>
          <w:sz w:val="25"/>
          <w:szCs w:val="25"/>
        </w:rPr>
        <w:t xml:space="preserve">BCAW Recommendation:  </w:t>
      </w:r>
      <w:r w:rsidRPr="005F0A01">
        <w:rPr>
          <w:rFonts w:eastAsiaTheme="minorHAnsi"/>
          <w:sz w:val="25"/>
          <w:szCs w:val="25"/>
        </w:rPr>
        <w:t xml:space="preserve">BCAWs recommendations on operation of the fund and eligibility are provided above.  With respect to reports and data to be filed, BCAW urges the Commission </w:t>
      </w:r>
      <w:r w:rsidR="004C16B3" w:rsidRPr="005F0A01">
        <w:rPr>
          <w:rFonts w:eastAsiaTheme="minorHAnsi"/>
          <w:sz w:val="25"/>
          <w:szCs w:val="25"/>
        </w:rPr>
        <w:t xml:space="preserve">to </w:t>
      </w:r>
      <w:r w:rsidRPr="005F0A01">
        <w:rPr>
          <w:rFonts w:eastAsiaTheme="minorHAnsi"/>
          <w:sz w:val="25"/>
          <w:szCs w:val="25"/>
        </w:rPr>
        <w:t xml:space="preserve">require ILEC recipients of fund distributions to provide adequate data </w:t>
      </w:r>
      <w:r w:rsidR="005F0A01" w:rsidRPr="005F0A01">
        <w:rPr>
          <w:rFonts w:eastAsiaTheme="minorHAnsi"/>
          <w:sz w:val="25"/>
          <w:szCs w:val="25"/>
        </w:rPr>
        <w:t xml:space="preserve">annually </w:t>
      </w:r>
      <w:r w:rsidRPr="005F0A01">
        <w:rPr>
          <w:rFonts w:eastAsiaTheme="minorHAnsi"/>
          <w:sz w:val="25"/>
          <w:szCs w:val="25"/>
        </w:rPr>
        <w:t xml:space="preserve">in order to ascertain the following:  a) verify </w:t>
      </w:r>
      <w:r w:rsidR="005F0A01">
        <w:rPr>
          <w:rFonts w:eastAsiaTheme="minorHAnsi"/>
          <w:sz w:val="25"/>
          <w:szCs w:val="25"/>
        </w:rPr>
        <w:t xml:space="preserve">on an </w:t>
      </w:r>
      <w:r w:rsidRPr="005F0A01">
        <w:rPr>
          <w:rFonts w:eastAsiaTheme="minorHAnsi"/>
          <w:sz w:val="25"/>
          <w:szCs w:val="25"/>
        </w:rPr>
        <w:t>annual</w:t>
      </w:r>
      <w:r w:rsidR="005F0A01">
        <w:rPr>
          <w:rFonts w:eastAsiaTheme="minorHAnsi"/>
          <w:sz w:val="25"/>
          <w:szCs w:val="25"/>
        </w:rPr>
        <w:t xml:space="preserve"> basis</w:t>
      </w:r>
      <w:r w:rsidRPr="005F0A01">
        <w:rPr>
          <w:rFonts w:eastAsiaTheme="minorHAnsi"/>
          <w:sz w:val="25"/>
          <w:szCs w:val="25"/>
        </w:rPr>
        <w:t xml:space="preserve"> the earnings position of the ILEC consistent with the analysis discussed above (</w:t>
      </w:r>
      <w:r w:rsidRPr="005F0A01">
        <w:rPr>
          <w:rFonts w:eastAsiaTheme="minorHAnsi"/>
          <w:i/>
          <w:sz w:val="25"/>
          <w:szCs w:val="25"/>
        </w:rPr>
        <w:t xml:space="preserve">see </w:t>
      </w:r>
      <w:r w:rsidRPr="005F0A01">
        <w:rPr>
          <w:rFonts w:eastAsiaTheme="minorHAnsi"/>
          <w:sz w:val="25"/>
          <w:szCs w:val="25"/>
        </w:rPr>
        <w:t xml:space="preserve">BCAW Recommendation regarding Section 203(3)(b)) </w:t>
      </w:r>
      <w:r w:rsidR="004C16B3" w:rsidRPr="005F0A01">
        <w:rPr>
          <w:rFonts w:eastAsiaTheme="minorHAnsi"/>
          <w:sz w:val="25"/>
          <w:szCs w:val="25"/>
        </w:rPr>
        <w:t xml:space="preserve">in order </w:t>
      </w:r>
      <w:r w:rsidRPr="005F0A01">
        <w:rPr>
          <w:rFonts w:eastAsiaTheme="minorHAnsi"/>
          <w:sz w:val="25"/>
          <w:szCs w:val="25"/>
        </w:rPr>
        <w:t xml:space="preserve">to </w:t>
      </w:r>
      <w:r w:rsidR="004C16B3" w:rsidRPr="005F0A01">
        <w:rPr>
          <w:rFonts w:eastAsiaTheme="minorHAnsi"/>
          <w:sz w:val="25"/>
          <w:szCs w:val="25"/>
        </w:rPr>
        <w:t xml:space="preserve">ensure </w:t>
      </w:r>
      <w:r w:rsidRPr="005F0A01">
        <w:rPr>
          <w:rFonts w:eastAsiaTheme="minorHAnsi"/>
          <w:sz w:val="25"/>
          <w:szCs w:val="25"/>
        </w:rPr>
        <w:t xml:space="preserve">continued eligibility and </w:t>
      </w:r>
      <w:r w:rsidR="004C16B3" w:rsidRPr="005F0A01">
        <w:rPr>
          <w:rFonts w:eastAsiaTheme="minorHAnsi"/>
          <w:sz w:val="25"/>
          <w:szCs w:val="25"/>
        </w:rPr>
        <w:t xml:space="preserve">to determine annual </w:t>
      </w:r>
      <w:r w:rsidRPr="005F0A01">
        <w:rPr>
          <w:rFonts w:eastAsiaTheme="minorHAnsi"/>
          <w:sz w:val="25"/>
          <w:szCs w:val="25"/>
        </w:rPr>
        <w:t xml:space="preserve">distribution amounts; b) </w:t>
      </w:r>
      <w:r w:rsidR="004C16B3" w:rsidRPr="005F0A01">
        <w:rPr>
          <w:rFonts w:eastAsiaTheme="minorHAnsi"/>
          <w:sz w:val="25"/>
          <w:szCs w:val="25"/>
        </w:rPr>
        <w:t xml:space="preserve">track how the ILEC is using the distributions, including a detailed plan showing anticipated capital and operating expenditures for the coming two years and a detailed accounting of actual capital and operating expenditures during the preceding year (comparable to the network improvement plans required of wireless </w:t>
      </w:r>
      <w:r w:rsidR="00360307" w:rsidRPr="005F0A01">
        <w:rPr>
          <w:rFonts w:eastAsiaTheme="minorHAnsi"/>
          <w:sz w:val="25"/>
          <w:szCs w:val="25"/>
        </w:rPr>
        <w:t>c</w:t>
      </w:r>
      <w:r w:rsidR="004C16B3" w:rsidRPr="005F0A01">
        <w:rPr>
          <w:rFonts w:eastAsiaTheme="minorHAnsi"/>
          <w:sz w:val="25"/>
          <w:szCs w:val="25"/>
        </w:rPr>
        <w:t xml:space="preserve">ompetitive </w:t>
      </w:r>
      <w:r w:rsidR="00CD5D6C" w:rsidRPr="005F0A01">
        <w:rPr>
          <w:rFonts w:eastAsiaTheme="minorHAnsi"/>
          <w:sz w:val="25"/>
          <w:szCs w:val="25"/>
        </w:rPr>
        <w:t>eligible</w:t>
      </w:r>
      <w:r w:rsidR="004C16B3" w:rsidRPr="005F0A01">
        <w:rPr>
          <w:rFonts w:eastAsiaTheme="minorHAnsi"/>
          <w:sz w:val="25"/>
          <w:szCs w:val="25"/>
        </w:rPr>
        <w:t xml:space="preserve"> telecommunications carriers</w:t>
      </w:r>
      <w:r w:rsidR="00DB5434">
        <w:rPr>
          <w:rFonts w:eastAsiaTheme="minorHAnsi"/>
          <w:sz w:val="25"/>
          <w:szCs w:val="25"/>
        </w:rPr>
        <w:t>)</w:t>
      </w:r>
      <w:r w:rsidR="005F0A01">
        <w:rPr>
          <w:rFonts w:eastAsiaTheme="minorHAnsi"/>
          <w:sz w:val="25"/>
          <w:szCs w:val="25"/>
        </w:rPr>
        <w:t>; c) </w:t>
      </w:r>
      <w:r w:rsidR="004C16B3" w:rsidRPr="005F0A01">
        <w:rPr>
          <w:rFonts w:eastAsiaTheme="minorHAnsi"/>
          <w:sz w:val="25"/>
          <w:szCs w:val="25"/>
        </w:rPr>
        <w:t xml:space="preserve">whether the ILEC is making “investments and operational adjustments necessary to further develop their </w:t>
      </w:r>
      <w:r w:rsidR="00CD5D6C" w:rsidRPr="005F0A01">
        <w:rPr>
          <w:rFonts w:eastAsiaTheme="minorHAnsi"/>
          <w:sz w:val="25"/>
          <w:szCs w:val="25"/>
        </w:rPr>
        <w:t>networks and</w:t>
      </w:r>
      <w:r w:rsidR="004C16B3" w:rsidRPr="005F0A01">
        <w:rPr>
          <w:rFonts w:eastAsiaTheme="minorHAnsi"/>
          <w:sz w:val="25"/>
          <w:szCs w:val="25"/>
        </w:rPr>
        <w:t xml:space="preserve"> pursue business objectives and opportunities” that will make the ILEC competitive at the end of the five year transitional period of the fund.</w:t>
      </w:r>
    </w:p>
    <w:p w:rsidR="007C3D5D" w:rsidRPr="005F0A01" w:rsidRDefault="007C3D5D" w:rsidP="007C3D5D">
      <w:pPr>
        <w:spacing w:after="200" w:line="276" w:lineRule="auto"/>
        <w:contextualSpacing/>
        <w:rPr>
          <w:rFonts w:eastAsiaTheme="minorHAnsi"/>
          <w:sz w:val="25"/>
          <w:szCs w:val="25"/>
        </w:rPr>
      </w:pPr>
    </w:p>
    <w:p w:rsidR="00271535" w:rsidRPr="005F0A01" w:rsidRDefault="00271535" w:rsidP="007C3D5D">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(1)(b) operation of the universal services account.</w:t>
      </w:r>
    </w:p>
    <w:p w:rsidR="004C16B3" w:rsidRPr="005F0A01" w:rsidRDefault="004C16B3" w:rsidP="004C16B3">
      <w:pPr>
        <w:spacing w:after="200" w:line="276" w:lineRule="auto"/>
        <w:contextualSpacing/>
        <w:rPr>
          <w:rFonts w:eastAsiaTheme="minorHAnsi"/>
          <w:b/>
          <w:sz w:val="25"/>
          <w:szCs w:val="25"/>
        </w:rPr>
      </w:pPr>
    </w:p>
    <w:p w:rsidR="004C16B3" w:rsidRPr="005F0A01" w:rsidRDefault="004C16B3" w:rsidP="004C16B3">
      <w:pPr>
        <w:spacing w:after="200" w:line="276" w:lineRule="auto"/>
        <w:contextualSpacing/>
        <w:rPr>
          <w:rFonts w:eastAsiaTheme="minorHAnsi"/>
          <w:sz w:val="25"/>
          <w:szCs w:val="25"/>
        </w:rPr>
      </w:pPr>
      <w:r w:rsidRPr="005F0A01">
        <w:rPr>
          <w:rFonts w:eastAsiaTheme="minorHAnsi"/>
          <w:b/>
          <w:sz w:val="25"/>
          <w:szCs w:val="25"/>
        </w:rPr>
        <w:t xml:space="preserve">BCAW Recommendation:  </w:t>
      </w:r>
      <w:r w:rsidRPr="005F0A01">
        <w:rPr>
          <w:rFonts w:eastAsiaTheme="minorHAnsi"/>
          <w:sz w:val="25"/>
          <w:szCs w:val="25"/>
        </w:rPr>
        <w:t>No position at this time.</w:t>
      </w:r>
    </w:p>
    <w:p w:rsidR="004C16B3" w:rsidRPr="005F0A01" w:rsidRDefault="004C16B3" w:rsidP="004C16B3">
      <w:pPr>
        <w:spacing w:after="200" w:line="276" w:lineRule="auto"/>
        <w:contextualSpacing/>
        <w:rPr>
          <w:rFonts w:eastAsiaTheme="minorHAnsi"/>
          <w:sz w:val="25"/>
          <w:szCs w:val="25"/>
        </w:rPr>
      </w:pPr>
    </w:p>
    <w:p w:rsidR="00271535" w:rsidRPr="005F0A01" w:rsidRDefault="00271535" w:rsidP="007C3D5D">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(1)(c) establishment of a benchmark.</w:t>
      </w:r>
    </w:p>
    <w:p w:rsidR="004C16B3" w:rsidRPr="005F0A01" w:rsidRDefault="004C16B3" w:rsidP="004C16B3">
      <w:pPr>
        <w:spacing w:after="200" w:line="276" w:lineRule="auto"/>
        <w:contextualSpacing/>
        <w:rPr>
          <w:rFonts w:eastAsiaTheme="minorHAnsi"/>
          <w:b/>
          <w:sz w:val="25"/>
          <w:szCs w:val="25"/>
        </w:rPr>
      </w:pPr>
    </w:p>
    <w:p w:rsidR="004C16B3" w:rsidRPr="005F0A01" w:rsidRDefault="004C16B3" w:rsidP="004C16B3">
      <w:pPr>
        <w:spacing w:after="200" w:line="276" w:lineRule="auto"/>
        <w:contextualSpacing/>
        <w:rPr>
          <w:rFonts w:eastAsiaTheme="minorHAnsi"/>
          <w:sz w:val="25"/>
          <w:szCs w:val="25"/>
        </w:rPr>
      </w:pPr>
      <w:r w:rsidRPr="005F0A01">
        <w:rPr>
          <w:rFonts w:eastAsiaTheme="minorHAnsi"/>
          <w:b/>
          <w:sz w:val="25"/>
          <w:szCs w:val="25"/>
        </w:rPr>
        <w:t xml:space="preserve">BCAW Recommendation:  </w:t>
      </w:r>
      <w:r w:rsidRPr="005F0A01">
        <w:rPr>
          <w:rFonts w:eastAsiaTheme="minorHAnsi"/>
          <w:sz w:val="25"/>
          <w:szCs w:val="25"/>
        </w:rPr>
        <w:t>See BCAW recommendation regarding Section 203(4)(a), above.</w:t>
      </w:r>
    </w:p>
    <w:p w:rsidR="004C16B3" w:rsidRPr="005F0A01" w:rsidRDefault="004C16B3" w:rsidP="004C16B3">
      <w:pPr>
        <w:spacing w:after="200" w:line="276" w:lineRule="auto"/>
        <w:contextualSpacing/>
        <w:rPr>
          <w:rFonts w:eastAsiaTheme="minorHAnsi"/>
          <w:sz w:val="25"/>
          <w:szCs w:val="25"/>
        </w:rPr>
      </w:pPr>
    </w:p>
    <w:p w:rsidR="00271535" w:rsidRPr="005F0A01" w:rsidRDefault="00271535" w:rsidP="007C3D5D">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(1)(d) Readoption, repeal or changes to RCW 80.36.610 and 80.36.620.</w:t>
      </w:r>
    </w:p>
    <w:p w:rsidR="004C16B3" w:rsidRPr="005F0A01" w:rsidRDefault="004C16B3" w:rsidP="004C16B3">
      <w:pPr>
        <w:spacing w:after="200" w:line="276" w:lineRule="auto"/>
        <w:contextualSpacing/>
        <w:rPr>
          <w:rFonts w:eastAsiaTheme="minorHAnsi"/>
          <w:b/>
          <w:sz w:val="25"/>
          <w:szCs w:val="25"/>
        </w:rPr>
      </w:pPr>
    </w:p>
    <w:p w:rsidR="004C16B3" w:rsidRPr="005F0A01" w:rsidRDefault="004C16B3" w:rsidP="004C16B3">
      <w:pPr>
        <w:spacing w:after="200" w:line="276" w:lineRule="auto"/>
        <w:contextualSpacing/>
        <w:rPr>
          <w:rFonts w:eastAsiaTheme="minorHAnsi"/>
          <w:sz w:val="25"/>
          <w:szCs w:val="25"/>
        </w:rPr>
      </w:pPr>
      <w:r w:rsidRPr="005F0A01">
        <w:rPr>
          <w:rFonts w:eastAsiaTheme="minorHAnsi"/>
          <w:b/>
          <w:sz w:val="25"/>
          <w:szCs w:val="25"/>
        </w:rPr>
        <w:t xml:space="preserve">BCAW Recommendation:  </w:t>
      </w:r>
      <w:r w:rsidRPr="005F0A01">
        <w:rPr>
          <w:rFonts w:eastAsiaTheme="minorHAnsi"/>
          <w:sz w:val="25"/>
          <w:szCs w:val="25"/>
        </w:rPr>
        <w:t>No position at this time.</w:t>
      </w:r>
    </w:p>
    <w:p w:rsidR="004C16B3" w:rsidRPr="005F0A01" w:rsidRDefault="004C16B3" w:rsidP="00271535">
      <w:pPr>
        <w:spacing w:after="200"/>
        <w:rPr>
          <w:rFonts w:eastAsiaTheme="minorHAnsi"/>
          <w:b/>
          <w:sz w:val="25"/>
          <w:szCs w:val="25"/>
        </w:rPr>
      </w:pPr>
    </w:p>
    <w:p w:rsidR="005F0A01" w:rsidRDefault="005F0A01">
      <w:pPr>
        <w:rPr>
          <w:rFonts w:eastAsiaTheme="minorHAnsi"/>
          <w:b/>
          <w:sz w:val="25"/>
          <w:szCs w:val="25"/>
          <w:u w:val="single"/>
        </w:rPr>
      </w:pPr>
      <w:r>
        <w:rPr>
          <w:rFonts w:eastAsiaTheme="minorHAnsi"/>
          <w:b/>
          <w:sz w:val="25"/>
          <w:szCs w:val="25"/>
          <w:u w:val="single"/>
        </w:rPr>
        <w:br w:type="page"/>
      </w:r>
    </w:p>
    <w:p w:rsidR="00271535" w:rsidRPr="005F0A01" w:rsidRDefault="00271535" w:rsidP="004C16B3">
      <w:pPr>
        <w:numPr>
          <w:ilvl w:val="1"/>
          <w:numId w:val="3"/>
        </w:numPr>
        <w:spacing w:after="200" w:line="360" w:lineRule="auto"/>
        <w:ind w:left="360"/>
        <w:contextualSpacing/>
        <w:rPr>
          <w:rFonts w:eastAsiaTheme="minorHAnsi"/>
          <w:b/>
          <w:sz w:val="25"/>
          <w:szCs w:val="25"/>
          <w:u w:val="single"/>
        </w:rPr>
      </w:pPr>
      <w:r w:rsidRPr="005F0A01">
        <w:rPr>
          <w:rFonts w:eastAsiaTheme="minorHAnsi"/>
          <w:b/>
          <w:sz w:val="25"/>
          <w:szCs w:val="25"/>
          <w:u w:val="single"/>
        </w:rPr>
        <w:t>Section 205</w:t>
      </w:r>
    </w:p>
    <w:p w:rsidR="004C16B3" w:rsidRPr="005F0A01" w:rsidRDefault="00271535" w:rsidP="004C16B3">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 xml:space="preserve">Commission may impose penalties for failure to make or delays in reporting and Commission may recover amounts determined to have been improperly distributed under Section 203.  </w:t>
      </w:r>
    </w:p>
    <w:p w:rsidR="004C16B3" w:rsidRPr="005F0A01" w:rsidRDefault="004C16B3" w:rsidP="004C16B3">
      <w:pPr>
        <w:spacing w:after="200" w:line="276" w:lineRule="auto"/>
        <w:contextualSpacing/>
        <w:rPr>
          <w:rFonts w:eastAsiaTheme="minorHAnsi"/>
          <w:b/>
          <w:sz w:val="25"/>
          <w:szCs w:val="25"/>
        </w:rPr>
      </w:pPr>
    </w:p>
    <w:p w:rsidR="00271535" w:rsidRPr="005F0A01" w:rsidRDefault="004C16B3" w:rsidP="004C16B3">
      <w:pPr>
        <w:spacing w:after="200" w:line="276" w:lineRule="auto"/>
        <w:contextualSpacing/>
        <w:rPr>
          <w:rFonts w:eastAsiaTheme="minorHAnsi"/>
          <w:b/>
          <w:sz w:val="25"/>
          <w:szCs w:val="25"/>
        </w:rPr>
      </w:pPr>
      <w:r w:rsidRPr="005F0A01">
        <w:rPr>
          <w:rFonts w:eastAsiaTheme="minorHAnsi"/>
          <w:b/>
          <w:sz w:val="25"/>
          <w:szCs w:val="25"/>
        </w:rPr>
        <w:t xml:space="preserve">BCAW Recommendation:  </w:t>
      </w:r>
      <w:r w:rsidRPr="005F0A01">
        <w:rPr>
          <w:rFonts w:eastAsiaTheme="minorHAnsi"/>
          <w:sz w:val="25"/>
          <w:szCs w:val="25"/>
        </w:rPr>
        <w:t>No position at this time.</w:t>
      </w:r>
    </w:p>
    <w:p w:rsidR="004C16B3" w:rsidRPr="005F0A01" w:rsidRDefault="004C16B3" w:rsidP="00271535">
      <w:pPr>
        <w:spacing w:after="200"/>
        <w:rPr>
          <w:rFonts w:eastAsiaTheme="minorHAnsi"/>
          <w:b/>
          <w:sz w:val="25"/>
          <w:szCs w:val="25"/>
        </w:rPr>
      </w:pPr>
    </w:p>
    <w:p w:rsidR="00271535" w:rsidRPr="005F0A01" w:rsidRDefault="00271535" w:rsidP="004C16B3">
      <w:pPr>
        <w:numPr>
          <w:ilvl w:val="1"/>
          <w:numId w:val="3"/>
        </w:numPr>
        <w:spacing w:after="200" w:line="360" w:lineRule="auto"/>
        <w:ind w:left="360"/>
        <w:contextualSpacing/>
        <w:rPr>
          <w:rFonts w:eastAsiaTheme="minorHAnsi"/>
          <w:b/>
          <w:sz w:val="25"/>
          <w:szCs w:val="25"/>
          <w:u w:val="single"/>
        </w:rPr>
      </w:pPr>
      <w:r w:rsidRPr="005F0A01">
        <w:rPr>
          <w:rFonts w:eastAsiaTheme="minorHAnsi"/>
          <w:b/>
          <w:sz w:val="25"/>
          <w:szCs w:val="25"/>
          <w:u w:val="single"/>
        </w:rPr>
        <w:t>Section 206</w:t>
      </w:r>
    </w:p>
    <w:p w:rsidR="004C16B3" w:rsidRPr="005F0A01" w:rsidRDefault="00271535" w:rsidP="004C16B3">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Commission may delegate authority to the commission secretary or other staff to resolve disputes and make other administrative decisions and supervision of the program.</w:t>
      </w:r>
    </w:p>
    <w:p w:rsidR="004C16B3" w:rsidRPr="005F0A01" w:rsidRDefault="004C16B3" w:rsidP="004C16B3">
      <w:pPr>
        <w:spacing w:after="200" w:line="276" w:lineRule="auto"/>
        <w:contextualSpacing/>
        <w:rPr>
          <w:rFonts w:eastAsiaTheme="minorHAnsi"/>
          <w:b/>
          <w:sz w:val="25"/>
          <w:szCs w:val="25"/>
        </w:rPr>
      </w:pPr>
    </w:p>
    <w:p w:rsidR="004C16B3" w:rsidRPr="005F0A01" w:rsidRDefault="004C16B3" w:rsidP="004C16B3">
      <w:pPr>
        <w:spacing w:after="200" w:line="276" w:lineRule="auto"/>
        <w:contextualSpacing/>
        <w:rPr>
          <w:rFonts w:eastAsiaTheme="minorHAnsi"/>
          <w:b/>
          <w:sz w:val="25"/>
          <w:szCs w:val="25"/>
        </w:rPr>
      </w:pPr>
      <w:r w:rsidRPr="005F0A01">
        <w:rPr>
          <w:rFonts w:eastAsiaTheme="minorHAnsi"/>
          <w:b/>
          <w:sz w:val="25"/>
          <w:szCs w:val="25"/>
        </w:rPr>
        <w:t xml:space="preserve">BCAW Recommendation:  </w:t>
      </w:r>
      <w:r w:rsidRPr="005F0A01">
        <w:rPr>
          <w:rFonts w:eastAsiaTheme="minorHAnsi"/>
          <w:sz w:val="25"/>
          <w:szCs w:val="25"/>
        </w:rPr>
        <w:t>No position at this time.</w:t>
      </w:r>
    </w:p>
    <w:p w:rsidR="004C16B3" w:rsidRPr="005F0A01" w:rsidRDefault="004C16B3" w:rsidP="004C16B3">
      <w:pPr>
        <w:spacing w:after="200" w:line="360" w:lineRule="auto"/>
        <w:contextualSpacing/>
        <w:rPr>
          <w:rFonts w:eastAsiaTheme="minorHAnsi"/>
          <w:b/>
          <w:sz w:val="25"/>
          <w:szCs w:val="25"/>
          <w:u w:val="single"/>
        </w:rPr>
      </w:pPr>
    </w:p>
    <w:p w:rsidR="00271535" w:rsidRPr="005F0A01" w:rsidRDefault="00271535" w:rsidP="004C16B3">
      <w:pPr>
        <w:numPr>
          <w:ilvl w:val="1"/>
          <w:numId w:val="3"/>
        </w:numPr>
        <w:spacing w:after="200" w:line="360" w:lineRule="auto"/>
        <w:ind w:left="360"/>
        <w:contextualSpacing/>
        <w:rPr>
          <w:rFonts w:eastAsiaTheme="minorHAnsi"/>
          <w:b/>
          <w:sz w:val="25"/>
          <w:szCs w:val="25"/>
          <w:u w:val="single"/>
        </w:rPr>
      </w:pPr>
      <w:r w:rsidRPr="005F0A01">
        <w:rPr>
          <w:rFonts w:eastAsiaTheme="minorHAnsi"/>
          <w:b/>
          <w:sz w:val="25"/>
          <w:szCs w:val="25"/>
          <w:u w:val="single"/>
        </w:rPr>
        <w:t>Section 207</w:t>
      </w:r>
    </w:p>
    <w:p w:rsidR="00271535" w:rsidRPr="005F0A01" w:rsidRDefault="00271535" w:rsidP="004C16B3">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Rules must be adopted prior to July 1, 2014</w:t>
      </w:r>
    </w:p>
    <w:p w:rsidR="004C16B3" w:rsidRPr="005F0A01" w:rsidRDefault="004C16B3" w:rsidP="004C16B3">
      <w:pPr>
        <w:spacing w:after="200" w:line="276" w:lineRule="auto"/>
        <w:rPr>
          <w:rFonts w:eastAsiaTheme="minorHAnsi"/>
          <w:b/>
          <w:sz w:val="25"/>
          <w:szCs w:val="25"/>
        </w:rPr>
      </w:pPr>
    </w:p>
    <w:p w:rsidR="004C16B3" w:rsidRPr="005F0A01" w:rsidRDefault="004C16B3" w:rsidP="004C16B3">
      <w:pPr>
        <w:spacing w:after="200" w:line="276" w:lineRule="auto"/>
        <w:rPr>
          <w:rFonts w:eastAsiaTheme="minorHAnsi"/>
          <w:b/>
          <w:sz w:val="25"/>
          <w:szCs w:val="25"/>
        </w:rPr>
      </w:pPr>
      <w:r w:rsidRPr="005F0A01">
        <w:rPr>
          <w:rFonts w:eastAsiaTheme="minorHAnsi"/>
          <w:b/>
          <w:sz w:val="25"/>
          <w:szCs w:val="25"/>
        </w:rPr>
        <w:t xml:space="preserve">BCAW Recommendation:  </w:t>
      </w:r>
      <w:r w:rsidRPr="005F0A01">
        <w:rPr>
          <w:rFonts w:eastAsiaTheme="minorHAnsi"/>
          <w:sz w:val="25"/>
          <w:szCs w:val="25"/>
        </w:rPr>
        <w:t>No position at this time.</w:t>
      </w:r>
    </w:p>
    <w:p w:rsidR="004C16B3" w:rsidRPr="005F0A01" w:rsidRDefault="004C16B3" w:rsidP="004C16B3">
      <w:pPr>
        <w:spacing w:after="200" w:line="276" w:lineRule="auto"/>
        <w:contextualSpacing/>
        <w:rPr>
          <w:rFonts w:eastAsiaTheme="minorHAnsi"/>
          <w:b/>
          <w:sz w:val="25"/>
          <w:szCs w:val="25"/>
        </w:rPr>
      </w:pPr>
    </w:p>
    <w:p w:rsidR="004C16B3" w:rsidRPr="005F0A01" w:rsidRDefault="00271535" w:rsidP="00271535">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Commission may initiate efforts prior to July 1, 2014 to implement act in timely manner.</w:t>
      </w:r>
    </w:p>
    <w:p w:rsidR="004C16B3" w:rsidRPr="005F0A01" w:rsidRDefault="004C16B3" w:rsidP="004C16B3">
      <w:pPr>
        <w:spacing w:after="200" w:line="276" w:lineRule="auto"/>
        <w:contextualSpacing/>
        <w:rPr>
          <w:rFonts w:eastAsiaTheme="minorHAnsi"/>
          <w:b/>
          <w:sz w:val="25"/>
          <w:szCs w:val="25"/>
        </w:rPr>
      </w:pPr>
    </w:p>
    <w:p w:rsidR="004C16B3" w:rsidRPr="005F0A01" w:rsidRDefault="004C16B3" w:rsidP="004C16B3">
      <w:pPr>
        <w:spacing w:after="200" w:line="276" w:lineRule="auto"/>
        <w:contextualSpacing/>
        <w:rPr>
          <w:rFonts w:eastAsiaTheme="minorHAnsi"/>
          <w:sz w:val="25"/>
          <w:szCs w:val="25"/>
        </w:rPr>
      </w:pPr>
      <w:r w:rsidRPr="005F0A01">
        <w:rPr>
          <w:rFonts w:eastAsiaTheme="minorHAnsi"/>
          <w:b/>
          <w:sz w:val="25"/>
          <w:szCs w:val="25"/>
        </w:rPr>
        <w:t>BCAW Recommendation:</w:t>
      </w:r>
      <w:r w:rsidRPr="005F0A01">
        <w:rPr>
          <w:rFonts w:eastAsiaTheme="minorHAnsi"/>
          <w:sz w:val="25"/>
          <w:szCs w:val="25"/>
        </w:rPr>
        <w:t xml:space="preserve">  As discussed above in BCAW’s recommendation </w:t>
      </w:r>
      <w:r w:rsidR="00CD5D6C" w:rsidRPr="005F0A01">
        <w:rPr>
          <w:rFonts w:eastAsiaTheme="minorHAnsi"/>
          <w:sz w:val="25"/>
          <w:szCs w:val="25"/>
        </w:rPr>
        <w:t>regarding</w:t>
      </w:r>
      <w:r w:rsidRPr="005F0A01">
        <w:rPr>
          <w:rFonts w:eastAsiaTheme="minorHAnsi"/>
          <w:sz w:val="25"/>
          <w:szCs w:val="25"/>
        </w:rPr>
        <w:t xml:space="preserve"> Section 203(7), BCAW urges the Commission to establish the Advisory Board at its earliest convenience so that the Advisory Board can advise the Commission on the rules to be adopted and/or amended as part of this proceeding.  BCAW reads the statute as affirmatively permitting the Commission to establish and appoint the advisory board prior to the July 1, 2014 effective date.  </w:t>
      </w:r>
      <w:r w:rsidR="00CD5D6C" w:rsidRPr="005F0A01">
        <w:rPr>
          <w:rFonts w:eastAsiaTheme="minorHAnsi"/>
          <w:sz w:val="25"/>
          <w:szCs w:val="25"/>
        </w:rPr>
        <w:t>Establishing</w:t>
      </w:r>
      <w:r w:rsidRPr="005F0A01">
        <w:rPr>
          <w:rFonts w:eastAsiaTheme="minorHAnsi"/>
          <w:sz w:val="25"/>
          <w:szCs w:val="25"/>
        </w:rPr>
        <w:t xml:space="preserve"> the Advisory Board is the type of “effort . . . to implement the act in a timely manner” that this section is intended to authorize so the Advisory Board can “advise the Commission on any rules and policies governing the operation of the program” as required under Section 203(7).</w:t>
      </w:r>
    </w:p>
    <w:p w:rsidR="004C16B3" w:rsidRPr="005F0A01" w:rsidRDefault="004C16B3" w:rsidP="004C16B3">
      <w:pPr>
        <w:spacing w:after="200" w:line="276" w:lineRule="auto"/>
        <w:contextualSpacing/>
        <w:rPr>
          <w:rFonts w:eastAsiaTheme="minorHAnsi"/>
          <w:sz w:val="25"/>
          <w:szCs w:val="25"/>
        </w:rPr>
      </w:pPr>
    </w:p>
    <w:p w:rsidR="005F0A01" w:rsidRDefault="005F0A01">
      <w:pPr>
        <w:rPr>
          <w:rFonts w:eastAsiaTheme="minorHAnsi"/>
          <w:b/>
          <w:sz w:val="25"/>
          <w:szCs w:val="25"/>
          <w:u w:val="single"/>
        </w:rPr>
      </w:pPr>
      <w:r>
        <w:rPr>
          <w:rFonts w:eastAsiaTheme="minorHAnsi"/>
          <w:b/>
          <w:sz w:val="25"/>
          <w:szCs w:val="25"/>
          <w:u w:val="single"/>
        </w:rPr>
        <w:br w:type="page"/>
      </w:r>
    </w:p>
    <w:p w:rsidR="00271535" w:rsidRPr="005F0A01" w:rsidRDefault="00271535" w:rsidP="004C16B3">
      <w:pPr>
        <w:numPr>
          <w:ilvl w:val="1"/>
          <w:numId w:val="3"/>
        </w:numPr>
        <w:spacing w:after="200" w:line="360" w:lineRule="auto"/>
        <w:ind w:left="360"/>
        <w:contextualSpacing/>
        <w:rPr>
          <w:rFonts w:eastAsiaTheme="minorHAnsi"/>
          <w:b/>
          <w:sz w:val="25"/>
          <w:szCs w:val="25"/>
          <w:u w:val="single"/>
        </w:rPr>
      </w:pPr>
      <w:r w:rsidRPr="005F0A01">
        <w:rPr>
          <w:rFonts w:eastAsiaTheme="minorHAnsi"/>
          <w:b/>
          <w:sz w:val="25"/>
          <w:szCs w:val="25"/>
          <w:u w:val="single"/>
        </w:rPr>
        <w:t>Section 211</w:t>
      </w:r>
    </w:p>
    <w:p w:rsidR="004C16B3" w:rsidRPr="005F0A01" w:rsidRDefault="00271535" w:rsidP="004C16B3">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 xml:space="preserve"> Universal communications services program terminates on June 30, 2019.</w:t>
      </w:r>
    </w:p>
    <w:p w:rsidR="004C16B3" w:rsidRPr="005F0A01" w:rsidRDefault="004C16B3" w:rsidP="004C16B3">
      <w:pPr>
        <w:spacing w:after="200" w:line="276" w:lineRule="auto"/>
        <w:ind w:left="360"/>
        <w:rPr>
          <w:rFonts w:eastAsiaTheme="minorHAnsi"/>
          <w:b/>
          <w:sz w:val="25"/>
          <w:szCs w:val="25"/>
        </w:rPr>
      </w:pPr>
    </w:p>
    <w:p w:rsidR="004C16B3" w:rsidRPr="005F0A01" w:rsidRDefault="004C16B3" w:rsidP="004C16B3">
      <w:pPr>
        <w:spacing w:after="200" w:line="276" w:lineRule="auto"/>
        <w:ind w:left="360"/>
        <w:rPr>
          <w:rFonts w:eastAsiaTheme="minorHAnsi"/>
          <w:b/>
          <w:sz w:val="25"/>
          <w:szCs w:val="25"/>
        </w:rPr>
      </w:pPr>
      <w:r w:rsidRPr="005F0A01">
        <w:rPr>
          <w:rFonts w:eastAsiaTheme="minorHAnsi"/>
          <w:b/>
          <w:sz w:val="25"/>
          <w:szCs w:val="25"/>
        </w:rPr>
        <w:t xml:space="preserve">BCAW Recommendation:  </w:t>
      </w:r>
      <w:r w:rsidRPr="005F0A01">
        <w:rPr>
          <w:rFonts w:eastAsiaTheme="minorHAnsi"/>
          <w:sz w:val="25"/>
          <w:szCs w:val="25"/>
        </w:rPr>
        <w:t>No comment.</w:t>
      </w:r>
    </w:p>
    <w:p w:rsidR="00271535" w:rsidRPr="005F0A01" w:rsidRDefault="00271535" w:rsidP="004C16B3">
      <w:pPr>
        <w:numPr>
          <w:ilvl w:val="1"/>
          <w:numId w:val="3"/>
        </w:numPr>
        <w:spacing w:after="200" w:line="360" w:lineRule="auto"/>
        <w:ind w:left="360"/>
        <w:contextualSpacing/>
        <w:rPr>
          <w:rFonts w:eastAsiaTheme="minorHAnsi"/>
          <w:b/>
          <w:sz w:val="25"/>
          <w:szCs w:val="25"/>
          <w:u w:val="single"/>
        </w:rPr>
      </w:pPr>
      <w:r w:rsidRPr="005F0A01">
        <w:rPr>
          <w:rFonts w:eastAsiaTheme="minorHAnsi"/>
          <w:b/>
          <w:sz w:val="25"/>
          <w:szCs w:val="25"/>
          <w:u w:val="single"/>
        </w:rPr>
        <w:t>Section 212</w:t>
      </w:r>
    </w:p>
    <w:p w:rsidR="00271535" w:rsidRPr="005F0A01" w:rsidRDefault="00271535" w:rsidP="004C16B3">
      <w:pPr>
        <w:numPr>
          <w:ilvl w:val="2"/>
          <w:numId w:val="3"/>
        </w:numPr>
        <w:spacing w:after="200" w:line="276" w:lineRule="auto"/>
        <w:ind w:left="720"/>
        <w:contextualSpacing/>
        <w:rPr>
          <w:rFonts w:eastAsiaTheme="minorHAnsi"/>
          <w:b/>
          <w:sz w:val="25"/>
          <w:szCs w:val="25"/>
        </w:rPr>
      </w:pPr>
      <w:r w:rsidRPr="005F0A01">
        <w:rPr>
          <w:rFonts w:eastAsiaTheme="minorHAnsi"/>
          <w:b/>
          <w:sz w:val="25"/>
          <w:szCs w:val="25"/>
        </w:rPr>
        <w:t>Commission must report to legislature:</w:t>
      </w:r>
    </w:p>
    <w:p w:rsidR="00271535" w:rsidRPr="005F0A01" w:rsidRDefault="00271535" w:rsidP="004C16B3">
      <w:pPr>
        <w:numPr>
          <w:ilvl w:val="3"/>
          <w:numId w:val="3"/>
        </w:numPr>
        <w:spacing w:after="200" w:line="276" w:lineRule="auto"/>
        <w:ind w:left="1080"/>
        <w:contextualSpacing/>
        <w:rPr>
          <w:rFonts w:eastAsiaTheme="minorHAnsi"/>
          <w:b/>
          <w:sz w:val="25"/>
          <w:szCs w:val="25"/>
        </w:rPr>
      </w:pPr>
      <w:r w:rsidRPr="005F0A01">
        <w:rPr>
          <w:rFonts w:eastAsiaTheme="minorHAnsi"/>
          <w:b/>
          <w:sz w:val="25"/>
          <w:szCs w:val="25"/>
        </w:rPr>
        <w:t>Whether funding levels have been adequate.</w:t>
      </w:r>
    </w:p>
    <w:p w:rsidR="00271535" w:rsidRPr="005F0A01" w:rsidRDefault="00271535" w:rsidP="004C16B3">
      <w:pPr>
        <w:numPr>
          <w:ilvl w:val="3"/>
          <w:numId w:val="3"/>
        </w:numPr>
        <w:spacing w:after="200" w:line="276" w:lineRule="auto"/>
        <w:ind w:left="1080"/>
        <w:contextualSpacing/>
        <w:rPr>
          <w:rFonts w:eastAsiaTheme="minorHAnsi"/>
          <w:b/>
          <w:sz w:val="25"/>
          <w:szCs w:val="25"/>
        </w:rPr>
      </w:pPr>
      <w:r w:rsidRPr="005F0A01">
        <w:rPr>
          <w:rFonts w:eastAsiaTheme="minorHAnsi"/>
          <w:b/>
          <w:sz w:val="25"/>
          <w:szCs w:val="25"/>
        </w:rPr>
        <w:t>Future impacts on small telecommunications companies of eliminating funding.</w:t>
      </w:r>
    </w:p>
    <w:p w:rsidR="00271535" w:rsidRPr="005F0A01" w:rsidRDefault="00271535" w:rsidP="004C16B3">
      <w:pPr>
        <w:numPr>
          <w:ilvl w:val="3"/>
          <w:numId w:val="3"/>
        </w:numPr>
        <w:spacing w:after="200" w:line="276" w:lineRule="auto"/>
        <w:ind w:left="1080"/>
        <w:contextualSpacing/>
        <w:rPr>
          <w:rFonts w:eastAsiaTheme="minorHAnsi"/>
          <w:b/>
          <w:sz w:val="25"/>
          <w:szCs w:val="25"/>
        </w:rPr>
      </w:pPr>
      <w:r w:rsidRPr="005F0A01">
        <w:rPr>
          <w:rFonts w:eastAsiaTheme="minorHAnsi"/>
          <w:b/>
          <w:sz w:val="25"/>
          <w:szCs w:val="25"/>
        </w:rPr>
        <w:t>Impacts on customer rates from current funding and future impact.</w:t>
      </w:r>
    </w:p>
    <w:p w:rsidR="00271535" w:rsidRPr="005F0A01" w:rsidRDefault="00271535" w:rsidP="004C16B3">
      <w:pPr>
        <w:numPr>
          <w:ilvl w:val="3"/>
          <w:numId w:val="3"/>
        </w:numPr>
        <w:spacing w:after="200" w:line="276" w:lineRule="auto"/>
        <w:ind w:left="1080"/>
        <w:contextualSpacing/>
        <w:rPr>
          <w:rFonts w:eastAsiaTheme="minorHAnsi"/>
          <w:b/>
          <w:sz w:val="25"/>
          <w:szCs w:val="25"/>
        </w:rPr>
      </w:pPr>
      <w:r w:rsidRPr="005F0A01">
        <w:rPr>
          <w:rFonts w:eastAsiaTheme="minorHAnsi"/>
          <w:b/>
          <w:sz w:val="25"/>
          <w:szCs w:val="25"/>
        </w:rPr>
        <w:t xml:space="preserve">Impacts on line and service delivery investments when funding is terminated.  </w:t>
      </w:r>
    </w:p>
    <w:p w:rsidR="007F3F0A" w:rsidRPr="005F0A01" w:rsidRDefault="004C16B3" w:rsidP="005F0A01">
      <w:pPr>
        <w:pStyle w:val="DWTNorm"/>
        <w:ind w:firstLine="0"/>
        <w:rPr>
          <w:sz w:val="25"/>
          <w:szCs w:val="25"/>
        </w:rPr>
      </w:pPr>
      <w:r w:rsidRPr="005F0A01">
        <w:rPr>
          <w:b/>
          <w:sz w:val="25"/>
          <w:szCs w:val="25"/>
        </w:rPr>
        <w:t>BCAW Recommendation:</w:t>
      </w:r>
      <w:r w:rsidRPr="005F0A01">
        <w:rPr>
          <w:sz w:val="25"/>
          <w:szCs w:val="25"/>
        </w:rPr>
        <w:t xml:space="preserve">  Much of the information required for the Commission to compile the required report will be provided by the ILEC recipients of fund distributions in the annual reporting discussed above in BCAW’s recommendation regarding Section 203(3)(b).  In addition, BCAW recommends that, prior to compiling the required report, the Commission open a proceeding to receive input from all stakeholders in the form of workshops and written comments (and evidentiary hearings if needed).</w:t>
      </w:r>
    </w:p>
    <w:p w:rsidR="007F3F0A" w:rsidRPr="005F0A01" w:rsidRDefault="007F3F0A" w:rsidP="007F3F0A">
      <w:pPr>
        <w:spacing w:line="480" w:lineRule="auto"/>
        <w:rPr>
          <w:sz w:val="25"/>
          <w:szCs w:val="25"/>
        </w:rPr>
      </w:pPr>
      <w:r w:rsidRPr="005F0A01">
        <w:rPr>
          <w:sz w:val="25"/>
          <w:szCs w:val="25"/>
        </w:rPr>
        <w:t xml:space="preserve">Respectfully submitted this </w:t>
      </w:r>
      <w:r w:rsidR="005F0A01">
        <w:rPr>
          <w:sz w:val="25"/>
          <w:szCs w:val="25"/>
        </w:rPr>
        <w:t>2</w:t>
      </w:r>
      <w:r w:rsidR="005F0A01" w:rsidRPr="005F0A01">
        <w:rPr>
          <w:sz w:val="25"/>
          <w:szCs w:val="25"/>
          <w:vertAlign w:val="superscript"/>
        </w:rPr>
        <w:t>nd</w:t>
      </w:r>
      <w:r w:rsidR="005F0A01">
        <w:rPr>
          <w:sz w:val="25"/>
          <w:szCs w:val="25"/>
        </w:rPr>
        <w:t xml:space="preserve"> </w:t>
      </w:r>
      <w:r w:rsidRPr="005F0A01">
        <w:rPr>
          <w:sz w:val="25"/>
          <w:szCs w:val="25"/>
        </w:rPr>
        <w:t>day of August, 2013.</w:t>
      </w:r>
    </w:p>
    <w:p w:rsidR="007F3F0A" w:rsidRPr="005F0A01" w:rsidRDefault="007F3F0A" w:rsidP="007F3F0A">
      <w:pPr>
        <w:tabs>
          <w:tab w:val="right" w:pos="9720"/>
        </w:tabs>
        <w:ind w:left="3600"/>
        <w:outlineLvl w:val="0"/>
        <w:rPr>
          <w:caps/>
        </w:rPr>
      </w:pPr>
    </w:p>
    <w:p w:rsidR="007F3F0A" w:rsidRPr="005F0A01" w:rsidRDefault="007F3F0A" w:rsidP="007F3F0A">
      <w:pPr>
        <w:tabs>
          <w:tab w:val="right" w:pos="9720"/>
        </w:tabs>
        <w:ind w:left="3600"/>
        <w:outlineLvl w:val="0"/>
        <w:rPr>
          <w:caps/>
        </w:rPr>
      </w:pPr>
    </w:p>
    <w:p w:rsidR="007F3F0A" w:rsidRPr="005F0A01" w:rsidRDefault="007F3F0A" w:rsidP="007F3F0A">
      <w:pPr>
        <w:tabs>
          <w:tab w:val="right" w:pos="9720"/>
        </w:tabs>
        <w:ind w:left="3600"/>
        <w:outlineLvl w:val="0"/>
        <w:rPr>
          <w:caps/>
        </w:rPr>
      </w:pPr>
      <w:r w:rsidRPr="005F0A01">
        <w:rPr>
          <w:caps/>
        </w:rPr>
        <w:t xml:space="preserve">DAVIS WRIGHT TREMAINE </w:t>
      </w:r>
      <w:r w:rsidRPr="005F0A01">
        <w:rPr>
          <w:caps/>
          <w:sz w:val="20"/>
          <w:szCs w:val="20"/>
        </w:rPr>
        <w:t>LLP</w:t>
      </w:r>
    </w:p>
    <w:p w:rsidR="007F3F0A" w:rsidRPr="005F0A01" w:rsidRDefault="007F3F0A" w:rsidP="007F3F0A">
      <w:pPr>
        <w:tabs>
          <w:tab w:val="right" w:pos="9720"/>
        </w:tabs>
        <w:ind w:left="3600"/>
      </w:pPr>
    </w:p>
    <w:p w:rsidR="007F3F0A" w:rsidRPr="005F0A01" w:rsidRDefault="007F3F0A" w:rsidP="007F3F0A">
      <w:pPr>
        <w:tabs>
          <w:tab w:val="right" w:pos="9720"/>
        </w:tabs>
        <w:ind w:left="3600"/>
      </w:pPr>
    </w:p>
    <w:p w:rsidR="007F3F0A" w:rsidRPr="005F0A01" w:rsidRDefault="007F3F0A" w:rsidP="007F3F0A">
      <w:pPr>
        <w:tabs>
          <w:tab w:val="left" w:pos="8640"/>
          <w:tab w:val="right" w:pos="9270"/>
        </w:tabs>
        <w:ind w:left="3600"/>
        <w:outlineLvl w:val="0"/>
        <w:rPr>
          <w:u w:val="single"/>
        </w:rPr>
      </w:pPr>
      <w:bookmarkStart w:id="1" w:name="_DV_M60"/>
      <w:bookmarkEnd w:id="1"/>
      <w:r w:rsidRPr="005F0A01">
        <w:t>By:</w:t>
      </w:r>
      <w:r w:rsidRPr="005F0A01">
        <w:rPr>
          <w:u w:val="single"/>
        </w:rPr>
        <w:tab/>
      </w:r>
    </w:p>
    <w:p w:rsidR="007F3F0A" w:rsidRPr="005F0A01" w:rsidRDefault="007F3F0A" w:rsidP="007F3F0A">
      <w:pPr>
        <w:ind w:left="3960"/>
      </w:pPr>
      <w:bookmarkStart w:id="2" w:name="_DV_M61"/>
      <w:bookmarkEnd w:id="2"/>
      <w:r w:rsidRPr="005F0A01">
        <w:t>MARK TRINCHERO, OSB #883221</w:t>
      </w:r>
    </w:p>
    <w:p w:rsidR="007F3F0A" w:rsidRPr="005F0A01" w:rsidRDefault="007F3F0A" w:rsidP="007F3F0A">
      <w:pPr>
        <w:ind w:left="3960"/>
        <w:rPr>
          <w:rStyle w:val="Hyperlink"/>
        </w:rPr>
      </w:pPr>
      <w:r w:rsidRPr="005F0A01">
        <w:t xml:space="preserve">Email: </w:t>
      </w:r>
      <w:bookmarkStart w:id="3" w:name="_DV_M62"/>
      <w:bookmarkEnd w:id="3"/>
      <w:r w:rsidRPr="005F0A01">
        <w:rPr>
          <w:rStyle w:val="Hyperlink"/>
        </w:rPr>
        <w:t>marktrinchero@dwt.com</w:t>
      </w:r>
    </w:p>
    <w:p w:rsidR="007F3F0A" w:rsidRPr="005F0A01" w:rsidRDefault="007F3F0A" w:rsidP="007F3F0A">
      <w:pPr>
        <w:ind w:left="3960"/>
      </w:pPr>
      <w:bookmarkStart w:id="4" w:name="_DV_M63"/>
      <w:bookmarkStart w:id="5" w:name="_DV_M64"/>
      <w:bookmarkStart w:id="6" w:name="_DV_M65"/>
      <w:bookmarkStart w:id="7" w:name="_DV_M66"/>
      <w:bookmarkEnd w:id="4"/>
      <w:bookmarkEnd w:id="5"/>
      <w:bookmarkEnd w:id="6"/>
      <w:bookmarkEnd w:id="7"/>
      <w:r w:rsidRPr="005F0A01">
        <w:t>Telephone: (503) 778-5318</w:t>
      </w:r>
    </w:p>
    <w:p w:rsidR="007F3F0A" w:rsidRPr="005F0A01" w:rsidRDefault="007F3F0A" w:rsidP="007F3F0A">
      <w:pPr>
        <w:ind w:left="3960"/>
      </w:pPr>
      <w:bookmarkStart w:id="8" w:name="_DV_M67"/>
      <w:bookmarkEnd w:id="8"/>
      <w:r w:rsidRPr="005F0A01">
        <w:t xml:space="preserve">Facsimile: (503) 778-5299 </w:t>
      </w:r>
    </w:p>
    <w:p w:rsidR="007F3F0A" w:rsidRPr="005F0A01" w:rsidRDefault="007F3F0A" w:rsidP="007F3F0A">
      <w:pPr>
        <w:ind w:left="3960"/>
      </w:pPr>
      <w:r w:rsidRPr="005F0A01">
        <w:tab/>
        <w:t>Of Attorneys for BCAW</w:t>
      </w:r>
    </w:p>
    <w:p w:rsidR="007F3F0A" w:rsidRPr="005F0A01" w:rsidRDefault="007F3F0A" w:rsidP="007F3F0A">
      <w:pPr>
        <w:ind w:left="4320" w:hanging="360"/>
      </w:pPr>
    </w:p>
    <w:p w:rsidR="007F3F0A" w:rsidRPr="005F0A01" w:rsidRDefault="007F3F0A">
      <w:pPr>
        <w:rPr>
          <w:sz w:val="25"/>
          <w:szCs w:val="25"/>
        </w:rPr>
      </w:pPr>
    </w:p>
    <w:sectPr w:rsidR="007F3F0A" w:rsidRPr="005F0A01" w:rsidSect="005F0A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8C" w:rsidRDefault="008D1C8C">
      <w:r>
        <w:separator/>
      </w:r>
    </w:p>
  </w:endnote>
  <w:endnote w:type="continuationSeparator" w:id="0">
    <w:p w:rsidR="008D1C8C" w:rsidRDefault="008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C6" w:rsidRDefault="000B46FB">
    <w:pPr>
      <w:pStyle w:val="Footer"/>
    </w:pPr>
    <w:r w:rsidRPr="000B46FB">
      <w:rPr>
        <w:rStyle w:val="DocID"/>
      </w:rPr>
      <w:t>DWT 22359986v1 0024116-000510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01" w:rsidRDefault="005F0A01">
    <w:pPr>
      <w:pStyle w:val="Footer"/>
    </w:pPr>
    <w:r w:rsidRPr="005F0A01">
      <w:rPr>
        <w:b/>
      </w:rPr>
      <w:t>INITIAL COMMENTS OF BCAW</w:t>
    </w:r>
    <w:r>
      <w:tab/>
    </w:r>
    <w:r>
      <w:tab/>
      <w:t xml:space="preserve">Page </w:t>
    </w:r>
    <w:r>
      <w:fldChar w:fldCharType="begin"/>
    </w:r>
    <w:r>
      <w:instrText xml:space="preserve"> PAGE   \* MERGEFORMAT </w:instrText>
    </w:r>
    <w:r>
      <w:fldChar w:fldCharType="separate"/>
    </w:r>
    <w:r w:rsidR="00575017">
      <w:rPr>
        <w:noProof/>
      </w:rPr>
      <w:t>1</w:t>
    </w:r>
    <w:r>
      <w:rPr>
        <w:noProof/>
      </w:rPr>
      <w:fldChar w:fldCharType="end"/>
    </w:r>
  </w:p>
  <w:p w:rsidR="00B673C6" w:rsidRDefault="000B46FB">
    <w:pPr>
      <w:pStyle w:val="Footer"/>
    </w:pPr>
    <w:r w:rsidRPr="000B46FB">
      <w:rPr>
        <w:rStyle w:val="DocID"/>
      </w:rPr>
      <w:t>DWT 22359986v1 0024116-000510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C6" w:rsidRDefault="000B46FB">
    <w:pPr>
      <w:pStyle w:val="Footer"/>
    </w:pPr>
    <w:r w:rsidRPr="000B46FB">
      <w:rPr>
        <w:rStyle w:val="DocID"/>
      </w:rPr>
      <w:t>DWT 22359986v1 0024116-000510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8C" w:rsidRDefault="008D1C8C">
      <w:r>
        <w:separator/>
      </w:r>
    </w:p>
  </w:footnote>
  <w:footnote w:type="continuationSeparator" w:id="0">
    <w:p w:rsidR="008D1C8C" w:rsidRDefault="008D1C8C">
      <w:r>
        <w:continuationSeparator/>
      </w:r>
    </w:p>
  </w:footnote>
  <w:footnote w:id="1">
    <w:p w:rsidR="008D1C8C" w:rsidRDefault="008D1C8C">
      <w:pPr>
        <w:pStyle w:val="FootnoteText"/>
      </w:pPr>
      <w:r>
        <w:rPr>
          <w:rStyle w:val="FootnoteReference"/>
        </w:rPr>
        <w:footnoteRef/>
      </w:r>
      <w:r>
        <w:t xml:space="preserve"> </w:t>
      </w:r>
      <w:r>
        <w:rPr>
          <w:i/>
        </w:rPr>
        <w:t xml:space="preserve">See </w:t>
      </w:r>
      <w:r>
        <w:t xml:space="preserve">Second Engrossed Second Substitute House Bill 1971, Part II, § 201, </w:t>
      </w:r>
      <w:r w:rsidRPr="008D1C8C">
        <w:rPr>
          <w:i/>
        </w:rPr>
        <w:t>et seq</w:t>
      </w:r>
      <w:r>
        <w:t>. (“ESS HB 1971”).</w:t>
      </w:r>
    </w:p>
  </w:footnote>
  <w:footnote w:id="2">
    <w:p w:rsidR="00271535" w:rsidRDefault="00271535">
      <w:pPr>
        <w:pStyle w:val="FootnoteText"/>
      </w:pPr>
      <w:r>
        <w:rPr>
          <w:rStyle w:val="FootnoteReference"/>
        </w:rPr>
        <w:footnoteRef/>
      </w:r>
      <w:r>
        <w:t xml:space="preserve"> </w:t>
      </w:r>
      <w:r w:rsidR="00CD5D6C">
        <w:t>Washington</w:t>
      </w:r>
      <w:r w:rsidR="003619D6">
        <w:t xml:space="preserve"> Utilities and Transportation Commission Report Reviewing State Telecommunications Policies on Universal Service, Docket UT-100562 (November 29, 2010), p. 29.</w:t>
      </w:r>
    </w:p>
  </w:footnote>
  <w:footnote w:id="3">
    <w:p w:rsidR="003619D6" w:rsidRPr="003619D6" w:rsidRDefault="003619D6">
      <w:pPr>
        <w:pStyle w:val="FootnoteText"/>
        <w:rPr>
          <w:i/>
        </w:rPr>
      </w:pPr>
      <w:r>
        <w:rPr>
          <w:rStyle w:val="FootnoteReference"/>
        </w:rPr>
        <w:footnoteRef/>
      </w:r>
      <w:r>
        <w:t xml:space="preserve"> </w:t>
      </w:r>
      <w:r>
        <w:rPr>
          <w:i/>
        </w:rPr>
        <w:t>Id.</w:t>
      </w:r>
    </w:p>
  </w:footnote>
  <w:footnote w:id="4">
    <w:p w:rsidR="003619D6" w:rsidRDefault="003619D6">
      <w:pPr>
        <w:pStyle w:val="FootnoteText"/>
      </w:pPr>
      <w:r>
        <w:rPr>
          <w:rStyle w:val="FootnoteReference"/>
        </w:rPr>
        <w:footnoteRef/>
      </w:r>
      <w:r>
        <w:t xml:space="preserve"> ESS HB 1971 §§201(3), 203(2) and 211(1).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FB" w:rsidRDefault="000B4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FB" w:rsidRDefault="001E07FB" w:rsidP="008D1C8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FB" w:rsidRDefault="000B4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B5258"/>
    <w:multiLevelType w:val="hybridMultilevel"/>
    <w:tmpl w:val="711A6110"/>
    <w:lvl w:ilvl="0" w:tplc="3D5C4F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outline w:val="0"/>
        <w:shadow w:val="0"/>
        <w:emboss w:val="0"/>
        <w:imprint w:val="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8">
      <w:start w:val="1"/>
      <w:numFmt w:val="lowerRoman"/>
      <w:lvlText w:val="%9."/>
      <w:lvlJc w:val="left"/>
      <w:pPr>
        <w:tabs>
          <w:tab w:val="num" w:pos="3240"/>
        </w:tabs>
        <w:ind w:left="3240" w:hanging="360"/>
      </w:pPr>
    </w:lvl>
  </w:abstractNum>
  <w:abstractNum w:abstractNumId="2">
    <w:nsid w:val="6A602746"/>
    <w:multiLevelType w:val="hybridMultilevel"/>
    <w:tmpl w:val="1ECE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8C"/>
    <w:rsid w:val="000A548C"/>
    <w:rsid w:val="000B46FB"/>
    <w:rsid w:val="001E07FB"/>
    <w:rsid w:val="00271535"/>
    <w:rsid w:val="00285B70"/>
    <w:rsid w:val="00360307"/>
    <w:rsid w:val="003619D6"/>
    <w:rsid w:val="003B390E"/>
    <w:rsid w:val="0043119D"/>
    <w:rsid w:val="004C16B3"/>
    <w:rsid w:val="005344E3"/>
    <w:rsid w:val="00575017"/>
    <w:rsid w:val="005F0A01"/>
    <w:rsid w:val="00653545"/>
    <w:rsid w:val="00741012"/>
    <w:rsid w:val="007C3D5D"/>
    <w:rsid w:val="007F3F0A"/>
    <w:rsid w:val="00836E34"/>
    <w:rsid w:val="008A112C"/>
    <w:rsid w:val="008D1C8C"/>
    <w:rsid w:val="009408CD"/>
    <w:rsid w:val="00A033CB"/>
    <w:rsid w:val="00A87C70"/>
    <w:rsid w:val="00AB58B1"/>
    <w:rsid w:val="00B21C3B"/>
    <w:rsid w:val="00B341DE"/>
    <w:rsid w:val="00B52F9E"/>
    <w:rsid w:val="00B673C6"/>
    <w:rsid w:val="00C60108"/>
    <w:rsid w:val="00CA32A8"/>
    <w:rsid w:val="00CD5D6C"/>
    <w:rsid w:val="00D96EBE"/>
    <w:rsid w:val="00DB0717"/>
    <w:rsid w:val="00DB5434"/>
    <w:rsid w:val="00ED348B"/>
    <w:rsid w:val="00EE36D6"/>
    <w:rsid w:val="00F667F9"/>
    <w:rsid w:val="00FC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3"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lsdException w:name="TOC Heading" w:uiPriority="0" w:qFormat="1"/>
  </w:latentStyles>
  <w:style w:type="paragraph" w:default="1" w:styleId="Normal">
    <w:name w:val="Normal"/>
    <w:uiPriority w:val="3"/>
    <w:qFormat/>
    <w:rPr>
      <w:sz w:val="24"/>
      <w:szCs w:val="24"/>
    </w:rPr>
  </w:style>
  <w:style w:type="paragraph" w:styleId="Heading1">
    <w:name w:val="heading 1"/>
    <w:basedOn w:val="Normal"/>
    <w:next w:val="Normal"/>
    <w:uiPriority w:val="99"/>
    <w:semiHidden/>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pPr>
      <w:keepNext/>
      <w:keepLines/>
      <w:spacing w:before="200"/>
      <w:outlineLvl w:val="4"/>
    </w:pPr>
    <w:rPr>
      <w:rFonts w:ascii="Cambria" w:hAnsi="Cambria"/>
      <w:color w:val="243F60"/>
    </w:rPr>
  </w:style>
  <w:style w:type="paragraph" w:styleId="Heading6">
    <w:name w:val="heading 6"/>
    <w:basedOn w:val="Normal"/>
    <w:next w:val="Normal"/>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pPr>
      <w:spacing w:after="240"/>
    </w:pPr>
    <w:rPr>
      <w:szCs w:val="20"/>
    </w:rPr>
  </w:style>
  <w:style w:type="paragraph" w:customStyle="1" w:styleId="DWTNorm">
    <w:name w:val="DWTNorm"/>
    <w:basedOn w:val="Normal"/>
    <w:qFormat/>
    <w:pPr>
      <w:spacing w:after="240"/>
      <w:ind w:firstLine="720"/>
    </w:pPr>
    <w:rPr>
      <w:szCs w:val="20"/>
    </w:rPr>
  </w:style>
  <w:style w:type="paragraph" w:customStyle="1" w:styleId="DWTQuote">
    <w:name w:val="DWTQuote"/>
    <w:basedOn w:val="DWTNorm"/>
    <w:next w:val="AfterQuote"/>
    <w:uiPriority w:val="2"/>
    <w:qFormat/>
    <w:pPr>
      <w:ind w:left="1440" w:right="1440" w:firstLine="0"/>
    </w:pPr>
  </w:style>
  <w:style w:type="paragraph" w:customStyle="1" w:styleId="DWTTitle">
    <w:name w:val="DWTTitle"/>
    <w:basedOn w:val="Normal"/>
    <w:next w:val="DWTNorm"/>
    <w:uiPriority w:val="2"/>
    <w:qFormat/>
    <w:pPr>
      <w:keepNext/>
      <w:widowControl w:val="0"/>
      <w:spacing w:after="240"/>
      <w:jc w:val="center"/>
    </w:pPr>
    <w:rPr>
      <w:b/>
      <w:caps/>
      <w:szCs w:val="20"/>
    </w:rPr>
  </w:style>
  <w:style w:type="paragraph" w:customStyle="1" w:styleId="OutHead1">
    <w:name w:val="OutHead1"/>
    <w:basedOn w:val="Normal"/>
    <w:next w:val="DWTNorm"/>
    <w:uiPriority w:val="1"/>
    <w:qFormat/>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pPr>
      <w:keepNext/>
      <w:numPr>
        <w:ilvl w:val="7"/>
        <w:numId w:val="1"/>
      </w:numPr>
      <w:spacing w:after="240"/>
      <w:outlineLvl w:val="7"/>
    </w:pPr>
    <w:rPr>
      <w:b/>
      <w:color w:val="000000"/>
      <w:szCs w:val="2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uiPriority w:val="99"/>
    <w:semiHidden/>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pPr>
      <w:numPr>
        <w:ilvl w:val="1"/>
      </w:numPr>
    </w:pPr>
    <w:rPr>
      <w:rFonts w:ascii="Cambria" w:hAnsi="Cambria"/>
      <w:i/>
      <w:iCs/>
      <w:color w:val="4F81BD"/>
      <w:spacing w:val="15"/>
    </w:rPr>
  </w:style>
  <w:style w:type="character" w:styleId="Strong">
    <w:name w:val="Strong"/>
    <w:uiPriority w:val="99"/>
    <w:semiHidden/>
    <w:qFormat/>
    <w:rPr>
      <w:b/>
      <w:bCs/>
    </w:rPr>
  </w:style>
  <w:style w:type="character" w:styleId="Emphasis">
    <w:name w:val="Emphasis"/>
    <w:uiPriority w:val="20"/>
    <w:qFormat/>
    <w:rPr>
      <w:i/>
      <w:iCs/>
    </w:rPr>
  </w:style>
  <w:style w:type="paragraph" w:styleId="NoSpacing">
    <w:name w:val="No Spacing"/>
    <w:uiPriority w:val="99"/>
    <w:semiHidden/>
    <w:qFormat/>
    <w:rPr>
      <w:sz w:val="24"/>
      <w:szCs w:val="24"/>
    </w:rPr>
  </w:style>
  <w:style w:type="paragraph" w:styleId="ListParagraph">
    <w:name w:val="List Paragraph"/>
    <w:basedOn w:val="Normal"/>
    <w:uiPriority w:val="99"/>
    <w:semiHidden/>
    <w:qFormat/>
    <w:pPr>
      <w:ind w:left="720"/>
      <w:contextualSpacing/>
    </w:pPr>
  </w:style>
  <w:style w:type="paragraph" w:styleId="Quote">
    <w:name w:val="Quote"/>
    <w:basedOn w:val="Normal"/>
    <w:next w:val="Normal"/>
    <w:uiPriority w:val="99"/>
    <w:semiHidden/>
    <w:qFormat/>
    <w:rPr>
      <w:i/>
      <w:iCs/>
      <w:color w:val="000000"/>
    </w:rPr>
  </w:style>
  <w:style w:type="paragraph" w:styleId="IntenseQuote">
    <w:name w:val="Intense Quote"/>
    <w:basedOn w:val="Normal"/>
    <w:next w:val="Normal"/>
    <w:uiPriority w:val="99"/>
    <w:semiHidden/>
    <w:qFormat/>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Pr>
      <w:i/>
      <w:iCs/>
      <w:color w:val="808080"/>
    </w:rPr>
  </w:style>
  <w:style w:type="character" w:styleId="IntenseEmphasis">
    <w:name w:val="Intense Emphasis"/>
    <w:uiPriority w:val="99"/>
    <w:semiHidden/>
    <w:qFormat/>
    <w:rPr>
      <w:b/>
      <w:bCs/>
      <w:i/>
      <w:iCs/>
      <w:color w:val="4F81BD"/>
    </w:rPr>
  </w:style>
  <w:style w:type="character" w:styleId="SubtleReference">
    <w:name w:val="Subtle Reference"/>
    <w:uiPriority w:val="99"/>
    <w:semiHidden/>
    <w:qFormat/>
    <w:rPr>
      <w:smallCaps/>
      <w:color w:val="C0504D"/>
      <w:u w:val="single"/>
    </w:rPr>
  </w:style>
  <w:style w:type="character" w:styleId="IntenseReference">
    <w:name w:val="Intense Reference"/>
    <w:uiPriority w:val="99"/>
    <w:semiHidden/>
    <w:qFormat/>
    <w:rPr>
      <w:b/>
      <w:bCs/>
      <w:smallCaps/>
      <w:color w:val="C0504D"/>
      <w:spacing w:val="5"/>
      <w:u w:val="single"/>
    </w:rPr>
  </w:style>
  <w:style w:type="character" w:styleId="BookTitle">
    <w:name w:val="Book Title"/>
    <w:uiPriority w:val="99"/>
    <w:semiHidden/>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character" w:styleId="Hyperlink">
    <w:name w:val="Hyperlink"/>
    <w:basedOn w:val="DefaultParagraphFont"/>
    <w:uiPriority w:val="99"/>
    <w:semiHidden/>
    <w:rsid w:val="008D1C8C"/>
    <w:rPr>
      <w:color w:val="0000FF" w:themeColor="hyperlink"/>
      <w:u w:val="single"/>
    </w:rPr>
  </w:style>
  <w:style w:type="paragraph" w:styleId="FootnoteText">
    <w:name w:val="footnote text"/>
    <w:basedOn w:val="Normal"/>
    <w:link w:val="FootnoteTextChar"/>
    <w:uiPriority w:val="99"/>
    <w:semiHidden/>
    <w:rsid w:val="008D1C8C"/>
    <w:rPr>
      <w:sz w:val="20"/>
      <w:szCs w:val="20"/>
    </w:rPr>
  </w:style>
  <w:style w:type="character" w:customStyle="1" w:styleId="FootnoteTextChar">
    <w:name w:val="Footnote Text Char"/>
    <w:basedOn w:val="DefaultParagraphFont"/>
    <w:link w:val="FootnoteText"/>
    <w:uiPriority w:val="99"/>
    <w:semiHidden/>
    <w:rsid w:val="008D1C8C"/>
  </w:style>
  <w:style w:type="character" w:styleId="FootnoteReference">
    <w:name w:val="footnote reference"/>
    <w:basedOn w:val="DefaultParagraphFont"/>
    <w:uiPriority w:val="99"/>
    <w:semiHidden/>
    <w:rsid w:val="008D1C8C"/>
    <w:rPr>
      <w:vertAlign w:val="superscript"/>
    </w:rPr>
  </w:style>
  <w:style w:type="table" w:styleId="TableGrid">
    <w:name w:val="Table Grid"/>
    <w:basedOn w:val="TableNormal"/>
    <w:rsid w:val="005F0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1012"/>
    <w:rPr>
      <w:rFonts w:ascii="Tahoma" w:hAnsi="Tahoma" w:cs="Tahoma"/>
      <w:sz w:val="16"/>
      <w:szCs w:val="16"/>
    </w:rPr>
  </w:style>
  <w:style w:type="character" w:customStyle="1" w:styleId="BalloonTextChar">
    <w:name w:val="Balloon Text Char"/>
    <w:basedOn w:val="DefaultParagraphFont"/>
    <w:link w:val="BalloonText"/>
    <w:uiPriority w:val="99"/>
    <w:semiHidden/>
    <w:rsid w:val="00741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3"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lsdException w:name="TOC Heading" w:uiPriority="0" w:qFormat="1"/>
  </w:latentStyles>
  <w:style w:type="paragraph" w:default="1" w:styleId="Normal">
    <w:name w:val="Normal"/>
    <w:uiPriority w:val="3"/>
    <w:qFormat/>
    <w:rPr>
      <w:sz w:val="24"/>
      <w:szCs w:val="24"/>
    </w:rPr>
  </w:style>
  <w:style w:type="paragraph" w:styleId="Heading1">
    <w:name w:val="heading 1"/>
    <w:basedOn w:val="Normal"/>
    <w:next w:val="Normal"/>
    <w:uiPriority w:val="99"/>
    <w:semiHidden/>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pPr>
      <w:keepNext/>
      <w:keepLines/>
      <w:spacing w:before="200"/>
      <w:outlineLvl w:val="4"/>
    </w:pPr>
    <w:rPr>
      <w:rFonts w:ascii="Cambria" w:hAnsi="Cambria"/>
      <w:color w:val="243F60"/>
    </w:rPr>
  </w:style>
  <w:style w:type="paragraph" w:styleId="Heading6">
    <w:name w:val="heading 6"/>
    <w:basedOn w:val="Normal"/>
    <w:next w:val="Normal"/>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pPr>
      <w:spacing w:after="240"/>
    </w:pPr>
    <w:rPr>
      <w:szCs w:val="20"/>
    </w:rPr>
  </w:style>
  <w:style w:type="paragraph" w:customStyle="1" w:styleId="DWTNorm">
    <w:name w:val="DWTNorm"/>
    <w:basedOn w:val="Normal"/>
    <w:qFormat/>
    <w:pPr>
      <w:spacing w:after="240"/>
      <w:ind w:firstLine="720"/>
    </w:pPr>
    <w:rPr>
      <w:szCs w:val="20"/>
    </w:rPr>
  </w:style>
  <w:style w:type="paragraph" w:customStyle="1" w:styleId="DWTQuote">
    <w:name w:val="DWTQuote"/>
    <w:basedOn w:val="DWTNorm"/>
    <w:next w:val="AfterQuote"/>
    <w:uiPriority w:val="2"/>
    <w:qFormat/>
    <w:pPr>
      <w:ind w:left="1440" w:right="1440" w:firstLine="0"/>
    </w:pPr>
  </w:style>
  <w:style w:type="paragraph" w:customStyle="1" w:styleId="DWTTitle">
    <w:name w:val="DWTTitle"/>
    <w:basedOn w:val="Normal"/>
    <w:next w:val="DWTNorm"/>
    <w:uiPriority w:val="2"/>
    <w:qFormat/>
    <w:pPr>
      <w:keepNext/>
      <w:widowControl w:val="0"/>
      <w:spacing w:after="240"/>
      <w:jc w:val="center"/>
    </w:pPr>
    <w:rPr>
      <w:b/>
      <w:caps/>
      <w:szCs w:val="20"/>
    </w:rPr>
  </w:style>
  <w:style w:type="paragraph" w:customStyle="1" w:styleId="OutHead1">
    <w:name w:val="OutHead1"/>
    <w:basedOn w:val="Normal"/>
    <w:next w:val="DWTNorm"/>
    <w:uiPriority w:val="1"/>
    <w:qFormat/>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pPr>
      <w:keepNext/>
      <w:numPr>
        <w:ilvl w:val="7"/>
        <w:numId w:val="1"/>
      </w:numPr>
      <w:spacing w:after="240"/>
      <w:outlineLvl w:val="7"/>
    </w:pPr>
    <w:rPr>
      <w:b/>
      <w:color w:val="000000"/>
      <w:szCs w:val="2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uiPriority w:val="99"/>
    <w:semiHidden/>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pPr>
      <w:numPr>
        <w:ilvl w:val="1"/>
      </w:numPr>
    </w:pPr>
    <w:rPr>
      <w:rFonts w:ascii="Cambria" w:hAnsi="Cambria"/>
      <w:i/>
      <w:iCs/>
      <w:color w:val="4F81BD"/>
      <w:spacing w:val="15"/>
    </w:rPr>
  </w:style>
  <w:style w:type="character" w:styleId="Strong">
    <w:name w:val="Strong"/>
    <w:uiPriority w:val="99"/>
    <w:semiHidden/>
    <w:qFormat/>
    <w:rPr>
      <w:b/>
      <w:bCs/>
    </w:rPr>
  </w:style>
  <w:style w:type="character" w:styleId="Emphasis">
    <w:name w:val="Emphasis"/>
    <w:uiPriority w:val="20"/>
    <w:qFormat/>
    <w:rPr>
      <w:i/>
      <w:iCs/>
    </w:rPr>
  </w:style>
  <w:style w:type="paragraph" w:styleId="NoSpacing">
    <w:name w:val="No Spacing"/>
    <w:uiPriority w:val="99"/>
    <w:semiHidden/>
    <w:qFormat/>
    <w:rPr>
      <w:sz w:val="24"/>
      <w:szCs w:val="24"/>
    </w:rPr>
  </w:style>
  <w:style w:type="paragraph" w:styleId="ListParagraph">
    <w:name w:val="List Paragraph"/>
    <w:basedOn w:val="Normal"/>
    <w:uiPriority w:val="99"/>
    <w:semiHidden/>
    <w:qFormat/>
    <w:pPr>
      <w:ind w:left="720"/>
      <w:contextualSpacing/>
    </w:pPr>
  </w:style>
  <w:style w:type="paragraph" w:styleId="Quote">
    <w:name w:val="Quote"/>
    <w:basedOn w:val="Normal"/>
    <w:next w:val="Normal"/>
    <w:uiPriority w:val="99"/>
    <w:semiHidden/>
    <w:qFormat/>
    <w:rPr>
      <w:i/>
      <w:iCs/>
      <w:color w:val="000000"/>
    </w:rPr>
  </w:style>
  <w:style w:type="paragraph" w:styleId="IntenseQuote">
    <w:name w:val="Intense Quote"/>
    <w:basedOn w:val="Normal"/>
    <w:next w:val="Normal"/>
    <w:uiPriority w:val="99"/>
    <w:semiHidden/>
    <w:qFormat/>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Pr>
      <w:i/>
      <w:iCs/>
      <w:color w:val="808080"/>
    </w:rPr>
  </w:style>
  <w:style w:type="character" w:styleId="IntenseEmphasis">
    <w:name w:val="Intense Emphasis"/>
    <w:uiPriority w:val="99"/>
    <w:semiHidden/>
    <w:qFormat/>
    <w:rPr>
      <w:b/>
      <w:bCs/>
      <w:i/>
      <w:iCs/>
      <w:color w:val="4F81BD"/>
    </w:rPr>
  </w:style>
  <w:style w:type="character" w:styleId="SubtleReference">
    <w:name w:val="Subtle Reference"/>
    <w:uiPriority w:val="99"/>
    <w:semiHidden/>
    <w:qFormat/>
    <w:rPr>
      <w:smallCaps/>
      <w:color w:val="C0504D"/>
      <w:u w:val="single"/>
    </w:rPr>
  </w:style>
  <w:style w:type="character" w:styleId="IntenseReference">
    <w:name w:val="Intense Reference"/>
    <w:uiPriority w:val="99"/>
    <w:semiHidden/>
    <w:qFormat/>
    <w:rPr>
      <w:b/>
      <w:bCs/>
      <w:smallCaps/>
      <w:color w:val="C0504D"/>
      <w:spacing w:val="5"/>
      <w:u w:val="single"/>
    </w:rPr>
  </w:style>
  <w:style w:type="character" w:styleId="BookTitle">
    <w:name w:val="Book Title"/>
    <w:uiPriority w:val="99"/>
    <w:semiHidden/>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character" w:styleId="Hyperlink">
    <w:name w:val="Hyperlink"/>
    <w:basedOn w:val="DefaultParagraphFont"/>
    <w:uiPriority w:val="99"/>
    <w:semiHidden/>
    <w:rsid w:val="008D1C8C"/>
    <w:rPr>
      <w:color w:val="0000FF" w:themeColor="hyperlink"/>
      <w:u w:val="single"/>
    </w:rPr>
  </w:style>
  <w:style w:type="paragraph" w:styleId="FootnoteText">
    <w:name w:val="footnote text"/>
    <w:basedOn w:val="Normal"/>
    <w:link w:val="FootnoteTextChar"/>
    <w:uiPriority w:val="99"/>
    <w:semiHidden/>
    <w:rsid w:val="008D1C8C"/>
    <w:rPr>
      <w:sz w:val="20"/>
      <w:szCs w:val="20"/>
    </w:rPr>
  </w:style>
  <w:style w:type="character" w:customStyle="1" w:styleId="FootnoteTextChar">
    <w:name w:val="Footnote Text Char"/>
    <w:basedOn w:val="DefaultParagraphFont"/>
    <w:link w:val="FootnoteText"/>
    <w:uiPriority w:val="99"/>
    <w:semiHidden/>
    <w:rsid w:val="008D1C8C"/>
  </w:style>
  <w:style w:type="character" w:styleId="FootnoteReference">
    <w:name w:val="footnote reference"/>
    <w:basedOn w:val="DefaultParagraphFont"/>
    <w:uiPriority w:val="99"/>
    <w:semiHidden/>
    <w:rsid w:val="008D1C8C"/>
    <w:rPr>
      <w:vertAlign w:val="superscript"/>
    </w:rPr>
  </w:style>
  <w:style w:type="table" w:styleId="TableGrid">
    <w:name w:val="Table Grid"/>
    <w:basedOn w:val="TableNormal"/>
    <w:rsid w:val="005F0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1012"/>
    <w:rPr>
      <w:rFonts w:ascii="Tahoma" w:hAnsi="Tahoma" w:cs="Tahoma"/>
      <w:sz w:val="16"/>
      <w:szCs w:val="16"/>
    </w:rPr>
  </w:style>
  <w:style w:type="character" w:customStyle="1" w:styleId="BalloonTextChar">
    <w:name w:val="Balloon Text Char"/>
    <w:basedOn w:val="DefaultParagraphFont"/>
    <w:link w:val="BalloonText"/>
    <w:uiPriority w:val="99"/>
    <w:semiHidden/>
    <w:rsid w:val="0074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2013-06-28T07:00:00+00:00</OpenedDate>
    <Date1 xmlns="dc463f71-b30c-4ab2-9473-d307f9d35888">2013-08-02T07:00:00+00:00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131239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5C13563E7FBAB4BB0DAE665BFCA6D9D" ma:contentTypeVersion="127" ma:contentTypeDescription="" ma:contentTypeScope="" ma:versionID="d92d3b8dbfb49989f5a84abe2f2999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F0283C-2BD4-4214-B4EF-85E73B9AEBB6}"/>
</file>

<file path=customXml/itemProps2.xml><?xml version="1.0" encoding="utf-8"?>
<ds:datastoreItem xmlns:ds="http://schemas.openxmlformats.org/officeDocument/2006/customXml" ds:itemID="{358B29DA-4897-4A63-AFB0-FC08B17263E6}"/>
</file>

<file path=customXml/itemProps3.xml><?xml version="1.0" encoding="utf-8"?>
<ds:datastoreItem xmlns:ds="http://schemas.openxmlformats.org/officeDocument/2006/customXml" ds:itemID="{4ED9294C-2FA5-498A-9478-739A88A5EA6A}"/>
</file>

<file path=customXml/itemProps4.xml><?xml version="1.0" encoding="utf-8"?>
<ds:datastoreItem xmlns:ds="http://schemas.openxmlformats.org/officeDocument/2006/customXml" ds:itemID="{5DAAEE7C-D68D-4616-A822-38BAA09A0940}"/>
</file>

<file path=docProps/app.xml><?xml version="1.0" encoding="utf-8"?>
<Properties xmlns="http://schemas.openxmlformats.org/officeDocument/2006/extended-properties" xmlns:vt="http://schemas.openxmlformats.org/officeDocument/2006/docPropsVTypes">
  <Template>Normal.dotm</Template>
  <TotalTime>0</TotalTime>
  <Pages>1</Pages>
  <Words>1877</Words>
  <Characters>10863</Characters>
  <Application>Microsoft Office Word</Application>
  <DocSecurity>0</DocSecurity>
  <Lines>277</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cp:revision>
  <dcterms:created xsi:type="dcterms:W3CDTF">2013-08-02T21:04:58Z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0x0101006E56B4D1795A2E4DB2F0B01679ED314A0045C13563E7FBAB4BB0DAE665BFCA6D9D</vt:lpwstr>
  </property>
  <property fmtid="{D5CDD505-2E9C-101B-9397-08002B2CF9AE}" pid="3" name="_docset_NoMedatataSyncRequired">
    <vt:lpwstr>False</vt:lpwstr>
  </property>
</Properties>
</file>