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FB" w:rsidRDefault="00B818FB" w:rsidP="00E26FBE">
      <w:pPr>
        <w:rPr>
          <w:sz w:val="24"/>
        </w:rPr>
      </w:pPr>
    </w:p>
    <w:p w:rsidR="00B818FB" w:rsidRDefault="00B818FB" w:rsidP="00E26FBE">
      <w:pPr>
        <w:rPr>
          <w:sz w:val="24"/>
        </w:rPr>
      </w:pPr>
    </w:p>
    <w:p w:rsidR="00B818FB" w:rsidRDefault="00B818FB" w:rsidP="00E26FBE">
      <w:pPr>
        <w:rPr>
          <w:sz w:val="24"/>
        </w:rPr>
      </w:pPr>
    </w:p>
    <w:p w:rsidR="00B818FB" w:rsidRDefault="00B818FB" w:rsidP="00E26FBE">
      <w:pPr>
        <w:rPr>
          <w:sz w:val="24"/>
        </w:rPr>
      </w:pPr>
    </w:p>
    <w:p w:rsidR="00B818FB" w:rsidRDefault="00B818FB" w:rsidP="00E26FBE">
      <w:pPr>
        <w:rPr>
          <w:sz w:val="24"/>
        </w:rPr>
      </w:pPr>
    </w:p>
    <w:p w:rsidR="00B818FB" w:rsidRDefault="00B818FB" w:rsidP="00E26FBE">
      <w:pPr>
        <w:rPr>
          <w:sz w:val="24"/>
        </w:rPr>
      </w:pPr>
    </w:p>
    <w:bookmarkStart w:id="0" w:name="_GoBack"/>
    <w:bookmarkEnd w:id="0"/>
    <w:p w:rsidR="00E26FBE" w:rsidRDefault="00E26FBE" w:rsidP="00E26FBE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C21142">
        <w:rPr>
          <w:noProof/>
          <w:sz w:val="24"/>
        </w:rPr>
        <w:t>September 28, 2012</w:t>
      </w:r>
      <w:r>
        <w:rPr>
          <w:sz w:val="24"/>
        </w:rPr>
        <w:fldChar w:fldCharType="end"/>
      </w:r>
    </w:p>
    <w:p w:rsidR="00E26FBE" w:rsidRPr="00AF0284" w:rsidRDefault="00E26FBE" w:rsidP="00E26FBE">
      <w:pPr>
        <w:rPr>
          <w:sz w:val="24"/>
        </w:rPr>
      </w:pPr>
    </w:p>
    <w:p w:rsidR="00E26FBE" w:rsidRPr="00AF0284" w:rsidRDefault="00E26FBE" w:rsidP="00E26FBE">
      <w:pPr>
        <w:rPr>
          <w:sz w:val="24"/>
        </w:rPr>
      </w:pPr>
    </w:p>
    <w:p w:rsidR="00E26FBE" w:rsidRPr="00AF0284" w:rsidRDefault="00E26FBE" w:rsidP="00E26FBE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E26FBE" w:rsidRPr="00AF0284" w:rsidRDefault="00E26FBE" w:rsidP="00E26FBE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E26FBE" w:rsidRPr="00AF0284" w:rsidRDefault="00E26FBE" w:rsidP="00E26FBE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E26FBE" w:rsidRPr="00AF0284" w:rsidRDefault="00E26FBE" w:rsidP="00E26FBE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E26FBE" w:rsidRPr="00AF0284" w:rsidRDefault="00E26FBE" w:rsidP="00E26FBE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E26FBE" w:rsidRPr="00AF0284" w:rsidRDefault="00E26FBE" w:rsidP="00E26FBE">
      <w:pPr>
        <w:rPr>
          <w:sz w:val="24"/>
        </w:rPr>
      </w:pPr>
    </w:p>
    <w:p w:rsidR="00E26FBE" w:rsidRDefault="00E26FBE" w:rsidP="00E26FBE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Pr="00AF0284">
        <w:rPr>
          <w:sz w:val="24"/>
        </w:rPr>
        <w:tab/>
      </w:r>
      <w:r w:rsidRPr="00AF0284">
        <w:rPr>
          <w:i/>
          <w:sz w:val="24"/>
        </w:rPr>
        <w:t>Washington Utilities and Transportation Commission v.</w:t>
      </w:r>
      <w:r>
        <w:rPr>
          <w:i/>
          <w:sz w:val="24"/>
        </w:rPr>
        <w:t xml:space="preserve"> Always Able Moving Service, LLC.</w:t>
      </w:r>
      <w:r>
        <w:rPr>
          <w:sz w:val="24"/>
        </w:rPr>
        <w:t xml:space="preserve"> </w:t>
      </w:r>
    </w:p>
    <w:p w:rsidR="00E26FBE" w:rsidRDefault="00E26FBE" w:rsidP="00E26FBE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  <w:r>
        <w:rPr>
          <w:sz w:val="24"/>
        </w:rPr>
        <w:t xml:space="preserve"> </w:t>
      </w:r>
    </w:p>
    <w:p w:rsidR="00E26FBE" w:rsidRPr="00AF0284" w:rsidRDefault="00E26FBE" w:rsidP="00E26FBE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D836BBACF26491EA0EFE86A9EA40153"/>
          </w:placeholder>
        </w:sdtPr>
        <w:sdtEndPr/>
        <w:sdtContent>
          <w:r w:rsidR="009922DE">
            <w:rPr>
              <w:sz w:val="24"/>
            </w:rPr>
            <w:t>TV</w:t>
          </w:r>
        </w:sdtContent>
      </w:sdt>
      <w:r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D836BBACF26491EA0EFE86A9EA40153"/>
          </w:placeholder>
        </w:sdtPr>
        <w:sdtEndPr/>
        <w:sdtContent>
          <w:r w:rsidR="00B0069D">
            <w:rPr>
              <w:sz w:val="24"/>
            </w:rPr>
            <w:t>120910</w:t>
          </w:r>
        </w:sdtContent>
      </w:sdt>
    </w:p>
    <w:p w:rsidR="00E26FBE" w:rsidRPr="00AF0284" w:rsidRDefault="00E26FBE" w:rsidP="00E26FBE">
      <w:pPr>
        <w:rPr>
          <w:sz w:val="24"/>
        </w:rPr>
      </w:pPr>
    </w:p>
    <w:p w:rsidR="00E26FBE" w:rsidRPr="00AF0284" w:rsidRDefault="00E26FBE" w:rsidP="00E26FBE">
      <w:pPr>
        <w:rPr>
          <w:sz w:val="24"/>
        </w:rPr>
      </w:pPr>
      <w:r w:rsidRPr="00AF0284">
        <w:rPr>
          <w:sz w:val="24"/>
        </w:rPr>
        <w:t>Dear Mr. Danner: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July 23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A1380D">
        <w:rPr>
          <w:sz w:val="24"/>
        </w:rPr>
        <w:t>2</w:t>
      </w:r>
      <w:r w:rsidR="00F71FF1">
        <w:rPr>
          <w:sz w:val="24"/>
        </w:rPr>
        <w:t xml:space="preserve">,100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540228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E26FBE">
            <w:rPr>
              <w:sz w:val="24"/>
            </w:rPr>
            <w:t>120910</w:t>
          </w:r>
        </w:sdtContent>
      </w:sdt>
      <w:r w:rsidRPr="00AF0284">
        <w:rPr>
          <w:sz w:val="24"/>
        </w:rPr>
        <w:t xml:space="preserve"> against</w:t>
      </w:r>
      <w:r w:rsidR="00E26FBE">
        <w:rPr>
          <w:sz w:val="24"/>
        </w:rPr>
        <w:t xml:space="preserve"> Always Able Moving Service</w:t>
      </w:r>
      <w:r w:rsidRPr="00AF0284">
        <w:rPr>
          <w:sz w:val="24"/>
        </w:rPr>
        <w:t>,</w:t>
      </w:r>
      <w:r w:rsidR="0084099D">
        <w:rPr>
          <w:sz w:val="24"/>
        </w:rPr>
        <w:t xml:space="preserve"> LLC</w:t>
      </w:r>
      <w:r w:rsidRPr="00AF0284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480-15-480</w:t>
          </w:r>
        </w:sdtContent>
      </w:sdt>
      <w:r w:rsidR="00961E3C" w:rsidRPr="00AF0284">
        <w:rPr>
          <w:sz w:val="24"/>
        </w:rPr>
        <w:t xml:space="preserve">, which requires </w:t>
      </w:r>
      <w:sdt>
        <w:sdtPr>
          <w:rPr>
            <w:sz w:val="24"/>
          </w:rPr>
          <w:id w:val="-953014692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permitted household goods carriers</w:t>
          </w:r>
        </w:sdtContent>
      </w:sdt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E26FBE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E26FBE">
            <w:rPr>
              <w:sz w:val="24"/>
            </w:rPr>
            <w:t>August 10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sdt>
        <w:sdtPr>
          <w:rPr>
            <w:sz w:val="24"/>
          </w:rPr>
          <w:id w:val="-620770322"/>
          <w:placeholder>
            <w:docPart w:val="DefaultPlaceholder_1082065158"/>
          </w:placeholder>
        </w:sdtPr>
        <w:sdtEndPr/>
        <w:sdtContent>
          <w:r w:rsidR="00E26FBE">
            <w:rPr>
              <w:sz w:val="24"/>
            </w:rPr>
            <w:t>Always Able Moving Service</w:t>
          </w:r>
          <w:r w:rsidR="00E26FBE" w:rsidRPr="00AF0284">
            <w:rPr>
              <w:sz w:val="24"/>
            </w:rPr>
            <w:t>,</w:t>
          </w:r>
          <w:r w:rsidR="00E26FBE">
            <w:rPr>
              <w:sz w:val="24"/>
            </w:rPr>
            <w:t xml:space="preserve"> LLC</w:t>
          </w:r>
        </w:sdtContent>
      </w:sdt>
      <w:r w:rsidR="00FB2C14" w:rsidRPr="00AF0284">
        <w:rPr>
          <w:sz w:val="24"/>
        </w:rPr>
        <w:t xml:space="preserve"> </w:t>
      </w:r>
      <w:r w:rsidR="00D7306A">
        <w:rPr>
          <w:sz w:val="24"/>
        </w:rPr>
        <w:t xml:space="preserve">responded to the </w:t>
      </w:r>
      <w:r w:rsidR="0085138F">
        <w:rPr>
          <w:sz w:val="24"/>
        </w:rPr>
        <w:t>commission</w:t>
      </w:r>
      <w:r w:rsidR="00D7306A">
        <w:rPr>
          <w:sz w:val="24"/>
        </w:rPr>
        <w:t>,</w:t>
      </w:r>
      <w:r w:rsidR="0085138F">
        <w:rPr>
          <w:sz w:val="24"/>
        </w:rPr>
        <w:t xml:space="preserve"> requesting</w:t>
      </w:r>
      <w:r w:rsidR="00D7306A">
        <w:rPr>
          <w:sz w:val="24"/>
        </w:rPr>
        <w:t xml:space="preserve"> a hearing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 xml:space="preserve">its </w:t>
      </w:r>
      <w:r w:rsidR="00E26FBE">
        <w:rPr>
          <w:sz w:val="24"/>
        </w:rPr>
        <w:t xml:space="preserve">Hearing </w:t>
      </w:r>
      <w:r w:rsidR="00FB2C14" w:rsidRPr="00AF0284">
        <w:rPr>
          <w:sz w:val="24"/>
        </w:rPr>
        <w:t xml:space="preserve">Request, </w:t>
      </w:r>
      <w:r w:rsidR="00E26FBE">
        <w:rPr>
          <w:sz w:val="24"/>
        </w:rPr>
        <w:t>Always Able Moving Service</w:t>
      </w:r>
      <w:r w:rsidR="00E26FBE" w:rsidRPr="00AF0284">
        <w:rPr>
          <w:sz w:val="24"/>
        </w:rPr>
        <w:t>,</w:t>
      </w:r>
      <w:r w:rsidR="00E26FBE">
        <w:rPr>
          <w:sz w:val="24"/>
        </w:rPr>
        <w:t xml:space="preserve"> LLC did not provide a written statement of the reasons the company believed the alleged violation did not occur. The commission denied the request for a hearing and required Always Able Moving Service</w:t>
      </w:r>
      <w:r w:rsidR="00E26FBE" w:rsidRPr="00AF0284">
        <w:rPr>
          <w:sz w:val="24"/>
        </w:rPr>
        <w:t>,</w:t>
      </w:r>
      <w:r w:rsidR="00E26FBE">
        <w:rPr>
          <w:sz w:val="24"/>
        </w:rPr>
        <w:t xml:space="preserve"> LLC to file a written statement of the reason(s) in support of its request by 5:00 p.m., Thursday, August 23, 2012.</w:t>
      </w:r>
    </w:p>
    <w:p w:rsidR="00E26FBE" w:rsidRDefault="00E26FBE" w:rsidP="00317D57">
      <w:pPr>
        <w:rPr>
          <w:sz w:val="24"/>
        </w:rPr>
      </w:pPr>
    </w:p>
    <w:p w:rsidR="00565A97" w:rsidRDefault="00923A62" w:rsidP="00923A62">
      <w:pPr>
        <w:rPr>
          <w:sz w:val="24"/>
        </w:rPr>
      </w:pPr>
      <w:r>
        <w:rPr>
          <w:sz w:val="24"/>
        </w:rPr>
        <w:t>On August 22, 2012, Always Able Moving Service</w:t>
      </w:r>
      <w:r w:rsidRPr="00AF0284">
        <w:rPr>
          <w:sz w:val="24"/>
        </w:rPr>
        <w:t>,</w:t>
      </w:r>
      <w:r>
        <w:rPr>
          <w:sz w:val="24"/>
        </w:rPr>
        <w:t xml:space="preserve"> LLC filed its response</w:t>
      </w:r>
      <w:r w:rsidR="00EF46F3" w:rsidRPr="00EF46F3">
        <w:rPr>
          <w:rStyle w:val="FootnoteReference"/>
          <w:sz w:val="24"/>
          <w:vertAlign w:val="superscript"/>
        </w:rPr>
        <w:footnoteReference w:id="2"/>
      </w:r>
      <w:r>
        <w:rPr>
          <w:sz w:val="24"/>
        </w:rPr>
        <w:t>, which included a written statement of the reason(s) supporting its request. In its response, Always Able Moving Service</w:t>
      </w:r>
      <w:r w:rsidRPr="00AF0284">
        <w:rPr>
          <w:sz w:val="24"/>
        </w:rPr>
        <w:t>,</w:t>
      </w:r>
      <w:r>
        <w:rPr>
          <w:sz w:val="24"/>
        </w:rPr>
        <w:t xml:space="preserve"> LLC, disputes that the violation occurred. The company states</w:t>
      </w:r>
      <w:r w:rsidR="00D7306A">
        <w:rPr>
          <w:sz w:val="24"/>
        </w:rPr>
        <w:t>,</w:t>
      </w:r>
      <w:r>
        <w:rPr>
          <w:sz w:val="24"/>
        </w:rPr>
        <w:t xml:space="preserve"> “On July 23</w:t>
      </w:r>
      <w:r w:rsidRPr="00923A62">
        <w:rPr>
          <w:sz w:val="24"/>
          <w:vertAlign w:val="superscript"/>
        </w:rPr>
        <w:t>rd</w:t>
      </w:r>
      <w:r>
        <w:rPr>
          <w:sz w:val="24"/>
        </w:rPr>
        <w:t xml:space="preserve"> 2012, I received both an email and a certified letter stating that I failed to file an annual report by May 1, 2012. This was the first notice I received by any means that I needed to fill out any type of report or </w:t>
      </w:r>
      <w:r w:rsidR="00974ECF">
        <w:rPr>
          <w:sz w:val="24"/>
        </w:rPr>
        <w:t>was late filling out a report. I did NOT receive any paperwork of any type from your agency prior to the July 23</w:t>
      </w:r>
      <w:r w:rsidR="00974ECF" w:rsidRPr="00974ECF">
        <w:rPr>
          <w:sz w:val="24"/>
          <w:vertAlign w:val="superscript"/>
        </w:rPr>
        <w:t>rd</w:t>
      </w:r>
      <w:r w:rsidR="00974ECF">
        <w:rPr>
          <w:sz w:val="24"/>
        </w:rPr>
        <w:t xml:space="preserve"> date. I currently reside in an apartment with my family. </w:t>
      </w:r>
      <w:r w:rsidR="004214B2">
        <w:rPr>
          <w:sz w:val="24"/>
        </w:rPr>
        <w:t xml:space="preserve">We have one small lock box where we receive our mail. If any mail comes to our </w:t>
      </w:r>
      <w:r w:rsidR="004214B2">
        <w:rPr>
          <w:sz w:val="24"/>
        </w:rPr>
        <w:lastRenderedPageBreak/>
        <w:t>address that does not fit in the small keyed box, it is usually held at our apartment complex front office.</w:t>
      </w:r>
      <w:r w:rsidR="00974ECF">
        <w:rPr>
          <w:sz w:val="24"/>
        </w:rPr>
        <w:t xml:space="preserve"> Your letter states that Annual Report forms and Fee packets were mailed to me on February 29</w:t>
      </w:r>
      <w:r w:rsidR="00974ECF" w:rsidRPr="00974ECF">
        <w:rPr>
          <w:sz w:val="24"/>
          <w:vertAlign w:val="superscript"/>
        </w:rPr>
        <w:t>th</w:t>
      </w:r>
      <w:r w:rsidR="00974ECF">
        <w:rPr>
          <w:sz w:val="24"/>
        </w:rPr>
        <w:t xml:space="preserve"> of this year. There is no way all this information would have fit in our small box; and according to our manager’s office, they never received any such packet. I am not sure where this </w:t>
      </w:r>
      <w:r w:rsidR="003E596D">
        <w:rPr>
          <w:sz w:val="24"/>
        </w:rPr>
        <w:t>information</w:t>
      </w:r>
      <w:r w:rsidR="00974ECF">
        <w:rPr>
          <w:sz w:val="24"/>
        </w:rPr>
        <w:t xml:space="preserve"> was actually sent to; or ended up. Your letter indicates that you started accessing fees of 100 dollars a day after the May 1, deadline.</w:t>
      </w:r>
      <w:r w:rsidR="004214B2">
        <w:rPr>
          <w:sz w:val="24"/>
        </w:rPr>
        <w:t>”</w:t>
      </w:r>
    </w:p>
    <w:p w:rsidR="00565A97" w:rsidRDefault="00565A97" w:rsidP="00923A62">
      <w:pPr>
        <w:rPr>
          <w:sz w:val="24"/>
        </w:rPr>
      </w:pPr>
    </w:p>
    <w:p w:rsidR="00565A97" w:rsidRDefault="00BC69AE" w:rsidP="00923A62">
      <w:pPr>
        <w:rPr>
          <w:sz w:val="24"/>
        </w:rPr>
      </w:pPr>
      <w:r>
        <w:rPr>
          <w:sz w:val="24"/>
        </w:rPr>
        <w:t xml:space="preserve">In its response, </w:t>
      </w:r>
      <w:r w:rsidR="00923A62">
        <w:rPr>
          <w:sz w:val="24"/>
        </w:rPr>
        <w:t>Always Able Moving Service</w:t>
      </w:r>
      <w:r w:rsidR="00923A62" w:rsidRPr="00AF0284">
        <w:rPr>
          <w:sz w:val="24"/>
        </w:rPr>
        <w:t>,</w:t>
      </w:r>
      <w:r w:rsidR="00923A62">
        <w:rPr>
          <w:sz w:val="24"/>
        </w:rPr>
        <w:t xml:space="preserve"> LLC</w:t>
      </w:r>
      <w:r w:rsidR="00565A97">
        <w:rPr>
          <w:sz w:val="24"/>
        </w:rPr>
        <w:t xml:space="preserve"> </w:t>
      </w:r>
      <w:r w:rsidR="00954DA1">
        <w:rPr>
          <w:sz w:val="24"/>
        </w:rPr>
        <w:t>ask</w:t>
      </w:r>
      <w:r>
        <w:rPr>
          <w:sz w:val="24"/>
        </w:rPr>
        <w:t>s</w:t>
      </w:r>
      <w:r w:rsidR="00954DA1">
        <w:rPr>
          <w:sz w:val="24"/>
        </w:rPr>
        <w:t xml:space="preserve"> the</w:t>
      </w:r>
      <w:r w:rsidR="00565A97">
        <w:rPr>
          <w:sz w:val="24"/>
        </w:rPr>
        <w:t xml:space="preserve"> following questions:</w:t>
      </w:r>
    </w:p>
    <w:p w:rsidR="00565A97" w:rsidRDefault="00565A97" w:rsidP="00923A62">
      <w:pPr>
        <w:rPr>
          <w:sz w:val="24"/>
        </w:rPr>
      </w:pPr>
    </w:p>
    <w:p w:rsidR="00565A97" w:rsidRDefault="004214B2" w:rsidP="00557ACB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>“W</w:t>
      </w:r>
      <w:r w:rsidR="00923A62" w:rsidRPr="00565A97">
        <w:rPr>
          <w:sz w:val="24"/>
        </w:rPr>
        <w:t xml:space="preserve">hy </w:t>
      </w:r>
      <w:r>
        <w:rPr>
          <w:sz w:val="24"/>
        </w:rPr>
        <w:t>did I not receive a certified letter right away</w:t>
      </w:r>
      <w:r w:rsidR="00BC69AE">
        <w:rPr>
          <w:sz w:val="24"/>
        </w:rPr>
        <w:t>?</w:t>
      </w:r>
      <w:r>
        <w:rPr>
          <w:sz w:val="24"/>
        </w:rPr>
        <w:t>”</w:t>
      </w:r>
    </w:p>
    <w:p w:rsidR="004214B2" w:rsidRDefault="004214B2" w:rsidP="00557ACB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>“Why did you not send me an email notifying me of this fee being assessed?”</w:t>
      </w:r>
    </w:p>
    <w:p w:rsidR="004214B2" w:rsidRDefault="004214B2" w:rsidP="00557ACB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>“I do not understand? You obviously had a correct address and email for me, because I received both the certified letter and email on July 23</w:t>
      </w:r>
      <w:r w:rsidRPr="004214B2">
        <w:rPr>
          <w:sz w:val="24"/>
          <w:vertAlign w:val="superscript"/>
        </w:rPr>
        <w:t>rd</w:t>
      </w:r>
      <w:r>
        <w:rPr>
          <w:sz w:val="24"/>
        </w:rPr>
        <w:t>, after you applied 2,100.00 worth of fees.”</w:t>
      </w:r>
    </w:p>
    <w:p w:rsidR="004214B2" w:rsidRDefault="004214B2" w:rsidP="00557ACB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>“You stated there is a WAC code which requires me to file an annual report with the Commission and I am fine with complying with that code, if I had known it was time to do so. Is there no code which YOU have to be able to show that I actually received the report?”</w:t>
      </w:r>
    </w:p>
    <w:p w:rsidR="004214B2" w:rsidRDefault="004214B2" w:rsidP="00557ACB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>“Why are the original report forms and fee packets not sent certified mail to ensure that I receive them?”</w:t>
      </w:r>
    </w:p>
    <w:p w:rsidR="004214B2" w:rsidRDefault="00FD4470" w:rsidP="00557ACB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>“Why did I not receive an email from you stating that the forms were on their way, so I could have been on the lookout for them [sic]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”</w:t>
      </w:r>
    </w:p>
    <w:p w:rsidR="004214B2" w:rsidRDefault="004214B2" w:rsidP="00127C04">
      <w:pPr>
        <w:rPr>
          <w:sz w:val="24"/>
        </w:rPr>
      </w:pPr>
    </w:p>
    <w:p w:rsidR="000D60D3" w:rsidRDefault="00A1696F" w:rsidP="00127C04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F52B2B">
            <w:rPr>
              <w:sz w:val="24"/>
            </w:rPr>
            <w:t>’s responsibility to ensure that the</w:t>
          </w:r>
          <w:r w:rsidR="00407E1B">
            <w:rPr>
              <w:sz w:val="24"/>
            </w:rPr>
            <w:t xml:space="preserve"> regulatory fee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1F401D">
            <w:rPr>
              <w:sz w:val="24"/>
            </w:rPr>
            <w:t>are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EC09A8" w:rsidRPr="00EC09A8">
        <w:rPr>
          <w:rStyle w:val="FootnoteReference"/>
          <w:sz w:val="24"/>
          <w:vertAlign w:val="superscript"/>
        </w:rPr>
        <w:footnoteReference w:id="3"/>
      </w:r>
      <w:r w:rsidR="0050745E">
        <w:rPr>
          <w:sz w:val="24"/>
        </w:rPr>
        <w:t xml:space="preserve">, Annual Report forms and Regulatory Fee packets were mailed to all regulated </w:t>
      </w:r>
      <w:sdt>
        <w:sdtPr>
          <w:rPr>
            <w:sz w:val="24"/>
          </w:rPr>
          <w:id w:val="-329757745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household goods carriers</w:t>
          </w:r>
        </w:sdtContent>
      </w:sdt>
      <w:r w:rsidR="008718AE">
        <w:rPr>
          <w:sz w:val="24"/>
        </w:rPr>
        <w:t>.</w:t>
      </w:r>
      <w:r w:rsidR="003F5F88">
        <w:rPr>
          <w:sz w:val="24"/>
        </w:rPr>
        <w:t xml:space="preserve"> In addition to other information, the cover letter informed t</w:t>
      </w:r>
      <w:r w:rsidR="00661C11">
        <w:rPr>
          <w:sz w:val="24"/>
        </w:rPr>
        <w:t>he regulated company</w:t>
      </w:r>
      <w:r w:rsidR="003F5F88">
        <w:rPr>
          <w:sz w:val="24"/>
        </w:rPr>
        <w:t xml:space="preserve"> it</w:t>
      </w:r>
      <w:r w:rsidR="00661C11">
        <w:rPr>
          <w:sz w:val="24"/>
        </w:rPr>
        <w:t xml:space="preserve"> must complete</w:t>
      </w:r>
      <w:r w:rsidR="003F5F88">
        <w:rPr>
          <w:sz w:val="24"/>
        </w:rPr>
        <w:t xml:space="preserve"> the</w:t>
      </w:r>
      <w:r w:rsidR="00661C11">
        <w:rPr>
          <w:sz w:val="24"/>
        </w:rPr>
        <w:t xml:space="preserve"> annual report</w:t>
      </w:r>
      <w:r w:rsidR="003F5F88">
        <w:rPr>
          <w:sz w:val="24"/>
        </w:rPr>
        <w:t xml:space="preserve"> form</w:t>
      </w:r>
      <w:r w:rsidR="00661C11">
        <w:rPr>
          <w:sz w:val="24"/>
        </w:rPr>
        <w:t>, pay any regulatory fees and return the material by May 1, 2012 to avoid enforcement action.</w:t>
      </w:r>
      <w:r w:rsidR="008718AE">
        <w:rPr>
          <w:sz w:val="24"/>
        </w:rPr>
        <w:t xml:space="preserve">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15</w:t>
          </w:r>
        </w:sdtContent>
      </w:sdt>
      <w:r w:rsidR="008718AE">
        <w:rPr>
          <w:sz w:val="24"/>
        </w:rPr>
        <w:t>, 2012</w:t>
      </w:r>
      <w:r w:rsidR="00EC09A8" w:rsidRPr="00EC09A8">
        <w:rPr>
          <w:rStyle w:val="FootnoteReference"/>
          <w:sz w:val="24"/>
          <w:vertAlign w:val="superscript"/>
        </w:rPr>
        <w:footnoteReference w:id="4"/>
      </w:r>
      <w:r w:rsidR="008718AE">
        <w:rPr>
          <w:sz w:val="24"/>
        </w:rPr>
        <w:t>, the commission mailed a letter to those companies that had not yet 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>, to date,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900</w:t>
          </w:r>
        </w:sdtContent>
      </w:sdt>
      <w:r w:rsidR="0050745E">
        <w:rPr>
          <w:sz w:val="24"/>
        </w:rPr>
        <w:t>.</w:t>
      </w:r>
      <w:r w:rsidR="001F401D">
        <w:rPr>
          <w:sz w:val="24"/>
        </w:rPr>
        <w:t xml:space="preserve"> The letter went on to explain that companies who filed their annual reports no later than May 25, 2012</w:t>
      </w:r>
      <w:r w:rsidR="0038227E">
        <w:rPr>
          <w:sz w:val="24"/>
        </w:rPr>
        <w:t>,</w:t>
      </w:r>
      <w:r w:rsidR="001F401D">
        <w:rPr>
          <w:sz w:val="24"/>
        </w:rPr>
        <w:t xml:space="preserve"> would receive mitigated penalties of $25 per day, with an addition</w:t>
      </w:r>
      <w:r w:rsidR="0038227E">
        <w:rPr>
          <w:sz w:val="24"/>
        </w:rPr>
        <w:t>al $25 per day</w:t>
      </w:r>
      <w:r w:rsidR="001F401D">
        <w:rPr>
          <w:sz w:val="24"/>
        </w:rPr>
        <w:t xml:space="preserve"> for each instance in the previous five years that the company received a penalty for filing a late report.</w:t>
      </w:r>
    </w:p>
    <w:p w:rsidR="00E428EC" w:rsidRDefault="00E428EC" w:rsidP="00127C04">
      <w:pPr>
        <w:rPr>
          <w:sz w:val="24"/>
        </w:rPr>
      </w:pPr>
    </w:p>
    <w:p w:rsidR="00E428EC" w:rsidRDefault="00E428EC" w:rsidP="00127C04">
      <w:pPr>
        <w:rPr>
          <w:sz w:val="24"/>
        </w:rPr>
      </w:pPr>
      <w:r>
        <w:rPr>
          <w:sz w:val="24"/>
        </w:rPr>
        <w:t>In response to Always Able Moving Service, LLC’s questions above:</w:t>
      </w:r>
    </w:p>
    <w:p w:rsidR="00E428EC" w:rsidRDefault="00E428EC" w:rsidP="00127C04">
      <w:pPr>
        <w:rPr>
          <w:sz w:val="24"/>
        </w:rPr>
      </w:pPr>
    </w:p>
    <w:p w:rsidR="00E428EC" w:rsidRDefault="00E428EC" w:rsidP="00127C04">
      <w:pPr>
        <w:rPr>
          <w:sz w:val="24"/>
        </w:rPr>
      </w:pPr>
      <w:r>
        <w:rPr>
          <w:sz w:val="24"/>
        </w:rPr>
        <w:t>The commission mails annual report forms and instructions to each household goods permit holder at its address of record. If a carrier does not receive an annual report form, it is the carrier’s responsibility to contact the commission and request the form.</w:t>
      </w:r>
      <w:r w:rsidR="00D67DCD">
        <w:rPr>
          <w:sz w:val="24"/>
        </w:rPr>
        <w:t xml:space="preserve"> This information can be found under WAC 480-15-480(1</w:t>
      </w:r>
      <w:proofErr w:type="gramStart"/>
      <w:r w:rsidR="00D67DCD">
        <w:rPr>
          <w:sz w:val="24"/>
        </w:rPr>
        <w:t>)(</w:t>
      </w:r>
      <w:proofErr w:type="gramEnd"/>
      <w:r w:rsidR="00D67DCD">
        <w:rPr>
          <w:sz w:val="24"/>
        </w:rPr>
        <w:t>b).</w:t>
      </w:r>
    </w:p>
    <w:p w:rsidR="000D60D3" w:rsidRDefault="000D60D3" w:rsidP="00127C04">
      <w:pPr>
        <w:rPr>
          <w:sz w:val="24"/>
        </w:rPr>
      </w:pPr>
    </w:p>
    <w:p w:rsidR="00127C04" w:rsidRDefault="00255454" w:rsidP="00127C04">
      <w:pPr>
        <w:rPr>
          <w:sz w:val="24"/>
        </w:rPr>
      </w:pPr>
      <w:r>
        <w:rPr>
          <w:sz w:val="24"/>
        </w:rPr>
        <w:t>Always Able Moving Service</w:t>
      </w:r>
      <w:r w:rsidRPr="00AF0284">
        <w:rPr>
          <w:sz w:val="24"/>
        </w:rPr>
        <w:t>,</w:t>
      </w:r>
      <w:r>
        <w:rPr>
          <w:sz w:val="24"/>
        </w:rPr>
        <w:t xml:space="preserve"> LLC</w:t>
      </w:r>
      <w:r w:rsidR="000D60D3">
        <w:rPr>
          <w:sz w:val="24"/>
        </w:rPr>
        <w:t xml:space="preserve"> </w:t>
      </w:r>
      <w:r w:rsidR="007D29A9">
        <w:rPr>
          <w:sz w:val="24"/>
        </w:rPr>
        <w:t>did not file its annual report by</w:t>
      </w:r>
      <w:r w:rsidR="000D60D3">
        <w:rPr>
          <w:sz w:val="24"/>
        </w:rPr>
        <w:t xml:space="preserve"> May </w:t>
      </w:r>
      <w:r w:rsidR="007D29A9">
        <w:rPr>
          <w:sz w:val="24"/>
        </w:rPr>
        <w:t xml:space="preserve">31, 2012, which is </w:t>
      </w:r>
      <w:r w:rsidR="007D29A9">
        <w:rPr>
          <w:sz w:val="24"/>
        </w:rPr>
        <w:lastRenderedPageBreak/>
        <w:t>21</w:t>
      </w:r>
      <w:r w:rsidR="000D60D3">
        <w:rPr>
          <w:sz w:val="24"/>
        </w:rPr>
        <w:t xml:space="preserve"> business days past the deadline of May 1,</w:t>
      </w:r>
      <w:r w:rsidR="007D29A9">
        <w:rPr>
          <w:sz w:val="24"/>
        </w:rPr>
        <w:t xml:space="preserve"> 2012. The penalty is</w:t>
      </w:r>
      <w:r w:rsidR="000D60D3">
        <w:rPr>
          <w:sz w:val="24"/>
        </w:rPr>
        <w:t xml:space="preserve"> $100 per day for a total of $2</w:t>
      </w:r>
      <w:r w:rsidR="007D29A9">
        <w:rPr>
          <w:sz w:val="24"/>
        </w:rPr>
        <w:t>,100</w:t>
      </w:r>
      <w:sdt>
        <w:sdtPr>
          <w:rPr>
            <w:sz w:val="24"/>
          </w:rPr>
          <w:id w:val="-154197066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</w:rPr>
              <w:id w:val="1924062768"/>
              <w:placeholder>
                <w:docPart w:val="56F7005E654547DEA425E49300B7FC72"/>
              </w:placeholder>
            </w:sdtPr>
            <w:sdtEndPr/>
            <w:sdtContent>
              <w:sdt>
                <w:sdtPr>
                  <w:rPr>
                    <w:sz w:val="24"/>
                  </w:rPr>
                  <w:id w:val="-348485304"/>
                  <w:placeholder>
                    <w:docPart w:val="7C3735300B754F58A9A31DAA0224319C"/>
                  </w:placeholder>
                </w:sdtPr>
                <w:sdtEndPr/>
                <w:sdtContent>
                  <w:r w:rsidR="00CE5EF9">
                    <w:rPr>
                      <w:sz w:val="24"/>
                    </w:rPr>
                    <w:t>.</w:t>
                  </w:r>
                </w:sdtContent>
              </w:sdt>
            </w:sdtContent>
          </w:sdt>
        </w:sdtContent>
      </w:sdt>
      <w:sdt>
        <w:sdtPr>
          <w:rPr>
            <w:sz w:val="24"/>
          </w:rPr>
          <w:id w:val="267673250"/>
          <w:placeholder>
            <w:docPart w:val="DefaultPlaceholder_1082065158"/>
          </w:placeholder>
        </w:sdtPr>
        <w:sdtEndPr/>
        <w:sdtContent>
          <w:r w:rsidR="001B5293">
            <w:rPr>
              <w:sz w:val="24"/>
            </w:rPr>
            <w:t xml:space="preserve"> </w:t>
          </w:r>
          <w:r>
            <w:rPr>
              <w:sz w:val="24"/>
            </w:rPr>
            <w:t>Always Able Moving Service</w:t>
          </w:r>
          <w:r w:rsidRPr="00AF0284">
            <w:rPr>
              <w:sz w:val="24"/>
            </w:rPr>
            <w:t>,</w:t>
          </w:r>
          <w:r>
            <w:rPr>
              <w:sz w:val="24"/>
            </w:rPr>
            <w:t xml:space="preserve"> LLC was granted its provisional household goods license on July 13, 2011</w:t>
          </w:r>
          <w:r w:rsidR="00996774">
            <w:rPr>
              <w:sz w:val="24"/>
            </w:rPr>
            <w:t>,</w:t>
          </w:r>
          <w:r w:rsidR="001B5293">
            <w:rPr>
              <w:sz w:val="24"/>
            </w:rPr>
            <w:t xml:space="preserve"> </w:t>
          </w:r>
          <w:r w:rsidR="008F20DC">
            <w:rPr>
              <w:sz w:val="24"/>
            </w:rPr>
            <w:t>and</w:t>
          </w:r>
          <w:r w:rsidR="00996774">
            <w:rPr>
              <w:sz w:val="24"/>
            </w:rPr>
            <w:t xml:space="preserve"> therefore</w:t>
          </w:r>
          <w:r w:rsidR="00434726">
            <w:rPr>
              <w:sz w:val="24"/>
            </w:rPr>
            <w:t xml:space="preserve"> has</w:t>
          </w:r>
          <w:r w:rsidR="00996774">
            <w:rPr>
              <w:sz w:val="24"/>
            </w:rPr>
            <w:t xml:space="preserve"> not previously</w:t>
          </w:r>
          <w:r w:rsidR="00DC6DB7">
            <w:rPr>
              <w:sz w:val="24"/>
            </w:rPr>
            <w:t xml:space="preserve"> </w:t>
          </w:r>
          <w:r w:rsidR="00127C04">
            <w:rPr>
              <w:sz w:val="24"/>
            </w:rPr>
            <w:t xml:space="preserve">received a </w:t>
          </w:r>
          <w:r w:rsidR="0031240B" w:rsidRPr="0085138F">
            <w:rPr>
              <w:sz w:val="24"/>
            </w:rPr>
            <w:t>penalt</w:t>
          </w:r>
          <w:r w:rsidR="00127C04">
            <w:rPr>
              <w:sz w:val="24"/>
            </w:rPr>
            <w:t>y</w:t>
          </w:r>
          <w:r w:rsidR="00355D58">
            <w:rPr>
              <w:sz w:val="24"/>
            </w:rPr>
            <w:t xml:space="preserve"> </w:t>
          </w:r>
          <w:r w:rsidR="005153F8" w:rsidRPr="0085138F">
            <w:rPr>
              <w:sz w:val="24"/>
            </w:rPr>
            <w:t>for filing a delinquent</w:t>
          </w:r>
          <w:r w:rsidR="00355D58">
            <w:rPr>
              <w:sz w:val="24"/>
            </w:rPr>
            <w:t xml:space="preserve"> annual report</w:t>
          </w:r>
          <w:r w:rsidR="005153F8" w:rsidRPr="0085138F">
            <w:rPr>
              <w:sz w:val="24"/>
            </w:rPr>
            <w:t>.</w:t>
          </w:r>
        </w:sdtContent>
      </w:sdt>
    </w:p>
    <w:p w:rsidR="00127C04" w:rsidRDefault="00127C04" w:rsidP="00127C04">
      <w:pPr>
        <w:rPr>
          <w:sz w:val="24"/>
        </w:rPr>
      </w:pPr>
    </w:p>
    <w:p w:rsidR="00127C04" w:rsidRDefault="00996774" w:rsidP="00127C04">
      <w:pPr>
        <w:rPr>
          <w:sz w:val="24"/>
        </w:rPr>
      </w:pPr>
      <w:r>
        <w:rPr>
          <w:sz w:val="24"/>
        </w:rPr>
        <w:t>Despite the</w:t>
      </w:r>
      <w:r w:rsidR="00B865BA">
        <w:rPr>
          <w:sz w:val="24"/>
        </w:rPr>
        <w:t xml:space="preserve"> circumstances, s</w:t>
      </w:r>
      <w:r w:rsidR="005153F8" w:rsidRPr="0085138F">
        <w:rPr>
          <w:sz w:val="24"/>
        </w:rPr>
        <w:t>taff supports mitigating the assessed penalty</w:t>
      </w:r>
      <w:r w:rsidR="001B5293">
        <w:rPr>
          <w:sz w:val="24"/>
        </w:rPr>
        <w:t xml:space="preserve"> </w:t>
      </w:r>
      <w:r w:rsidR="005153F8" w:rsidRPr="0085138F">
        <w:rPr>
          <w:sz w:val="24"/>
        </w:rPr>
        <w:t xml:space="preserve">from </w:t>
      </w:r>
      <w:sdt>
        <w:sdtPr>
          <w:rPr>
            <w:sz w:val="24"/>
          </w:rPr>
          <w:id w:val="919063946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$2</w:t>
          </w:r>
          <w:r w:rsidR="001B5293">
            <w:rPr>
              <w:sz w:val="24"/>
            </w:rPr>
            <w:t>,100</w:t>
          </w:r>
        </w:sdtContent>
      </w:sdt>
      <w:r w:rsidR="005153F8" w:rsidRPr="0085138F">
        <w:rPr>
          <w:sz w:val="24"/>
        </w:rPr>
        <w:t xml:space="preserve"> to </w:t>
      </w:r>
      <w:r w:rsidR="001F401D" w:rsidRPr="0085138F">
        <w:rPr>
          <w:sz w:val="24"/>
        </w:rPr>
        <w:t>$</w:t>
      </w:r>
      <w:sdt>
        <w:sdtPr>
          <w:rPr>
            <w:sz w:val="24"/>
          </w:rPr>
          <w:id w:val="-1506047478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1</w:t>
          </w:r>
          <w:r w:rsidR="005A0FFB">
            <w:rPr>
              <w:sz w:val="24"/>
            </w:rPr>
            <w:t>,</w:t>
          </w:r>
          <w:r w:rsidR="001B5293">
            <w:rPr>
              <w:sz w:val="24"/>
            </w:rPr>
            <w:t>050</w:t>
          </w:r>
        </w:sdtContent>
      </w:sdt>
      <w:r w:rsidR="001C6F09">
        <w:rPr>
          <w:sz w:val="24"/>
        </w:rPr>
        <w:t xml:space="preserve">, which represents a 50 percent reduction </w:t>
      </w:r>
      <w:r w:rsidR="00865832">
        <w:rPr>
          <w:sz w:val="24"/>
        </w:rPr>
        <w:t xml:space="preserve">because this is </w:t>
      </w:r>
      <w:r w:rsidR="00F77CE8">
        <w:rPr>
          <w:sz w:val="24"/>
        </w:rPr>
        <w:t>Always Able Moving Service</w:t>
      </w:r>
      <w:r w:rsidR="00F77CE8" w:rsidRPr="00AF0284">
        <w:rPr>
          <w:sz w:val="24"/>
        </w:rPr>
        <w:t>,</w:t>
      </w:r>
      <w:r w:rsidR="00F77CE8">
        <w:rPr>
          <w:sz w:val="24"/>
        </w:rPr>
        <w:t xml:space="preserve"> LLC</w:t>
      </w:r>
      <w:r w:rsidR="00BB2532">
        <w:rPr>
          <w:sz w:val="24"/>
        </w:rPr>
        <w:t>’s</w:t>
      </w:r>
      <w:r w:rsidR="001C6F09">
        <w:rPr>
          <w:sz w:val="24"/>
        </w:rPr>
        <w:t xml:space="preserve"> first late filing.</w:t>
      </w:r>
    </w:p>
    <w:p w:rsidR="00127C04" w:rsidRDefault="00127C04" w:rsidP="0085138F">
      <w:pPr>
        <w:widowControl/>
        <w:autoSpaceDE/>
        <w:autoSpaceDN/>
        <w:adjustRightInd/>
        <w:rPr>
          <w:sz w:val="24"/>
        </w:rPr>
      </w:pPr>
    </w:p>
    <w:p w:rsidR="00592856" w:rsidRPr="0085138F" w:rsidRDefault="00327663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Investigator, at (360) 664-1105, or at </w:t>
      </w:r>
      <w:hyperlink r:id="rId9" w:history="1">
        <w:r>
          <w:rPr>
            <w:rStyle w:val="Hyperlink"/>
            <w:sz w:val="24"/>
          </w:rPr>
          <w:t>mperkinson@utc.wa.gov</w:t>
        </w:r>
      </w:hyperlink>
      <w:r>
        <w:rPr>
          <w:sz w:val="24"/>
        </w:rPr>
        <w:t>.</w:t>
      </w:r>
      <w:r w:rsidR="00697867" w:rsidRPr="0085138F">
        <w:rPr>
          <w:sz w:val="24"/>
        </w:rPr>
        <w:t xml:space="preserve"> </w:t>
      </w:r>
      <w:r w:rsidR="00592856" w:rsidRPr="0085138F">
        <w:rPr>
          <w:sz w:val="24"/>
        </w:rPr>
        <w:t xml:space="preserve"> </w:t>
      </w:r>
    </w:p>
    <w:p w:rsidR="002F3753" w:rsidRDefault="002F3753" w:rsidP="00317D57">
      <w:pPr>
        <w:widowControl/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  <w:r w:rsidRPr="00AF0284">
        <w:rPr>
          <w:sz w:val="24"/>
        </w:rPr>
        <w:t>Sincerely,</w:t>
      </w:r>
    </w:p>
    <w:p w:rsidR="00A66F7E" w:rsidRPr="00AF0284" w:rsidRDefault="00A66F7E" w:rsidP="00317D57">
      <w:pPr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</w:p>
    <w:p w:rsidR="00594B2E" w:rsidRPr="00AF0284" w:rsidRDefault="00594B2E" w:rsidP="00317D57">
      <w:pPr>
        <w:rPr>
          <w:sz w:val="24"/>
        </w:rPr>
      </w:pPr>
    </w:p>
    <w:p w:rsidR="00A66F7E" w:rsidRPr="00AF0284" w:rsidRDefault="00697867" w:rsidP="00317D57">
      <w:pPr>
        <w:rPr>
          <w:sz w:val="24"/>
        </w:rPr>
      </w:pPr>
      <w:r w:rsidRPr="00AF0284">
        <w:rPr>
          <w:sz w:val="24"/>
        </w:rPr>
        <w:t>Sharon Wallace</w:t>
      </w:r>
      <w:r w:rsidR="00753FDF" w:rsidRPr="00AF0284">
        <w:rPr>
          <w:sz w:val="24"/>
        </w:rPr>
        <w:t>, Assistant Director</w:t>
      </w:r>
    </w:p>
    <w:p w:rsidR="00A66F7E" w:rsidRDefault="00697867" w:rsidP="00317D57">
      <w:pPr>
        <w:rPr>
          <w:sz w:val="24"/>
        </w:rPr>
      </w:pPr>
      <w:r w:rsidRPr="00AF0284">
        <w:rPr>
          <w:sz w:val="24"/>
        </w:rPr>
        <w:t>Consumer Protection</w:t>
      </w:r>
      <w:r w:rsidR="00753FDF" w:rsidRPr="00AF0284">
        <w:rPr>
          <w:sz w:val="24"/>
        </w:rPr>
        <w:t xml:space="preserve"> and Communications</w:t>
      </w:r>
    </w:p>
    <w:p w:rsidR="00074494" w:rsidRDefault="00074494" w:rsidP="00317D57">
      <w:pPr>
        <w:widowControl/>
        <w:autoSpaceDE/>
        <w:autoSpaceDN/>
        <w:adjustRightInd/>
        <w:rPr>
          <w:sz w:val="24"/>
        </w:rPr>
      </w:pPr>
    </w:p>
    <w:p w:rsidR="006D7C64" w:rsidRDefault="006D7C64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91355F" w:rsidRDefault="0091355F" w:rsidP="0091355F">
      <w:pPr>
        <w:widowControl/>
        <w:autoSpaceDE/>
        <w:autoSpaceDN/>
        <w:adjustRightInd/>
        <w:jc w:val="center"/>
        <w:rPr>
          <w:b/>
          <w:sz w:val="24"/>
        </w:rPr>
      </w:pPr>
      <w:r w:rsidRPr="00EC09A8">
        <w:rPr>
          <w:b/>
          <w:sz w:val="24"/>
        </w:rPr>
        <w:lastRenderedPageBreak/>
        <w:t>Attachment A</w:t>
      </w:r>
    </w:p>
    <w:p w:rsidR="00EF46F3" w:rsidRDefault="00565A97" w:rsidP="00EC09A8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132146" cy="79248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10" cy="79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F3" w:rsidRDefault="00EF46F3" w:rsidP="00ED67D5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Attachment B</w:t>
      </w:r>
    </w:p>
    <w:p w:rsidR="00EF46F3" w:rsidRDefault="00EF46F3" w:rsidP="00EC09A8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87143" cy="777051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40" cy="777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8" w:rsidRDefault="00EF46F3" w:rsidP="00EC09A8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631180" cy="72771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9A8">
        <w:rPr>
          <w:b/>
          <w:sz w:val="24"/>
        </w:rPr>
        <w:br w:type="page"/>
      </w:r>
      <w:r>
        <w:rPr>
          <w:b/>
          <w:sz w:val="24"/>
        </w:rPr>
        <w:lastRenderedPageBreak/>
        <w:t>Attachment C</w:t>
      </w:r>
    </w:p>
    <w:p w:rsidR="00EC09A8" w:rsidRPr="00EC09A8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19750" cy="729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562600" cy="727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5F" w:rsidRPr="00965D8E" w:rsidRDefault="00EC09A8" w:rsidP="00965D8E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0559B4DC" wp14:editId="5D7C0249">
            <wp:extent cx="5600700" cy="73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5F">
        <w:rPr>
          <w:sz w:val="24"/>
        </w:rPr>
        <w:br w:type="page"/>
      </w:r>
      <w:r w:rsidR="00965D8E">
        <w:rPr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1F1C957F" wp14:editId="269FEE73">
            <wp:simplePos x="0" y="0"/>
            <wp:positionH relativeFrom="column">
              <wp:posOffset>-47625</wp:posOffset>
            </wp:positionH>
            <wp:positionV relativeFrom="paragraph">
              <wp:posOffset>291465</wp:posOffset>
            </wp:positionV>
            <wp:extent cx="6353175" cy="8318500"/>
            <wp:effectExtent l="0" t="0" r="9525" b="6350"/>
            <wp:wrapThrough wrapText="bothSides">
              <wp:wrapPolygon edited="0">
                <wp:start x="0" y="0"/>
                <wp:lineTo x="0" y="21567"/>
                <wp:lineTo x="21568" y="21567"/>
                <wp:lineTo x="215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F3">
        <w:rPr>
          <w:b/>
          <w:sz w:val="24"/>
        </w:rPr>
        <w:t>Attachment D</w:t>
      </w:r>
    </w:p>
    <w:sectPr w:rsidR="0091355F" w:rsidRPr="00965D8E" w:rsidSect="00B818FB">
      <w:headerReference w:type="default" r:id="rId17"/>
      <w:footerReference w:type="even" r:id="rId18"/>
      <w:endnotePr>
        <w:numFmt w:val="decimal"/>
      </w:endnotePr>
      <w:pgSz w:w="12240" w:h="15840"/>
      <w:pgMar w:top="1440" w:right="1440" w:bottom="1440" w:left="1872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6F" w:rsidRDefault="00A1696F">
      <w:r>
        <w:separator/>
      </w:r>
    </w:p>
  </w:endnote>
  <w:endnote w:type="continuationSeparator" w:id="0">
    <w:p w:rsidR="00A1696F" w:rsidRDefault="00A1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6F" w:rsidRDefault="00A1696F">
      <w:r>
        <w:separator/>
      </w:r>
    </w:p>
  </w:footnote>
  <w:footnote w:type="continuationSeparator" w:id="0">
    <w:p w:rsidR="00A1696F" w:rsidRDefault="00A1696F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1355F">
        <w:t xml:space="preserve"> A</w:t>
      </w:r>
      <w:r w:rsidRPr="00F663EC">
        <w:t xml:space="preserve"> </w:t>
      </w:r>
      <w:r w:rsidRPr="00A92F44">
        <w:t>for</w:t>
      </w:r>
      <w:r w:rsidR="00917BBC">
        <w:t xml:space="preserve"> a copy of</w:t>
      </w:r>
      <w:r w:rsidRPr="00A92F44">
        <w:t xml:space="preserve"> </w:t>
      </w:r>
      <w:r w:rsidR="00430154" w:rsidRPr="00430154">
        <w:t>Always Able Moving Service, LLC</w:t>
      </w:r>
      <w:r w:rsidR="00F663EC" w:rsidRPr="00430154">
        <w:t xml:space="preserve"> </w:t>
      </w:r>
      <w:r w:rsidRPr="00430154">
        <w:t>Mitigation</w:t>
      </w:r>
      <w:r w:rsidR="009F4302" w:rsidRPr="00430154">
        <w:t xml:space="preserve"> Request</w:t>
      </w:r>
      <w:r w:rsidRPr="00F663EC">
        <w:t>.</w:t>
      </w:r>
    </w:p>
  </w:footnote>
  <w:footnote w:id="2">
    <w:p w:rsidR="00EF46F3" w:rsidRDefault="00EF46F3">
      <w:pPr>
        <w:pStyle w:val="FootnoteText"/>
      </w:pPr>
      <w:r>
        <w:rPr>
          <w:rStyle w:val="FootnoteReference"/>
        </w:rPr>
        <w:footnoteRef/>
      </w:r>
      <w:r>
        <w:t xml:space="preserve"> See attachment B for a copy of Always Able Moving Service, LLC written statement received August 22, 2012.</w:t>
      </w:r>
    </w:p>
  </w:footnote>
  <w:footnote w:id="3">
    <w:p w:rsidR="00EC09A8" w:rsidRPr="00EC09A8" w:rsidRDefault="00EC09A8" w:rsidP="00EC09A8">
      <w:pPr>
        <w:rPr>
          <w:sz w:val="24"/>
        </w:rPr>
      </w:pPr>
      <w:r>
        <w:rPr>
          <w:rStyle w:val="FootnoteReference"/>
        </w:rPr>
        <w:footnoteRef/>
      </w:r>
      <w:r w:rsidR="00EF46F3">
        <w:t xml:space="preserve"> See attachment C</w:t>
      </w:r>
      <w:r>
        <w:t xml:space="preserve"> for a copy of the letter sent to all regulated companies on February 29, 2012.</w:t>
      </w:r>
    </w:p>
  </w:footnote>
  <w:footnote w:id="4">
    <w:p w:rsidR="00EC09A8" w:rsidRPr="00EC09A8" w:rsidRDefault="00EC09A8" w:rsidP="00EC09A8">
      <w:r>
        <w:rPr>
          <w:rStyle w:val="FootnoteReference"/>
        </w:rPr>
        <w:footnoteRef/>
      </w:r>
      <w:r w:rsidR="00EF46F3">
        <w:t xml:space="preserve"> See attachment D</w:t>
      </w:r>
      <w:r>
        <w:t xml:space="preserve"> for a copy of the enforcement letter sent to the company on May 15, 2012.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D5" w:rsidRDefault="00ED67D5" w:rsidP="00ED67D5">
    <w:pPr>
      <w:pStyle w:val="Header"/>
    </w:pPr>
    <w:r>
      <w:t>UTC Annual Reports</w:t>
    </w:r>
  </w:p>
  <w:p w:rsidR="00ED67D5" w:rsidRDefault="00ED67D5" w:rsidP="00ED67D5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C21142">
      <w:rPr>
        <w:noProof/>
      </w:rPr>
      <w:t>September 28, 2012</w:t>
    </w:r>
    <w:r>
      <w:fldChar w:fldCharType="end"/>
    </w:r>
  </w:p>
  <w:p w:rsidR="00ED67D5" w:rsidRDefault="00ED67D5" w:rsidP="00ED67D5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1142">
      <w:rPr>
        <w:noProof/>
      </w:rPr>
      <w:t>2</w:t>
    </w:r>
    <w:r>
      <w:rPr>
        <w:noProof/>
      </w:rPr>
      <w:fldChar w:fldCharType="end"/>
    </w:r>
  </w:p>
  <w:p w:rsidR="00ED67D5" w:rsidRDefault="00ED6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E12595"/>
    <w:multiLevelType w:val="hybridMultilevel"/>
    <w:tmpl w:val="344EF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BD2ED1"/>
    <w:multiLevelType w:val="hybridMultilevel"/>
    <w:tmpl w:val="E6F4CEA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B6754"/>
    <w:multiLevelType w:val="hybridMultilevel"/>
    <w:tmpl w:val="C20CE7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8"/>
  </w:num>
  <w:num w:numId="3">
    <w:abstractNumId w:val="22"/>
  </w:num>
  <w:num w:numId="4">
    <w:abstractNumId w:val="4"/>
  </w:num>
  <w:num w:numId="5">
    <w:abstractNumId w:val="30"/>
  </w:num>
  <w:num w:numId="6">
    <w:abstractNumId w:val="7"/>
  </w:num>
  <w:num w:numId="7">
    <w:abstractNumId w:val="29"/>
  </w:num>
  <w:num w:numId="8">
    <w:abstractNumId w:val="27"/>
  </w:num>
  <w:num w:numId="9">
    <w:abstractNumId w:val="13"/>
  </w:num>
  <w:num w:numId="10">
    <w:abstractNumId w:val="25"/>
  </w:num>
  <w:num w:numId="11">
    <w:abstractNumId w:val="34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8"/>
  </w:num>
  <w:num w:numId="18">
    <w:abstractNumId w:val="31"/>
  </w:num>
  <w:num w:numId="19">
    <w:abstractNumId w:val="17"/>
  </w:num>
  <w:num w:numId="20">
    <w:abstractNumId w:val="14"/>
  </w:num>
  <w:num w:numId="21">
    <w:abstractNumId w:val="36"/>
  </w:num>
  <w:num w:numId="22">
    <w:abstractNumId w:val="33"/>
  </w:num>
  <w:num w:numId="23">
    <w:abstractNumId w:val="26"/>
  </w:num>
  <w:num w:numId="24">
    <w:abstractNumId w:val="20"/>
  </w:num>
  <w:num w:numId="25">
    <w:abstractNumId w:val="23"/>
  </w:num>
  <w:num w:numId="26">
    <w:abstractNumId w:val="2"/>
  </w:num>
  <w:num w:numId="27">
    <w:abstractNumId w:val="37"/>
  </w:num>
  <w:num w:numId="28">
    <w:abstractNumId w:val="1"/>
  </w:num>
  <w:num w:numId="29">
    <w:abstractNumId w:val="16"/>
  </w:num>
  <w:num w:numId="30">
    <w:abstractNumId w:val="35"/>
  </w:num>
  <w:num w:numId="31">
    <w:abstractNumId w:val="8"/>
  </w:num>
  <w:num w:numId="32">
    <w:abstractNumId w:val="5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32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73D9C"/>
    <w:rsid w:val="00074494"/>
    <w:rsid w:val="00074507"/>
    <w:rsid w:val="000805BF"/>
    <w:rsid w:val="00087C76"/>
    <w:rsid w:val="00090270"/>
    <w:rsid w:val="000977E9"/>
    <w:rsid w:val="000B18FE"/>
    <w:rsid w:val="000C299C"/>
    <w:rsid w:val="000C7A44"/>
    <w:rsid w:val="000C7C1B"/>
    <w:rsid w:val="000D573F"/>
    <w:rsid w:val="000D60D3"/>
    <w:rsid w:val="000E0AB5"/>
    <w:rsid w:val="000F4966"/>
    <w:rsid w:val="00110E73"/>
    <w:rsid w:val="0011131F"/>
    <w:rsid w:val="00127C04"/>
    <w:rsid w:val="0014321F"/>
    <w:rsid w:val="00144041"/>
    <w:rsid w:val="00147462"/>
    <w:rsid w:val="0015281C"/>
    <w:rsid w:val="001546D4"/>
    <w:rsid w:val="00163C57"/>
    <w:rsid w:val="00167CF8"/>
    <w:rsid w:val="00177F39"/>
    <w:rsid w:val="0019770A"/>
    <w:rsid w:val="001A22BA"/>
    <w:rsid w:val="001A5736"/>
    <w:rsid w:val="001B5293"/>
    <w:rsid w:val="001B650B"/>
    <w:rsid w:val="001C6F09"/>
    <w:rsid w:val="001C7254"/>
    <w:rsid w:val="001C7FEB"/>
    <w:rsid w:val="001F401D"/>
    <w:rsid w:val="002037F2"/>
    <w:rsid w:val="00206183"/>
    <w:rsid w:val="00236A9E"/>
    <w:rsid w:val="002522C8"/>
    <w:rsid w:val="00255454"/>
    <w:rsid w:val="00260983"/>
    <w:rsid w:val="002738A9"/>
    <w:rsid w:val="00276FD5"/>
    <w:rsid w:val="00295126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D57"/>
    <w:rsid w:val="00321094"/>
    <w:rsid w:val="0032477C"/>
    <w:rsid w:val="00327663"/>
    <w:rsid w:val="00330108"/>
    <w:rsid w:val="00344642"/>
    <w:rsid w:val="00355D58"/>
    <w:rsid w:val="0035748E"/>
    <w:rsid w:val="0035788B"/>
    <w:rsid w:val="0036161E"/>
    <w:rsid w:val="003636F1"/>
    <w:rsid w:val="0037523D"/>
    <w:rsid w:val="00380479"/>
    <w:rsid w:val="0038227E"/>
    <w:rsid w:val="0039544A"/>
    <w:rsid w:val="003A74AC"/>
    <w:rsid w:val="003B0245"/>
    <w:rsid w:val="003B3DA0"/>
    <w:rsid w:val="003C480E"/>
    <w:rsid w:val="003C4C7D"/>
    <w:rsid w:val="003C7040"/>
    <w:rsid w:val="003D22A1"/>
    <w:rsid w:val="003E596D"/>
    <w:rsid w:val="003F284D"/>
    <w:rsid w:val="003F5F88"/>
    <w:rsid w:val="003F7AC7"/>
    <w:rsid w:val="00402A6F"/>
    <w:rsid w:val="00404CC3"/>
    <w:rsid w:val="00406B1C"/>
    <w:rsid w:val="00407E1B"/>
    <w:rsid w:val="00420CCE"/>
    <w:rsid w:val="004214B2"/>
    <w:rsid w:val="00430154"/>
    <w:rsid w:val="00431F46"/>
    <w:rsid w:val="00434726"/>
    <w:rsid w:val="0043712B"/>
    <w:rsid w:val="0046242E"/>
    <w:rsid w:val="00470FAF"/>
    <w:rsid w:val="00471FE2"/>
    <w:rsid w:val="004867DE"/>
    <w:rsid w:val="004A3679"/>
    <w:rsid w:val="004C0E1B"/>
    <w:rsid w:val="004D4418"/>
    <w:rsid w:val="004F1325"/>
    <w:rsid w:val="004F21C7"/>
    <w:rsid w:val="00506C8E"/>
    <w:rsid w:val="0050745E"/>
    <w:rsid w:val="0051039C"/>
    <w:rsid w:val="005131F0"/>
    <w:rsid w:val="00513AEF"/>
    <w:rsid w:val="005153F8"/>
    <w:rsid w:val="00522B27"/>
    <w:rsid w:val="00523F00"/>
    <w:rsid w:val="00535D9E"/>
    <w:rsid w:val="00536FDA"/>
    <w:rsid w:val="00537493"/>
    <w:rsid w:val="00540228"/>
    <w:rsid w:val="00554AC7"/>
    <w:rsid w:val="00556752"/>
    <w:rsid w:val="00557ACB"/>
    <w:rsid w:val="00557EFD"/>
    <w:rsid w:val="00565A97"/>
    <w:rsid w:val="00571D8A"/>
    <w:rsid w:val="00572742"/>
    <w:rsid w:val="0057297F"/>
    <w:rsid w:val="0057591E"/>
    <w:rsid w:val="00592856"/>
    <w:rsid w:val="00594B2E"/>
    <w:rsid w:val="005A0FFB"/>
    <w:rsid w:val="005A3B33"/>
    <w:rsid w:val="005C3E22"/>
    <w:rsid w:val="005C400A"/>
    <w:rsid w:val="005E4A42"/>
    <w:rsid w:val="006203B6"/>
    <w:rsid w:val="00633CD6"/>
    <w:rsid w:val="00635704"/>
    <w:rsid w:val="00661C11"/>
    <w:rsid w:val="00666381"/>
    <w:rsid w:val="00674EB9"/>
    <w:rsid w:val="0067671D"/>
    <w:rsid w:val="00685A72"/>
    <w:rsid w:val="006867B7"/>
    <w:rsid w:val="006964E7"/>
    <w:rsid w:val="00697867"/>
    <w:rsid w:val="006A60C7"/>
    <w:rsid w:val="006A7C3F"/>
    <w:rsid w:val="006B0838"/>
    <w:rsid w:val="006B2925"/>
    <w:rsid w:val="006B4575"/>
    <w:rsid w:val="006C2C85"/>
    <w:rsid w:val="006C6F81"/>
    <w:rsid w:val="006D7C64"/>
    <w:rsid w:val="006F35BE"/>
    <w:rsid w:val="006F39CE"/>
    <w:rsid w:val="0070508E"/>
    <w:rsid w:val="00705704"/>
    <w:rsid w:val="00706955"/>
    <w:rsid w:val="007076EF"/>
    <w:rsid w:val="00730807"/>
    <w:rsid w:val="00736E96"/>
    <w:rsid w:val="00737B2A"/>
    <w:rsid w:val="00742F46"/>
    <w:rsid w:val="00752F7A"/>
    <w:rsid w:val="00753FDF"/>
    <w:rsid w:val="00755539"/>
    <w:rsid w:val="00774465"/>
    <w:rsid w:val="007B1E4C"/>
    <w:rsid w:val="007C6DB2"/>
    <w:rsid w:val="007D29A9"/>
    <w:rsid w:val="007D548E"/>
    <w:rsid w:val="007E7C1D"/>
    <w:rsid w:val="007E7DE7"/>
    <w:rsid w:val="007F6609"/>
    <w:rsid w:val="008152E6"/>
    <w:rsid w:val="00817398"/>
    <w:rsid w:val="008235DC"/>
    <w:rsid w:val="00824945"/>
    <w:rsid w:val="0082767B"/>
    <w:rsid w:val="008323AC"/>
    <w:rsid w:val="00833C16"/>
    <w:rsid w:val="00840003"/>
    <w:rsid w:val="0084099D"/>
    <w:rsid w:val="00844BCB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B34FB"/>
    <w:rsid w:val="008B6957"/>
    <w:rsid w:val="008C7784"/>
    <w:rsid w:val="008D2F91"/>
    <w:rsid w:val="008F20DC"/>
    <w:rsid w:val="008F43E0"/>
    <w:rsid w:val="008F7BCA"/>
    <w:rsid w:val="00905822"/>
    <w:rsid w:val="00910E08"/>
    <w:rsid w:val="0091355F"/>
    <w:rsid w:val="00913ABF"/>
    <w:rsid w:val="009153CC"/>
    <w:rsid w:val="00917BBC"/>
    <w:rsid w:val="0092134C"/>
    <w:rsid w:val="00923A62"/>
    <w:rsid w:val="009353E4"/>
    <w:rsid w:val="00935923"/>
    <w:rsid w:val="00942441"/>
    <w:rsid w:val="00954DA1"/>
    <w:rsid w:val="00961E3C"/>
    <w:rsid w:val="009636B3"/>
    <w:rsid w:val="00965D8E"/>
    <w:rsid w:val="00965FCD"/>
    <w:rsid w:val="00966499"/>
    <w:rsid w:val="00971DB2"/>
    <w:rsid w:val="00974ECF"/>
    <w:rsid w:val="00987205"/>
    <w:rsid w:val="00991994"/>
    <w:rsid w:val="009922DE"/>
    <w:rsid w:val="0099268B"/>
    <w:rsid w:val="00996774"/>
    <w:rsid w:val="009A2860"/>
    <w:rsid w:val="009B0AAA"/>
    <w:rsid w:val="009B5B89"/>
    <w:rsid w:val="009B6C5A"/>
    <w:rsid w:val="009B742F"/>
    <w:rsid w:val="009E4C80"/>
    <w:rsid w:val="009F4302"/>
    <w:rsid w:val="009F61F7"/>
    <w:rsid w:val="00A03F37"/>
    <w:rsid w:val="00A1380D"/>
    <w:rsid w:val="00A1696F"/>
    <w:rsid w:val="00A30841"/>
    <w:rsid w:val="00A31264"/>
    <w:rsid w:val="00A34460"/>
    <w:rsid w:val="00A46AC9"/>
    <w:rsid w:val="00A61D77"/>
    <w:rsid w:val="00A6574F"/>
    <w:rsid w:val="00A66F7E"/>
    <w:rsid w:val="00A70741"/>
    <w:rsid w:val="00A70E91"/>
    <w:rsid w:val="00A71739"/>
    <w:rsid w:val="00A72591"/>
    <w:rsid w:val="00A812D2"/>
    <w:rsid w:val="00A92F44"/>
    <w:rsid w:val="00A96A2B"/>
    <w:rsid w:val="00AA5940"/>
    <w:rsid w:val="00AB39C8"/>
    <w:rsid w:val="00AB7EAF"/>
    <w:rsid w:val="00AC7847"/>
    <w:rsid w:val="00AD0E85"/>
    <w:rsid w:val="00AD499D"/>
    <w:rsid w:val="00AF0284"/>
    <w:rsid w:val="00AF3357"/>
    <w:rsid w:val="00AF5EB3"/>
    <w:rsid w:val="00B0069D"/>
    <w:rsid w:val="00B165DE"/>
    <w:rsid w:val="00B23F76"/>
    <w:rsid w:val="00B3577A"/>
    <w:rsid w:val="00B40321"/>
    <w:rsid w:val="00B46D62"/>
    <w:rsid w:val="00B76F8A"/>
    <w:rsid w:val="00B818FB"/>
    <w:rsid w:val="00B822A2"/>
    <w:rsid w:val="00B82D81"/>
    <w:rsid w:val="00B865BA"/>
    <w:rsid w:val="00BA162F"/>
    <w:rsid w:val="00BB1839"/>
    <w:rsid w:val="00BB18EC"/>
    <w:rsid w:val="00BB2532"/>
    <w:rsid w:val="00BC69AE"/>
    <w:rsid w:val="00BC7852"/>
    <w:rsid w:val="00BD5959"/>
    <w:rsid w:val="00BE52CC"/>
    <w:rsid w:val="00BF285A"/>
    <w:rsid w:val="00C0038D"/>
    <w:rsid w:val="00C036E3"/>
    <w:rsid w:val="00C05429"/>
    <w:rsid w:val="00C11D18"/>
    <w:rsid w:val="00C17E0F"/>
    <w:rsid w:val="00C21142"/>
    <w:rsid w:val="00C21751"/>
    <w:rsid w:val="00C259C8"/>
    <w:rsid w:val="00C64CE0"/>
    <w:rsid w:val="00C86876"/>
    <w:rsid w:val="00CA14F2"/>
    <w:rsid w:val="00CA27EC"/>
    <w:rsid w:val="00CA40A2"/>
    <w:rsid w:val="00CB7E4A"/>
    <w:rsid w:val="00CD3B0A"/>
    <w:rsid w:val="00CE5772"/>
    <w:rsid w:val="00CE5EF9"/>
    <w:rsid w:val="00D0697C"/>
    <w:rsid w:val="00D10C46"/>
    <w:rsid w:val="00D136BF"/>
    <w:rsid w:val="00D227E6"/>
    <w:rsid w:val="00D23C03"/>
    <w:rsid w:val="00D40BD0"/>
    <w:rsid w:val="00D64775"/>
    <w:rsid w:val="00D673E0"/>
    <w:rsid w:val="00D67DCD"/>
    <w:rsid w:val="00D7306A"/>
    <w:rsid w:val="00D86216"/>
    <w:rsid w:val="00D9208A"/>
    <w:rsid w:val="00D94497"/>
    <w:rsid w:val="00DB07DC"/>
    <w:rsid w:val="00DB7603"/>
    <w:rsid w:val="00DC2570"/>
    <w:rsid w:val="00DC6DB7"/>
    <w:rsid w:val="00DD5507"/>
    <w:rsid w:val="00DE19F4"/>
    <w:rsid w:val="00DF72B2"/>
    <w:rsid w:val="00DF793D"/>
    <w:rsid w:val="00E1140B"/>
    <w:rsid w:val="00E13739"/>
    <w:rsid w:val="00E15C28"/>
    <w:rsid w:val="00E21457"/>
    <w:rsid w:val="00E22515"/>
    <w:rsid w:val="00E23BE6"/>
    <w:rsid w:val="00E26FBE"/>
    <w:rsid w:val="00E428EC"/>
    <w:rsid w:val="00E42F9F"/>
    <w:rsid w:val="00E4724F"/>
    <w:rsid w:val="00E5129E"/>
    <w:rsid w:val="00E51FE7"/>
    <w:rsid w:val="00E6415C"/>
    <w:rsid w:val="00E70D36"/>
    <w:rsid w:val="00E77982"/>
    <w:rsid w:val="00EA51BF"/>
    <w:rsid w:val="00EB437A"/>
    <w:rsid w:val="00EB5C48"/>
    <w:rsid w:val="00EC09A8"/>
    <w:rsid w:val="00EC77E9"/>
    <w:rsid w:val="00ED67D5"/>
    <w:rsid w:val="00ED6A38"/>
    <w:rsid w:val="00EE2E54"/>
    <w:rsid w:val="00EF46F3"/>
    <w:rsid w:val="00F03AC5"/>
    <w:rsid w:val="00F3107B"/>
    <w:rsid w:val="00F52B2B"/>
    <w:rsid w:val="00F663EC"/>
    <w:rsid w:val="00F67013"/>
    <w:rsid w:val="00F71FF1"/>
    <w:rsid w:val="00F77CE8"/>
    <w:rsid w:val="00F9687F"/>
    <w:rsid w:val="00FA522F"/>
    <w:rsid w:val="00FA6B9B"/>
    <w:rsid w:val="00FB2C14"/>
    <w:rsid w:val="00FC1EA0"/>
    <w:rsid w:val="00FD4470"/>
    <w:rsid w:val="00FD602C"/>
    <w:rsid w:val="00FE08F0"/>
    <w:rsid w:val="00FE6A7B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customXml" Target="../customXml/item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image" Target="media/image5.png"/><Relationship Id="rId2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56F7005E654547DEA425E49300B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777F-478F-4494-9A34-CD4338D20A1D}"/>
      </w:docPartPr>
      <w:docPartBody>
        <w:p w:rsidR="008D1B94" w:rsidRDefault="007B388F" w:rsidP="007B388F">
          <w:pPr>
            <w:pStyle w:val="56F7005E654547DEA425E49300B7FC72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7C3735300B754F58A9A31DAA0224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0F10-74B3-43C3-A365-F9F1667D5A40}"/>
      </w:docPartPr>
      <w:docPartBody>
        <w:p w:rsidR="006B3E1F" w:rsidRDefault="005405E5" w:rsidP="005405E5">
          <w:pPr>
            <w:pStyle w:val="7C3735300B754F58A9A31DAA0224319C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DD836BBACF26491EA0EFE86A9EA4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B54C-A502-49D8-9457-6C93D7636DF9}"/>
      </w:docPartPr>
      <w:docPartBody>
        <w:p w:rsidR="00166EBE" w:rsidRDefault="00423DBD" w:rsidP="00423DBD">
          <w:pPr>
            <w:pStyle w:val="DD836BBACF26491EA0EFE86A9EA40153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47F66"/>
    <w:rsid w:val="00062F0F"/>
    <w:rsid w:val="000D1E3A"/>
    <w:rsid w:val="00131BFC"/>
    <w:rsid w:val="00166EBE"/>
    <w:rsid w:val="00242183"/>
    <w:rsid w:val="002470D1"/>
    <w:rsid w:val="00324B18"/>
    <w:rsid w:val="003541F5"/>
    <w:rsid w:val="00392084"/>
    <w:rsid w:val="00423DBD"/>
    <w:rsid w:val="00487004"/>
    <w:rsid w:val="0053605C"/>
    <w:rsid w:val="005405E5"/>
    <w:rsid w:val="005D2FDC"/>
    <w:rsid w:val="00693987"/>
    <w:rsid w:val="006B3E1F"/>
    <w:rsid w:val="006F4BFF"/>
    <w:rsid w:val="00701032"/>
    <w:rsid w:val="0075464D"/>
    <w:rsid w:val="0078284A"/>
    <w:rsid w:val="007B388F"/>
    <w:rsid w:val="00812799"/>
    <w:rsid w:val="00812E14"/>
    <w:rsid w:val="008151A1"/>
    <w:rsid w:val="0084039E"/>
    <w:rsid w:val="0088690D"/>
    <w:rsid w:val="008D1B94"/>
    <w:rsid w:val="00937305"/>
    <w:rsid w:val="00BC0138"/>
    <w:rsid w:val="00BF5E02"/>
    <w:rsid w:val="00CA1F07"/>
    <w:rsid w:val="00D11121"/>
    <w:rsid w:val="00D72328"/>
    <w:rsid w:val="00D801DE"/>
    <w:rsid w:val="00D901BA"/>
    <w:rsid w:val="00DA0D37"/>
    <w:rsid w:val="00DA3979"/>
    <w:rsid w:val="00DE2F56"/>
    <w:rsid w:val="00E2760E"/>
    <w:rsid w:val="00E33CB4"/>
    <w:rsid w:val="00E66C6F"/>
    <w:rsid w:val="00EC584B"/>
    <w:rsid w:val="00EE7D49"/>
    <w:rsid w:val="00EF4FD4"/>
    <w:rsid w:val="00F422FC"/>
    <w:rsid w:val="00F766B2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DBD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DD836BBACF26491EA0EFE86A9EA40153">
    <w:name w:val="DD836BBACF26491EA0EFE86A9EA40153"/>
    <w:rsid w:val="00423D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DBD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DD836BBACF26491EA0EFE86A9EA40153">
    <w:name w:val="DD836BBACF26491EA0EFE86A9EA40153"/>
    <w:rsid w:val="004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D7823F21986D42BCE1D4CB53D24018" ma:contentTypeVersion="139" ma:contentTypeDescription="" ma:contentTypeScope="" ma:versionID="b739eb64aba20d5d33ab5c874fe46c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Always Able Moving Service, LLC</CaseCompanyNames>
    <DocketNumber xmlns="dc463f71-b30c-4ab2-9473-d307f9d35888">120910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BA63CD-25EB-4783-A3AC-1ADC1A7703BE}"/>
</file>

<file path=customXml/itemProps2.xml><?xml version="1.0" encoding="utf-8"?>
<ds:datastoreItem xmlns:ds="http://schemas.openxmlformats.org/officeDocument/2006/customXml" ds:itemID="{A9F83061-59EA-491B-A7DB-A11E23D0ADFA}"/>
</file>

<file path=customXml/itemProps3.xml><?xml version="1.0" encoding="utf-8"?>
<ds:datastoreItem xmlns:ds="http://schemas.openxmlformats.org/officeDocument/2006/customXml" ds:itemID="{260D4F1C-98E1-49E4-8C17-F64FDF144757}"/>
</file>

<file path=customXml/itemProps4.xml><?xml version="1.0" encoding="utf-8"?>
<ds:datastoreItem xmlns:ds="http://schemas.openxmlformats.org/officeDocument/2006/customXml" ds:itemID="{E330AD9A-ED41-4EC7-9783-C6E55338CB70}"/>
</file>

<file path=customXml/itemProps5.xml><?xml version="1.0" encoding="utf-8"?>
<ds:datastoreItem xmlns:ds="http://schemas.openxmlformats.org/officeDocument/2006/customXml" ds:itemID="{88F891C0-8E54-4354-A12F-0D3A85071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10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104</cp:revision>
  <cp:lastPrinted>2012-09-28T21:17:00Z</cp:lastPrinted>
  <dcterms:created xsi:type="dcterms:W3CDTF">2012-07-23T19:55:00Z</dcterms:created>
  <dcterms:modified xsi:type="dcterms:W3CDTF">2012-09-28T22:24:00Z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0x0101006E56B4D1795A2E4DB2F0B01679ED314A00D1D7823F21986D42BCE1D4CB53D24018</vt:lpwstr>
  </property>
  <property fmtid="{D5CDD505-2E9C-101B-9397-08002B2CF9AE}" pid="3" name="_docset_NoMedatataSyncRequired">
    <vt:lpwstr>False</vt:lpwstr>
  </property>
</Properties>
</file>