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041" w:rsidRPr="004E6041" w:rsidRDefault="004E6041" w:rsidP="004A4970">
      <w:pPr>
        <w:spacing w:after="0" w:line="264" w:lineRule="auto"/>
        <w:jc w:val="center"/>
        <w:rPr>
          <w:rFonts w:eastAsia="Times New Roman"/>
          <w:b/>
          <w:bCs/>
        </w:rPr>
      </w:pPr>
      <w:r w:rsidRPr="004E6041">
        <w:rPr>
          <w:rFonts w:eastAsia="Times New Roman"/>
          <w:b/>
          <w:bCs/>
        </w:rPr>
        <w:t>BEFORE THE WASHINGTON</w:t>
      </w:r>
    </w:p>
    <w:p w:rsidR="004E6041" w:rsidRPr="004E6041" w:rsidRDefault="004E6041" w:rsidP="004A4970">
      <w:pPr>
        <w:spacing w:after="0" w:line="264" w:lineRule="auto"/>
        <w:jc w:val="center"/>
        <w:rPr>
          <w:rFonts w:eastAsia="Times New Roman"/>
          <w:b/>
          <w:bCs/>
        </w:rPr>
      </w:pPr>
      <w:r w:rsidRPr="004E6041">
        <w:rPr>
          <w:rFonts w:eastAsia="Times New Roman"/>
          <w:b/>
          <w:bCs/>
        </w:rPr>
        <w:t>UTILITIES AND TRANSPORTATION COMMISSION</w:t>
      </w:r>
    </w:p>
    <w:p w:rsidR="00C63BA2" w:rsidRDefault="00C63BA2" w:rsidP="00827ABE">
      <w:pPr>
        <w:pStyle w:val="NoSpacing"/>
      </w:pPr>
    </w:p>
    <w:p w:rsidR="00827ABE" w:rsidRDefault="00827ABE" w:rsidP="00827ABE">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60"/>
        <w:gridCol w:w="3618"/>
      </w:tblGrid>
      <w:tr w:rsidR="00827ABE" w:rsidTr="00827ABE">
        <w:tc>
          <w:tcPr>
            <w:tcW w:w="3978" w:type="dxa"/>
          </w:tcPr>
          <w:p w:rsidR="00827ABE" w:rsidRDefault="00827ABE" w:rsidP="00827ABE">
            <w:pPr>
              <w:pStyle w:val="NoSpacing"/>
            </w:pPr>
            <w:r>
              <w:t>HARBHAJAN MANGAT,</w:t>
            </w:r>
          </w:p>
          <w:p w:rsidR="00827ABE" w:rsidRDefault="00827ABE" w:rsidP="00827ABE">
            <w:pPr>
              <w:pStyle w:val="NoSpacing"/>
            </w:pPr>
          </w:p>
          <w:p w:rsidR="00827ABE" w:rsidRDefault="00827ABE" w:rsidP="00827ABE">
            <w:pPr>
              <w:pStyle w:val="NoSpacing"/>
              <w:tabs>
                <w:tab w:val="left" w:pos="2146"/>
              </w:tabs>
            </w:pPr>
            <w:r>
              <w:tab/>
              <w:t>Complainant,</w:t>
            </w:r>
          </w:p>
          <w:p w:rsidR="00827ABE" w:rsidRDefault="00827ABE" w:rsidP="00827ABE">
            <w:pPr>
              <w:pStyle w:val="NoSpacing"/>
              <w:tabs>
                <w:tab w:val="left" w:pos="2146"/>
              </w:tabs>
            </w:pPr>
          </w:p>
          <w:p w:rsidR="00827ABE" w:rsidRDefault="00827ABE" w:rsidP="00827ABE">
            <w:pPr>
              <w:pStyle w:val="NoSpacing"/>
              <w:tabs>
                <w:tab w:val="left" w:pos="2146"/>
              </w:tabs>
            </w:pPr>
            <w:r>
              <w:t>v.</w:t>
            </w:r>
          </w:p>
          <w:p w:rsidR="00827ABE" w:rsidRDefault="00827ABE" w:rsidP="00827ABE">
            <w:pPr>
              <w:pStyle w:val="NoSpacing"/>
              <w:tabs>
                <w:tab w:val="left" w:pos="2146"/>
              </w:tabs>
            </w:pPr>
          </w:p>
          <w:p w:rsidR="00827ABE" w:rsidRDefault="00827ABE" w:rsidP="00827ABE">
            <w:pPr>
              <w:pStyle w:val="NoSpacing"/>
              <w:tabs>
                <w:tab w:val="left" w:pos="2146"/>
              </w:tabs>
            </w:pPr>
            <w:r>
              <w:t>PUGET SOUND ENERGY, INC.,</w:t>
            </w:r>
          </w:p>
          <w:p w:rsidR="00827ABE" w:rsidRDefault="00827ABE" w:rsidP="00827ABE">
            <w:pPr>
              <w:pStyle w:val="NoSpacing"/>
              <w:tabs>
                <w:tab w:val="left" w:pos="2146"/>
              </w:tabs>
            </w:pPr>
          </w:p>
          <w:p w:rsidR="00827ABE" w:rsidRDefault="00827ABE" w:rsidP="00827ABE">
            <w:pPr>
              <w:pStyle w:val="NoSpacing"/>
              <w:tabs>
                <w:tab w:val="left" w:pos="2146"/>
              </w:tabs>
            </w:pPr>
            <w:r>
              <w:tab/>
              <w:t>Respondent.</w:t>
            </w:r>
          </w:p>
          <w:p w:rsidR="00827ABE" w:rsidRDefault="00827ABE" w:rsidP="00827ABE">
            <w:pPr>
              <w:pStyle w:val="NoSpacing"/>
              <w:tabs>
                <w:tab w:val="left" w:pos="2146"/>
              </w:tabs>
            </w:pPr>
          </w:p>
          <w:p w:rsidR="00827ABE" w:rsidRDefault="00827ABE" w:rsidP="00827ABE">
            <w:pPr>
              <w:pStyle w:val="NoSpacing"/>
              <w:tabs>
                <w:tab w:val="left" w:pos="2146"/>
              </w:tabs>
            </w:pPr>
            <w:r>
              <w:t xml:space="preserve">. . . . . . . . . . . . . . . . . . . . . . . . . . . . . . </w:t>
            </w:r>
          </w:p>
        </w:tc>
        <w:tc>
          <w:tcPr>
            <w:tcW w:w="360" w:type="dxa"/>
          </w:tcPr>
          <w:p w:rsidR="00827ABE" w:rsidRDefault="00827ABE" w:rsidP="00827ABE">
            <w:pPr>
              <w:pStyle w:val="NoSpacing"/>
            </w:pPr>
            <w:r>
              <w:t>)</w:t>
            </w:r>
          </w:p>
          <w:p w:rsidR="00827ABE" w:rsidRDefault="00827ABE" w:rsidP="00827ABE">
            <w:pPr>
              <w:pStyle w:val="NoSpacing"/>
            </w:pPr>
            <w:r>
              <w:t>)</w:t>
            </w:r>
          </w:p>
          <w:p w:rsidR="00827ABE" w:rsidRDefault="00827ABE" w:rsidP="00827ABE">
            <w:pPr>
              <w:pStyle w:val="NoSpacing"/>
            </w:pPr>
            <w:r>
              <w:t>)</w:t>
            </w:r>
          </w:p>
          <w:p w:rsidR="00827ABE" w:rsidRDefault="00827ABE" w:rsidP="00827ABE">
            <w:pPr>
              <w:pStyle w:val="NoSpacing"/>
            </w:pPr>
            <w:r>
              <w:t>)</w:t>
            </w:r>
          </w:p>
          <w:p w:rsidR="00827ABE" w:rsidRDefault="00827ABE" w:rsidP="00827ABE">
            <w:pPr>
              <w:pStyle w:val="NoSpacing"/>
            </w:pPr>
            <w:r>
              <w:t>)</w:t>
            </w:r>
          </w:p>
          <w:p w:rsidR="00827ABE" w:rsidRDefault="00827ABE" w:rsidP="00827ABE">
            <w:pPr>
              <w:pStyle w:val="NoSpacing"/>
            </w:pPr>
            <w:r>
              <w:t>)</w:t>
            </w:r>
          </w:p>
          <w:p w:rsidR="00827ABE" w:rsidRDefault="00827ABE" w:rsidP="00827ABE">
            <w:pPr>
              <w:pStyle w:val="NoSpacing"/>
            </w:pPr>
            <w:r>
              <w:t>)</w:t>
            </w:r>
          </w:p>
          <w:p w:rsidR="00827ABE" w:rsidRDefault="00827ABE" w:rsidP="00827ABE">
            <w:pPr>
              <w:pStyle w:val="NoSpacing"/>
            </w:pPr>
            <w:r>
              <w:t>)</w:t>
            </w:r>
          </w:p>
          <w:p w:rsidR="00827ABE" w:rsidRDefault="00827ABE" w:rsidP="00827ABE">
            <w:pPr>
              <w:pStyle w:val="NoSpacing"/>
            </w:pPr>
            <w:r>
              <w:t>)</w:t>
            </w:r>
          </w:p>
          <w:p w:rsidR="00827ABE" w:rsidRDefault="00827ABE" w:rsidP="00827ABE">
            <w:pPr>
              <w:pStyle w:val="NoSpacing"/>
            </w:pPr>
            <w:r>
              <w:t>)</w:t>
            </w:r>
          </w:p>
          <w:p w:rsidR="00827ABE" w:rsidRDefault="00827ABE" w:rsidP="00827ABE">
            <w:pPr>
              <w:pStyle w:val="NoSpacing"/>
            </w:pPr>
            <w:r>
              <w:t>)</w:t>
            </w:r>
          </w:p>
        </w:tc>
        <w:tc>
          <w:tcPr>
            <w:tcW w:w="3618" w:type="dxa"/>
          </w:tcPr>
          <w:p w:rsidR="00827ABE" w:rsidRDefault="00827ABE" w:rsidP="00827ABE">
            <w:pPr>
              <w:pStyle w:val="NoSpacing"/>
            </w:pPr>
            <w:r>
              <w:t>DOCKET UE-120522</w:t>
            </w:r>
          </w:p>
          <w:p w:rsidR="00827ABE" w:rsidRDefault="00827ABE" w:rsidP="00827ABE">
            <w:pPr>
              <w:pStyle w:val="NoSpacing"/>
            </w:pPr>
          </w:p>
          <w:p w:rsidR="00827ABE" w:rsidRDefault="00827ABE" w:rsidP="00827ABE">
            <w:pPr>
              <w:pStyle w:val="NoSpacing"/>
            </w:pPr>
          </w:p>
          <w:p w:rsidR="00827ABE" w:rsidRDefault="00827ABE" w:rsidP="00827ABE">
            <w:pPr>
              <w:pStyle w:val="NoSpacing"/>
            </w:pPr>
            <w:r>
              <w:t>ORDER 01</w:t>
            </w:r>
          </w:p>
          <w:p w:rsidR="00827ABE" w:rsidRDefault="00827ABE" w:rsidP="00827ABE">
            <w:pPr>
              <w:pStyle w:val="NoSpacing"/>
            </w:pPr>
          </w:p>
          <w:p w:rsidR="00827ABE" w:rsidRDefault="00827ABE" w:rsidP="00827ABE">
            <w:pPr>
              <w:pStyle w:val="NoSpacing"/>
            </w:pPr>
          </w:p>
          <w:p w:rsidR="00827ABE" w:rsidRDefault="00827ABE" w:rsidP="00827ABE">
            <w:pPr>
              <w:pStyle w:val="NoSpacing"/>
            </w:pPr>
            <w:r>
              <w:t>ORDER DISMISSING COMPLAINT</w:t>
            </w:r>
          </w:p>
        </w:tc>
      </w:tr>
    </w:tbl>
    <w:p w:rsidR="004A4970" w:rsidRDefault="004A4970" w:rsidP="00827ABE">
      <w:pPr>
        <w:pStyle w:val="NoSpacing"/>
      </w:pPr>
    </w:p>
    <w:p w:rsidR="00827ABE" w:rsidRDefault="00827ABE" w:rsidP="00827ABE">
      <w:pPr>
        <w:pStyle w:val="NoSpacing"/>
      </w:pPr>
      <w:bookmarkStart w:id="0" w:name="_GoBack"/>
      <w:bookmarkEnd w:id="0"/>
    </w:p>
    <w:p w:rsidR="004E6041" w:rsidRPr="004E6041" w:rsidRDefault="001B5878" w:rsidP="004A4970">
      <w:pPr>
        <w:keepNext/>
        <w:spacing w:after="0" w:line="264" w:lineRule="auto"/>
        <w:ind w:left="720" w:hanging="720"/>
        <w:jc w:val="center"/>
        <w:outlineLvl w:val="1"/>
        <w:rPr>
          <w:rFonts w:eastAsia="Times New Roman"/>
          <w:bCs/>
        </w:rPr>
      </w:pPr>
      <w:r>
        <w:rPr>
          <w:rFonts w:eastAsia="Times New Roman"/>
          <w:b/>
          <w:bCs/>
          <w:u w:val="single"/>
        </w:rPr>
        <w:t>MEMORANDUM</w:t>
      </w:r>
    </w:p>
    <w:p w:rsidR="004E6041" w:rsidRPr="004E6041" w:rsidRDefault="004E6041" w:rsidP="004A4970">
      <w:pPr>
        <w:spacing w:after="0" w:line="264" w:lineRule="auto"/>
        <w:ind w:hanging="720"/>
        <w:rPr>
          <w:rFonts w:eastAsia="Times New Roman"/>
          <w:sz w:val="24"/>
          <w:szCs w:val="24"/>
        </w:rPr>
      </w:pPr>
    </w:p>
    <w:p w:rsidR="001A6C14" w:rsidRDefault="009456FE" w:rsidP="00827ABE">
      <w:pPr>
        <w:numPr>
          <w:ilvl w:val="0"/>
          <w:numId w:val="1"/>
        </w:numPr>
        <w:spacing w:after="0" w:line="264" w:lineRule="auto"/>
        <w:ind w:hanging="720"/>
        <w:rPr>
          <w:rFonts w:eastAsia="Times New Roman"/>
        </w:rPr>
      </w:pPr>
      <w:r w:rsidRPr="004A4970">
        <w:rPr>
          <w:rFonts w:eastAsia="Times New Roman"/>
        </w:rPr>
        <w:t xml:space="preserve">On April 17, 2012, </w:t>
      </w:r>
      <w:r w:rsidR="001B5878" w:rsidRPr="004A4970">
        <w:rPr>
          <w:rFonts w:eastAsia="Times New Roman"/>
        </w:rPr>
        <w:t>Harbhajan Mangat</w:t>
      </w:r>
      <w:r w:rsidR="004D44DF" w:rsidRPr="004A4970">
        <w:rPr>
          <w:rFonts w:eastAsia="Times New Roman"/>
        </w:rPr>
        <w:t xml:space="preserve"> (Complainant)</w:t>
      </w:r>
      <w:r w:rsidR="001B5878" w:rsidRPr="004A4970">
        <w:rPr>
          <w:rFonts w:eastAsia="Times New Roman"/>
        </w:rPr>
        <w:t xml:space="preserve"> </w:t>
      </w:r>
      <w:r w:rsidR="004E6041" w:rsidRPr="004A4970">
        <w:rPr>
          <w:rFonts w:eastAsia="Times New Roman"/>
        </w:rPr>
        <w:t>filed</w:t>
      </w:r>
      <w:r w:rsidR="00943AD2" w:rsidRPr="004A4970">
        <w:rPr>
          <w:rFonts w:eastAsia="Times New Roman"/>
        </w:rPr>
        <w:t xml:space="preserve"> </w:t>
      </w:r>
      <w:r w:rsidRPr="004A4970">
        <w:rPr>
          <w:rFonts w:eastAsia="Times New Roman"/>
        </w:rPr>
        <w:t xml:space="preserve">with the Washington Utilities and Transportation Commission (Commission) </w:t>
      </w:r>
      <w:r w:rsidR="00943AD2" w:rsidRPr="004A4970">
        <w:rPr>
          <w:rFonts w:eastAsia="Times New Roman"/>
        </w:rPr>
        <w:t xml:space="preserve">a formal complaint against </w:t>
      </w:r>
      <w:r w:rsidR="001A6C14" w:rsidRPr="004A4970">
        <w:rPr>
          <w:rFonts w:eastAsia="Times New Roman"/>
        </w:rPr>
        <w:t>Puget Sound Energy, Inc. (PSE or Company),</w:t>
      </w:r>
      <w:r w:rsidR="00943AD2" w:rsidRPr="004A4970">
        <w:rPr>
          <w:rFonts w:eastAsia="Times New Roman"/>
        </w:rPr>
        <w:t xml:space="preserve"> citing as authority WAC 480-07-370.</w:t>
      </w:r>
      <w:r w:rsidRPr="004A4970">
        <w:rPr>
          <w:rFonts w:eastAsia="Times New Roman"/>
        </w:rPr>
        <w:t xml:space="preserve">  </w:t>
      </w:r>
      <w:r w:rsidR="001A6C14" w:rsidRPr="004A4970">
        <w:rPr>
          <w:rFonts w:eastAsia="Times New Roman"/>
        </w:rPr>
        <w:t>Ms. Mangat is identified as the “contact name” on a New Plat Electric Service Agreement between Khushdev Mangat and PSE dated December 2007.</w:t>
      </w:r>
      <w:r w:rsidR="001A6C14">
        <w:rPr>
          <w:rStyle w:val="FootnoteReference"/>
          <w:rFonts w:eastAsia="Times New Roman"/>
        </w:rPr>
        <w:footnoteReference w:id="1"/>
      </w:r>
      <w:r w:rsidR="001A6C14" w:rsidRPr="004A4970">
        <w:rPr>
          <w:rFonts w:eastAsia="Times New Roman"/>
        </w:rPr>
        <w:t xml:space="preserve">  The agreement was made in accordance with PSE’s Tariff G, Rate Schedule 85 – Line Extensions</w:t>
      </w:r>
      <w:r w:rsidR="00D024DC" w:rsidRPr="004A4970">
        <w:rPr>
          <w:rFonts w:eastAsia="Times New Roman"/>
        </w:rPr>
        <w:t xml:space="preserve"> and Service Lines</w:t>
      </w:r>
      <w:r w:rsidR="001A6C14" w:rsidRPr="004A4970">
        <w:rPr>
          <w:rFonts w:eastAsia="Times New Roman"/>
        </w:rPr>
        <w:t>.</w:t>
      </w:r>
    </w:p>
    <w:p w:rsidR="004A4970" w:rsidRPr="004A4970" w:rsidRDefault="004A4970" w:rsidP="004A4970">
      <w:pPr>
        <w:spacing w:after="0" w:line="264" w:lineRule="auto"/>
        <w:rPr>
          <w:rFonts w:eastAsia="Times New Roman"/>
        </w:rPr>
      </w:pPr>
    </w:p>
    <w:p w:rsidR="00D024DC" w:rsidRDefault="00D024DC" w:rsidP="00827ABE">
      <w:pPr>
        <w:numPr>
          <w:ilvl w:val="0"/>
          <w:numId w:val="1"/>
        </w:numPr>
        <w:spacing w:after="0" w:line="264" w:lineRule="auto"/>
        <w:ind w:hanging="720"/>
        <w:rPr>
          <w:rFonts w:eastAsia="Times New Roman"/>
        </w:rPr>
      </w:pPr>
      <w:r>
        <w:rPr>
          <w:rFonts w:eastAsia="Times New Roman"/>
        </w:rPr>
        <w:t>Rate Schedule 85 provides that when a person pays</w:t>
      </w:r>
      <w:r w:rsidR="004D44DF">
        <w:rPr>
          <w:rFonts w:eastAsia="Times New Roman"/>
        </w:rPr>
        <w:t xml:space="preserve"> </w:t>
      </w:r>
      <w:r>
        <w:rPr>
          <w:rFonts w:eastAsia="Times New Roman"/>
        </w:rPr>
        <w:t>for installation of a new primary voltage line extension</w:t>
      </w:r>
      <w:r w:rsidR="00C63BA2">
        <w:rPr>
          <w:rFonts w:eastAsia="Times New Roman"/>
        </w:rPr>
        <w:t xml:space="preserve"> to a planned residential neighborhood development</w:t>
      </w:r>
      <w:r>
        <w:rPr>
          <w:rFonts w:eastAsia="Times New Roman"/>
        </w:rPr>
        <w:t>,</w:t>
      </w:r>
      <w:r w:rsidR="004D44DF">
        <w:rPr>
          <w:rFonts w:eastAsia="Times New Roman"/>
        </w:rPr>
        <w:t xml:space="preserve"> as in this case,</w:t>
      </w:r>
      <w:r>
        <w:rPr>
          <w:rFonts w:eastAsia="Times New Roman"/>
        </w:rPr>
        <w:t xml:space="preserve"> they are entitled under limited circumstances to certain refunds as development ensues.</w:t>
      </w:r>
      <w:r w:rsidR="004D44DF">
        <w:rPr>
          <w:rFonts w:eastAsia="Times New Roman"/>
        </w:rPr>
        <w:t xml:space="preserve">  Schedule 85 provides that the</w:t>
      </w:r>
      <w:r w:rsidR="00C944A0">
        <w:rPr>
          <w:rFonts w:eastAsia="Times New Roman"/>
        </w:rPr>
        <w:t xml:space="preserve"> circumstances are limited temporally to events that occur “within five years following the energization of facilities” and refund requests must be made within six years of the date the facilities are energized.  According to the complaint, only one residence has been built</w:t>
      </w:r>
      <w:r w:rsidR="00323F60">
        <w:rPr>
          <w:rFonts w:eastAsia="Times New Roman"/>
        </w:rPr>
        <w:t xml:space="preserve"> and electrified</w:t>
      </w:r>
      <w:r w:rsidR="00C63BA2">
        <w:rPr>
          <w:rFonts w:eastAsia="Times New Roman"/>
        </w:rPr>
        <w:t xml:space="preserve"> so far</w:t>
      </w:r>
      <w:r w:rsidR="00EA3DE9">
        <w:rPr>
          <w:rFonts w:eastAsia="Times New Roman"/>
        </w:rPr>
        <w:t>.  This is the property</w:t>
      </w:r>
      <w:r w:rsidR="00EA3DE9" w:rsidRPr="00EA3DE9">
        <w:rPr>
          <w:rFonts w:eastAsia="Times New Roman"/>
        </w:rPr>
        <w:t xml:space="preserve"> </w:t>
      </w:r>
      <w:r w:rsidR="00EA3DE9">
        <w:rPr>
          <w:rFonts w:eastAsia="Times New Roman"/>
        </w:rPr>
        <w:t>identified in Exhibits 4 and 6 to the complaint as Lot 2, 24071 Mangat Ln., Sedro Woolley</w:t>
      </w:r>
      <w:r w:rsidR="00C944A0">
        <w:rPr>
          <w:rFonts w:eastAsia="Times New Roman"/>
        </w:rPr>
        <w:t>.</w:t>
      </w:r>
      <w:r w:rsidR="0065381F">
        <w:rPr>
          <w:rFonts w:eastAsia="Times New Roman"/>
        </w:rPr>
        <w:t xml:space="preserve">  Exhibit 6 to the complaint evidences that PSE, in accordance with Schedule 85, paid a refund of $1,370 to K</w:t>
      </w:r>
      <w:r w:rsidR="00323F60">
        <w:rPr>
          <w:rFonts w:eastAsia="Times New Roman"/>
        </w:rPr>
        <w:t>h</w:t>
      </w:r>
      <w:r w:rsidR="0065381F">
        <w:rPr>
          <w:rFonts w:eastAsia="Times New Roman"/>
        </w:rPr>
        <w:t xml:space="preserve">ushdev Mangat following </w:t>
      </w:r>
      <w:r w:rsidR="0065381F">
        <w:rPr>
          <w:rFonts w:eastAsia="Times New Roman"/>
        </w:rPr>
        <w:lastRenderedPageBreak/>
        <w:t>electrical hookup of the develop</w:t>
      </w:r>
      <w:r w:rsidR="00C63BA2">
        <w:rPr>
          <w:rFonts w:eastAsia="Times New Roman"/>
        </w:rPr>
        <w:t>ed property</w:t>
      </w:r>
      <w:r w:rsidR="0065381F">
        <w:rPr>
          <w:rFonts w:eastAsia="Times New Roman"/>
        </w:rPr>
        <w:t>.</w:t>
      </w:r>
      <w:r w:rsidR="00A515A5">
        <w:rPr>
          <w:rFonts w:eastAsia="Times New Roman"/>
        </w:rPr>
        <w:t xml:space="preserve">  The time period during which Complainant might be eligible for additional refunds following development of additional lots will expire later this year, or early in 2013.</w:t>
      </w:r>
      <w:r w:rsidR="00A515A5">
        <w:rPr>
          <w:rStyle w:val="FootnoteReference"/>
          <w:rFonts w:eastAsia="Times New Roman"/>
        </w:rPr>
        <w:footnoteReference w:id="2"/>
      </w:r>
    </w:p>
    <w:p w:rsidR="003B6C71" w:rsidRDefault="003B6C71" w:rsidP="004A4970">
      <w:pPr>
        <w:spacing w:after="0" w:line="264" w:lineRule="auto"/>
        <w:ind w:left="720"/>
        <w:rPr>
          <w:rFonts w:eastAsia="Times New Roman"/>
        </w:rPr>
      </w:pPr>
    </w:p>
    <w:p w:rsidR="003B6C71" w:rsidRDefault="003B6C71" w:rsidP="00827ABE">
      <w:pPr>
        <w:numPr>
          <w:ilvl w:val="0"/>
          <w:numId w:val="1"/>
        </w:numPr>
        <w:spacing w:after="0" w:line="264" w:lineRule="auto"/>
        <w:ind w:hanging="720"/>
        <w:rPr>
          <w:rFonts w:eastAsia="Times New Roman"/>
        </w:rPr>
      </w:pPr>
      <w:r>
        <w:rPr>
          <w:rFonts w:eastAsia="Times New Roman"/>
        </w:rPr>
        <w:t>The complaint asks that “the WAC 480-100-033 Line Extension Refund Policy deadline</w:t>
      </w:r>
      <w:r w:rsidR="00A515A5">
        <w:rPr>
          <w:rFonts w:eastAsia="Times New Roman"/>
        </w:rPr>
        <w:t xml:space="preserve"> to be [sic] reconsidered due to extenuating circumstances.”</w:t>
      </w:r>
      <w:r w:rsidR="003B175A">
        <w:rPr>
          <w:rFonts w:eastAsia="Times New Roman"/>
        </w:rPr>
        <w:t xml:space="preserve">  Construing the complaint liberally,</w:t>
      </w:r>
      <w:r w:rsidR="003B175A" w:rsidRPr="003B175A">
        <w:t xml:space="preserve"> </w:t>
      </w:r>
      <w:r w:rsidR="003B175A">
        <w:t>the Commission takes this to be a reference to PSE’s Schedule 85, which sets forth the Company’s line extension practices and policies, as required by WAC 480-100-033.</w:t>
      </w:r>
      <w:r w:rsidR="003B175A">
        <w:rPr>
          <w:rFonts w:eastAsia="Times New Roman"/>
        </w:rPr>
        <w:t xml:space="preserve"> </w:t>
      </w:r>
      <w:r w:rsidR="00A515A5">
        <w:rPr>
          <w:rFonts w:eastAsia="Times New Roman"/>
        </w:rPr>
        <w:t xml:space="preserve"> The complaint refers </w:t>
      </w:r>
      <w:r w:rsidR="00564736">
        <w:rPr>
          <w:rFonts w:eastAsia="Times New Roman"/>
        </w:rPr>
        <w:t xml:space="preserve">to </w:t>
      </w:r>
      <w:r w:rsidR="00A515A5">
        <w:rPr>
          <w:rFonts w:eastAsia="Times New Roman"/>
        </w:rPr>
        <w:t xml:space="preserve">Complainant’s challenges in developing the property, which she attributes to the general state of the economy and the “failed housing market.”    </w:t>
      </w:r>
    </w:p>
    <w:p w:rsidR="00C944A0" w:rsidRDefault="00C944A0" w:rsidP="004A4970">
      <w:pPr>
        <w:spacing w:after="0" w:line="264" w:lineRule="auto"/>
        <w:ind w:left="720"/>
        <w:rPr>
          <w:rFonts w:eastAsia="Times New Roman"/>
        </w:rPr>
      </w:pPr>
    </w:p>
    <w:p w:rsidR="004E6041" w:rsidRDefault="00E352F9" w:rsidP="00827ABE">
      <w:pPr>
        <w:numPr>
          <w:ilvl w:val="0"/>
          <w:numId w:val="1"/>
        </w:numPr>
        <w:spacing w:after="0" w:line="264" w:lineRule="auto"/>
        <w:ind w:hanging="720"/>
        <w:rPr>
          <w:rFonts w:eastAsia="Times New Roman"/>
        </w:rPr>
      </w:pPr>
      <w:r w:rsidRPr="001A6C14">
        <w:rPr>
          <w:rFonts w:eastAsia="Times New Roman"/>
        </w:rPr>
        <w:t xml:space="preserve">PSE </w:t>
      </w:r>
      <w:r>
        <w:rPr>
          <w:rFonts w:eastAsia="Times New Roman"/>
        </w:rPr>
        <w:t>answered the complaint on May 14, 2012.  PSE admits and denies various allegations in the complaint and states affirmative defenses.  PSE specifically asserts as affirmative defenses that</w:t>
      </w:r>
      <w:r w:rsidR="00943AD2">
        <w:rPr>
          <w:rFonts w:eastAsia="Times New Roman"/>
        </w:rPr>
        <w:t xml:space="preserve"> </w:t>
      </w:r>
      <w:r>
        <w:rPr>
          <w:rFonts w:eastAsia="Times New Roman"/>
        </w:rPr>
        <w:t>Harbhajan Mangat fails to state a claim upon which the Commission can grant relief</w:t>
      </w:r>
      <w:r w:rsidR="006465C7">
        <w:rPr>
          <w:rFonts w:eastAsia="Times New Roman"/>
        </w:rPr>
        <w:t>,</w:t>
      </w:r>
      <w:r>
        <w:rPr>
          <w:rFonts w:eastAsia="Times New Roman"/>
        </w:rPr>
        <w:t xml:space="preserve"> and that the Company’s acts and practices comply fully with Washington law, the Commission’s rules and PSE’s tariffs.</w:t>
      </w:r>
      <w:r w:rsidR="00943AD2">
        <w:rPr>
          <w:rFonts w:eastAsia="Times New Roman"/>
        </w:rPr>
        <w:t xml:space="preserve"> </w:t>
      </w:r>
    </w:p>
    <w:p w:rsidR="00D024DC" w:rsidRDefault="00D024DC" w:rsidP="00671955">
      <w:pPr>
        <w:spacing w:after="0" w:line="264" w:lineRule="auto"/>
        <w:rPr>
          <w:rFonts w:eastAsia="Times New Roman"/>
        </w:rPr>
      </w:pPr>
    </w:p>
    <w:p w:rsidR="00164970" w:rsidRPr="008172E1" w:rsidRDefault="00164970" w:rsidP="00827ABE">
      <w:pPr>
        <w:numPr>
          <w:ilvl w:val="0"/>
          <w:numId w:val="1"/>
        </w:numPr>
        <w:spacing w:after="0" w:line="264" w:lineRule="auto"/>
        <w:ind w:hanging="720"/>
      </w:pPr>
      <w:r>
        <w:t>WAC 480-07-370 defines “</w:t>
      </w:r>
      <w:r w:rsidRPr="00164970">
        <w:t>Formal complaints</w:t>
      </w:r>
      <w:r>
        <w:t>” as</w:t>
      </w:r>
      <w:r w:rsidRPr="00164970">
        <w:t xml:space="preserve"> </w:t>
      </w:r>
      <w:r>
        <w:t>“</w:t>
      </w:r>
      <w:r w:rsidRPr="00164970">
        <w:t>complaints filed in accordance with RCW</w:t>
      </w:r>
      <w:r w:rsidR="00564736">
        <w:t xml:space="preserve"> 80.04.110 and 81.04.110</w:t>
      </w:r>
      <w:r w:rsidRPr="00164970">
        <w:t>, complaints filed under RCW</w:t>
      </w:r>
      <w:r w:rsidR="00564736">
        <w:t xml:space="preserve"> 80.54.030</w:t>
      </w:r>
      <w:r w:rsidRPr="00164970">
        <w:t>, and commission complaints in proceedings designated by the commission as formal commission proceedings.</w:t>
      </w:r>
      <w:r>
        <w:t>”</w:t>
      </w:r>
      <w:r w:rsidR="008172E1">
        <w:t xml:space="preserve">  RCW 80.04.110 is the only statutory provision among those listed that is even arguably applicable to </w:t>
      </w:r>
      <w:r w:rsidR="008172E1">
        <w:rPr>
          <w:rFonts w:eastAsia="Times New Roman"/>
        </w:rPr>
        <w:t>Harbhajan Mangat’s complaint.</w:t>
      </w:r>
      <w:r w:rsidR="008172E1">
        <w:rPr>
          <w:rStyle w:val="FootnoteReference"/>
          <w:rFonts w:eastAsia="Times New Roman"/>
        </w:rPr>
        <w:footnoteReference w:id="3"/>
      </w:r>
      <w:r w:rsidR="008172E1">
        <w:rPr>
          <w:rFonts w:eastAsia="Times New Roman"/>
        </w:rPr>
        <w:t xml:space="preserve">  RCW 80.04.110 provides:</w:t>
      </w:r>
    </w:p>
    <w:p w:rsidR="008172E1" w:rsidRDefault="008172E1" w:rsidP="004A4970">
      <w:pPr>
        <w:spacing w:after="0" w:line="264" w:lineRule="auto"/>
      </w:pPr>
    </w:p>
    <w:p w:rsidR="008172E1" w:rsidRPr="00F017A3" w:rsidRDefault="00F017A3" w:rsidP="002C672C">
      <w:pPr>
        <w:spacing w:after="0" w:line="264" w:lineRule="auto"/>
        <w:ind w:left="720" w:right="720"/>
      </w:pPr>
      <w:r w:rsidRPr="00F017A3">
        <w:t xml:space="preserve">(1) Complaint may be made by the commission of its own motion or by any person … by petition or complaint in writing, setting forth any act or thing done or omitted to be done by any public service corporation in violation, or claimed to be in violation, of any provision of law or of any order or rule of the commission: PROVIDED, That no complaint shall be entertained by the commission except upon its own motion, as to the reasonableness of the schedule of the rates or charges of any … electrical company… unless the same be signed by the mayor, council </w:t>
      </w:r>
      <w:r w:rsidRPr="00F017A3">
        <w:lastRenderedPageBreak/>
        <w:t>or commission of the city or town in which the company complained of is engaged in business, or not less than twenty-five consumers or purchasers of such gas, electricity, water or telecommunications service, or at least twenty-five percent of the consumers or purchasers of the company's service.</w:t>
      </w:r>
    </w:p>
    <w:p w:rsidR="00164970" w:rsidRDefault="00164970" w:rsidP="004A4970">
      <w:pPr>
        <w:spacing w:after="0" w:line="264" w:lineRule="auto"/>
        <w:ind w:left="720"/>
      </w:pPr>
    </w:p>
    <w:p w:rsidR="004D44DF" w:rsidRDefault="00F017A3" w:rsidP="00827ABE">
      <w:pPr>
        <w:numPr>
          <w:ilvl w:val="0"/>
          <w:numId w:val="1"/>
        </w:numPr>
        <w:spacing w:after="0" w:line="264" w:lineRule="auto"/>
        <w:ind w:hanging="720"/>
      </w:pPr>
      <w:r>
        <w:t>The complaint in this case does not include any assertion that PSE has acted, or failed to act “in violation . . . of any</w:t>
      </w:r>
      <w:r w:rsidR="003B175A">
        <w:t xml:space="preserve"> provision of</w:t>
      </w:r>
      <w:r>
        <w:t xml:space="preserve"> law</w:t>
      </w:r>
      <w:r w:rsidR="003B175A">
        <w:t xml:space="preserve"> or of</w:t>
      </w:r>
      <w:r>
        <w:t xml:space="preserve"> any order or rule of the commission</w:t>
      </w:r>
      <w:r w:rsidR="003B175A">
        <w:t>.</w:t>
      </w:r>
      <w:r>
        <w:t xml:space="preserve">” </w:t>
      </w:r>
      <w:r w:rsidR="003B175A">
        <w:t xml:space="preserve"> The complaint does not assert that the </w:t>
      </w:r>
      <w:r>
        <w:t>Company</w:t>
      </w:r>
      <w:r w:rsidR="003B175A">
        <w:t xml:space="preserve"> has acted, or threatens to act, in any manner inconsistent with its</w:t>
      </w:r>
      <w:r>
        <w:t xml:space="preserve"> tariff.  Indeed, the exhibits included as part of the complaint show that PSE has complied, and is complying, fully with the requirements of its tariff</w:t>
      </w:r>
      <w:r w:rsidR="004454BF">
        <w:t xml:space="preserve"> Schedule 85-Line Extensions and Service Lines, which is the schedule to which the complaint is directed</w:t>
      </w:r>
      <w:r>
        <w:t>.</w:t>
      </w:r>
      <w:r w:rsidR="004454BF">
        <w:t xml:space="preserve">  </w:t>
      </w:r>
    </w:p>
    <w:p w:rsidR="004D44DF" w:rsidRDefault="004D44DF" w:rsidP="004A4970">
      <w:pPr>
        <w:spacing w:after="0" w:line="264" w:lineRule="auto"/>
        <w:ind w:left="720"/>
      </w:pPr>
    </w:p>
    <w:p w:rsidR="00164970" w:rsidRDefault="004D44DF" w:rsidP="00827ABE">
      <w:pPr>
        <w:numPr>
          <w:ilvl w:val="0"/>
          <w:numId w:val="1"/>
        </w:numPr>
        <w:spacing w:after="0" w:line="264" w:lineRule="auto"/>
        <w:ind w:hanging="720"/>
      </w:pPr>
      <w:r>
        <w:t>Due to the passage of time without further development of the subject property, it appears the Mangat’s opportunity to request additional refunds will pass fairly soon under the terms of Schedule 85.  It is PSE’s adherence to the terms and conditions of Schedule 85 that may result in additional refunds not being available to the Mangats.</w:t>
      </w:r>
      <w:r w:rsidR="001E03B6">
        <w:rPr>
          <w:rStyle w:val="FootnoteReference"/>
        </w:rPr>
        <w:footnoteReference w:id="4"/>
      </w:r>
      <w:r>
        <w:t xml:space="preserve">  </w:t>
      </w:r>
      <w:r w:rsidR="004454BF">
        <w:t>To the extent the complaint can be made out to contest the “reasonableness” of PSE’s tariff Schedule 85,</w:t>
      </w:r>
      <w:r>
        <w:t xml:space="preserve"> however,</w:t>
      </w:r>
      <w:r w:rsidR="004454BF">
        <w:t xml:space="preserve"> it is deficient as a matter of law because the Complainant does not meet any of the criteria set forth in RCW 80.04.110 that establish the jurisdictional threshold for the Commission to entertain such a complaint.</w:t>
      </w:r>
    </w:p>
    <w:p w:rsidR="00164970" w:rsidRDefault="00164970" w:rsidP="004A4970">
      <w:pPr>
        <w:spacing w:after="0" w:line="264" w:lineRule="auto"/>
        <w:ind w:left="720"/>
      </w:pPr>
    </w:p>
    <w:p w:rsidR="00463AA1" w:rsidRDefault="00463AA1" w:rsidP="00827ABE">
      <w:pPr>
        <w:numPr>
          <w:ilvl w:val="0"/>
          <w:numId w:val="1"/>
        </w:numPr>
        <w:spacing w:after="0" w:line="264" w:lineRule="auto"/>
        <w:ind w:hanging="720"/>
      </w:pPr>
      <w:r>
        <w:t>Thus, even t</w:t>
      </w:r>
      <w:r w:rsidR="005E05E6">
        <w:t>aking the facts asserted in the complaint as true and considering them in the light most favorable to the Complainant for purposes of analysis,</w:t>
      </w:r>
      <w:r w:rsidR="004454BF">
        <w:rPr>
          <w:rStyle w:val="FootnoteReference"/>
        </w:rPr>
        <w:footnoteReference w:id="5"/>
      </w:r>
      <w:r w:rsidR="005E05E6">
        <w:t xml:space="preserve"> </w:t>
      </w:r>
      <w:r w:rsidR="00164970">
        <w:t xml:space="preserve">it nevertheless is clear as a matter of law that the complaint fails to state a claim upon which </w:t>
      </w:r>
      <w:r w:rsidR="00164970" w:rsidRPr="00463AA1">
        <w:rPr>
          <w:rFonts w:eastAsia="Times New Roman"/>
        </w:rPr>
        <w:t>the Commission can grant relief</w:t>
      </w:r>
      <w:r w:rsidR="00164970">
        <w:t>.</w:t>
      </w:r>
      <w:r w:rsidR="006F2AF8">
        <w:t xml:space="preserve">  The Commission simply lacks jurisdiction to hear this matter as framed</w:t>
      </w:r>
      <w:r w:rsidR="004D44DF">
        <w:t xml:space="preserve"> and presented</w:t>
      </w:r>
      <w:r w:rsidR="006F2AF8">
        <w:t xml:space="preserve"> by the complaint.  </w:t>
      </w:r>
      <w:r w:rsidR="00164970">
        <w:t xml:space="preserve">It follows that the </w:t>
      </w:r>
      <w:r w:rsidR="00C63BA2">
        <w:t>Commission, on its own motion, should dismiss the complaint</w:t>
      </w:r>
      <w:r w:rsidR="00164970">
        <w:t>.</w:t>
      </w:r>
    </w:p>
    <w:p w:rsidR="00671955" w:rsidRDefault="00671955">
      <w:pPr>
        <w:spacing w:line="276" w:lineRule="auto"/>
      </w:pPr>
    </w:p>
    <w:p w:rsidR="00D20C9E" w:rsidRDefault="00D20C9E" w:rsidP="004A4970">
      <w:pPr>
        <w:spacing w:after="0" w:line="264" w:lineRule="auto"/>
      </w:pPr>
    </w:p>
    <w:p w:rsidR="00463AA1" w:rsidRPr="00463AA1" w:rsidRDefault="00463AA1" w:rsidP="00671955">
      <w:pPr>
        <w:pStyle w:val="ListParagraph"/>
        <w:spacing w:line="264" w:lineRule="auto"/>
        <w:ind w:left="0"/>
        <w:jc w:val="center"/>
        <w:rPr>
          <w:b/>
          <w:u w:val="single"/>
        </w:rPr>
      </w:pPr>
      <w:r>
        <w:rPr>
          <w:b/>
          <w:u w:val="single"/>
        </w:rPr>
        <w:t>ORDER</w:t>
      </w:r>
    </w:p>
    <w:p w:rsidR="005E05E6" w:rsidRPr="00755717" w:rsidRDefault="00DC1863" w:rsidP="00827ABE">
      <w:pPr>
        <w:numPr>
          <w:ilvl w:val="0"/>
          <w:numId w:val="1"/>
        </w:numPr>
        <w:spacing w:after="0" w:line="264" w:lineRule="auto"/>
        <w:ind w:hanging="720"/>
      </w:pPr>
      <w:r>
        <w:t xml:space="preserve">The Commission Orders that the Complaint filed by </w:t>
      </w:r>
      <w:r>
        <w:rPr>
          <w:rFonts w:eastAsia="Times New Roman"/>
        </w:rPr>
        <w:t>Harbhajan Mangat on April 17, 2012, against Puget Sound Energy, Inc., is dismissed.</w:t>
      </w:r>
    </w:p>
    <w:p w:rsidR="00755717" w:rsidRDefault="00755717" w:rsidP="004A4970">
      <w:pPr>
        <w:spacing w:after="0" w:line="264" w:lineRule="auto"/>
      </w:pPr>
    </w:p>
    <w:p w:rsidR="00755717" w:rsidRPr="00755717" w:rsidRDefault="00755717" w:rsidP="004A4970">
      <w:pPr>
        <w:spacing w:after="0" w:line="264" w:lineRule="auto"/>
        <w:rPr>
          <w:rFonts w:eastAsia="Times New Roman"/>
        </w:rPr>
      </w:pPr>
      <w:r w:rsidRPr="00755717">
        <w:rPr>
          <w:rFonts w:eastAsia="Times New Roman"/>
        </w:rPr>
        <w:t xml:space="preserve">Dated at Olympia, Washington, and effective </w:t>
      </w:r>
      <w:r>
        <w:rPr>
          <w:rFonts w:eastAsia="Times New Roman"/>
        </w:rPr>
        <w:t xml:space="preserve">June </w:t>
      </w:r>
      <w:r w:rsidR="00671955">
        <w:rPr>
          <w:rFonts w:eastAsia="Times New Roman"/>
        </w:rPr>
        <w:t>5</w:t>
      </w:r>
      <w:r>
        <w:rPr>
          <w:rFonts w:eastAsia="Times New Roman"/>
        </w:rPr>
        <w:t>, 2012</w:t>
      </w:r>
      <w:r w:rsidRPr="00755717">
        <w:rPr>
          <w:rFonts w:eastAsia="Times New Roman"/>
        </w:rPr>
        <w:t>.</w:t>
      </w:r>
    </w:p>
    <w:p w:rsidR="00755717" w:rsidRPr="00755717" w:rsidRDefault="00755717" w:rsidP="004A4970">
      <w:pPr>
        <w:spacing w:after="0" w:line="264" w:lineRule="auto"/>
        <w:rPr>
          <w:rFonts w:eastAsia="Times New Roman"/>
        </w:rPr>
      </w:pPr>
    </w:p>
    <w:p w:rsidR="00755717" w:rsidRPr="00755717" w:rsidRDefault="00755717" w:rsidP="002C672C">
      <w:pPr>
        <w:spacing w:after="0" w:line="264" w:lineRule="auto"/>
        <w:jc w:val="center"/>
        <w:rPr>
          <w:rFonts w:eastAsia="Times New Roman"/>
        </w:rPr>
      </w:pPr>
      <w:r w:rsidRPr="00755717">
        <w:rPr>
          <w:rFonts w:eastAsia="Times New Roman"/>
        </w:rPr>
        <w:t>WASHINGTON UTILITIES AND TRANSPORTATION COMMISSION</w:t>
      </w:r>
    </w:p>
    <w:p w:rsidR="00755717" w:rsidRPr="00755717" w:rsidRDefault="00755717" w:rsidP="004A4970">
      <w:pPr>
        <w:spacing w:after="0" w:line="264" w:lineRule="auto"/>
        <w:rPr>
          <w:rFonts w:eastAsia="Times New Roman"/>
        </w:rPr>
      </w:pPr>
    </w:p>
    <w:p w:rsidR="00755717" w:rsidRDefault="00755717" w:rsidP="004A4970">
      <w:pPr>
        <w:spacing w:after="0" w:line="264" w:lineRule="auto"/>
        <w:rPr>
          <w:rFonts w:eastAsia="Times New Roman"/>
        </w:rPr>
      </w:pPr>
    </w:p>
    <w:p w:rsidR="002C672C" w:rsidRPr="00755717" w:rsidRDefault="002C672C" w:rsidP="004A4970">
      <w:pPr>
        <w:spacing w:after="0" w:line="264" w:lineRule="auto"/>
        <w:rPr>
          <w:rFonts w:eastAsia="Times New Roman"/>
        </w:rPr>
      </w:pPr>
    </w:p>
    <w:p w:rsidR="00755717" w:rsidRPr="00755717" w:rsidRDefault="00755717" w:rsidP="004A4970">
      <w:pPr>
        <w:spacing w:after="0" w:line="264" w:lineRule="auto"/>
        <w:rPr>
          <w:rFonts w:eastAsia="Times New Roman"/>
        </w:rPr>
      </w:pPr>
    </w:p>
    <w:p w:rsidR="00755717" w:rsidRPr="00755717" w:rsidRDefault="00755717" w:rsidP="004A4970">
      <w:pPr>
        <w:spacing w:after="0" w:line="264" w:lineRule="auto"/>
        <w:ind w:left="4320"/>
        <w:rPr>
          <w:rFonts w:eastAsia="Times New Roman"/>
          <w:bCs/>
        </w:rPr>
      </w:pPr>
      <w:r w:rsidRPr="00755717">
        <w:rPr>
          <w:rFonts w:eastAsia="Times New Roman"/>
          <w:bCs/>
        </w:rPr>
        <w:t>DENNIS J. MOSS</w:t>
      </w:r>
    </w:p>
    <w:p w:rsidR="00755717" w:rsidRDefault="00755717" w:rsidP="004A4970">
      <w:pPr>
        <w:spacing w:after="0" w:line="264" w:lineRule="auto"/>
        <w:rPr>
          <w:rFonts w:eastAsia="Times New Roman"/>
        </w:rPr>
      </w:pPr>
      <w:r w:rsidRPr="00755717">
        <w:rPr>
          <w:rFonts w:eastAsia="Times New Roman"/>
        </w:rPr>
        <w:tab/>
      </w:r>
      <w:r w:rsidRPr="00755717">
        <w:rPr>
          <w:rFonts w:eastAsia="Times New Roman"/>
        </w:rPr>
        <w:tab/>
      </w:r>
      <w:r w:rsidRPr="00755717">
        <w:rPr>
          <w:rFonts w:eastAsia="Times New Roman"/>
        </w:rPr>
        <w:tab/>
      </w:r>
      <w:r w:rsidRPr="00755717">
        <w:rPr>
          <w:rFonts w:eastAsia="Times New Roman"/>
        </w:rPr>
        <w:tab/>
      </w:r>
      <w:r w:rsidRPr="00755717">
        <w:rPr>
          <w:rFonts w:eastAsia="Times New Roman"/>
        </w:rPr>
        <w:tab/>
      </w:r>
      <w:r w:rsidRPr="00755717">
        <w:rPr>
          <w:rFonts w:eastAsia="Times New Roman"/>
        </w:rPr>
        <w:tab/>
        <w:t>Administrative Law Judge</w:t>
      </w:r>
    </w:p>
    <w:p w:rsidR="00755717" w:rsidRDefault="00755717" w:rsidP="004A4970">
      <w:pPr>
        <w:spacing w:after="0" w:line="264" w:lineRule="auto"/>
        <w:rPr>
          <w:rFonts w:eastAsia="Times New Roman"/>
        </w:rPr>
      </w:pPr>
    </w:p>
    <w:p w:rsidR="002C672C" w:rsidRDefault="002C672C" w:rsidP="004A4970">
      <w:pPr>
        <w:spacing w:after="0" w:line="264" w:lineRule="auto"/>
        <w:rPr>
          <w:rFonts w:eastAsia="Times New Roman"/>
        </w:rPr>
      </w:pPr>
    </w:p>
    <w:p w:rsidR="002C672C" w:rsidRPr="008000BE" w:rsidRDefault="002C672C" w:rsidP="002C672C">
      <w:pPr>
        <w:pStyle w:val="BodyText2"/>
        <w:spacing w:line="264" w:lineRule="auto"/>
        <w:rPr>
          <w:sz w:val="25"/>
          <w:szCs w:val="25"/>
        </w:rPr>
      </w:pPr>
      <w:r w:rsidRPr="008000BE">
        <w:rPr>
          <w:sz w:val="25"/>
          <w:szCs w:val="25"/>
        </w:rPr>
        <w:t>NOTICE TO PARTIES:  This is a final order of the Commission.  In addition to judicial review, administrative relief may be available through a petition for reconsideration, filed within 10 days of the service of this order pursuant to RCW 34.05.470 and WAC 480-07-850, or a petition for rehearing pursuant to RCW 80.04.200 or RCW 81.04.200 and WAC 480-07-870.</w:t>
      </w:r>
    </w:p>
    <w:p w:rsidR="002C672C" w:rsidRPr="008000BE" w:rsidRDefault="002C672C" w:rsidP="002C672C">
      <w:pPr>
        <w:spacing w:line="264" w:lineRule="auto"/>
      </w:pPr>
    </w:p>
    <w:sectPr w:rsidR="002C672C" w:rsidRPr="008000BE" w:rsidSect="002C672C">
      <w:headerReference w:type="default" r:id="rId9"/>
      <w:headerReference w:type="first" r:id="rId10"/>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C9E" w:rsidRDefault="00D20C9E" w:rsidP="008172E1">
      <w:pPr>
        <w:spacing w:after="0" w:line="240" w:lineRule="auto"/>
      </w:pPr>
      <w:r>
        <w:separator/>
      </w:r>
    </w:p>
  </w:endnote>
  <w:endnote w:type="continuationSeparator" w:id="0">
    <w:p w:rsidR="00D20C9E" w:rsidRDefault="00D20C9E" w:rsidP="0081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C9E" w:rsidRDefault="00D20C9E" w:rsidP="008172E1">
      <w:pPr>
        <w:spacing w:after="0" w:line="240" w:lineRule="auto"/>
      </w:pPr>
      <w:r>
        <w:separator/>
      </w:r>
    </w:p>
  </w:footnote>
  <w:footnote w:type="continuationSeparator" w:id="0">
    <w:p w:rsidR="00D20C9E" w:rsidRDefault="00D20C9E" w:rsidP="008172E1">
      <w:pPr>
        <w:spacing w:after="0" w:line="240" w:lineRule="auto"/>
      </w:pPr>
      <w:r>
        <w:continuationSeparator/>
      </w:r>
    </w:p>
  </w:footnote>
  <w:footnote w:id="1">
    <w:p w:rsidR="00D20C9E" w:rsidRPr="00C63BA2" w:rsidRDefault="00D20C9E" w:rsidP="00D024DC">
      <w:pPr>
        <w:pStyle w:val="FootnoteText"/>
        <w:spacing w:after="120"/>
        <w:rPr>
          <w:sz w:val="22"/>
          <w:szCs w:val="22"/>
        </w:rPr>
      </w:pPr>
      <w:r w:rsidRPr="00C63BA2">
        <w:rPr>
          <w:rStyle w:val="FootnoteReference"/>
          <w:sz w:val="22"/>
          <w:szCs w:val="22"/>
        </w:rPr>
        <w:footnoteRef/>
      </w:r>
      <w:r w:rsidRPr="00C63BA2">
        <w:rPr>
          <w:sz w:val="22"/>
          <w:szCs w:val="22"/>
        </w:rPr>
        <w:t xml:space="preserve"> Exhibit No. 3b to the formal complaint.</w:t>
      </w:r>
      <w:r>
        <w:rPr>
          <w:sz w:val="22"/>
          <w:szCs w:val="22"/>
        </w:rPr>
        <w:t xml:space="preserve">  The exact date of the agreement is indistinct on the exhibit.</w:t>
      </w:r>
      <w:r w:rsidRPr="00C63BA2">
        <w:rPr>
          <w:sz w:val="22"/>
          <w:szCs w:val="22"/>
        </w:rPr>
        <w:t xml:space="preserve">  The Commission assumes for purposes of addressing this matter that the Mangat’s both participate in the business of a certain residential subdivision plat development in Skagit County, Washington that is part of the subject matter of this complaint.</w:t>
      </w:r>
    </w:p>
  </w:footnote>
  <w:footnote w:id="2">
    <w:p w:rsidR="00D20C9E" w:rsidRPr="00C63BA2" w:rsidRDefault="00D20C9E" w:rsidP="00A515A5">
      <w:pPr>
        <w:pStyle w:val="FootnoteText"/>
        <w:spacing w:after="120"/>
        <w:rPr>
          <w:sz w:val="22"/>
          <w:szCs w:val="22"/>
        </w:rPr>
      </w:pPr>
      <w:r w:rsidRPr="00C63BA2">
        <w:rPr>
          <w:rStyle w:val="FootnoteReference"/>
          <w:sz w:val="22"/>
          <w:szCs w:val="22"/>
        </w:rPr>
        <w:footnoteRef/>
      </w:r>
      <w:r w:rsidRPr="00C63BA2">
        <w:rPr>
          <w:sz w:val="22"/>
          <w:szCs w:val="22"/>
        </w:rPr>
        <w:t xml:space="preserve"> It is not entirely clear by what date development would have to occur or any refund would have to be applied for, but it is clear that the date is fairly imminent.  </w:t>
      </w:r>
    </w:p>
  </w:footnote>
  <w:footnote w:id="3">
    <w:p w:rsidR="00D20C9E" w:rsidRPr="00C63BA2" w:rsidRDefault="00D20C9E">
      <w:pPr>
        <w:pStyle w:val="FootnoteText"/>
        <w:rPr>
          <w:sz w:val="22"/>
          <w:szCs w:val="22"/>
        </w:rPr>
      </w:pPr>
      <w:r w:rsidRPr="00C63BA2">
        <w:rPr>
          <w:rStyle w:val="FootnoteReference"/>
          <w:sz w:val="22"/>
          <w:szCs w:val="22"/>
        </w:rPr>
        <w:footnoteRef/>
      </w:r>
      <w:r w:rsidRPr="00C63BA2">
        <w:rPr>
          <w:sz w:val="22"/>
          <w:szCs w:val="22"/>
        </w:rPr>
        <w:t xml:space="preserve"> RCW Chapter 81 concerns the Commission’s jurisdiction over transportation companies, not utilities such as PSE.  RCW 80.54.030 concerns pole attachments to transmission facilities and is not relevant to the facts asserted in the complaint.  </w:t>
      </w:r>
    </w:p>
  </w:footnote>
  <w:footnote w:id="4">
    <w:p w:rsidR="001E03B6" w:rsidRPr="00671955" w:rsidRDefault="001E03B6" w:rsidP="001E03B6">
      <w:pPr>
        <w:pStyle w:val="FootnoteText"/>
        <w:spacing w:after="120"/>
        <w:rPr>
          <w:sz w:val="22"/>
          <w:szCs w:val="22"/>
        </w:rPr>
      </w:pPr>
      <w:r w:rsidRPr="00671955">
        <w:rPr>
          <w:rStyle w:val="FootnoteReference"/>
          <w:sz w:val="22"/>
          <w:szCs w:val="22"/>
        </w:rPr>
        <w:footnoteRef/>
      </w:r>
      <w:r w:rsidRPr="00671955">
        <w:rPr>
          <w:sz w:val="22"/>
          <w:szCs w:val="22"/>
        </w:rPr>
        <w:t xml:space="preserve"> It is worth noting that PSE is required to administer its tariff without undue discrimination or preference.  This means it must treat similarly situated persons the same when enforcing the terms and conditions included in its various rate schedules, including Schedule 85.  PSE is not free to simply make an exception for a customer whose individual circumstances may be adversely affected by the Company’s adherence to the requirements of its tariff.</w:t>
      </w:r>
    </w:p>
  </w:footnote>
  <w:footnote w:id="5">
    <w:p w:rsidR="00D20C9E" w:rsidRPr="00671955" w:rsidRDefault="00D20C9E">
      <w:pPr>
        <w:pStyle w:val="FootnoteText"/>
        <w:rPr>
          <w:sz w:val="22"/>
          <w:szCs w:val="22"/>
        </w:rPr>
      </w:pPr>
      <w:r w:rsidRPr="00671955">
        <w:rPr>
          <w:rStyle w:val="FootnoteReference"/>
          <w:sz w:val="22"/>
          <w:szCs w:val="22"/>
        </w:rPr>
        <w:footnoteRef/>
      </w:r>
      <w:r w:rsidRPr="00671955">
        <w:rPr>
          <w:sz w:val="22"/>
          <w:szCs w:val="22"/>
        </w:rPr>
        <w:t xml:space="preserve"> In point of fact, several assertions of fact in the complaint are belied by the exhibits attached to it.  The Commission emphasizes, however, that it takes the Complainant’s assertions as being true for purposes of its analysis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ABE" w:rsidRPr="002C672C" w:rsidRDefault="002C672C" w:rsidP="00827ABE">
    <w:pPr>
      <w:pStyle w:val="Header"/>
      <w:tabs>
        <w:tab w:val="clear" w:pos="4680"/>
        <w:tab w:val="clear" w:pos="9360"/>
        <w:tab w:val="right" w:pos="8370"/>
      </w:tabs>
      <w:rPr>
        <w:b/>
        <w:noProof/>
        <w:sz w:val="20"/>
        <w:szCs w:val="20"/>
      </w:rPr>
    </w:pPr>
    <w:r w:rsidRPr="002C672C">
      <w:rPr>
        <w:b/>
        <w:sz w:val="20"/>
        <w:szCs w:val="20"/>
      </w:rPr>
      <w:t>DOCKET UE-120522</w:t>
    </w:r>
    <w:r w:rsidRPr="002C672C">
      <w:rPr>
        <w:b/>
        <w:sz w:val="20"/>
        <w:szCs w:val="20"/>
      </w:rPr>
      <w:tab/>
      <w:t xml:space="preserve">PAGE </w:t>
    </w:r>
    <w:r w:rsidRPr="002C672C">
      <w:rPr>
        <w:b/>
        <w:sz w:val="20"/>
        <w:szCs w:val="20"/>
      </w:rPr>
      <w:fldChar w:fldCharType="begin"/>
    </w:r>
    <w:r w:rsidRPr="002C672C">
      <w:rPr>
        <w:b/>
        <w:sz w:val="20"/>
        <w:szCs w:val="20"/>
      </w:rPr>
      <w:instrText xml:space="preserve"> PAGE   \* MERGEFORMAT </w:instrText>
    </w:r>
    <w:r w:rsidRPr="002C672C">
      <w:rPr>
        <w:b/>
        <w:sz w:val="20"/>
        <w:szCs w:val="20"/>
      </w:rPr>
      <w:fldChar w:fldCharType="separate"/>
    </w:r>
    <w:r w:rsidR="00724161">
      <w:rPr>
        <w:b/>
        <w:noProof/>
        <w:sz w:val="20"/>
        <w:szCs w:val="20"/>
      </w:rPr>
      <w:t>2</w:t>
    </w:r>
    <w:r w:rsidRPr="002C672C">
      <w:rPr>
        <w:b/>
        <w:noProof/>
        <w:sz w:val="20"/>
        <w:szCs w:val="20"/>
      </w:rPr>
      <w:fldChar w:fldCharType="end"/>
    </w:r>
  </w:p>
  <w:p w:rsidR="002C672C" w:rsidRPr="002C672C" w:rsidRDefault="002C672C" w:rsidP="00827ABE">
    <w:pPr>
      <w:pStyle w:val="Header"/>
      <w:tabs>
        <w:tab w:val="clear" w:pos="4680"/>
        <w:tab w:val="clear" w:pos="9360"/>
        <w:tab w:val="right" w:pos="8370"/>
      </w:tabs>
      <w:rPr>
        <w:b/>
        <w:noProof/>
        <w:sz w:val="20"/>
        <w:szCs w:val="20"/>
      </w:rPr>
    </w:pPr>
    <w:r w:rsidRPr="002C672C">
      <w:rPr>
        <w:b/>
        <w:noProof/>
        <w:sz w:val="20"/>
        <w:szCs w:val="20"/>
      </w:rPr>
      <w:t>ORDER 01</w:t>
    </w:r>
  </w:p>
  <w:p w:rsidR="002C672C" w:rsidRPr="002C672C" w:rsidRDefault="002C672C" w:rsidP="00827ABE">
    <w:pPr>
      <w:pStyle w:val="Header"/>
      <w:tabs>
        <w:tab w:val="clear" w:pos="4680"/>
        <w:tab w:val="clear" w:pos="9360"/>
        <w:tab w:val="right" w:pos="8370"/>
      </w:tabs>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DB" w:rsidRPr="00C143DB" w:rsidRDefault="00C143DB" w:rsidP="00C143DB">
    <w:pPr>
      <w:pStyle w:val="Header"/>
      <w:tabs>
        <w:tab w:val="clear" w:pos="4680"/>
        <w:tab w:val="clear" w:pos="9360"/>
        <w:tab w:val="right" w:pos="8370"/>
      </w:tabs>
      <w:rPr>
        <w:b/>
        <w:sz w:val="20"/>
        <w:szCs w:val="20"/>
      </w:rPr>
    </w:pPr>
    <w:r>
      <w:tab/>
    </w:r>
    <w:r w:rsidRPr="00C143DB">
      <w:rPr>
        <w:b/>
        <w:sz w:val="20"/>
        <w:szCs w:val="20"/>
      </w:rPr>
      <w:t>[Service Date June 5,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041"/>
    <w:rsid w:val="00164970"/>
    <w:rsid w:val="001A6C14"/>
    <w:rsid w:val="001B5878"/>
    <w:rsid w:val="001E03B6"/>
    <w:rsid w:val="0020276A"/>
    <w:rsid w:val="002C672C"/>
    <w:rsid w:val="00323F60"/>
    <w:rsid w:val="003B175A"/>
    <w:rsid w:val="003B6C71"/>
    <w:rsid w:val="003F406E"/>
    <w:rsid w:val="004454BF"/>
    <w:rsid w:val="00463AA1"/>
    <w:rsid w:val="004A4970"/>
    <w:rsid w:val="004D44DF"/>
    <w:rsid w:val="004E6041"/>
    <w:rsid w:val="0052787A"/>
    <w:rsid w:val="00564736"/>
    <w:rsid w:val="005E05E6"/>
    <w:rsid w:val="006465C7"/>
    <w:rsid w:val="0065381F"/>
    <w:rsid w:val="00671955"/>
    <w:rsid w:val="006F2AF8"/>
    <w:rsid w:val="00724161"/>
    <w:rsid w:val="00755717"/>
    <w:rsid w:val="008172E1"/>
    <w:rsid w:val="00827ABE"/>
    <w:rsid w:val="00943AD2"/>
    <w:rsid w:val="009456FE"/>
    <w:rsid w:val="009A23B1"/>
    <w:rsid w:val="00A515A5"/>
    <w:rsid w:val="00C143DB"/>
    <w:rsid w:val="00C63BA2"/>
    <w:rsid w:val="00C944A0"/>
    <w:rsid w:val="00D024DC"/>
    <w:rsid w:val="00D065C4"/>
    <w:rsid w:val="00D20C9E"/>
    <w:rsid w:val="00D8729A"/>
    <w:rsid w:val="00DC1863"/>
    <w:rsid w:val="00DD4F0F"/>
    <w:rsid w:val="00E352F9"/>
    <w:rsid w:val="00E7677F"/>
    <w:rsid w:val="00EA3DE9"/>
    <w:rsid w:val="00F0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5"/>
        <w:szCs w:val="25"/>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276A"/>
    <w:pPr>
      <w:spacing w:line="288"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970"/>
    <w:rPr>
      <w:color w:val="0000FF" w:themeColor="hyperlink"/>
      <w:u w:val="single"/>
    </w:rPr>
  </w:style>
  <w:style w:type="paragraph" w:styleId="FootnoteText">
    <w:name w:val="footnote text"/>
    <w:basedOn w:val="Normal"/>
    <w:link w:val="FootnoteTextChar"/>
    <w:uiPriority w:val="99"/>
    <w:semiHidden/>
    <w:unhideWhenUsed/>
    <w:rsid w:val="008172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2E1"/>
    <w:rPr>
      <w:sz w:val="20"/>
      <w:szCs w:val="20"/>
    </w:rPr>
  </w:style>
  <w:style w:type="character" w:styleId="FootnoteReference">
    <w:name w:val="footnote reference"/>
    <w:basedOn w:val="DefaultParagraphFont"/>
    <w:uiPriority w:val="99"/>
    <w:semiHidden/>
    <w:unhideWhenUsed/>
    <w:rsid w:val="008172E1"/>
    <w:rPr>
      <w:vertAlign w:val="superscript"/>
    </w:rPr>
  </w:style>
  <w:style w:type="paragraph" w:styleId="ListParagraph">
    <w:name w:val="List Paragraph"/>
    <w:basedOn w:val="Normal"/>
    <w:uiPriority w:val="34"/>
    <w:qFormat/>
    <w:rsid w:val="00463AA1"/>
    <w:pPr>
      <w:ind w:left="720"/>
      <w:contextualSpacing/>
    </w:pPr>
  </w:style>
  <w:style w:type="paragraph" w:styleId="NoSpacing">
    <w:name w:val="No Spacing"/>
    <w:uiPriority w:val="1"/>
    <w:qFormat/>
    <w:rsid w:val="00827ABE"/>
    <w:pPr>
      <w:spacing w:after="0" w:line="240" w:lineRule="auto"/>
    </w:pPr>
  </w:style>
  <w:style w:type="table" w:styleId="TableGrid">
    <w:name w:val="Table Grid"/>
    <w:basedOn w:val="TableNormal"/>
    <w:uiPriority w:val="59"/>
    <w:rsid w:val="00827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7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ABE"/>
  </w:style>
  <w:style w:type="paragraph" w:styleId="Footer">
    <w:name w:val="footer"/>
    <w:basedOn w:val="Normal"/>
    <w:link w:val="FooterChar"/>
    <w:uiPriority w:val="99"/>
    <w:unhideWhenUsed/>
    <w:rsid w:val="00827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ABE"/>
  </w:style>
  <w:style w:type="paragraph" w:styleId="BodyText2">
    <w:name w:val="Body Text 2"/>
    <w:basedOn w:val="Normal"/>
    <w:link w:val="BodyText2Char"/>
    <w:rsid w:val="002C6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eastAsia="Times New Roman"/>
      <w:b/>
      <w:bCs/>
      <w:sz w:val="24"/>
      <w:szCs w:val="24"/>
    </w:rPr>
  </w:style>
  <w:style w:type="character" w:customStyle="1" w:styleId="BodyText2Char">
    <w:name w:val="Body Text 2 Char"/>
    <w:basedOn w:val="DefaultParagraphFont"/>
    <w:link w:val="BodyText2"/>
    <w:rsid w:val="002C672C"/>
    <w:rPr>
      <w:rFonts w:eastAsia="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5"/>
        <w:szCs w:val="25"/>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276A"/>
    <w:pPr>
      <w:spacing w:line="288"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970"/>
    <w:rPr>
      <w:color w:val="0000FF" w:themeColor="hyperlink"/>
      <w:u w:val="single"/>
    </w:rPr>
  </w:style>
  <w:style w:type="paragraph" w:styleId="FootnoteText">
    <w:name w:val="footnote text"/>
    <w:basedOn w:val="Normal"/>
    <w:link w:val="FootnoteTextChar"/>
    <w:uiPriority w:val="99"/>
    <w:semiHidden/>
    <w:unhideWhenUsed/>
    <w:rsid w:val="008172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2E1"/>
    <w:rPr>
      <w:sz w:val="20"/>
      <w:szCs w:val="20"/>
    </w:rPr>
  </w:style>
  <w:style w:type="character" w:styleId="FootnoteReference">
    <w:name w:val="footnote reference"/>
    <w:basedOn w:val="DefaultParagraphFont"/>
    <w:uiPriority w:val="99"/>
    <w:semiHidden/>
    <w:unhideWhenUsed/>
    <w:rsid w:val="008172E1"/>
    <w:rPr>
      <w:vertAlign w:val="superscript"/>
    </w:rPr>
  </w:style>
  <w:style w:type="paragraph" w:styleId="ListParagraph">
    <w:name w:val="List Paragraph"/>
    <w:basedOn w:val="Normal"/>
    <w:uiPriority w:val="34"/>
    <w:qFormat/>
    <w:rsid w:val="00463AA1"/>
    <w:pPr>
      <w:ind w:left="720"/>
      <w:contextualSpacing/>
    </w:pPr>
  </w:style>
  <w:style w:type="paragraph" w:styleId="NoSpacing">
    <w:name w:val="No Spacing"/>
    <w:uiPriority w:val="1"/>
    <w:qFormat/>
    <w:rsid w:val="00827ABE"/>
    <w:pPr>
      <w:spacing w:after="0" w:line="240" w:lineRule="auto"/>
    </w:pPr>
  </w:style>
  <w:style w:type="table" w:styleId="TableGrid">
    <w:name w:val="Table Grid"/>
    <w:basedOn w:val="TableNormal"/>
    <w:uiPriority w:val="59"/>
    <w:rsid w:val="00827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7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ABE"/>
  </w:style>
  <w:style w:type="paragraph" w:styleId="Footer">
    <w:name w:val="footer"/>
    <w:basedOn w:val="Normal"/>
    <w:link w:val="FooterChar"/>
    <w:uiPriority w:val="99"/>
    <w:unhideWhenUsed/>
    <w:rsid w:val="00827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ABE"/>
  </w:style>
  <w:style w:type="paragraph" w:styleId="BodyText2">
    <w:name w:val="Body Text 2"/>
    <w:basedOn w:val="Normal"/>
    <w:link w:val="BodyText2Char"/>
    <w:rsid w:val="002C6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eastAsia="Times New Roman"/>
      <w:b/>
      <w:bCs/>
      <w:sz w:val="24"/>
      <w:szCs w:val="24"/>
    </w:rPr>
  </w:style>
  <w:style w:type="character" w:customStyle="1" w:styleId="BodyText2Char">
    <w:name w:val="Body Text 2 Char"/>
    <w:basedOn w:val="DefaultParagraphFont"/>
    <w:link w:val="BodyText2"/>
    <w:rsid w:val="002C672C"/>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D298E095C3E9449732BCE681C9E791" ma:contentTypeVersion="139" ma:contentTypeDescription="" ma:contentTypeScope="" ma:versionID="09661d135fb959c8622293d2a3afcc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2012-04-17T07:00:00+00:00</OpenedDate>
    <Date1 xmlns="dc463f71-b30c-4ab2-9473-d307f9d35888">2012-06-05T07:00:00+00:00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120522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C9E4A2D-C963-43A7-9A81-3A17E62353D8}"/>
</file>

<file path=customXml/itemProps2.xml><?xml version="1.0" encoding="utf-8"?>
<ds:datastoreItem xmlns:ds="http://schemas.openxmlformats.org/officeDocument/2006/customXml" ds:itemID="{77B90EE4-D4B0-48BF-800A-42CC47612FEE}"/>
</file>

<file path=customXml/itemProps3.xml><?xml version="1.0" encoding="utf-8"?>
<ds:datastoreItem xmlns:ds="http://schemas.openxmlformats.org/officeDocument/2006/customXml" ds:itemID="{DBE7E374-4084-46BC-A301-6BE1493CACF5}"/>
</file>

<file path=customXml/itemProps4.xml><?xml version="1.0" encoding="utf-8"?>
<ds:datastoreItem xmlns:ds="http://schemas.openxmlformats.org/officeDocument/2006/customXml" ds:itemID="{CADBB49E-BE59-428C-8792-D8FAB1F5D758}"/>
</file>

<file path=customXml/itemProps5.xml><?xml version="1.0" encoding="utf-8"?>
<ds:datastoreItem xmlns:ds="http://schemas.openxmlformats.org/officeDocument/2006/customXml" ds:itemID="{1E9C17DB-18B9-442C-BB42-F99C9E53EFA5}"/>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2012-06-05T15:55:00Z</dcterms:created>
  <dcterms:modified xsi:type="dcterms:W3CDTF">2012-06-05T15:55:00Z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0x0101006E56B4D1795A2E4DB2F0B01679ED314A007ED298E095C3E9449732BCE681C9E791</vt:lpwstr>
  </property>
  <property fmtid="{D5CDD505-2E9C-101B-9397-08002B2CF9AE}" pid="3" name="_docset_NoMedatataSyncRequired">
    <vt:lpwstr>False</vt:lpwstr>
  </property>
</Properties>
</file>