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96911" w14:textId="77777777" w:rsidR="00657DEE" w:rsidRPr="00AD4D61" w:rsidRDefault="00657DEE">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sidR="00744C90">
        <w:rPr>
          <w:rFonts w:ascii="Times New Roman" w:hAnsi="Times New Roman"/>
        </w:rPr>
        <w:tab/>
      </w:r>
      <w:r w:rsidR="00B146E7">
        <w:rPr>
          <w:rFonts w:ascii="Times New Roman" w:hAnsi="Times New Roman"/>
        </w:rPr>
        <w:t>June 28</w:t>
      </w:r>
      <w:r w:rsidR="006652DF">
        <w:rPr>
          <w:rFonts w:ascii="Times New Roman" w:hAnsi="Times New Roman"/>
        </w:rPr>
        <w:t>, 20</w:t>
      </w:r>
      <w:r w:rsidR="00B146E7">
        <w:rPr>
          <w:rFonts w:ascii="Times New Roman" w:hAnsi="Times New Roman"/>
        </w:rPr>
        <w:t>12</w:t>
      </w:r>
    </w:p>
    <w:p w14:paraId="0C396912" w14:textId="4ADBF6F6" w:rsidR="00657DEE" w:rsidRPr="00AD4D61" w:rsidRDefault="00657DEE">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B146E7">
        <w:rPr>
          <w:rFonts w:ascii="Times New Roman" w:hAnsi="Times New Roman"/>
        </w:rPr>
        <w:t>A</w:t>
      </w:r>
      <w:r w:rsidR="00A47727">
        <w:rPr>
          <w:rFonts w:ascii="Times New Roman" w:hAnsi="Times New Roman"/>
        </w:rPr>
        <w:t>5</w:t>
      </w:r>
    </w:p>
    <w:p w14:paraId="0C396913" w14:textId="77777777" w:rsidR="00657DEE" w:rsidRPr="00AD4D61" w:rsidRDefault="00657DEE">
      <w:pPr>
        <w:rPr>
          <w:rFonts w:ascii="Times New Roman" w:hAnsi="Times New Roman"/>
        </w:rPr>
      </w:pPr>
    </w:p>
    <w:p w14:paraId="0C396914" w14:textId="77777777" w:rsidR="00657DEE" w:rsidRPr="00AD4D61" w:rsidRDefault="00657DEE">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B84978">
        <w:rPr>
          <w:rFonts w:ascii="Times New Roman" w:hAnsi="Times New Roman"/>
          <w:b/>
          <w:bCs/>
        </w:rPr>
        <w:t>UE-</w:t>
      </w:r>
      <w:r w:rsidR="00B146E7">
        <w:rPr>
          <w:rFonts w:ascii="Times New Roman" w:hAnsi="Times New Roman"/>
          <w:b/>
          <w:bCs/>
        </w:rPr>
        <w:t>120432</w:t>
      </w:r>
    </w:p>
    <w:p w14:paraId="0C396915" w14:textId="77777777" w:rsidR="00657DEE" w:rsidRPr="00AD4D61" w:rsidRDefault="00657DEE">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B84978">
        <w:rPr>
          <w:rFonts w:ascii="Times New Roman" w:hAnsi="Times New Roman"/>
        </w:rPr>
        <w:t>Avista Corporation</w:t>
      </w:r>
    </w:p>
    <w:p w14:paraId="0C396916" w14:textId="77777777" w:rsidR="00657DEE" w:rsidRPr="00AD4D61" w:rsidRDefault="00657DEE">
      <w:pPr>
        <w:rPr>
          <w:rFonts w:ascii="Times New Roman" w:hAnsi="Times New Roman"/>
        </w:rPr>
      </w:pPr>
    </w:p>
    <w:p w14:paraId="0C396917" w14:textId="77777777" w:rsidR="00657DEE" w:rsidRDefault="00657DEE" w:rsidP="00B84978">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sidR="00B146E7">
        <w:rPr>
          <w:rFonts w:ascii="Times New Roman" w:hAnsi="Times New Roman"/>
        </w:rPr>
        <w:t>Kathryn Breda</w:t>
      </w:r>
      <w:r w:rsidR="006652DF">
        <w:rPr>
          <w:rFonts w:ascii="Times New Roman" w:hAnsi="Times New Roman"/>
        </w:rPr>
        <w:t>, Regulatory Ana</w:t>
      </w:r>
      <w:r w:rsidR="003900E8">
        <w:rPr>
          <w:rFonts w:ascii="Times New Roman" w:hAnsi="Times New Roman"/>
        </w:rPr>
        <w:t>lyst</w:t>
      </w:r>
    </w:p>
    <w:p w14:paraId="0C396918" w14:textId="77777777" w:rsidR="000D3F1D" w:rsidRPr="00AD4D61" w:rsidRDefault="000D3F1D" w:rsidP="00B8497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Alan Buckley, Regulatory Consultant</w:t>
      </w:r>
    </w:p>
    <w:p w14:paraId="0C396919" w14:textId="77777777" w:rsidR="00657DEE" w:rsidRPr="00AD4D61" w:rsidRDefault="00657DEE">
      <w:pPr>
        <w:rPr>
          <w:rFonts w:ascii="Times New Roman" w:hAnsi="Times New Roman"/>
        </w:rPr>
      </w:pPr>
    </w:p>
    <w:p w14:paraId="0C39691A" w14:textId="77777777" w:rsidR="00657DEE" w:rsidRPr="00672810" w:rsidRDefault="00842F1A">
      <w:pPr>
        <w:rPr>
          <w:rFonts w:ascii="Times New Roman" w:hAnsi="Times New Roman"/>
          <w:b/>
          <w:bCs/>
          <w:u w:val="single"/>
        </w:rPr>
      </w:pPr>
      <w:r w:rsidRPr="00672810">
        <w:rPr>
          <w:rFonts w:ascii="Times New Roman" w:hAnsi="Times New Roman"/>
          <w:b/>
          <w:bCs/>
          <w:u w:val="single"/>
        </w:rPr>
        <w:t>Recommendation</w:t>
      </w:r>
    </w:p>
    <w:p w14:paraId="0C39691B" w14:textId="77777777" w:rsidR="00170726" w:rsidRPr="00672810" w:rsidRDefault="00170726">
      <w:pPr>
        <w:rPr>
          <w:rFonts w:ascii="Times New Roman" w:hAnsi="Times New Roman"/>
        </w:rPr>
      </w:pPr>
    </w:p>
    <w:p w14:paraId="0C39691C" w14:textId="2C97A92E" w:rsidR="00A93656" w:rsidRPr="00672810" w:rsidRDefault="00B84978" w:rsidP="000E64E1">
      <w:pPr>
        <w:spacing w:line="288" w:lineRule="auto"/>
        <w:rPr>
          <w:rFonts w:ascii="Times New Roman" w:hAnsi="Times New Roman"/>
        </w:rPr>
      </w:pPr>
      <w:r w:rsidRPr="00672810">
        <w:rPr>
          <w:rFonts w:ascii="Times New Roman" w:hAnsi="Times New Roman"/>
        </w:rPr>
        <w:t xml:space="preserve">Issue an order </w:t>
      </w:r>
      <w:r w:rsidR="008127CE" w:rsidRPr="00672810">
        <w:rPr>
          <w:rFonts w:ascii="Times New Roman" w:hAnsi="Times New Roman"/>
        </w:rPr>
        <w:t>consolidati</w:t>
      </w:r>
      <w:r w:rsidR="008127CE">
        <w:rPr>
          <w:rFonts w:ascii="Times New Roman" w:hAnsi="Times New Roman"/>
        </w:rPr>
        <w:t>ng</w:t>
      </w:r>
      <w:r w:rsidR="00A93656" w:rsidRPr="00672810">
        <w:rPr>
          <w:rFonts w:ascii="Times New Roman" w:hAnsi="Times New Roman"/>
        </w:rPr>
        <w:t xml:space="preserve"> </w:t>
      </w:r>
      <w:r w:rsidR="00B646AC" w:rsidRPr="00672810">
        <w:rPr>
          <w:rFonts w:ascii="Times New Roman" w:hAnsi="Times New Roman"/>
        </w:rPr>
        <w:t>Docket UE-</w:t>
      </w:r>
      <w:r w:rsidR="00A93656" w:rsidRPr="00672810">
        <w:rPr>
          <w:rFonts w:ascii="Times New Roman" w:hAnsi="Times New Roman"/>
        </w:rPr>
        <w:t xml:space="preserve">120432 with Dockets UE-120436 and UG-120437, </w:t>
      </w:r>
      <w:r w:rsidR="00A47727">
        <w:rPr>
          <w:rFonts w:ascii="Times New Roman" w:hAnsi="Times New Roman"/>
        </w:rPr>
        <w:t xml:space="preserve">  </w:t>
      </w:r>
      <w:r w:rsidR="00A93656" w:rsidRPr="00672810">
        <w:rPr>
          <w:rFonts w:ascii="Times New Roman" w:hAnsi="Times New Roman"/>
        </w:rPr>
        <w:t>UE-110876 and UG-110877 (</w:t>
      </w:r>
      <w:r w:rsidR="00A93656" w:rsidRPr="00672810">
        <w:rPr>
          <w:rFonts w:ascii="Times New Roman" w:hAnsi="Times New Roman"/>
          <w:i/>
        </w:rPr>
        <w:t xml:space="preserve">consolidated) </w:t>
      </w:r>
      <w:r w:rsidR="00A93656" w:rsidRPr="00672810">
        <w:rPr>
          <w:rFonts w:ascii="Times New Roman" w:hAnsi="Times New Roman"/>
        </w:rPr>
        <w:t>and set for hearing due to</w:t>
      </w:r>
      <w:r w:rsidR="00373643">
        <w:rPr>
          <w:rFonts w:ascii="Times New Roman" w:hAnsi="Times New Roman"/>
        </w:rPr>
        <w:t xml:space="preserve"> common</w:t>
      </w:r>
      <w:r w:rsidR="00A93656" w:rsidRPr="00672810">
        <w:rPr>
          <w:rFonts w:ascii="Times New Roman" w:hAnsi="Times New Roman"/>
        </w:rPr>
        <w:t xml:space="preserve"> </w:t>
      </w:r>
      <w:r w:rsidR="00DE1B77">
        <w:rPr>
          <w:rFonts w:ascii="Times New Roman" w:hAnsi="Times New Roman"/>
        </w:rPr>
        <w:t xml:space="preserve">issues of </w:t>
      </w:r>
      <w:r w:rsidR="00A93656" w:rsidRPr="00672810">
        <w:rPr>
          <w:rFonts w:ascii="Times New Roman" w:hAnsi="Times New Roman"/>
        </w:rPr>
        <w:t>fact</w:t>
      </w:r>
      <w:r w:rsidR="00373643">
        <w:rPr>
          <w:rFonts w:ascii="Times New Roman" w:hAnsi="Times New Roman"/>
        </w:rPr>
        <w:t xml:space="preserve"> and</w:t>
      </w:r>
      <w:r w:rsidR="00A93656" w:rsidRPr="00672810">
        <w:rPr>
          <w:rFonts w:ascii="Times New Roman" w:hAnsi="Times New Roman"/>
        </w:rPr>
        <w:t xml:space="preserve"> law.</w:t>
      </w:r>
    </w:p>
    <w:p w14:paraId="0C39691D" w14:textId="77777777" w:rsidR="00A93656" w:rsidRPr="00672810" w:rsidRDefault="00A93656">
      <w:pPr>
        <w:rPr>
          <w:rFonts w:ascii="Times New Roman" w:hAnsi="Times New Roman"/>
        </w:rPr>
      </w:pPr>
    </w:p>
    <w:p w14:paraId="0C39691E" w14:textId="77777777" w:rsidR="00170726" w:rsidRPr="00672810" w:rsidRDefault="00A93656">
      <w:pPr>
        <w:rPr>
          <w:rFonts w:ascii="Times New Roman" w:hAnsi="Times New Roman"/>
        </w:rPr>
      </w:pPr>
      <w:r w:rsidRPr="00672810">
        <w:rPr>
          <w:rFonts w:ascii="Times New Roman" w:hAnsi="Times New Roman"/>
          <w:b/>
          <w:u w:val="single"/>
        </w:rPr>
        <w:t xml:space="preserve"> </w:t>
      </w:r>
      <w:r w:rsidR="00657DEE" w:rsidRPr="00672810">
        <w:rPr>
          <w:rFonts w:ascii="Times New Roman" w:hAnsi="Times New Roman"/>
          <w:b/>
          <w:u w:val="single"/>
        </w:rPr>
        <w:t>Discussion</w:t>
      </w:r>
    </w:p>
    <w:p w14:paraId="0C39691F" w14:textId="345B1F53" w:rsidR="00657DEE" w:rsidRPr="00672810" w:rsidRDefault="00B646AC" w:rsidP="000E64E1">
      <w:pPr>
        <w:spacing w:line="288" w:lineRule="auto"/>
        <w:rPr>
          <w:rFonts w:ascii="Times New Roman" w:hAnsi="Times New Roman"/>
        </w:rPr>
      </w:pPr>
      <w:r w:rsidRPr="00672810">
        <w:rPr>
          <w:rFonts w:ascii="Times New Roman" w:hAnsi="Times New Roman"/>
        </w:rPr>
        <w:t xml:space="preserve">On March </w:t>
      </w:r>
      <w:r w:rsidR="00A93656" w:rsidRPr="00672810">
        <w:rPr>
          <w:rFonts w:ascii="Times New Roman" w:hAnsi="Times New Roman"/>
        </w:rPr>
        <w:t>30</w:t>
      </w:r>
      <w:r w:rsidRPr="00672810">
        <w:rPr>
          <w:rFonts w:ascii="Times New Roman" w:hAnsi="Times New Roman"/>
        </w:rPr>
        <w:t>, 20</w:t>
      </w:r>
      <w:r w:rsidR="00A93656" w:rsidRPr="00672810">
        <w:rPr>
          <w:rFonts w:ascii="Times New Roman" w:hAnsi="Times New Roman"/>
        </w:rPr>
        <w:t>12</w:t>
      </w:r>
      <w:r w:rsidRPr="00672810">
        <w:rPr>
          <w:rFonts w:ascii="Times New Roman" w:hAnsi="Times New Roman"/>
        </w:rPr>
        <w:t xml:space="preserve">, Avista Corporation (Avista or </w:t>
      </w:r>
      <w:r w:rsidR="001A71D7" w:rsidRPr="00672810">
        <w:rPr>
          <w:rFonts w:ascii="Times New Roman" w:hAnsi="Times New Roman"/>
        </w:rPr>
        <w:t>c</w:t>
      </w:r>
      <w:r w:rsidRPr="00672810">
        <w:rPr>
          <w:rFonts w:ascii="Times New Roman" w:hAnsi="Times New Roman"/>
        </w:rPr>
        <w:t xml:space="preserve">ompany) filed its </w:t>
      </w:r>
      <w:r w:rsidR="00A54AE4" w:rsidRPr="00672810">
        <w:rPr>
          <w:rFonts w:ascii="Times New Roman" w:hAnsi="Times New Roman"/>
        </w:rPr>
        <w:t>e</w:t>
      </w:r>
      <w:r w:rsidR="00BE6C47" w:rsidRPr="00672810">
        <w:rPr>
          <w:rFonts w:ascii="Times New Roman" w:hAnsi="Times New Roman"/>
        </w:rPr>
        <w:t xml:space="preserve">nergy </w:t>
      </w:r>
      <w:r w:rsidR="00A54AE4" w:rsidRPr="00672810">
        <w:rPr>
          <w:rFonts w:ascii="Times New Roman" w:hAnsi="Times New Roman"/>
        </w:rPr>
        <w:t>recovery m</w:t>
      </w:r>
      <w:r w:rsidR="00BE6C47" w:rsidRPr="00672810">
        <w:rPr>
          <w:rFonts w:ascii="Times New Roman" w:hAnsi="Times New Roman"/>
        </w:rPr>
        <w:t xml:space="preserve">echanism (ERM) </w:t>
      </w:r>
      <w:r w:rsidRPr="00672810">
        <w:rPr>
          <w:rFonts w:ascii="Times New Roman" w:hAnsi="Times New Roman"/>
        </w:rPr>
        <w:t xml:space="preserve">deferral </w:t>
      </w:r>
      <w:r w:rsidR="00A93656" w:rsidRPr="00672810">
        <w:rPr>
          <w:rFonts w:ascii="Times New Roman" w:hAnsi="Times New Roman"/>
        </w:rPr>
        <w:t>calculation</w:t>
      </w:r>
      <w:r w:rsidR="00A54AE4" w:rsidRPr="00672810">
        <w:rPr>
          <w:rFonts w:ascii="Times New Roman" w:hAnsi="Times New Roman"/>
        </w:rPr>
        <w:t>s for calendar year 20</w:t>
      </w:r>
      <w:r w:rsidR="00A93656" w:rsidRPr="00672810">
        <w:rPr>
          <w:rFonts w:ascii="Times New Roman" w:hAnsi="Times New Roman"/>
        </w:rPr>
        <w:t>11</w:t>
      </w:r>
      <w:r w:rsidR="00C06680" w:rsidRPr="00672810">
        <w:rPr>
          <w:rFonts w:ascii="Times New Roman" w:hAnsi="Times New Roman"/>
        </w:rPr>
        <w:t xml:space="preserve">, </w:t>
      </w:r>
      <w:r w:rsidRPr="00672810">
        <w:rPr>
          <w:rFonts w:ascii="Times New Roman" w:hAnsi="Times New Roman"/>
        </w:rPr>
        <w:t xml:space="preserve">as required under </w:t>
      </w:r>
      <w:r w:rsidR="002E1A9F" w:rsidRPr="00672810">
        <w:rPr>
          <w:rFonts w:ascii="Times New Roman" w:hAnsi="Times New Roman"/>
        </w:rPr>
        <w:t>the</w:t>
      </w:r>
      <w:r w:rsidR="003900E8" w:rsidRPr="00672810">
        <w:rPr>
          <w:rFonts w:ascii="Times New Roman" w:hAnsi="Times New Roman"/>
        </w:rPr>
        <w:t xml:space="preserve"> </w:t>
      </w:r>
      <w:r w:rsidR="002E1A9F" w:rsidRPr="00672810">
        <w:rPr>
          <w:rFonts w:ascii="Times New Roman" w:hAnsi="Times New Roman"/>
        </w:rPr>
        <w:t>s</w:t>
      </w:r>
      <w:r w:rsidR="003900E8" w:rsidRPr="00672810">
        <w:rPr>
          <w:rFonts w:ascii="Times New Roman" w:hAnsi="Times New Roman"/>
        </w:rPr>
        <w:t xml:space="preserve">ettlement </w:t>
      </w:r>
      <w:r w:rsidR="002E1A9F" w:rsidRPr="00672810">
        <w:rPr>
          <w:rFonts w:ascii="Times New Roman" w:hAnsi="Times New Roman"/>
        </w:rPr>
        <w:t>s</w:t>
      </w:r>
      <w:r w:rsidR="003900E8" w:rsidRPr="00672810">
        <w:rPr>
          <w:rFonts w:ascii="Times New Roman" w:hAnsi="Times New Roman"/>
        </w:rPr>
        <w:t xml:space="preserve">tipulation approved by the </w:t>
      </w:r>
      <w:r w:rsidR="001A71D7" w:rsidRPr="00672810">
        <w:rPr>
          <w:rFonts w:ascii="Times New Roman" w:hAnsi="Times New Roman"/>
        </w:rPr>
        <w:t>Utilities and Transportation Commission (c</w:t>
      </w:r>
      <w:r w:rsidR="003900E8" w:rsidRPr="00672810">
        <w:rPr>
          <w:rFonts w:ascii="Times New Roman" w:hAnsi="Times New Roman"/>
        </w:rPr>
        <w:t>ommission</w:t>
      </w:r>
      <w:r w:rsidR="001A71D7" w:rsidRPr="00672810">
        <w:rPr>
          <w:rFonts w:ascii="Times New Roman" w:hAnsi="Times New Roman"/>
        </w:rPr>
        <w:t>)</w:t>
      </w:r>
      <w:r w:rsidR="003900E8" w:rsidRPr="00672810">
        <w:rPr>
          <w:rFonts w:ascii="Times New Roman" w:hAnsi="Times New Roman"/>
        </w:rPr>
        <w:t xml:space="preserve"> in Docket UE-011595 and clarified in </w:t>
      </w:r>
      <w:r w:rsidR="001A71D7" w:rsidRPr="00672810">
        <w:rPr>
          <w:rFonts w:ascii="Times New Roman" w:hAnsi="Times New Roman"/>
        </w:rPr>
        <w:t xml:space="preserve">Docket </w:t>
      </w:r>
      <w:r w:rsidR="003900E8" w:rsidRPr="00672810">
        <w:rPr>
          <w:rFonts w:ascii="Times New Roman" w:hAnsi="Times New Roman"/>
        </w:rPr>
        <w:t>UE-030751</w:t>
      </w:r>
      <w:r w:rsidR="002E1A9F" w:rsidRPr="00672810">
        <w:rPr>
          <w:rFonts w:ascii="Times New Roman" w:hAnsi="Times New Roman"/>
        </w:rPr>
        <w:t xml:space="preserve">. </w:t>
      </w:r>
      <w:r w:rsidR="003A6EDD" w:rsidRPr="00672810">
        <w:rPr>
          <w:rFonts w:ascii="Times New Roman" w:hAnsi="Times New Roman"/>
        </w:rPr>
        <w:t xml:space="preserve">The purpose for the annual filing is to allow both the commission and interested parties </w:t>
      </w:r>
      <w:r w:rsidR="0093757B" w:rsidRPr="00672810">
        <w:rPr>
          <w:rFonts w:ascii="Times New Roman" w:hAnsi="Times New Roman"/>
        </w:rPr>
        <w:t xml:space="preserve">no less than </w:t>
      </w:r>
      <w:r w:rsidR="003A6EDD" w:rsidRPr="00672810">
        <w:rPr>
          <w:rFonts w:ascii="Times New Roman" w:hAnsi="Times New Roman"/>
        </w:rPr>
        <w:t xml:space="preserve">90 days to </w:t>
      </w:r>
      <w:r w:rsidR="003625B8" w:rsidRPr="00672810">
        <w:rPr>
          <w:rFonts w:ascii="Times New Roman" w:hAnsi="Times New Roman"/>
        </w:rPr>
        <w:t xml:space="preserve">audit and </w:t>
      </w:r>
      <w:r w:rsidR="003A6EDD" w:rsidRPr="00672810">
        <w:rPr>
          <w:rFonts w:ascii="Times New Roman" w:hAnsi="Times New Roman"/>
        </w:rPr>
        <w:t xml:space="preserve">review the prudence of the ERM deferral entries for the prior calendar year. </w:t>
      </w:r>
      <w:r w:rsidR="002E1A9F" w:rsidRPr="00672810">
        <w:rPr>
          <w:rFonts w:ascii="Times New Roman" w:hAnsi="Times New Roman"/>
        </w:rPr>
        <w:t xml:space="preserve">The 90-day period </w:t>
      </w:r>
      <w:r w:rsidR="00373643" w:rsidRPr="00672810">
        <w:rPr>
          <w:rFonts w:ascii="Times New Roman" w:hAnsi="Times New Roman"/>
        </w:rPr>
        <w:t>end</w:t>
      </w:r>
      <w:r w:rsidR="00373643">
        <w:rPr>
          <w:rFonts w:ascii="Times New Roman" w:hAnsi="Times New Roman"/>
        </w:rPr>
        <w:t>s</w:t>
      </w:r>
      <w:r w:rsidR="00373643" w:rsidRPr="00672810">
        <w:rPr>
          <w:rFonts w:ascii="Times New Roman" w:hAnsi="Times New Roman"/>
        </w:rPr>
        <w:t xml:space="preserve"> </w:t>
      </w:r>
      <w:r w:rsidR="002E1A9F" w:rsidRPr="00672810">
        <w:rPr>
          <w:rFonts w:ascii="Times New Roman" w:hAnsi="Times New Roman"/>
        </w:rPr>
        <w:t>June 30, 20</w:t>
      </w:r>
      <w:r w:rsidR="00A93656" w:rsidRPr="00672810">
        <w:rPr>
          <w:rFonts w:ascii="Times New Roman" w:hAnsi="Times New Roman"/>
        </w:rPr>
        <w:t>12</w:t>
      </w:r>
      <w:r w:rsidR="002E1A9F" w:rsidRPr="00672810">
        <w:rPr>
          <w:rFonts w:ascii="Times New Roman" w:hAnsi="Times New Roman"/>
        </w:rPr>
        <w:t>.</w:t>
      </w:r>
    </w:p>
    <w:p w14:paraId="0C396920" w14:textId="77777777" w:rsidR="00657DEE" w:rsidRPr="00672810" w:rsidRDefault="00657DEE">
      <w:pPr>
        <w:rPr>
          <w:rFonts w:ascii="Times New Roman" w:hAnsi="Times New Roman"/>
        </w:rPr>
      </w:pPr>
    </w:p>
    <w:p w14:paraId="0C396967" w14:textId="77777777" w:rsidR="00657DEE" w:rsidRDefault="00657DEE">
      <w:pPr>
        <w:rPr>
          <w:rFonts w:ascii="Times New Roman" w:hAnsi="Times New Roman"/>
        </w:rPr>
      </w:pPr>
    </w:p>
    <w:p w14:paraId="0C396968" w14:textId="34021BCD" w:rsidR="00C74953" w:rsidRDefault="00C74953" w:rsidP="00686655">
      <w:pPr>
        <w:spacing w:line="288" w:lineRule="auto"/>
        <w:rPr>
          <w:rFonts w:ascii="Times New Roman" w:hAnsi="Times New Roman"/>
        </w:rPr>
      </w:pPr>
      <w:r w:rsidRPr="00C74953">
        <w:rPr>
          <w:rFonts w:ascii="Times New Roman" w:hAnsi="Times New Roman"/>
        </w:rPr>
        <w:t xml:space="preserve">The baseline for this ERM calculation was established as a result of the Settlement Stipulation approved in Docket Nos. UE-100467 and UG-100468 Order 07 dated November 19, 2010.  Avista’s ERM includes 100 percent of the revenues and </w:t>
      </w:r>
      <w:r w:rsidR="0025381F">
        <w:rPr>
          <w:rFonts w:ascii="Times New Roman" w:hAnsi="Times New Roman"/>
        </w:rPr>
        <w:t xml:space="preserve">expenses </w:t>
      </w:r>
      <w:r w:rsidRPr="00C74953">
        <w:rPr>
          <w:rFonts w:ascii="Times New Roman" w:hAnsi="Times New Roman"/>
        </w:rPr>
        <w:t xml:space="preserve">associated with </w:t>
      </w:r>
      <w:r w:rsidR="00C51216">
        <w:rPr>
          <w:rFonts w:ascii="Times New Roman" w:hAnsi="Times New Roman"/>
        </w:rPr>
        <w:t xml:space="preserve">the sale and purchase of </w:t>
      </w:r>
      <w:r w:rsidR="00AC271C">
        <w:rPr>
          <w:rFonts w:ascii="Times New Roman" w:hAnsi="Times New Roman"/>
        </w:rPr>
        <w:t>Renewable Energy Credit (</w:t>
      </w:r>
      <w:r w:rsidR="00C51216">
        <w:rPr>
          <w:rFonts w:ascii="Times New Roman" w:hAnsi="Times New Roman"/>
        </w:rPr>
        <w:t>REC</w:t>
      </w:r>
      <w:r w:rsidR="00AC271C">
        <w:rPr>
          <w:rFonts w:ascii="Times New Roman" w:hAnsi="Times New Roman"/>
        </w:rPr>
        <w:t>)</w:t>
      </w:r>
      <w:r w:rsidR="00DC2633">
        <w:rPr>
          <w:rFonts w:ascii="Times New Roman" w:hAnsi="Times New Roman"/>
        </w:rPr>
        <w:t xml:space="preserve"> revenue</w:t>
      </w:r>
      <w:r w:rsidR="00C51216">
        <w:rPr>
          <w:rFonts w:ascii="Times New Roman" w:hAnsi="Times New Roman"/>
        </w:rPr>
        <w:t xml:space="preserve">. </w:t>
      </w:r>
      <w:r w:rsidRPr="00C74953">
        <w:rPr>
          <w:rFonts w:ascii="Times New Roman" w:hAnsi="Times New Roman"/>
        </w:rPr>
        <w:t>These revenues and expenses are treated the same as other power costs and revenues in the ERM and sub</w:t>
      </w:r>
      <w:r w:rsidR="00C51216">
        <w:rPr>
          <w:rFonts w:ascii="Times New Roman" w:hAnsi="Times New Roman"/>
        </w:rPr>
        <w:t xml:space="preserve">ject to the ERM sharing bands. </w:t>
      </w:r>
      <w:r w:rsidRPr="00C74953">
        <w:rPr>
          <w:rFonts w:ascii="Times New Roman" w:hAnsi="Times New Roman"/>
        </w:rPr>
        <w:t>The ERM, since its inception, has always included 100 percent of all REC revenues and expenses.</w:t>
      </w:r>
    </w:p>
    <w:p w14:paraId="494BA5A1" w14:textId="77777777" w:rsidR="00F94D21" w:rsidRDefault="00F94D21" w:rsidP="00686655">
      <w:pPr>
        <w:spacing w:line="288" w:lineRule="auto"/>
        <w:rPr>
          <w:rFonts w:ascii="Times New Roman" w:hAnsi="Times New Roman"/>
        </w:rPr>
      </w:pPr>
    </w:p>
    <w:p w14:paraId="770A4DF7" w14:textId="38583FE3" w:rsidR="00F94D21" w:rsidRPr="00C74953" w:rsidRDefault="00DC2633" w:rsidP="00686655">
      <w:pPr>
        <w:spacing w:line="288" w:lineRule="auto"/>
        <w:rPr>
          <w:rFonts w:ascii="Times New Roman" w:hAnsi="Times New Roman"/>
        </w:rPr>
      </w:pPr>
      <w:r>
        <w:rPr>
          <w:rFonts w:ascii="Times New Roman" w:hAnsi="Times New Roman"/>
        </w:rPr>
        <w:t>In recent orders,</w:t>
      </w:r>
      <w:r w:rsidR="00A47727">
        <w:rPr>
          <w:rFonts w:ascii="Times New Roman" w:hAnsi="Times New Roman"/>
        </w:rPr>
        <w:t xml:space="preserve"> </w:t>
      </w:r>
      <w:r w:rsidR="00F94D21" w:rsidRPr="00C74953">
        <w:rPr>
          <w:rFonts w:ascii="Times New Roman" w:hAnsi="Times New Roman"/>
        </w:rPr>
        <w:t xml:space="preserve">the </w:t>
      </w:r>
      <w:r w:rsidR="00F94D21">
        <w:rPr>
          <w:rFonts w:ascii="Times New Roman" w:hAnsi="Times New Roman"/>
        </w:rPr>
        <w:t>c</w:t>
      </w:r>
      <w:r w:rsidR="00F94D21" w:rsidRPr="00C74953">
        <w:rPr>
          <w:rFonts w:ascii="Times New Roman" w:hAnsi="Times New Roman"/>
        </w:rPr>
        <w:t xml:space="preserve">ommission determined that all REC revenue </w:t>
      </w:r>
      <w:r w:rsidR="00AC271C">
        <w:rPr>
          <w:rFonts w:ascii="Times New Roman" w:hAnsi="Times New Roman"/>
        </w:rPr>
        <w:t xml:space="preserve">should </w:t>
      </w:r>
      <w:r w:rsidR="00F94D21" w:rsidRPr="00C74953">
        <w:rPr>
          <w:rFonts w:ascii="Times New Roman" w:hAnsi="Times New Roman"/>
        </w:rPr>
        <w:t>be returned to rate payers in the form of a bill credit.</w:t>
      </w:r>
      <w:r w:rsidR="00F94D21" w:rsidRPr="00C74953">
        <w:rPr>
          <w:rFonts w:ascii="Times New Roman" w:hAnsi="Times New Roman"/>
          <w:vertAlign w:val="superscript"/>
        </w:rPr>
        <w:footnoteReference w:id="1"/>
      </w:r>
    </w:p>
    <w:p w14:paraId="0C396969" w14:textId="77777777" w:rsidR="00C74953" w:rsidRPr="00C74953" w:rsidRDefault="00C74953" w:rsidP="00686655">
      <w:pPr>
        <w:ind w:left="1440"/>
        <w:rPr>
          <w:rFonts w:ascii="Times New Roman" w:hAnsi="Times New Roman"/>
        </w:rPr>
      </w:pPr>
    </w:p>
    <w:p w14:paraId="0C39696A" w14:textId="22B25F51" w:rsidR="00C74953" w:rsidRPr="00C74953" w:rsidRDefault="00C74953" w:rsidP="00686655">
      <w:pPr>
        <w:spacing w:line="288" w:lineRule="auto"/>
        <w:rPr>
          <w:rFonts w:ascii="Times New Roman" w:hAnsi="Times New Roman"/>
        </w:rPr>
      </w:pPr>
      <w:r w:rsidRPr="00C74953">
        <w:rPr>
          <w:rFonts w:ascii="Times New Roman" w:hAnsi="Times New Roman"/>
          <w:bCs/>
        </w:rPr>
        <w:t>On April 2, 2012, Avista filed</w:t>
      </w:r>
      <w:r w:rsidRPr="00C74953">
        <w:rPr>
          <w:rFonts w:ascii="Times New Roman" w:hAnsi="Times New Roman"/>
        </w:rPr>
        <w:t xml:space="preserve"> revisions to its currently effective Tariff WN U-28, Electric Service in Docket UE-120436 and revisions to its currently effective Tariff WN U-29, Ga</w:t>
      </w:r>
      <w:r w:rsidR="00C51216">
        <w:rPr>
          <w:rFonts w:ascii="Times New Roman" w:hAnsi="Times New Roman"/>
        </w:rPr>
        <w:t xml:space="preserve">s Service in Docket UG-120437. </w:t>
      </w:r>
      <w:r w:rsidRPr="00C74953">
        <w:rPr>
          <w:rFonts w:ascii="Times New Roman" w:hAnsi="Times New Roman"/>
        </w:rPr>
        <w:t xml:space="preserve">In addition to requesting a general electric rate increase of $41.0 </w:t>
      </w:r>
      <w:r w:rsidRPr="00C74953">
        <w:rPr>
          <w:rFonts w:ascii="Times New Roman" w:hAnsi="Times New Roman"/>
        </w:rPr>
        <w:lastRenderedPageBreak/>
        <w:t xml:space="preserve">million, or 9.0 percent, and a gas rate increase of $10.1 million or 7.0 percent, Avista filed tariff Schedule 93, proposing a one-year ERM bill decrease, or rebate, to electric customers of $13.6 million (about 2.9 percent) reflecting the balance as the </w:t>
      </w:r>
      <w:r w:rsidR="00C51216">
        <w:rPr>
          <w:rFonts w:ascii="Times New Roman" w:hAnsi="Times New Roman"/>
        </w:rPr>
        <w:t>c</w:t>
      </w:r>
      <w:r w:rsidRPr="00C74953">
        <w:rPr>
          <w:rFonts w:ascii="Times New Roman" w:hAnsi="Times New Roman"/>
        </w:rPr>
        <w:t>ompany has calculated in this annual ERM Docket UE-120432.</w:t>
      </w:r>
      <w:r w:rsidR="0025381F">
        <w:rPr>
          <w:rFonts w:ascii="Times New Roman" w:hAnsi="Times New Roman"/>
        </w:rPr>
        <w:t xml:space="preserve">  The determination</w:t>
      </w:r>
      <w:r w:rsidR="00AC271C">
        <w:rPr>
          <w:rFonts w:ascii="Times New Roman" w:hAnsi="Times New Roman"/>
        </w:rPr>
        <w:t xml:space="preserve"> </w:t>
      </w:r>
      <w:r w:rsidR="008127CE">
        <w:rPr>
          <w:rFonts w:ascii="Times New Roman" w:hAnsi="Times New Roman"/>
        </w:rPr>
        <w:t>of the</w:t>
      </w:r>
      <w:r w:rsidR="00AC271C">
        <w:rPr>
          <w:rFonts w:ascii="Times New Roman" w:hAnsi="Times New Roman"/>
        </w:rPr>
        <w:t xml:space="preserve"> treatment of REC revenue</w:t>
      </w:r>
      <w:r w:rsidR="008127CE">
        <w:rPr>
          <w:rFonts w:ascii="Times New Roman" w:hAnsi="Times New Roman"/>
        </w:rPr>
        <w:t>,</w:t>
      </w:r>
      <w:r w:rsidR="00AC271C">
        <w:rPr>
          <w:rFonts w:ascii="Times New Roman" w:hAnsi="Times New Roman"/>
        </w:rPr>
        <w:t xml:space="preserve"> considering recent commission policy</w:t>
      </w:r>
      <w:r w:rsidR="008127CE">
        <w:rPr>
          <w:rFonts w:ascii="Times New Roman" w:hAnsi="Times New Roman"/>
        </w:rPr>
        <w:t>,</w:t>
      </w:r>
      <w:r w:rsidR="00AC271C">
        <w:rPr>
          <w:rFonts w:ascii="Times New Roman" w:hAnsi="Times New Roman"/>
        </w:rPr>
        <w:t xml:space="preserve"> </w:t>
      </w:r>
      <w:r w:rsidR="002713AB">
        <w:rPr>
          <w:rFonts w:ascii="Times New Roman" w:hAnsi="Times New Roman"/>
        </w:rPr>
        <w:t>may</w:t>
      </w:r>
      <w:r w:rsidR="00AC271C">
        <w:rPr>
          <w:rFonts w:ascii="Times New Roman" w:hAnsi="Times New Roman"/>
        </w:rPr>
        <w:t xml:space="preserve"> change the balance conside</w:t>
      </w:r>
      <w:r w:rsidR="008127CE">
        <w:rPr>
          <w:rFonts w:ascii="Times New Roman" w:hAnsi="Times New Roman"/>
        </w:rPr>
        <w:t>r</w:t>
      </w:r>
      <w:r w:rsidR="00AC271C">
        <w:rPr>
          <w:rFonts w:ascii="Times New Roman" w:hAnsi="Times New Roman"/>
        </w:rPr>
        <w:t>ed for the proposed Schedule 93 rebate.</w:t>
      </w:r>
    </w:p>
    <w:p w14:paraId="0C39696B" w14:textId="77777777" w:rsidR="00C74953" w:rsidRDefault="00C74953" w:rsidP="0093757B">
      <w:pPr>
        <w:rPr>
          <w:rFonts w:ascii="Times New Roman" w:hAnsi="Times New Roman"/>
        </w:rPr>
      </w:pPr>
    </w:p>
    <w:p w14:paraId="0C39696C" w14:textId="77777777" w:rsidR="0093757B" w:rsidRDefault="0093757B" w:rsidP="0093757B">
      <w:pPr>
        <w:rPr>
          <w:rFonts w:ascii="Times New Roman" w:hAnsi="Times New Roman"/>
        </w:rPr>
      </w:pPr>
      <w:r>
        <w:rPr>
          <w:rFonts w:ascii="Times New Roman" w:hAnsi="Times New Roman"/>
        </w:rPr>
        <w:t xml:space="preserve">No other persons or parties filed comments with the </w:t>
      </w:r>
      <w:r w:rsidR="007342A3">
        <w:rPr>
          <w:rFonts w:ascii="Times New Roman" w:hAnsi="Times New Roman"/>
        </w:rPr>
        <w:t xml:space="preserve">commission </w:t>
      </w:r>
      <w:r w:rsidR="00010B50">
        <w:rPr>
          <w:rFonts w:ascii="Times New Roman" w:hAnsi="Times New Roman"/>
        </w:rPr>
        <w:t>during</w:t>
      </w:r>
      <w:r>
        <w:rPr>
          <w:rFonts w:ascii="Times New Roman" w:hAnsi="Times New Roman"/>
        </w:rPr>
        <w:t xml:space="preserve"> the review period.</w:t>
      </w:r>
      <w:r w:rsidRPr="00AD4D61">
        <w:rPr>
          <w:rFonts w:ascii="Times New Roman" w:hAnsi="Times New Roman"/>
        </w:rPr>
        <w:t xml:space="preserve"> </w:t>
      </w:r>
    </w:p>
    <w:p w14:paraId="0C39696D" w14:textId="77777777" w:rsidR="00681FA8" w:rsidRDefault="00681FA8">
      <w:pPr>
        <w:rPr>
          <w:rFonts w:ascii="Times New Roman" w:hAnsi="Times New Roman"/>
          <w:b/>
          <w:u w:val="single"/>
        </w:rPr>
      </w:pPr>
    </w:p>
    <w:p w14:paraId="0C39696E" w14:textId="77777777" w:rsidR="00D60E7F" w:rsidRPr="00AD4D61" w:rsidRDefault="00D60E7F">
      <w:pPr>
        <w:rPr>
          <w:rFonts w:ascii="Times New Roman" w:hAnsi="Times New Roman"/>
          <w:b/>
          <w:u w:val="single"/>
        </w:rPr>
      </w:pPr>
      <w:r w:rsidRPr="00AD4D61">
        <w:rPr>
          <w:rFonts w:ascii="Times New Roman" w:hAnsi="Times New Roman"/>
          <w:b/>
          <w:u w:val="single"/>
        </w:rPr>
        <w:t>Conclusion</w:t>
      </w:r>
    </w:p>
    <w:p w14:paraId="0C39696F" w14:textId="77777777" w:rsidR="00170726" w:rsidRDefault="00170726">
      <w:pPr>
        <w:rPr>
          <w:rFonts w:ascii="Times New Roman" w:hAnsi="Times New Roman"/>
        </w:rPr>
      </w:pPr>
    </w:p>
    <w:p w14:paraId="0C396970" w14:textId="7A72D143" w:rsidR="00C74953" w:rsidRPr="00C74953" w:rsidRDefault="00C74953" w:rsidP="00686655">
      <w:pPr>
        <w:spacing w:after="200" w:line="288" w:lineRule="auto"/>
        <w:rPr>
          <w:rFonts w:ascii="Times New Roman" w:hAnsi="Times New Roman"/>
        </w:rPr>
      </w:pPr>
      <w:r w:rsidRPr="00C74953">
        <w:rPr>
          <w:rFonts w:ascii="Times New Roman" w:hAnsi="Times New Roman"/>
        </w:rPr>
        <w:t xml:space="preserve">Staff has conducted a review of the </w:t>
      </w:r>
      <w:r w:rsidR="00C51216">
        <w:rPr>
          <w:rFonts w:ascii="Times New Roman" w:hAnsi="Times New Roman"/>
        </w:rPr>
        <w:t>c</w:t>
      </w:r>
      <w:r w:rsidRPr="00C74953">
        <w:rPr>
          <w:rFonts w:ascii="Times New Roman" w:hAnsi="Times New Roman"/>
        </w:rPr>
        <w:t xml:space="preserve">ompany’s ERM annual review filing in this docket, and is satisfied the </w:t>
      </w:r>
      <w:r w:rsidR="00C51216">
        <w:rPr>
          <w:rFonts w:ascii="Times New Roman" w:hAnsi="Times New Roman"/>
        </w:rPr>
        <w:t>c</w:t>
      </w:r>
      <w:r w:rsidRPr="00C74953">
        <w:rPr>
          <w:rFonts w:ascii="Times New Roman" w:hAnsi="Times New Roman"/>
        </w:rPr>
        <w:t>ompany provided adequate documentation of its ERM power c</w:t>
      </w:r>
      <w:r w:rsidR="00C51216">
        <w:rPr>
          <w:rFonts w:ascii="Times New Roman" w:hAnsi="Times New Roman"/>
        </w:rPr>
        <w:t xml:space="preserve">ost revenue and expenses. </w:t>
      </w:r>
      <w:r w:rsidRPr="00C74953">
        <w:rPr>
          <w:rFonts w:ascii="Times New Roman" w:hAnsi="Times New Roman"/>
        </w:rPr>
        <w:t xml:space="preserve">However, based on the recent </w:t>
      </w:r>
      <w:r w:rsidR="00C51216">
        <w:rPr>
          <w:rFonts w:ascii="Times New Roman" w:hAnsi="Times New Roman"/>
        </w:rPr>
        <w:t>c</w:t>
      </w:r>
      <w:r w:rsidRPr="00C74953">
        <w:rPr>
          <w:rFonts w:ascii="Times New Roman" w:hAnsi="Times New Roman"/>
        </w:rPr>
        <w:t>ommission Orders related to REC revenue and the suspended ERM tariff, Staff recommends consolidation of Docket UE-120432 with Dockets UE-120436 and UG-120437, UE-110876 and UG-110877 (</w:t>
      </w:r>
      <w:r w:rsidRPr="00C74953">
        <w:rPr>
          <w:rFonts w:ascii="Times New Roman" w:hAnsi="Times New Roman"/>
          <w:i/>
        </w:rPr>
        <w:t>consolidated)</w:t>
      </w:r>
      <w:r w:rsidR="00DE1B77">
        <w:rPr>
          <w:rFonts w:ascii="Times New Roman" w:hAnsi="Times New Roman"/>
        </w:rPr>
        <w:t xml:space="preserve"> to determine whether Avista is treating REC revenues consistent with </w:t>
      </w:r>
      <w:r w:rsidR="00C51216">
        <w:rPr>
          <w:rFonts w:ascii="Times New Roman" w:hAnsi="Times New Roman"/>
        </w:rPr>
        <w:t>c</w:t>
      </w:r>
      <w:r w:rsidR="00DE1B77">
        <w:rPr>
          <w:rFonts w:ascii="Times New Roman" w:hAnsi="Times New Roman"/>
        </w:rPr>
        <w:t>ommission policy</w:t>
      </w:r>
      <w:r w:rsidRPr="00C74953">
        <w:rPr>
          <w:rFonts w:ascii="Times New Roman" w:hAnsi="Times New Roman"/>
          <w:i/>
        </w:rPr>
        <w:t>.</w:t>
      </w:r>
    </w:p>
    <w:p w14:paraId="592F19FC" w14:textId="77777777" w:rsidR="00302621" w:rsidRPr="00672810" w:rsidRDefault="00302621" w:rsidP="00302621">
      <w:pPr>
        <w:rPr>
          <w:rFonts w:ascii="Times New Roman" w:hAnsi="Times New Roman"/>
          <w:b/>
          <w:bCs/>
          <w:u w:val="single"/>
        </w:rPr>
      </w:pPr>
      <w:r w:rsidRPr="00672810">
        <w:rPr>
          <w:rFonts w:ascii="Times New Roman" w:hAnsi="Times New Roman"/>
          <w:b/>
          <w:bCs/>
          <w:u w:val="single"/>
        </w:rPr>
        <w:t>Recommendation</w:t>
      </w:r>
    </w:p>
    <w:p w14:paraId="7F04AE90" w14:textId="77777777" w:rsidR="00302621" w:rsidRPr="00672810" w:rsidRDefault="00302621" w:rsidP="00302621">
      <w:pPr>
        <w:rPr>
          <w:rFonts w:ascii="Times New Roman" w:hAnsi="Times New Roman"/>
        </w:rPr>
      </w:pPr>
    </w:p>
    <w:p w14:paraId="71A9B83B" w14:textId="514208A6" w:rsidR="00302621" w:rsidRPr="00672810" w:rsidRDefault="00302621" w:rsidP="00302621">
      <w:pPr>
        <w:spacing w:line="288" w:lineRule="auto"/>
        <w:rPr>
          <w:rFonts w:ascii="Times New Roman" w:hAnsi="Times New Roman"/>
        </w:rPr>
      </w:pPr>
      <w:r w:rsidRPr="00672810">
        <w:rPr>
          <w:rFonts w:ascii="Times New Roman" w:hAnsi="Times New Roman"/>
        </w:rPr>
        <w:t>Issue an order consolidat</w:t>
      </w:r>
      <w:r>
        <w:rPr>
          <w:rFonts w:ascii="Times New Roman" w:hAnsi="Times New Roman"/>
        </w:rPr>
        <w:t>ing</w:t>
      </w:r>
      <w:r w:rsidRPr="00672810">
        <w:rPr>
          <w:rFonts w:ascii="Times New Roman" w:hAnsi="Times New Roman"/>
        </w:rPr>
        <w:t xml:space="preserve"> Docket UE-120432 with Dockets UE-120436 and UG-120437, </w:t>
      </w:r>
      <w:r w:rsidR="00A47727">
        <w:rPr>
          <w:rFonts w:ascii="Times New Roman" w:hAnsi="Times New Roman"/>
        </w:rPr>
        <w:t xml:space="preserve">  </w:t>
      </w:r>
      <w:r w:rsidRPr="00672810">
        <w:rPr>
          <w:rFonts w:ascii="Times New Roman" w:hAnsi="Times New Roman"/>
        </w:rPr>
        <w:t>UE-110876 and UG-110877 (</w:t>
      </w:r>
      <w:r w:rsidRPr="00672810">
        <w:rPr>
          <w:rFonts w:ascii="Times New Roman" w:hAnsi="Times New Roman"/>
          <w:i/>
        </w:rPr>
        <w:t xml:space="preserve">consolidated) </w:t>
      </w:r>
      <w:r w:rsidRPr="00672810">
        <w:rPr>
          <w:rFonts w:ascii="Times New Roman" w:hAnsi="Times New Roman"/>
        </w:rPr>
        <w:t>and set for hearing due to</w:t>
      </w:r>
      <w:r>
        <w:rPr>
          <w:rFonts w:ascii="Times New Roman" w:hAnsi="Times New Roman"/>
        </w:rPr>
        <w:t xml:space="preserve"> common</w:t>
      </w:r>
      <w:r w:rsidRPr="00672810">
        <w:rPr>
          <w:rFonts w:ascii="Times New Roman" w:hAnsi="Times New Roman"/>
        </w:rPr>
        <w:t xml:space="preserve"> </w:t>
      </w:r>
      <w:r>
        <w:rPr>
          <w:rFonts w:ascii="Times New Roman" w:hAnsi="Times New Roman"/>
        </w:rPr>
        <w:t xml:space="preserve">issues of </w:t>
      </w:r>
      <w:r w:rsidRPr="00672810">
        <w:rPr>
          <w:rFonts w:ascii="Times New Roman" w:hAnsi="Times New Roman"/>
        </w:rPr>
        <w:t>fact</w:t>
      </w:r>
      <w:r>
        <w:rPr>
          <w:rFonts w:ascii="Times New Roman" w:hAnsi="Times New Roman"/>
        </w:rPr>
        <w:t xml:space="preserve"> and</w:t>
      </w:r>
      <w:r w:rsidRPr="00672810">
        <w:rPr>
          <w:rFonts w:ascii="Times New Roman" w:hAnsi="Times New Roman"/>
        </w:rPr>
        <w:t xml:space="preserve"> law.</w:t>
      </w:r>
    </w:p>
    <w:p w14:paraId="0C396972" w14:textId="77777777" w:rsidR="00777586" w:rsidRDefault="00777586" w:rsidP="00302621">
      <w:pPr>
        <w:rPr>
          <w:rFonts w:ascii="Times New Roman" w:hAnsi="Times New Roman"/>
        </w:rPr>
      </w:pPr>
    </w:p>
    <w:sectPr w:rsidR="00777586" w:rsidSect="00797614">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96975" w14:textId="77777777" w:rsidR="00AC271C" w:rsidRDefault="00AC271C">
      <w:r>
        <w:separator/>
      </w:r>
    </w:p>
  </w:endnote>
  <w:endnote w:type="continuationSeparator" w:id="0">
    <w:p w14:paraId="0C396976" w14:textId="77777777" w:rsidR="00AC271C" w:rsidRDefault="00AC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96973" w14:textId="77777777" w:rsidR="00AC271C" w:rsidRDefault="00AC271C">
      <w:r>
        <w:separator/>
      </w:r>
    </w:p>
  </w:footnote>
  <w:footnote w:type="continuationSeparator" w:id="0">
    <w:p w14:paraId="0C396974" w14:textId="77777777" w:rsidR="00AC271C" w:rsidRDefault="00AC271C">
      <w:r>
        <w:continuationSeparator/>
      </w:r>
    </w:p>
  </w:footnote>
  <w:footnote w:id="1">
    <w:p w14:paraId="6DFC6BB9" w14:textId="77777777" w:rsidR="00AC271C" w:rsidRDefault="00AC271C" w:rsidP="00F94D21">
      <w:pPr>
        <w:pStyle w:val="FootnoteText"/>
      </w:pPr>
      <w:r>
        <w:rPr>
          <w:rStyle w:val="FootnoteReference"/>
        </w:rPr>
        <w:footnoteRef/>
      </w:r>
      <w:r>
        <w:t xml:space="preserve"> </w:t>
      </w:r>
      <w:r w:rsidRPr="00EB72E9">
        <w:rPr>
          <w:i/>
          <w:lang w:val="x-none"/>
        </w:rPr>
        <w:t>Utilities and Transp</w:t>
      </w:r>
      <w:r w:rsidRPr="00EB72E9">
        <w:rPr>
          <w:i/>
        </w:rPr>
        <w:t>.</w:t>
      </w:r>
      <w:r w:rsidRPr="00EB72E9">
        <w:rPr>
          <w:i/>
          <w:lang w:val="x-none"/>
        </w:rPr>
        <w:t xml:space="preserve"> Comm</w:t>
      </w:r>
      <w:r w:rsidRPr="00EB72E9">
        <w:rPr>
          <w:i/>
        </w:rPr>
        <w:t>’n</w:t>
      </w:r>
      <w:r w:rsidRPr="00EB72E9">
        <w:rPr>
          <w:i/>
          <w:lang w:val="x-none"/>
        </w:rPr>
        <w:t xml:space="preserve"> v. Puget Sound Energy Co., </w:t>
      </w:r>
      <w:r w:rsidRPr="00EB72E9">
        <w:rPr>
          <w:lang w:val="x-none"/>
        </w:rPr>
        <w:t xml:space="preserve">Docket UE-070725, Order 03 (May 20, 2010) </w:t>
      </w:r>
      <w:r w:rsidRPr="00EB72E9">
        <w:t>at </w:t>
      </w:r>
      <w:r w:rsidRPr="00EB72E9">
        <w:rPr>
          <w:lang w:val="x-none"/>
        </w:rPr>
        <w:t>28, ¶ 68.</w:t>
      </w:r>
      <w:r w:rsidRPr="00EB72E9">
        <w:rPr>
          <w:i/>
        </w:rPr>
        <w:t xml:space="preserve"> </w:t>
      </w:r>
      <w:r>
        <w:rPr>
          <w:i/>
        </w:rPr>
        <w:t xml:space="preserve">Utilities and Transp. Comm’n  v. PacifiCorp d/b/a Pacific Power &amp; Light Co., </w:t>
      </w:r>
      <w:r>
        <w:t>Docket UE-100749, Order 06 (March 25, 2011) at 71, ¶ 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6977" w14:textId="75ED018E" w:rsidR="00AC271C" w:rsidRPr="00777586" w:rsidRDefault="00AC271C">
    <w:pPr>
      <w:pStyle w:val="Header"/>
      <w:rPr>
        <w:rFonts w:ascii="Times New Roman" w:hAnsi="Times New Roman"/>
        <w:sz w:val="20"/>
        <w:szCs w:val="20"/>
      </w:rPr>
    </w:pPr>
    <w:r w:rsidRPr="00777586">
      <w:rPr>
        <w:rFonts w:ascii="Times New Roman" w:hAnsi="Times New Roman"/>
        <w:sz w:val="20"/>
        <w:szCs w:val="20"/>
      </w:rPr>
      <w:t xml:space="preserve">DOCKET </w:t>
    </w:r>
    <w:r>
      <w:rPr>
        <w:rFonts w:ascii="Times New Roman" w:hAnsi="Times New Roman"/>
        <w:sz w:val="20"/>
        <w:szCs w:val="20"/>
      </w:rPr>
      <w:t>UE-120432</w:t>
    </w:r>
  </w:p>
  <w:p w14:paraId="0C396978" w14:textId="4885B07D" w:rsidR="00AC271C" w:rsidRPr="00777586" w:rsidRDefault="00AC271C">
    <w:pPr>
      <w:pStyle w:val="Header"/>
      <w:rPr>
        <w:rFonts w:ascii="Times New Roman" w:hAnsi="Times New Roman"/>
        <w:sz w:val="20"/>
        <w:szCs w:val="20"/>
      </w:rPr>
    </w:pPr>
    <w:r>
      <w:rPr>
        <w:rFonts w:ascii="Times New Roman" w:hAnsi="Times New Roman"/>
        <w:sz w:val="20"/>
        <w:szCs w:val="20"/>
      </w:rPr>
      <w:t>June 28, 2012</w:t>
    </w:r>
  </w:p>
  <w:p w14:paraId="0C396979" w14:textId="77777777" w:rsidR="00AC271C" w:rsidRPr="00777586" w:rsidRDefault="00AC271C">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EC34C0">
      <w:rPr>
        <w:rStyle w:val="PageNumber"/>
        <w:rFonts w:ascii="Times New Roman" w:hAnsi="Times New Roman"/>
        <w:noProof/>
        <w:sz w:val="20"/>
        <w:szCs w:val="20"/>
      </w:rPr>
      <w:t>2</w:t>
    </w:r>
    <w:r w:rsidRPr="00777586">
      <w:rPr>
        <w:rStyle w:val="PageNumber"/>
        <w:rFonts w:ascii="Times New Roman" w:hAnsi="Times New Roman"/>
        <w:sz w:val="20"/>
        <w:szCs w:val="20"/>
      </w:rPr>
      <w:fldChar w:fldCharType="end"/>
    </w:r>
  </w:p>
  <w:p w14:paraId="0C39697A" w14:textId="77777777" w:rsidR="00AC271C" w:rsidRDefault="00AC271C">
    <w:pPr>
      <w:pStyle w:val="Header"/>
      <w:rPr>
        <w:rStyle w:val="PageNumber"/>
        <w:sz w:val="20"/>
      </w:rPr>
    </w:pPr>
  </w:p>
  <w:p w14:paraId="0C39697B" w14:textId="77777777" w:rsidR="00AC271C" w:rsidRDefault="00AC271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44336"/>
    <w:multiLevelType w:val="hybridMultilevel"/>
    <w:tmpl w:val="3926E01E"/>
    <w:lvl w:ilvl="0" w:tplc="F17A897C">
      <w:start w:val="1"/>
      <w:numFmt w:val="decimal"/>
      <w:lvlText w:val="%1"/>
      <w:lvlJc w:val="left"/>
      <w:pPr>
        <w:tabs>
          <w:tab w:val="num" w:pos="720"/>
        </w:tabs>
        <w:ind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CB"/>
    <w:rsid w:val="00010B50"/>
    <w:rsid w:val="0001152E"/>
    <w:rsid w:val="000222A8"/>
    <w:rsid w:val="00041921"/>
    <w:rsid w:val="000637EA"/>
    <w:rsid w:val="00093ADD"/>
    <w:rsid w:val="0009772A"/>
    <w:rsid w:val="000C6A51"/>
    <w:rsid w:val="000C75FC"/>
    <w:rsid w:val="000D0AD2"/>
    <w:rsid w:val="000D3F1D"/>
    <w:rsid w:val="000D5043"/>
    <w:rsid w:val="000E64E1"/>
    <w:rsid w:val="000F79DB"/>
    <w:rsid w:val="0013567D"/>
    <w:rsid w:val="00147847"/>
    <w:rsid w:val="00170726"/>
    <w:rsid w:val="0017112D"/>
    <w:rsid w:val="00171713"/>
    <w:rsid w:val="001A71D7"/>
    <w:rsid w:val="001E6C8A"/>
    <w:rsid w:val="001F5226"/>
    <w:rsid w:val="00204915"/>
    <w:rsid w:val="00205CAE"/>
    <w:rsid w:val="0020635F"/>
    <w:rsid w:val="002176D6"/>
    <w:rsid w:val="0022715D"/>
    <w:rsid w:val="00242044"/>
    <w:rsid w:val="0025381F"/>
    <w:rsid w:val="002713AB"/>
    <w:rsid w:val="002A42EB"/>
    <w:rsid w:val="002C0F6C"/>
    <w:rsid w:val="002C74B0"/>
    <w:rsid w:val="002D0EDE"/>
    <w:rsid w:val="002E1A9F"/>
    <w:rsid w:val="002E61FB"/>
    <w:rsid w:val="00302621"/>
    <w:rsid w:val="00356347"/>
    <w:rsid w:val="003625B8"/>
    <w:rsid w:val="00373643"/>
    <w:rsid w:val="003900E8"/>
    <w:rsid w:val="00393491"/>
    <w:rsid w:val="003A683D"/>
    <w:rsid w:val="003A6EDD"/>
    <w:rsid w:val="003F337D"/>
    <w:rsid w:val="004145B3"/>
    <w:rsid w:val="00466AF4"/>
    <w:rsid w:val="004804DD"/>
    <w:rsid w:val="00491663"/>
    <w:rsid w:val="004C6630"/>
    <w:rsid w:val="004D25BC"/>
    <w:rsid w:val="0051269F"/>
    <w:rsid w:val="00514DF5"/>
    <w:rsid w:val="00521DDB"/>
    <w:rsid w:val="00524B4F"/>
    <w:rsid w:val="00550C05"/>
    <w:rsid w:val="00580BC5"/>
    <w:rsid w:val="005B51E0"/>
    <w:rsid w:val="005C57D1"/>
    <w:rsid w:val="005E4D8B"/>
    <w:rsid w:val="005F0269"/>
    <w:rsid w:val="005F7616"/>
    <w:rsid w:val="0063567A"/>
    <w:rsid w:val="00642976"/>
    <w:rsid w:val="00657DEE"/>
    <w:rsid w:val="006613A2"/>
    <w:rsid w:val="006652DF"/>
    <w:rsid w:val="00670544"/>
    <w:rsid w:val="00672810"/>
    <w:rsid w:val="00681FA8"/>
    <w:rsid w:val="00686655"/>
    <w:rsid w:val="006C5AD1"/>
    <w:rsid w:val="00726BA8"/>
    <w:rsid w:val="00730B7D"/>
    <w:rsid w:val="0073347F"/>
    <w:rsid w:val="007342A3"/>
    <w:rsid w:val="00734F63"/>
    <w:rsid w:val="00744C90"/>
    <w:rsid w:val="00752A00"/>
    <w:rsid w:val="00767FFB"/>
    <w:rsid w:val="00777586"/>
    <w:rsid w:val="00797614"/>
    <w:rsid w:val="008127CE"/>
    <w:rsid w:val="008271C1"/>
    <w:rsid w:val="008334B7"/>
    <w:rsid w:val="00842F1A"/>
    <w:rsid w:val="00862FFC"/>
    <w:rsid w:val="008636C7"/>
    <w:rsid w:val="00892680"/>
    <w:rsid w:val="008A5C9E"/>
    <w:rsid w:val="008C54E3"/>
    <w:rsid w:val="008E4E8B"/>
    <w:rsid w:val="008F7AEB"/>
    <w:rsid w:val="009123DC"/>
    <w:rsid w:val="00920DDA"/>
    <w:rsid w:val="009250D1"/>
    <w:rsid w:val="0093757B"/>
    <w:rsid w:val="00947AAF"/>
    <w:rsid w:val="00950A6C"/>
    <w:rsid w:val="00991D01"/>
    <w:rsid w:val="009C177D"/>
    <w:rsid w:val="009D0015"/>
    <w:rsid w:val="009D6358"/>
    <w:rsid w:val="00A32572"/>
    <w:rsid w:val="00A47727"/>
    <w:rsid w:val="00A54AE4"/>
    <w:rsid w:val="00A769BB"/>
    <w:rsid w:val="00A92BA7"/>
    <w:rsid w:val="00A93656"/>
    <w:rsid w:val="00AC1B4A"/>
    <w:rsid w:val="00AC271C"/>
    <w:rsid w:val="00AD4D61"/>
    <w:rsid w:val="00B10F8A"/>
    <w:rsid w:val="00B146E7"/>
    <w:rsid w:val="00B33E84"/>
    <w:rsid w:val="00B456AB"/>
    <w:rsid w:val="00B619A9"/>
    <w:rsid w:val="00B646AC"/>
    <w:rsid w:val="00B84978"/>
    <w:rsid w:val="00BA5D23"/>
    <w:rsid w:val="00BA6408"/>
    <w:rsid w:val="00BD6CA0"/>
    <w:rsid w:val="00BE6C47"/>
    <w:rsid w:val="00BF5E4A"/>
    <w:rsid w:val="00C06680"/>
    <w:rsid w:val="00C36CF8"/>
    <w:rsid w:val="00C51216"/>
    <w:rsid w:val="00C74953"/>
    <w:rsid w:val="00CF176F"/>
    <w:rsid w:val="00CF35F7"/>
    <w:rsid w:val="00D27E8E"/>
    <w:rsid w:val="00D60E7F"/>
    <w:rsid w:val="00D66B54"/>
    <w:rsid w:val="00D91FD8"/>
    <w:rsid w:val="00DC2633"/>
    <w:rsid w:val="00DC53C2"/>
    <w:rsid w:val="00DE1B77"/>
    <w:rsid w:val="00DE1C1E"/>
    <w:rsid w:val="00E06F66"/>
    <w:rsid w:val="00E12F2E"/>
    <w:rsid w:val="00E146A0"/>
    <w:rsid w:val="00E6663D"/>
    <w:rsid w:val="00E825E7"/>
    <w:rsid w:val="00EC0A3B"/>
    <w:rsid w:val="00EC34C0"/>
    <w:rsid w:val="00EF3890"/>
    <w:rsid w:val="00EF53BA"/>
    <w:rsid w:val="00F12906"/>
    <w:rsid w:val="00F276CE"/>
    <w:rsid w:val="00F34A33"/>
    <w:rsid w:val="00F94D21"/>
    <w:rsid w:val="00FC5ECC"/>
    <w:rsid w:val="00FC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9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67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67A"/>
    <w:pPr>
      <w:tabs>
        <w:tab w:val="center" w:pos="4320"/>
        <w:tab w:val="right" w:pos="8640"/>
      </w:tabs>
    </w:pPr>
  </w:style>
  <w:style w:type="paragraph" w:styleId="Footer">
    <w:name w:val="footer"/>
    <w:basedOn w:val="Normal"/>
    <w:rsid w:val="0063567A"/>
    <w:pPr>
      <w:tabs>
        <w:tab w:val="center" w:pos="4320"/>
        <w:tab w:val="right" w:pos="8640"/>
      </w:tabs>
    </w:pPr>
  </w:style>
  <w:style w:type="character" w:styleId="PageNumber">
    <w:name w:val="page number"/>
    <w:basedOn w:val="DefaultParagraphFont"/>
    <w:rsid w:val="0063567A"/>
  </w:style>
  <w:style w:type="table" w:styleId="TableClassic2">
    <w:name w:val="Table Classic 2"/>
    <w:basedOn w:val="TableNormal"/>
    <w:rsid w:val="004D25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7976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C5AD1"/>
    <w:rPr>
      <w:rFonts w:ascii="Tahoma" w:hAnsi="Tahoma" w:cs="Tahoma"/>
      <w:sz w:val="16"/>
      <w:szCs w:val="16"/>
    </w:rPr>
  </w:style>
  <w:style w:type="character" w:customStyle="1" w:styleId="BalloonTextChar">
    <w:name w:val="Balloon Text Char"/>
    <w:basedOn w:val="DefaultParagraphFont"/>
    <w:link w:val="BalloonText"/>
    <w:rsid w:val="006C5AD1"/>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7495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74953"/>
    <w:rPr>
      <w:rFonts w:ascii="Palatino Linotype" w:hAnsi="Palatino Linotype"/>
    </w:rPr>
  </w:style>
  <w:style w:type="character" w:styleId="FootnoteReference">
    <w:name w:val="footnote reference"/>
    <w:rsid w:val="00C74953"/>
    <w:rPr>
      <w:vertAlign w:val="superscript"/>
    </w:rPr>
  </w:style>
  <w:style w:type="character" w:styleId="CommentReference">
    <w:name w:val="annotation reference"/>
    <w:basedOn w:val="DefaultParagraphFont"/>
    <w:rsid w:val="00734F63"/>
    <w:rPr>
      <w:sz w:val="16"/>
      <w:szCs w:val="16"/>
    </w:rPr>
  </w:style>
  <w:style w:type="paragraph" w:styleId="CommentText">
    <w:name w:val="annotation text"/>
    <w:basedOn w:val="Normal"/>
    <w:link w:val="CommentTextChar"/>
    <w:rsid w:val="00734F63"/>
    <w:rPr>
      <w:sz w:val="20"/>
      <w:szCs w:val="20"/>
    </w:rPr>
  </w:style>
  <w:style w:type="character" w:customStyle="1" w:styleId="CommentTextChar">
    <w:name w:val="Comment Text Char"/>
    <w:basedOn w:val="DefaultParagraphFont"/>
    <w:link w:val="CommentText"/>
    <w:rsid w:val="00734F63"/>
    <w:rPr>
      <w:rFonts w:ascii="Palatino Linotype" w:hAnsi="Palatino Linotype"/>
    </w:rPr>
  </w:style>
  <w:style w:type="paragraph" w:styleId="CommentSubject">
    <w:name w:val="annotation subject"/>
    <w:basedOn w:val="CommentText"/>
    <w:next w:val="CommentText"/>
    <w:link w:val="CommentSubjectChar"/>
    <w:rsid w:val="00734F63"/>
    <w:rPr>
      <w:b/>
      <w:bCs/>
    </w:rPr>
  </w:style>
  <w:style w:type="character" w:customStyle="1" w:styleId="CommentSubjectChar">
    <w:name w:val="Comment Subject Char"/>
    <w:basedOn w:val="CommentTextChar"/>
    <w:link w:val="CommentSubject"/>
    <w:rsid w:val="00734F63"/>
    <w:rPr>
      <w:rFonts w:ascii="Palatino Linotype" w:hAnsi="Palatino Linotyp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67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67A"/>
    <w:pPr>
      <w:tabs>
        <w:tab w:val="center" w:pos="4320"/>
        <w:tab w:val="right" w:pos="8640"/>
      </w:tabs>
    </w:pPr>
  </w:style>
  <w:style w:type="paragraph" w:styleId="Footer">
    <w:name w:val="footer"/>
    <w:basedOn w:val="Normal"/>
    <w:rsid w:val="0063567A"/>
    <w:pPr>
      <w:tabs>
        <w:tab w:val="center" w:pos="4320"/>
        <w:tab w:val="right" w:pos="8640"/>
      </w:tabs>
    </w:pPr>
  </w:style>
  <w:style w:type="character" w:styleId="PageNumber">
    <w:name w:val="page number"/>
    <w:basedOn w:val="DefaultParagraphFont"/>
    <w:rsid w:val="0063567A"/>
  </w:style>
  <w:style w:type="table" w:styleId="TableClassic2">
    <w:name w:val="Table Classic 2"/>
    <w:basedOn w:val="TableNormal"/>
    <w:rsid w:val="004D25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7976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C5AD1"/>
    <w:rPr>
      <w:rFonts w:ascii="Tahoma" w:hAnsi="Tahoma" w:cs="Tahoma"/>
      <w:sz w:val="16"/>
      <w:szCs w:val="16"/>
    </w:rPr>
  </w:style>
  <w:style w:type="character" w:customStyle="1" w:styleId="BalloonTextChar">
    <w:name w:val="Balloon Text Char"/>
    <w:basedOn w:val="DefaultParagraphFont"/>
    <w:link w:val="BalloonText"/>
    <w:rsid w:val="006C5AD1"/>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7495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74953"/>
    <w:rPr>
      <w:rFonts w:ascii="Palatino Linotype" w:hAnsi="Palatino Linotype"/>
    </w:rPr>
  </w:style>
  <w:style w:type="character" w:styleId="FootnoteReference">
    <w:name w:val="footnote reference"/>
    <w:rsid w:val="00C74953"/>
    <w:rPr>
      <w:vertAlign w:val="superscript"/>
    </w:rPr>
  </w:style>
  <w:style w:type="character" w:styleId="CommentReference">
    <w:name w:val="annotation reference"/>
    <w:basedOn w:val="DefaultParagraphFont"/>
    <w:rsid w:val="00734F63"/>
    <w:rPr>
      <w:sz w:val="16"/>
      <w:szCs w:val="16"/>
    </w:rPr>
  </w:style>
  <w:style w:type="paragraph" w:styleId="CommentText">
    <w:name w:val="annotation text"/>
    <w:basedOn w:val="Normal"/>
    <w:link w:val="CommentTextChar"/>
    <w:rsid w:val="00734F63"/>
    <w:rPr>
      <w:sz w:val="20"/>
      <w:szCs w:val="20"/>
    </w:rPr>
  </w:style>
  <w:style w:type="character" w:customStyle="1" w:styleId="CommentTextChar">
    <w:name w:val="Comment Text Char"/>
    <w:basedOn w:val="DefaultParagraphFont"/>
    <w:link w:val="CommentText"/>
    <w:rsid w:val="00734F63"/>
    <w:rPr>
      <w:rFonts w:ascii="Palatino Linotype" w:hAnsi="Palatino Linotype"/>
    </w:rPr>
  </w:style>
  <w:style w:type="paragraph" w:styleId="CommentSubject">
    <w:name w:val="annotation subject"/>
    <w:basedOn w:val="CommentText"/>
    <w:next w:val="CommentText"/>
    <w:link w:val="CommentSubjectChar"/>
    <w:rsid w:val="00734F63"/>
    <w:rPr>
      <w:b/>
      <w:bCs/>
    </w:rPr>
  </w:style>
  <w:style w:type="character" w:customStyle="1" w:styleId="CommentSubjectChar">
    <w:name w:val="Comment Subject Char"/>
    <w:basedOn w:val="CommentTextChar"/>
    <w:link w:val="CommentSubject"/>
    <w:rsid w:val="00734F63"/>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4407">
      <w:bodyDiv w:val="1"/>
      <w:marLeft w:val="0"/>
      <w:marRight w:val="0"/>
      <w:marTop w:val="0"/>
      <w:marBottom w:val="0"/>
      <w:divBdr>
        <w:top w:val="none" w:sz="0" w:space="0" w:color="auto"/>
        <w:left w:val="none" w:sz="0" w:space="0" w:color="auto"/>
        <w:bottom w:val="none" w:sz="0" w:space="0" w:color="auto"/>
        <w:right w:val="none" w:sz="0" w:space="0" w:color="auto"/>
      </w:divBdr>
    </w:div>
    <w:div w:id="1126586860">
      <w:bodyDiv w:val="1"/>
      <w:marLeft w:val="0"/>
      <w:marRight w:val="0"/>
      <w:marTop w:val="0"/>
      <w:marBottom w:val="0"/>
      <w:divBdr>
        <w:top w:val="none" w:sz="0" w:space="0" w:color="auto"/>
        <w:left w:val="none" w:sz="0" w:space="0" w:color="auto"/>
        <w:bottom w:val="none" w:sz="0" w:space="0" w:color="auto"/>
        <w:right w:val="none" w:sz="0" w:space="0" w:color="auto"/>
      </w:divBdr>
    </w:div>
    <w:div w:id="16377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2012-03-30T07:00:00+00:00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B4736E6F0E26409505B082E5AD7FF7" ma:contentTypeVersion="139" ma:contentTypeDescription="" ma:contentTypeScope="" ma:versionID="bbc0261a63492ced90e983dd0107c2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7027F-EC0E-49A9-AAE7-B002B2CAB437}"/>
</file>

<file path=customXml/itemProps2.xml><?xml version="1.0" encoding="utf-8"?>
<ds:datastoreItem xmlns:ds="http://schemas.openxmlformats.org/officeDocument/2006/customXml" ds:itemID="{AFB0036E-C93A-413B-95D9-C1920265F4E0}"/>
</file>

<file path=customXml/itemProps3.xml><?xml version="1.0" encoding="utf-8"?>
<ds:datastoreItem xmlns:ds="http://schemas.openxmlformats.org/officeDocument/2006/customXml" ds:itemID="{AA4827BB-0855-45BE-80AC-B67CE0F1E97F}"/>
</file>

<file path=customXml/itemProps4.xml><?xml version="1.0" encoding="utf-8"?>
<ds:datastoreItem xmlns:ds="http://schemas.openxmlformats.org/officeDocument/2006/customXml" ds:itemID="{65876B8E-BFE8-41B0-B099-42BEAF6D633C}"/>
</file>

<file path=customXml/itemProps5.xml><?xml version="1.0" encoding="utf-8"?>
<ds:datastoreItem xmlns:ds="http://schemas.openxmlformats.org/officeDocument/2006/customXml" ds:itemID="{16E42E66-5756-4650-8917-F6EA2ADFCDDC}"/>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VDeferia</dc:creator>
  <cp:lastModifiedBy>Taliaferro, Catherine (UTC)</cp:lastModifiedBy>
  <cp:revision>2</cp:revision>
  <cp:lastPrinted>2009-07-13T17:35:00Z</cp:lastPrinted>
  <dcterms:created xsi:type="dcterms:W3CDTF">2012-06-25T22:11:00Z</dcterms:created>
  <dcterms:modified xsi:type="dcterms:W3CDTF">2012-06-25T22:11:00Z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0x0101006E56B4D1795A2E4DB2F0B01679ED314A005FB4736E6F0E26409505B082E5AD7FF7</vt:lpwstr>
  </property>
  <property fmtid="{D5CDD505-2E9C-101B-9397-08002B2CF9AE}" pid="3" name="_docset_NoMedatataSyncRequired">
    <vt:lpwstr>False</vt:lpwstr>
  </property>
</Properties>
</file>