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586A3" w14:textId="77777777" w:rsidR="004C7C9C" w:rsidRPr="008A2CAB" w:rsidRDefault="004C7C9C" w:rsidP="004C7C9C">
      <w:pPr>
        <w:rPr>
          <w:rFonts w:ascii="Times New Roman" w:hAnsi="Times New Roman"/>
        </w:rPr>
      </w:pPr>
      <w:bookmarkStart w:id="0" w:name="_GoBack"/>
      <w:bookmarkEnd w:id="0"/>
      <w:r w:rsidRPr="008A2CAB">
        <w:rPr>
          <w:rFonts w:ascii="Times New Roman" w:hAnsi="Times New Roman"/>
        </w:rPr>
        <w:t>Agenda Date:</w:t>
      </w:r>
      <w:r w:rsidRPr="008A2CAB">
        <w:rPr>
          <w:rFonts w:ascii="Times New Roman" w:hAnsi="Times New Roman"/>
        </w:rPr>
        <w:tab/>
      </w:r>
      <w:r w:rsidRPr="008A2CAB">
        <w:rPr>
          <w:rFonts w:ascii="Times New Roman" w:hAnsi="Times New Roman"/>
        </w:rPr>
        <w:tab/>
      </w:r>
      <w:r>
        <w:rPr>
          <w:rFonts w:ascii="Times New Roman" w:hAnsi="Times New Roman"/>
        </w:rPr>
        <w:t>April 26, 2012</w:t>
      </w:r>
    </w:p>
    <w:p w14:paraId="0E7586A4" w14:textId="7DA8DD88" w:rsidR="004C7C9C" w:rsidRPr="008A2CAB" w:rsidRDefault="004C7C9C" w:rsidP="004C7C9C">
      <w:pPr>
        <w:ind w:left="2160" w:hanging="2160"/>
        <w:rPr>
          <w:rFonts w:ascii="Times New Roman" w:hAnsi="Times New Roman"/>
        </w:rPr>
      </w:pPr>
      <w:r w:rsidRPr="008A2CAB">
        <w:rPr>
          <w:rFonts w:ascii="Times New Roman" w:hAnsi="Times New Roman"/>
        </w:rPr>
        <w:t>Item Number:</w:t>
      </w:r>
      <w:r w:rsidRPr="008A2CAB">
        <w:rPr>
          <w:rFonts w:ascii="Times New Roman" w:hAnsi="Times New Roman"/>
        </w:rPr>
        <w:tab/>
      </w:r>
      <w:r>
        <w:rPr>
          <w:rFonts w:ascii="Times New Roman" w:hAnsi="Times New Roman"/>
        </w:rPr>
        <w:t>A</w:t>
      </w:r>
      <w:r w:rsidR="003576CE">
        <w:rPr>
          <w:rFonts w:ascii="Times New Roman" w:hAnsi="Times New Roman"/>
        </w:rPr>
        <w:t>1</w:t>
      </w:r>
    </w:p>
    <w:p w14:paraId="0E7586A5" w14:textId="77777777" w:rsidR="004C7C9C" w:rsidRPr="008A2CAB" w:rsidRDefault="004C7C9C" w:rsidP="004C7C9C">
      <w:pPr>
        <w:rPr>
          <w:rFonts w:ascii="Times New Roman" w:hAnsi="Times New Roman"/>
        </w:rPr>
      </w:pPr>
    </w:p>
    <w:p w14:paraId="0E7586A6" w14:textId="77777777" w:rsidR="004C7C9C" w:rsidRPr="00033463" w:rsidRDefault="004C7C9C" w:rsidP="004C7C9C">
      <w:pPr>
        <w:rPr>
          <w:rFonts w:ascii="Times New Roman" w:hAnsi="Times New Roman"/>
          <w:b/>
          <w:bCs/>
        </w:rPr>
      </w:pPr>
      <w:r w:rsidRPr="008A2CAB">
        <w:rPr>
          <w:rFonts w:ascii="Times New Roman" w:hAnsi="Times New Roman"/>
          <w:b/>
          <w:bCs/>
        </w:rPr>
        <w:t>Docket:</w:t>
      </w:r>
      <w:r w:rsidRPr="008A2CAB">
        <w:rPr>
          <w:rFonts w:ascii="Times New Roman" w:hAnsi="Times New Roman"/>
          <w:b/>
          <w:bCs/>
        </w:rPr>
        <w:tab/>
      </w:r>
      <w:r w:rsidRPr="008A2CAB">
        <w:rPr>
          <w:rFonts w:ascii="Times New Roman" w:hAnsi="Times New Roman"/>
          <w:b/>
          <w:bCs/>
        </w:rPr>
        <w:tab/>
        <w:t>UE-</w:t>
      </w:r>
      <w:r>
        <w:rPr>
          <w:rFonts w:ascii="Times New Roman" w:hAnsi="Times New Roman"/>
          <w:b/>
          <w:bCs/>
        </w:rPr>
        <w:t>120292</w:t>
      </w:r>
    </w:p>
    <w:p w14:paraId="0E7586A7" w14:textId="77777777" w:rsidR="004C7C9C" w:rsidRPr="008A2CAB" w:rsidRDefault="004C7C9C" w:rsidP="004C7C9C">
      <w:pPr>
        <w:rPr>
          <w:rFonts w:ascii="Times New Roman" w:hAnsi="Times New Roman"/>
        </w:rPr>
      </w:pPr>
      <w:r w:rsidRPr="008A2CAB">
        <w:rPr>
          <w:rFonts w:ascii="Times New Roman" w:hAnsi="Times New Roman"/>
        </w:rPr>
        <w:t>Company:</w:t>
      </w:r>
      <w:r w:rsidRPr="008A2CAB">
        <w:rPr>
          <w:rFonts w:ascii="Times New Roman" w:hAnsi="Times New Roman"/>
        </w:rPr>
        <w:tab/>
      </w:r>
      <w:r w:rsidRPr="008A2CAB">
        <w:rPr>
          <w:rFonts w:ascii="Times New Roman" w:hAnsi="Times New Roman"/>
        </w:rPr>
        <w:tab/>
        <w:t>Puget Sound Energy</w:t>
      </w:r>
    </w:p>
    <w:p w14:paraId="0E7586A8" w14:textId="77777777" w:rsidR="004C7C9C" w:rsidRPr="008A2CAB" w:rsidRDefault="004C7C9C" w:rsidP="004C7C9C">
      <w:pPr>
        <w:rPr>
          <w:rFonts w:ascii="Times New Roman" w:hAnsi="Times New Roman"/>
        </w:rPr>
      </w:pPr>
    </w:p>
    <w:p w14:paraId="0E7586A9" w14:textId="77777777" w:rsidR="004C7C9C" w:rsidRDefault="004C7C9C" w:rsidP="004C7C9C">
      <w:pPr>
        <w:rPr>
          <w:rFonts w:ascii="Times New Roman" w:hAnsi="Times New Roman"/>
        </w:rPr>
      </w:pPr>
      <w:r w:rsidRPr="008A2CAB">
        <w:rPr>
          <w:rFonts w:ascii="Times New Roman" w:hAnsi="Times New Roman"/>
        </w:rPr>
        <w:t>Staff:</w:t>
      </w:r>
      <w:r w:rsidRPr="008A2CAB">
        <w:rPr>
          <w:rFonts w:ascii="Times New Roman" w:hAnsi="Times New Roman"/>
        </w:rPr>
        <w:tab/>
      </w:r>
      <w:r w:rsidRPr="008A2CAB">
        <w:rPr>
          <w:rFonts w:ascii="Times New Roman" w:hAnsi="Times New Roman"/>
        </w:rPr>
        <w:tab/>
      </w:r>
      <w:r w:rsidRPr="008A2CAB">
        <w:rPr>
          <w:rFonts w:ascii="Times New Roman" w:hAnsi="Times New Roman"/>
        </w:rPr>
        <w:tab/>
      </w:r>
      <w:r>
        <w:rPr>
          <w:rFonts w:ascii="Times New Roman" w:hAnsi="Times New Roman"/>
        </w:rPr>
        <w:t>EJ Keating, Regulatory Analyst</w:t>
      </w:r>
    </w:p>
    <w:p w14:paraId="0E7586AA" w14:textId="77777777" w:rsidR="004C7C9C" w:rsidRPr="008A2CAB" w:rsidRDefault="004C7C9C" w:rsidP="004C7C9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Deborah Reynolds, A</w:t>
      </w:r>
      <w:r w:rsidR="00CC73D0">
        <w:rPr>
          <w:rFonts w:ascii="Times New Roman" w:hAnsi="Times New Roman"/>
        </w:rPr>
        <w:t>/</w:t>
      </w:r>
      <w:r>
        <w:rPr>
          <w:rFonts w:ascii="Times New Roman" w:hAnsi="Times New Roman"/>
        </w:rPr>
        <w:t>D of</w:t>
      </w:r>
      <w:r w:rsidR="00CC73D0">
        <w:rPr>
          <w:rFonts w:ascii="Times New Roman" w:hAnsi="Times New Roman"/>
        </w:rPr>
        <w:t xml:space="preserve"> C</w:t>
      </w:r>
      <w:r>
        <w:rPr>
          <w:rFonts w:ascii="Times New Roman" w:hAnsi="Times New Roman"/>
        </w:rPr>
        <w:t>onservation and Energy Planning</w:t>
      </w:r>
    </w:p>
    <w:p w14:paraId="0E7586AB" w14:textId="77777777" w:rsidR="004C7C9C" w:rsidRPr="008A2CAB" w:rsidRDefault="004C7C9C" w:rsidP="004C7C9C">
      <w:pPr>
        <w:rPr>
          <w:rFonts w:ascii="Times New Roman" w:hAnsi="Times New Roman"/>
          <w:b/>
          <w:u w:val="single"/>
        </w:rPr>
      </w:pPr>
    </w:p>
    <w:p w14:paraId="0E7586AC" w14:textId="77777777" w:rsidR="004C7C9C" w:rsidRPr="008A2CAB" w:rsidRDefault="004C7C9C" w:rsidP="004C7C9C">
      <w:pPr>
        <w:rPr>
          <w:rFonts w:ascii="Times New Roman" w:hAnsi="Times New Roman"/>
          <w:b/>
          <w:u w:val="single"/>
        </w:rPr>
      </w:pPr>
      <w:r w:rsidRPr="008A2CAB">
        <w:rPr>
          <w:rFonts w:ascii="Times New Roman" w:hAnsi="Times New Roman"/>
          <w:b/>
          <w:u w:val="single"/>
        </w:rPr>
        <w:t>Recommendation</w:t>
      </w:r>
    </w:p>
    <w:p w14:paraId="0E7586AD" w14:textId="77777777" w:rsidR="004C7C9C" w:rsidRPr="008A2CAB" w:rsidRDefault="004C7C9C" w:rsidP="004C7C9C">
      <w:pPr>
        <w:rPr>
          <w:rFonts w:ascii="Times New Roman" w:hAnsi="Times New Roman"/>
          <w:b/>
          <w:u w:val="single"/>
        </w:rPr>
      </w:pPr>
    </w:p>
    <w:p w14:paraId="0E7586AE" w14:textId="77777777" w:rsidR="004C7C9C" w:rsidRPr="00FD0770" w:rsidRDefault="004C7C9C" w:rsidP="004C7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Take no action, thereby a</w:t>
      </w:r>
      <w:r w:rsidRPr="00FD0770">
        <w:rPr>
          <w:rFonts w:ascii="Times New Roman" w:hAnsi="Times New Roman"/>
        </w:rPr>
        <w:t>llow</w:t>
      </w:r>
      <w:r>
        <w:rPr>
          <w:rFonts w:ascii="Times New Roman" w:hAnsi="Times New Roman"/>
        </w:rPr>
        <w:t>ing</w:t>
      </w:r>
      <w:r w:rsidRPr="00FD0770">
        <w:rPr>
          <w:rFonts w:ascii="Times New Roman" w:hAnsi="Times New Roman"/>
        </w:rPr>
        <w:t xml:space="preserve"> the tariff filing made by Puget Sound Energy</w:t>
      </w:r>
      <w:r>
        <w:rPr>
          <w:rFonts w:ascii="Times New Roman" w:hAnsi="Times New Roman"/>
        </w:rPr>
        <w:t>, Inc.,</w:t>
      </w:r>
      <w:r w:rsidRPr="00FD0770">
        <w:rPr>
          <w:rFonts w:ascii="Times New Roman" w:hAnsi="Times New Roman"/>
        </w:rPr>
        <w:t xml:space="preserve"> in Docket </w:t>
      </w:r>
      <w:r>
        <w:rPr>
          <w:rFonts w:ascii="Times New Roman" w:hAnsi="Times New Roman"/>
        </w:rPr>
        <w:t xml:space="preserve">  UE-1</w:t>
      </w:r>
      <w:r w:rsidR="000009C1">
        <w:rPr>
          <w:rFonts w:ascii="Times New Roman" w:hAnsi="Times New Roman"/>
        </w:rPr>
        <w:t>20292</w:t>
      </w:r>
      <w:r w:rsidRPr="00FD0770">
        <w:rPr>
          <w:rFonts w:ascii="Times New Roman" w:hAnsi="Times New Roman"/>
        </w:rPr>
        <w:t xml:space="preserve"> to </w:t>
      </w:r>
      <w:r>
        <w:rPr>
          <w:rFonts w:ascii="Times New Roman" w:hAnsi="Times New Roman"/>
        </w:rPr>
        <w:t>become effective on May 1, 201</w:t>
      </w:r>
      <w:r w:rsidR="000009C1">
        <w:rPr>
          <w:rFonts w:ascii="Times New Roman" w:hAnsi="Times New Roman"/>
        </w:rPr>
        <w:t>2</w:t>
      </w:r>
      <w:r>
        <w:rPr>
          <w:rFonts w:ascii="Times New Roman" w:hAnsi="Times New Roman"/>
        </w:rPr>
        <w:t>, by operation of law.</w:t>
      </w:r>
    </w:p>
    <w:p w14:paraId="0E7586AF" w14:textId="77777777" w:rsidR="004C7C9C" w:rsidRPr="008A2CAB" w:rsidRDefault="004C7C9C" w:rsidP="004C7C9C">
      <w:pPr>
        <w:rPr>
          <w:rFonts w:ascii="Times New Roman" w:hAnsi="Times New Roman"/>
        </w:rPr>
      </w:pPr>
    </w:p>
    <w:p w14:paraId="0E7586B0" w14:textId="77777777" w:rsidR="004C7C9C" w:rsidRPr="008A2CAB" w:rsidRDefault="004C7C9C" w:rsidP="004C7C9C">
      <w:pPr>
        <w:rPr>
          <w:rFonts w:ascii="Times New Roman" w:hAnsi="Times New Roman"/>
          <w:b/>
          <w:bCs/>
          <w:u w:val="single"/>
        </w:rPr>
      </w:pPr>
      <w:r w:rsidRPr="008A2CAB">
        <w:rPr>
          <w:rFonts w:ascii="Times New Roman" w:hAnsi="Times New Roman"/>
          <w:b/>
          <w:bCs/>
          <w:u w:val="single"/>
        </w:rPr>
        <w:t>Background</w:t>
      </w:r>
      <w:r w:rsidR="00421307">
        <w:rPr>
          <w:rFonts w:ascii="Times New Roman" w:hAnsi="Times New Roman"/>
          <w:b/>
          <w:bCs/>
          <w:u w:val="single"/>
        </w:rPr>
        <w:t xml:space="preserve">  </w:t>
      </w:r>
    </w:p>
    <w:p w14:paraId="0E7586B1" w14:textId="77777777" w:rsidR="004C7C9C" w:rsidRPr="008A2CAB" w:rsidRDefault="004C7C9C" w:rsidP="004C7C9C">
      <w:pPr>
        <w:rPr>
          <w:rFonts w:ascii="Times New Roman" w:hAnsi="Times New Roman"/>
        </w:rPr>
      </w:pPr>
    </w:p>
    <w:p w14:paraId="0E7586B2" w14:textId="77777777" w:rsidR="000772CA" w:rsidRDefault="004C7C9C" w:rsidP="004C7C9C">
      <w:pPr>
        <w:rPr>
          <w:rFonts w:ascii="Times New Roman" w:hAnsi="Times New Roman"/>
        </w:rPr>
      </w:pPr>
      <w:r w:rsidRPr="008A2CAB">
        <w:rPr>
          <w:rFonts w:ascii="Times New Roman" w:hAnsi="Times New Roman"/>
        </w:rPr>
        <w:t xml:space="preserve">On </w:t>
      </w:r>
      <w:r>
        <w:rPr>
          <w:rFonts w:ascii="Times New Roman" w:hAnsi="Times New Roman"/>
        </w:rPr>
        <w:t>March 1, 201</w:t>
      </w:r>
      <w:r w:rsidR="000009C1">
        <w:rPr>
          <w:rFonts w:ascii="Times New Roman" w:hAnsi="Times New Roman"/>
        </w:rPr>
        <w:t>2</w:t>
      </w:r>
      <w:r>
        <w:rPr>
          <w:rFonts w:ascii="Times New Roman" w:hAnsi="Times New Roman"/>
        </w:rPr>
        <w:t>,</w:t>
      </w:r>
      <w:r w:rsidRPr="008A2CAB">
        <w:rPr>
          <w:rFonts w:ascii="Times New Roman" w:hAnsi="Times New Roman"/>
        </w:rPr>
        <w:t xml:space="preserve"> Puget Sound Energy</w:t>
      </w:r>
      <w:r>
        <w:rPr>
          <w:rFonts w:ascii="Times New Roman" w:hAnsi="Times New Roman"/>
        </w:rPr>
        <w:t xml:space="preserve"> (PSE or company)</w:t>
      </w:r>
      <w:r w:rsidRPr="008A2CAB">
        <w:rPr>
          <w:rFonts w:ascii="Times New Roman" w:hAnsi="Times New Roman"/>
        </w:rPr>
        <w:t xml:space="preserve"> filed revisions to its Electricity Conservation Service Rider, Schedule </w:t>
      </w:r>
      <w:r>
        <w:rPr>
          <w:rFonts w:ascii="Times New Roman" w:hAnsi="Times New Roman"/>
        </w:rPr>
        <w:t>120.</w:t>
      </w:r>
      <w:r w:rsidRPr="008A2CAB">
        <w:rPr>
          <w:rFonts w:ascii="Times New Roman" w:hAnsi="Times New Roman"/>
        </w:rPr>
        <w:t xml:space="preserve"> </w:t>
      </w:r>
      <w:r>
        <w:rPr>
          <w:rFonts w:ascii="Times New Roman" w:hAnsi="Times New Roman"/>
        </w:rPr>
        <w:t xml:space="preserve">This mechanism was established as part of </w:t>
      </w:r>
      <w:r w:rsidR="00691CD4">
        <w:rPr>
          <w:rFonts w:ascii="Times New Roman" w:hAnsi="Times New Roman"/>
        </w:rPr>
        <w:t xml:space="preserve">a </w:t>
      </w:r>
      <w:r>
        <w:rPr>
          <w:rFonts w:ascii="Times New Roman" w:hAnsi="Times New Roman"/>
        </w:rPr>
        <w:t xml:space="preserve">settlement agreement </w:t>
      </w:r>
      <w:r w:rsidR="00691CD4">
        <w:rPr>
          <w:rFonts w:ascii="Times New Roman" w:hAnsi="Times New Roman"/>
        </w:rPr>
        <w:t xml:space="preserve">previously </w:t>
      </w:r>
      <w:r>
        <w:rPr>
          <w:rFonts w:ascii="Times New Roman" w:hAnsi="Times New Roman"/>
        </w:rPr>
        <w:t>approved by the commission</w:t>
      </w:r>
      <w:r w:rsidR="003576CE">
        <w:rPr>
          <w:rFonts w:ascii="Times New Roman" w:hAnsi="Times New Roman"/>
        </w:rPr>
        <w:t>,</w:t>
      </w:r>
      <w:r>
        <w:rPr>
          <w:rStyle w:val="FootnoteReference"/>
          <w:rFonts w:ascii="Times New Roman" w:hAnsi="Times New Roman"/>
        </w:rPr>
        <w:footnoteReference w:id="1"/>
      </w:r>
      <w:r w:rsidR="003576CE">
        <w:rPr>
          <w:rFonts w:ascii="Times New Roman" w:hAnsi="Times New Roman"/>
        </w:rPr>
        <w:t xml:space="preserve"> </w:t>
      </w:r>
      <w:r w:rsidR="00691CD4">
        <w:rPr>
          <w:rFonts w:ascii="Times New Roman" w:hAnsi="Times New Roman"/>
        </w:rPr>
        <w:t>and</w:t>
      </w:r>
      <w:r>
        <w:rPr>
          <w:rFonts w:ascii="Times New Roman" w:hAnsi="Times New Roman"/>
        </w:rPr>
        <w:t xml:space="preserve"> is also in compliance with conditions related to the requirements of Washington’s Energy Independence Act</w:t>
      </w:r>
      <w:r w:rsidR="00A34B6F">
        <w:rPr>
          <w:rStyle w:val="FootnoteReference"/>
          <w:rFonts w:ascii="Times New Roman" w:hAnsi="Times New Roman"/>
        </w:rPr>
        <w:footnoteReference w:id="2"/>
      </w:r>
      <w:r w:rsidR="000772CA">
        <w:rPr>
          <w:rFonts w:ascii="Times New Roman" w:hAnsi="Times New Roman"/>
        </w:rPr>
        <w:t xml:space="preserve"> (</w:t>
      </w:r>
      <w:r w:rsidR="00691CD4">
        <w:rPr>
          <w:rFonts w:ascii="Times New Roman" w:hAnsi="Times New Roman"/>
        </w:rPr>
        <w:t>EIA</w:t>
      </w:r>
      <w:r w:rsidR="000772CA">
        <w:rPr>
          <w:rFonts w:ascii="Times New Roman" w:hAnsi="Times New Roman"/>
        </w:rPr>
        <w:t>).</w:t>
      </w:r>
    </w:p>
    <w:p w14:paraId="0E7586B3" w14:textId="77777777" w:rsidR="000772CA" w:rsidRDefault="000772CA" w:rsidP="004C7C9C">
      <w:pPr>
        <w:rPr>
          <w:rFonts w:ascii="Times New Roman" w:hAnsi="Times New Roman"/>
        </w:rPr>
      </w:pPr>
    </w:p>
    <w:p w14:paraId="0E7586B4" w14:textId="77777777" w:rsidR="004C7C9C" w:rsidRDefault="000772CA" w:rsidP="004C7C9C">
      <w:pPr>
        <w:rPr>
          <w:rFonts w:ascii="Times New Roman" w:hAnsi="Times New Roman"/>
        </w:rPr>
      </w:pPr>
      <w:r>
        <w:rPr>
          <w:rFonts w:ascii="Times New Roman" w:hAnsi="Times New Roman"/>
        </w:rPr>
        <w:t>The purpose of this tariff filing is to establish conservation rates</w:t>
      </w:r>
      <w:r w:rsidR="004C7C9C">
        <w:rPr>
          <w:rFonts w:ascii="Times New Roman" w:hAnsi="Times New Roman"/>
        </w:rPr>
        <w:t xml:space="preserve"> </w:t>
      </w:r>
      <w:r>
        <w:rPr>
          <w:rFonts w:ascii="Times New Roman" w:hAnsi="Times New Roman"/>
        </w:rPr>
        <w:t>to recover the conservation program’s budgeted costs previously approved by the commission</w:t>
      </w:r>
      <w:r w:rsidR="00804A2F">
        <w:rPr>
          <w:rFonts w:ascii="Times New Roman" w:hAnsi="Times New Roman"/>
        </w:rPr>
        <w:t>.</w:t>
      </w:r>
    </w:p>
    <w:p w14:paraId="5247975A" w14:textId="77777777" w:rsidR="00BE567B" w:rsidRDefault="00BE567B" w:rsidP="004C7C9C">
      <w:pPr>
        <w:rPr>
          <w:rFonts w:ascii="Times New Roman" w:hAnsi="Times New Roman"/>
        </w:rPr>
      </w:pPr>
    </w:p>
    <w:p w14:paraId="0E7586B5" w14:textId="3AC783FD" w:rsidR="00804A2F" w:rsidRDefault="00567F6E" w:rsidP="004C7C9C">
      <w:pPr>
        <w:rPr>
          <w:rFonts w:ascii="Times New Roman" w:hAnsi="Times New Roman"/>
        </w:rPr>
      </w:pPr>
      <w:r>
        <w:rPr>
          <w:rFonts w:ascii="Times New Roman" w:hAnsi="Times New Roman"/>
        </w:rPr>
        <w:t>The conservation program changes were based on documentation provided by PSE in the December 2011 filing</w:t>
      </w:r>
      <w:r>
        <w:rPr>
          <w:rStyle w:val="FootnoteReference"/>
          <w:rFonts w:ascii="Times New Roman" w:hAnsi="Times New Roman"/>
        </w:rPr>
        <w:footnoteReference w:id="3"/>
      </w:r>
      <w:r>
        <w:rPr>
          <w:rFonts w:ascii="Times New Roman" w:hAnsi="Times New Roman"/>
        </w:rPr>
        <w:t xml:space="preserve"> and </w:t>
      </w:r>
      <w:r w:rsidR="00830968">
        <w:rPr>
          <w:rFonts w:ascii="Times New Roman" w:hAnsi="Times New Roman"/>
        </w:rPr>
        <w:t>its</w:t>
      </w:r>
      <w:r>
        <w:rPr>
          <w:rFonts w:ascii="Times New Roman" w:hAnsi="Times New Roman"/>
        </w:rPr>
        <w:t xml:space="preserve"> Biennial Conservation Plan filing</w:t>
      </w:r>
      <w:r>
        <w:rPr>
          <w:rStyle w:val="FootnoteReference"/>
          <w:rFonts w:ascii="Times New Roman" w:hAnsi="Times New Roman"/>
        </w:rPr>
        <w:footnoteReference w:id="4"/>
      </w:r>
      <w:r>
        <w:rPr>
          <w:rFonts w:ascii="Times New Roman" w:hAnsi="Times New Roman"/>
        </w:rPr>
        <w:t xml:space="preserve"> which included</w:t>
      </w:r>
      <w:r w:rsidR="00830968">
        <w:rPr>
          <w:rFonts w:ascii="Times New Roman" w:hAnsi="Times New Roman"/>
        </w:rPr>
        <w:t>:</w:t>
      </w:r>
    </w:p>
    <w:p w14:paraId="0E7586B6" w14:textId="77777777" w:rsidR="00567F6E" w:rsidRDefault="00567F6E" w:rsidP="004C7C9C">
      <w:pPr>
        <w:rPr>
          <w:rFonts w:ascii="Times New Roman" w:hAnsi="Times New Roman"/>
        </w:rPr>
      </w:pPr>
    </w:p>
    <w:p w14:paraId="0E7586B7" w14:textId="77777777" w:rsidR="00567F6E" w:rsidRDefault="00567F6E" w:rsidP="00567F6E">
      <w:pPr>
        <w:pStyle w:val="ListParagraph"/>
        <w:numPr>
          <w:ilvl w:val="0"/>
          <w:numId w:val="2"/>
        </w:numPr>
        <w:rPr>
          <w:rFonts w:ascii="Times New Roman" w:hAnsi="Times New Roman"/>
        </w:rPr>
      </w:pPr>
      <w:r>
        <w:rPr>
          <w:rFonts w:ascii="Times New Roman" w:hAnsi="Times New Roman"/>
        </w:rPr>
        <w:t>detailed descriptions of electric conservation programs,</w:t>
      </w:r>
    </w:p>
    <w:p w14:paraId="0E7586B8" w14:textId="77777777" w:rsidR="00567F6E" w:rsidRDefault="00567F6E" w:rsidP="00567F6E">
      <w:pPr>
        <w:pStyle w:val="ListParagraph"/>
        <w:numPr>
          <w:ilvl w:val="0"/>
          <w:numId w:val="2"/>
        </w:numPr>
        <w:rPr>
          <w:rFonts w:ascii="Times New Roman" w:hAnsi="Times New Roman"/>
        </w:rPr>
      </w:pPr>
      <w:r>
        <w:rPr>
          <w:rFonts w:ascii="Times New Roman" w:hAnsi="Times New Roman"/>
        </w:rPr>
        <w:t>program changes planned for 2012,</w:t>
      </w:r>
    </w:p>
    <w:p w14:paraId="0E7586B9" w14:textId="77777777" w:rsidR="00567F6E" w:rsidRDefault="00567F6E" w:rsidP="00567F6E">
      <w:pPr>
        <w:pStyle w:val="ListParagraph"/>
        <w:numPr>
          <w:ilvl w:val="0"/>
          <w:numId w:val="2"/>
        </w:numPr>
        <w:rPr>
          <w:rFonts w:ascii="Times New Roman" w:hAnsi="Times New Roman"/>
        </w:rPr>
      </w:pPr>
      <w:r>
        <w:rPr>
          <w:rFonts w:ascii="Times New Roman" w:hAnsi="Times New Roman"/>
        </w:rPr>
        <w:t>budget projections for 2012 conservation programs,</w:t>
      </w:r>
    </w:p>
    <w:p w14:paraId="0E7586BA" w14:textId="77777777" w:rsidR="00567F6E" w:rsidRDefault="00567F6E" w:rsidP="00567F6E">
      <w:pPr>
        <w:pStyle w:val="ListParagraph"/>
        <w:numPr>
          <w:ilvl w:val="0"/>
          <w:numId w:val="2"/>
        </w:numPr>
        <w:rPr>
          <w:rFonts w:ascii="Times New Roman" w:hAnsi="Times New Roman"/>
        </w:rPr>
      </w:pPr>
      <w:r>
        <w:rPr>
          <w:rFonts w:ascii="Times New Roman" w:hAnsi="Times New Roman"/>
        </w:rPr>
        <w:t>energy savings estimates for 2012 and 2013,</w:t>
      </w:r>
    </w:p>
    <w:p w14:paraId="0E7586BB" w14:textId="77777777" w:rsidR="00567F6E" w:rsidRDefault="00567F6E" w:rsidP="00567F6E">
      <w:pPr>
        <w:pStyle w:val="ListParagraph"/>
        <w:numPr>
          <w:ilvl w:val="0"/>
          <w:numId w:val="2"/>
        </w:numPr>
        <w:rPr>
          <w:rFonts w:ascii="Times New Roman" w:hAnsi="Times New Roman"/>
        </w:rPr>
      </w:pPr>
      <w:r>
        <w:rPr>
          <w:rFonts w:ascii="Times New Roman" w:hAnsi="Times New Roman"/>
        </w:rPr>
        <w:t>program and portfolio cost-effectiveness, and</w:t>
      </w:r>
    </w:p>
    <w:p w14:paraId="0E7586BC" w14:textId="77777777" w:rsidR="00567F6E" w:rsidRDefault="00567F6E" w:rsidP="00567F6E">
      <w:pPr>
        <w:pStyle w:val="ListParagraph"/>
        <w:numPr>
          <w:ilvl w:val="0"/>
          <w:numId w:val="2"/>
        </w:numPr>
        <w:rPr>
          <w:rFonts w:ascii="Times New Roman" w:hAnsi="Times New Roman"/>
        </w:rPr>
      </w:pPr>
      <w:r>
        <w:rPr>
          <w:rFonts w:ascii="Times New Roman" w:hAnsi="Times New Roman"/>
        </w:rPr>
        <w:t>a conservation evaluation plan.</w:t>
      </w:r>
    </w:p>
    <w:p w14:paraId="0E7586BD" w14:textId="77777777" w:rsidR="00567F6E" w:rsidRDefault="00567F6E" w:rsidP="00567F6E">
      <w:pPr>
        <w:rPr>
          <w:rFonts w:ascii="Times New Roman" w:hAnsi="Times New Roman"/>
        </w:rPr>
      </w:pPr>
    </w:p>
    <w:p w14:paraId="0E7586BE" w14:textId="1581291C" w:rsidR="00567F6E" w:rsidRDefault="00567F6E" w:rsidP="00567F6E">
      <w:pPr>
        <w:rPr>
          <w:rFonts w:ascii="Times New Roman" w:hAnsi="Times New Roman"/>
        </w:rPr>
      </w:pPr>
      <w:r>
        <w:rPr>
          <w:rFonts w:ascii="Times New Roman" w:hAnsi="Times New Roman"/>
        </w:rPr>
        <w:t xml:space="preserve">The program changes were reviewed by UTC staff (staff), the conservation resources advisory group (CRAG), and stakeholders </w:t>
      </w:r>
      <w:r w:rsidR="0096464C">
        <w:rPr>
          <w:rFonts w:ascii="Times New Roman" w:hAnsi="Times New Roman"/>
        </w:rPr>
        <w:t xml:space="preserve">last year. </w:t>
      </w:r>
      <w:r>
        <w:rPr>
          <w:rFonts w:ascii="Times New Roman" w:hAnsi="Times New Roman"/>
        </w:rPr>
        <w:t>The company made changes to the proposed 2012 conservation programs in response to inpu</w:t>
      </w:r>
      <w:r w:rsidR="0096464C">
        <w:rPr>
          <w:rFonts w:ascii="Times New Roman" w:hAnsi="Times New Roman"/>
        </w:rPr>
        <w:t xml:space="preserve">t from all interested parties. </w:t>
      </w:r>
      <w:r>
        <w:rPr>
          <w:rFonts w:ascii="Times New Roman" w:hAnsi="Times New Roman"/>
        </w:rPr>
        <w:t xml:space="preserve">With the approval of the </w:t>
      </w:r>
      <w:r>
        <w:rPr>
          <w:rFonts w:ascii="Times New Roman" w:hAnsi="Times New Roman"/>
        </w:rPr>
        <w:lastRenderedPageBreak/>
        <w:t xml:space="preserve">conservation program changes last December, the commission now must determine the correct rates to recover the costs of these programs.  </w:t>
      </w:r>
    </w:p>
    <w:p w14:paraId="0E7586BF" w14:textId="77777777" w:rsidR="00FC3012" w:rsidRPr="00AC1302" w:rsidRDefault="00FC3012" w:rsidP="00567F6E">
      <w:pPr>
        <w:rPr>
          <w:rFonts w:ascii="Times New Roman" w:hAnsi="Times New Roman"/>
        </w:rPr>
      </w:pPr>
    </w:p>
    <w:p w14:paraId="0E7586C0" w14:textId="77777777" w:rsidR="00882895" w:rsidRPr="008A2CAB" w:rsidRDefault="00882895" w:rsidP="00882895">
      <w:pPr>
        <w:rPr>
          <w:rFonts w:ascii="Times New Roman" w:hAnsi="Times New Roman"/>
          <w:b/>
          <w:bCs/>
          <w:u w:val="single"/>
        </w:rPr>
      </w:pPr>
      <w:r>
        <w:rPr>
          <w:rFonts w:ascii="Times New Roman" w:hAnsi="Times New Roman"/>
          <w:b/>
          <w:bCs/>
          <w:u w:val="single"/>
        </w:rPr>
        <w:t>Staff Review</w:t>
      </w:r>
    </w:p>
    <w:p w14:paraId="0E7586C1" w14:textId="77777777" w:rsidR="00882895" w:rsidRDefault="00882895" w:rsidP="00567F6E">
      <w:pPr>
        <w:rPr>
          <w:rFonts w:ascii="Times New Roman" w:hAnsi="Times New Roman"/>
        </w:rPr>
      </w:pPr>
    </w:p>
    <w:p w14:paraId="0E7586C2" w14:textId="77777777" w:rsidR="00567F6E" w:rsidRPr="00AC1302" w:rsidRDefault="00567F6E" w:rsidP="00567F6E">
      <w:pPr>
        <w:rPr>
          <w:rFonts w:ascii="Times New Roman" w:hAnsi="Times New Roman"/>
        </w:rPr>
      </w:pPr>
      <w:r w:rsidRPr="00AC1302">
        <w:rPr>
          <w:rFonts w:ascii="Times New Roman" w:hAnsi="Times New Roman"/>
        </w:rPr>
        <w:t>To set the stage for the rate revisions proposed in the current dockets, it is useful to provide a summary of what UTC staff and interested parties have done in preparation for this filing.</w:t>
      </w:r>
    </w:p>
    <w:p w14:paraId="0E7586C3" w14:textId="77777777" w:rsidR="00567F6E" w:rsidRPr="00AC1302" w:rsidRDefault="00567F6E" w:rsidP="00567F6E">
      <w:pPr>
        <w:rPr>
          <w:rFonts w:ascii="Times New Roman" w:hAnsi="Times New Roman"/>
        </w:rPr>
      </w:pPr>
    </w:p>
    <w:p w14:paraId="0E7586C4" w14:textId="431BC6B5" w:rsidR="00CF6AC3" w:rsidRDefault="00396962" w:rsidP="00CF6AC3">
      <w:pPr>
        <w:rPr>
          <w:rFonts w:ascii="Times New Roman" w:hAnsi="Times New Roman"/>
        </w:rPr>
      </w:pPr>
      <w:r>
        <w:rPr>
          <w:rFonts w:ascii="Times New Roman" w:hAnsi="Times New Roman"/>
        </w:rPr>
        <w:t>First, over the preceding year, s</w:t>
      </w:r>
      <w:r w:rsidRPr="00AC1302">
        <w:rPr>
          <w:rFonts w:ascii="Times New Roman" w:hAnsi="Times New Roman"/>
        </w:rPr>
        <w:t>taff</w:t>
      </w:r>
      <w:r w:rsidR="00903227">
        <w:rPr>
          <w:rFonts w:ascii="Times New Roman" w:hAnsi="Times New Roman"/>
        </w:rPr>
        <w:t xml:space="preserve"> members</w:t>
      </w:r>
      <w:r w:rsidRPr="00AC1302">
        <w:rPr>
          <w:rFonts w:ascii="Times New Roman" w:hAnsi="Times New Roman"/>
        </w:rPr>
        <w:t xml:space="preserve"> </w:t>
      </w:r>
      <w:r w:rsidR="00567F6E" w:rsidRPr="00AC1302">
        <w:rPr>
          <w:rFonts w:ascii="Times New Roman" w:hAnsi="Times New Roman"/>
        </w:rPr>
        <w:t>attended</w:t>
      </w:r>
      <w:r>
        <w:rPr>
          <w:rFonts w:ascii="Times New Roman" w:hAnsi="Times New Roman"/>
        </w:rPr>
        <w:t xml:space="preserve"> numerous</w:t>
      </w:r>
      <w:r w:rsidR="00567F6E" w:rsidRPr="00AC1302">
        <w:rPr>
          <w:rFonts w:ascii="Times New Roman" w:hAnsi="Times New Roman"/>
        </w:rPr>
        <w:t xml:space="preserve"> CRAG meetings to discuss proposed changes in the conservation rates in accordance </w:t>
      </w:r>
      <w:r w:rsidR="00567F6E">
        <w:rPr>
          <w:rFonts w:ascii="Times New Roman" w:hAnsi="Times New Roman"/>
        </w:rPr>
        <w:t xml:space="preserve">with past and current dockets. </w:t>
      </w:r>
      <w:r>
        <w:rPr>
          <w:rFonts w:ascii="Times New Roman" w:hAnsi="Times New Roman"/>
        </w:rPr>
        <w:t>Next, d</w:t>
      </w:r>
      <w:r w:rsidR="007A60D1">
        <w:rPr>
          <w:rFonts w:ascii="Times New Roman" w:hAnsi="Times New Roman"/>
        </w:rPr>
        <w:t xml:space="preserve">uring the review of this filing, staff </w:t>
      </w:r>
      <w:r>
        <w:rPr>
          <w:rFonts w:ascii="Times New Roman" w:hAnsi="Times New Roman"/>
        </w:rPr>
        <w:t xml:space="preserve">asked </w:t>
      </w:r>
      <w:r w:rsidR="007A60D1">
        <w:rPr>
          <w:rFonts w:ascii="Times New Roman" w:hAnsi="Times New Roman"/>
        </w:rPr>
        <w:t>a variety of questions that were answered through email, phone conversations or in person</w:t>
      </w:r>
      <w:r w:rsidR="00E04677">
        <w:rPr>
          <w:rFonts w:ascii="Times New Roman" w:hAnsi="Times New Roman"/>
        </w:rPr>
        <w:t>.</w:t>
      </w:r>
      <w:r w:rsidR="007A60D1">
        <w:rPr>
          <w:rFonts w:ascii="Times New Roman" w:hAnsi="Times New Roman"/>
        </w:rPr>
        <w:t xml:space="preserve"> </w:t>
      </w:r>
      <w:r w:rsidR="00CF6AC3">
        <w:rPr>
          <w:rFonts w:ascii="Times New Roman" w:hAnsi="Times New Roman"/>
        </w:rPr>
        <w:t>Staff received answers in a timely manner and was satisfied with explanations pertaining to changes in year</w:t>
      </w:r>
      <w:r w:rsidR="00E04677">
        <w:rPr>
          <w:rFonts w:ascii="Times New Roman" w:hAnsi="Times New Roman"/>
        </w:rPr>
        <w:t>-</w:t>
      </w:r>
      <w:r w:rsidR="00CF6AC3">
        <w:rPr>
          <w:rFonts w:ascii="Times New Roman" w:hAnsi="Times New Roman"/>
        </w:rPr>
        <w:t>over</w:t>
      </w:r>
      <w:r w:rsidR="00E04677">
        <w:rPr>
          <w:rFonts w:ascii="Times New Roman" w:hAnsi="Times New Roman"/>
        </w:rPr>
        <w:t>-</w:t>
      </w:r>
      <w:r w:rsidR="00BE567B">
        <w:rPr>
          <w:rFonts w:ascii="Times New Roman" w:hAnsi="Times New Roman"/>
        </w:rPr>
        <w:t xml:space="preserve">year budget amounts. </w:t>
      </w:r>
      <w:r w:rsidR="00CF6AC3">
        <w:rPr>
          <w:rFonts w:ascii="Times New Roman" w:hAnsi="Times New Roman"/>
        </w:rPr>
        <w:t xml:space="preserve">Many of these details were highlighted in PSE’s Annual Conservation Plan and reviewed in prior dockets.  As discussed </w:t>
      </w:r>
      <w:r w:rsidR="00903227">
        <w:rPr>
          <w:rFonts w:ascii="Times New Roman" w:hAnsi="Times New Roman"/>
        </w:rPr>
        <w:t>above</w:t>
      </w:r>
      <w:r w:rsidR="00CF6AC3">
        <w:rPr>
          <w:rFonts w:ascii="Times New Roman" w:hAnsi="Times New Roman"/>
        </w:rPr>
        <w:t>, the 2012 budget had been reviewed by staff, CRAG members and other stakehold</w:t>
      </w:r>
      <w:r w:rsidR="00BE567B">
        <w:rPr>
          <w:rFonts w:ascii="Times New Roman" w:hAnsi="Times New Roman"/>
        </w:rPr>
        <w:t xml:space="preserve">ers. </w:t>
      </w:r>
      <w:r w:rsidR="00CF6AC3">
        <w:rPr>
          <w:rFonts w:ascii="Times New Roman" w:hAnsi="Times New Roman"/>
        </w:rPr>
        <w:t xml:space="preserve">Any programmatic changes were reviewed and accepted during that time.  </w:t>
      </w:r>
    </w:p>
    <w:p w14:paraId="0E7586C5" w14:textId="77777777" w:rsidR="00EA38C1" w:rsidRDefault="00EA38C1" w:rsidP="00EA38C1">
      <w:pPr>
        <w:rPr>
          <w:rFonts w:ascii="Times New Roman" w:hAnsi="Times New Roman"/>
        </w:rPr>
      </w:pPr>
    </w:p>
    <w:p w14:paraId="0E7586C6" w14:textId="4BB4C6FD" w:rsidR="00EA38C1" w:rsidRDefault="00EA38C1" w:rsidP="00EA38C1">
      <w:pPr>
        <w:rPr>
          <w:rFonts w:ascii="Times New Roman" w:hAnsi="Times New Roman"/>
        </w:rPr>
      </w:pPr>
      <w:r w:rsidRPr="00AD749F">
        <w:rPr>
          <w:rFonts w:ascii="Times New Roman" w:hAnsi="Times New Roman"/>
          <w:b/>
          <w:i/>
        </w:rPr>
        <w:t>Review of variance.</w:t>
      </w:r>
      <w:r>
        <w:rPr>
          <w:rFonts w:ascii="Times New Roman" w:hAnsi="Times New Roman"/>
        </w:rPr>
        <w:t xml:space="preserve"> PSE spent approximately $12 million less on its electric conservation programs in </w:t>
      </w:r>
      <w:r w:rsidR="0096464C">
        <w:rPr>
          <w:rFonts w:ascii="Times New Roman" w:hAnsi="Times New Roman"/>
        </w:rPr>
        <w:t xml:space="preserve">2011 than previously budgeted. </w:t>
      </w:r>
      <w:r>
        <w:rPr>
          <w:rFonts w:ascii="Times New Roman" w:hAnsi="Times New Roman"/>
        </w:rPr>
        <w:t>Although all categories showed a decrease in expenditures, the largest decrease was in the direct benefits to customer category</w:t>
      </w:r>
      <w:r>
        <w:rPr>
          <w:rStyle w:val="FootnoteReference"/>
          <w:rFonts w:ascii="Times New Roman" w:hAnsi="Times New Roman"/>
        </w:rPr>
        <w:footnoteReference w:id="5"/>
      </w:r>
      <w:r>
        <w:rPr>
          <w:rFonts w:ascii="Times New Roman" w:hAnsi="Times New Roman"/>
        </w:rPr>
        <w:t>. The direct benefit to customer category consists of contract labor and incentives paid to customers and represented approximately 7</w:t>
      </w:r>
      <w:r w:rsidR="00BE567B">
        <w:rPr>
          <w:rFonts w:ascii="Times New Roman" w:hAnsi="Times New Roman"/>
        </w:rPr>
        <w:t xml:space="preserve">5 percent of overall spending. </w:t>
      </w:r>
      <w:r>
        <w:rPr>
          <w:rFonts w:ascii="Times New Roman" w:hAnsi="Times New Roman"/>
        </w:rPr>
        <w:t>Staff would prefer to see the direct benefit to customer category increase as an overall percentage to total spending, but understands that there is a cost to running these programs and having the ability to provide information in a timely, efficient and effective manner as PSE does. The trade-off between providing high quality information that is easily audited versus higher rebates to customers is very subjective. Staff believes that 75 pe</w:t>
      </w:r>
      <w:r w:rsidR="00BE567B">
        <w:rPr>
          <w:rFonts w:ascii="Times New Roman" w:hAnsi="Times New Roman"/>
        </w:rPr>
        <w:t xml:space="preserve">rcent is an acceptable number. </w:t>
      </w:r>
      <w:r>
        <w:rPr>
          <w:rFonts w:ascii="Times New Roman" w:hAnsi="Times New Roman"/>
        </w:rPr>
        <w:t>According to PSE, overall spending was down mostly due to residential customers electing to participate in lower-cost conservation measures and commercial customers using lower amounts of Schedule 258 incentives</w:t>
      </w:r>
      <w:r w:rsidR="00AD749F">
        <w:rPr>
          <w:rFonts w:ascii="Times New Roman" w:hAnsi="Times New Roman"/>
        </w:rPr>
        <w:t>.</w:t>
      </w:r>
      <w:r>
        <w:rPr>
          <w:rFonts w:ascii="Times New Roman" w:hAnsi="Times New Roman"/>
        </w:rPr>
        <w:t xml:space="preserve"> </w:t>
      </w:r>
    </w:p>
    <w:p w14:paraId="0E7586C7" w14:textId="77777777" w:rsidR="00FC682A" w:rsidRDefault="00FC682A" w:rsidP="00FC682A">
      <w:pPr>
        <w:rPr>
          <w:rFonts w:ascii="Times New Roman" w:hAnsi="Times New Roman"/>
        </w:rPr>
      </w:pPr>
    </w:p>
    <w:p w14:paraId="0E7586C8" w14:textId="5BDA5759" w:rsidR="00FC682A" w:rsidRPr="00FC682A" w:rsidRDefault="00903227" w:rsidP="00FC682A">
      <w:pPr>
        <w:rPr>
          <w:rFonts w:ascii="Times New Roman" w:hAnsi="Times New Roman"/>
        </w:rPr>
      </w:pPr>
      <w:r w:rsidRPr="00AD749F">
        <w:rPr>
          <w:rFonts w:ascii="Times New Roman" w:hAnsi="Times New Roman"/>
          <w:b/>
          <w:i/>
        </w:rPr>
        <w:t>Appropriate advertising expenses.</w:t>
      </w:r>
      <w:r>
        <w:rPr>
          <w:rFonts w:ascii="Times New Roman" w:hAnsi="Times New Roman"/>
        </w:rPr>
        <w:t xml:space="preserve"> </w:t>
      </w:r>
      <w:r w:rsidR="00FC682A">
        <w:rPr>
          <w:rFonts w:ascii="Times New Roman" w:hAnsi="Times New Roman"/>
        </w:rPr>
        <w:t xml:space="preserve">Staff requested and received all marketing </w:t>
      </w:r>
      <w:r w:rsidR="00F34712">
        <w:rPr>
          <w:rFonts w:ascii="Times New Roman" w:hAnsi="Times New Roman"/>
        </w:rPr>
        <w:t>material.</w:t>
      </w:r>
      <w:r>
        <w:rPr>
          <w:rFonts w:ascii="Times New Roman" w:hAnsi="Times New Roman"/>
        </w:rPr>
        <w:t xml:space="preserve"> This included</w:t>
      </w:r>
      <w:r w:rsidR="00AD749F">
        <w:rPr>
          <w:rFonts w:ascii="Times New Roman" w:hAnsi="Times New Roman"/>
        </w:rPr>
        <w:t xml:space="preserve"> conservation related</w:t>
      </w:r>
      <w:r>
        <w:rPr>
          <w:rFonts w:ascii="Times New Roman" w:hAnsi="Times New Roman"/>
        </w:rPr>
        <w:t xml:space="preserve"> brochures, </w:t>
      </w:r>
      <w:r w:rsidR="00AD749F">
        <w:rPr>
          <w:rFonts w:ascii="Times New Roman" w:hAnsi="Times New Roman"/>
        </w:rPr>
        <w:t>bill inserts, trade show</w:t>
      </w:r>
      <w:r>
        <w:rPr>
          <w:rFonts w:ascii="Times New Roman" w:hAnsi="Times New Roman"/>
        </w:rPr>
        <w:t xml:space="preserve"> ads</w:t>
      </w:r>
      <w:r w:rsidR="00AD749F">
        <w:rPr>
          <w:rFonts w:ascii="Times New Roman" w:hAnsi="Times New Roman"/>
        </w:rPr>
        <w:t xml:space="preserve"> and signage </w:t>
      </w:r>
      <w:r w:rsidR="00CF6AC3">
        <w:rPr>
          <w:rFonts w:ascii="Times New Roman" w:hAnsi="Times New Roman"/>
        </w:rPr>
        <w:t>Staff reviewed all print ads and listened to various TV and radio a</w:t>
      </w:r>
      <w:r w:rsidR="00BE567B">
        <w:rPr>
          <w:rFonts w:ascii="Times New Roman" w:hAnsi="Times New Roman"/>
        </w:rPr>
        <w:t xml:space="preserve">ds via a link provided by PSE. </w:t>
      </w:r>
      <w:r>
        <w:rPr>
          <w:rFonts w:ascii="Times New Roman" w:hAnsi="Times New Roman"/>
        </w:rPr>
        <w:t>The</w:t>
      </w:r>
      <w:r w:rsidR="00CF6AC3">
        <w:rPr>
          <w:rFonts w:ascii="Times New Roman" w:hAnsi="Times New Roman"/>
        </w:rPr>
        <w:t xml:space="preserve"> marketing materials reviewed </w:t>
      </w:r>
      <w:r w:rsidR="006C5AC0">
        <w:rPr>
          <w:rFonts w:ascii="Times New Roman" w:hAnsi="Times New Roman"/>
        </w:rPr>
        <w:t>complied with WAC 480-100-223</w:t>
      </w:r>
      <w:r w:rsidR="00AD749F">
        <w:rPr>
          <w:rFonts w:ascii="Times New Roman" w:hAnsi="Times New Roman"/>
        </w:rPr>
        <w:t xml:space="preserve"> for advertising which informs customers how to conserve energy</w:t>
      </w:r>
      <w:r w:rsidR="005520D5">
        <w:rPr>
          <w:rFonts w:ascii="Times New Roman" w:hAnsi="Times New Roman"/>
        </w:rPr>
        <w:t>.</w:t>
      </w:r>
    </w:p>
    <w:p w14:paraId="0E7586C9" w14:textId="77777777" w:rsidR="007A60D1" w:rsidRDefault="007A60D1" w:rsidP="00567F6E">
      <w:pPr>
        <w:rPr>
          <w:rFonts w:ascii="Times New Roman" w:hAnsi="Times New Roman"/>
        </w:rPr>
      </w:pPr>
    </w:p>
    <w:p w14:paraId="0E7586CA" w14:textId="124312EF" w:rsidR="00F45A0F" w:rsidRDefault="00903227" w:rsidP="00882895">
      <w:pPr>
        <w:rPr>
          <w:rFonts w:ascii="Times New Roman" w:hAnsi="Times New Roman"/>
        </w:rPr>
      </w:pPr>
      <w:r w:rsidRPr="005520D5">
        <w:rPr>
          <w:rFonts w:ascii="Times New Roman" w:hAnsi="Times New Roman"/>
          <w:b/>
          <w:i/>
        </w:rPr>
        <w:t>Incentive rebate audit.</w:t>
      </w:r>
      <w:r>
        <w:rPr>
          <w:rFonts w:ascii="Times New Roman" w:hAnsi="Times New Roman"/>
        </w:rPr>
        <w:t xml:space="preserve"> </w:t>
      </w:r>
      <w:r w:rsidR="00F45A0F">
        <w:rPr>
          <w:rFonts w:ascii="Times New Roman" w:hAnsi="Times New Roman"/>
        </w:rPr>
        <w:t>On April 5, 2012, staff performed a</w:t>
      </w:r>
      <w:r w:rsidR="00B509A2">
        <w:rPr>
          <w:rFonts w:ascii="Times New Roman" w:hAnsi="Times New Roman"/>
        </w:rPr>
        <w:t>n on-site</w:t>
      </w:r>
      <w:r w:rsidR="00F45A0F">
        <w:rPr>
          <w:rFonts w:ascii="Times New Roman" w:hAnsi="Times New Roman"/>
        </w:rPr>
        <w:t xml:space="preserve"> financial audit of PSE’s electric and gas conservation programs. The audit focused on operating expenses and incentive rebates for a select group of programs and months and attempted to confirm that expenditures </w:t>
      </w:r>
      <w:r w:rsidR="00BE567B">
        <w:rPr>
          <w:rFonts w:ascii="Times New Roman" w:hAnsi="Times New Roman"/>
        </w:rPr>
        <w:lastRenderedPageBreak/>
        <w:t xml:space="preserve">were paid as stated. </w:t>
      </w:r>
      <w:r w:rsidR="00F45A0F">
        <w:rPr>
          <w:rFonts w:ascii="Times New Roman" w:hAnsi="Times New Roman"/>
        </w:rPr>
        <w:t xml:space="preserve">The main priority was ensuring the integrity of the financial data with a secondary focus on the efficiency of the programs from a business perspective. </w:t>
      </w:r>
    </w:p>
    <w:p w14:paraId="0E7586CB" w14:textId="77777777" w:rsidR="00CF6AC3" w:rsidRDefault="00CF6AC3" w:rsidP="00CF6AC3">
      <w:pPr>
        <w:rPr>
          <w:rFonts w:ascii="Times New Roman" w:hAnsi="Times New Roman"/>
        </w:rPr>
      </w:pPr>
    </w:p>
    <w:p w14:paraId="0E7586CC" w14:textId="77777777" w:rsidR="00290B92" w:rsidRDefault="00290B92" w:rsidP="007A60D1">
      <w:pPr>
        <w:rPr>
          <w:rFonts w:ascii="Times New Roman" w:hAnsi="Times New Roman"/>
        </w:rPr>
      </w:pPr>
      <w:r>
        <w:rPr>
          <w:rFonts w:ascii="Times New Roman" w:hAnsi="Times New Roman"/>
        </w:rPr>
        <w:t xml:space="preserve">All of the materials requested were available for review upon arrival and efficiently and neatly organized for Staff.  </w:t>
      </w:r>
    </w:p>
    <w:p w14:paraId="0E7586CD" w14:textId="77777777" w:rsidR="00290B92" w:rsidRDefault="00290B92" w:rsidP="007A60D1">
      <w:pPr>
        <w:rPr>
          <w:rFonts w:ascii="Times New Roman" w:hAnsi="Times New Roman"/>
        </w:rPr>
      </w:pPr>
    </w:p>
    <w:p w14:paraId="0E7586CE" w14:textId="34650F5F" w:rsidR="00CF6AC3" w:rsidRDefault="00CF6AC3" w:rsidP="007A60D1">
      <w:pPr>
        <w:rPr>
          <w:rFonts w:ascii="Times New Roman" w:hAnsi="Times New Roman"/>
        </w:rPr>
      </w:pPr>
      <w:r w:rsidRPr="005520D5">
        <w:rPr>
          <w:rFonts w:ascii="Times New Roman" w:hAnsi="Times New Roman"/>
          <w:b/>
          <w:i/>
        </w:rPr>
        <w:t>PSE’s 2011 showerhead program.</w:t>
      </w:r>
      <w:r w:rsidR="00BE567B">
        <w:rPr>
          <w:rFonts w:ascii="Times New Roman" w:hAnsi="Times New Roman"/>
        </w:rPr>
        <w:t xml:space="preserve"> </w:t>
      </w:r>
      <w:r w:rsidR="00290B92">
        <w:rPr>
          <w:rFonts w:ascii="Times New Roman" w:hAnsi="Times New Roman"/>
        </w:rPr>
        <w:t xml:space="preserve">There was an approximately </w:t>
      </w:r>
      <w:r w:rsidR="00F34712">
        <w:rPr>
          <w:rFonts w:ascii="Times New Roman" w:hAnsi="Times New Roman"/>
        </w:rPr>
        <w:t>6,2</w:t>
      </w:r>
      <w:r w:rsidR="00290B92">
        <w:rPr>
          <w:rFonts w:ascii="Times New Roman" w:hAnsi="Times New Roman"/>
        </w:rPr>
        <w:t>00 percent increase in the year</w:t>
      </w:r>
      <w:r w:rsidR="00996CFF">
        <w:rPr>
          <w:rFonts w:ascii="Times New Roman" w:hAnsi="Times New Roman"/>
        </w:rPr>
        <w:t>-</w:t>
      </w:r>
      <w:r w:rsidR="00290B92">
        <w:rPr>
          <w:rFonts w:ascii="Times New Roman" w:hAnsi="Times New Roman"/>
        </w:rPr>
        <w:t>over</w:t>
      </w:r>
      <w:r w:rsidR="00996CFF">
        <w:rPr>
          <w:rFonts w:ascii="Times New Roman" w:hAnsi="Times New Roman"/>
        </w:rPr>
        <w:t>-</w:t>
      </w:r>
      <w:r w:rsidR="00290B92">
        <w:rPr>
          <w:rFonts w:ascii="Times New Roman" w:hAnsi="Times New Roman"/>
        </w:rPr>
        <w:t>year program. PSE explained that the 2010 program was the tail end of a previous campaign and the numbers weren’t represen</w:t>
      </w:r>
      <w:r w:rsidR="00BE567B">
        <w:rPr>
          <w:rFonts w:ascii="Times New Roman" w:hAnsi="Times New Roman"/>
        </w:rPr>
        <w:t xml:space="preserve">tative of a full year program. </w:t>
      </w:r>
      <w:r w:rsidR="00290B92">
        <w:rPr>
          <w:rFonts w:ascii="Times New Roman" w:hAnsi="Times New Roman"/>
        </w:rPr>
        <w:t xml:space="preserve">The 2011 campaign was a new web-based replacement program that offered a greater variety of </w:t>
      </w:r>
      <w:r w:rsidR="00996CFF">
        <w:rPr>
          <w:rFonts w:ascii="Times New Roman" w:hAnsi="Times New Roman"/>
        </w:rPr>
        <w:t xml:space="preserve">available </w:t>
      </w:r>
      <w:r w:rsidR="00BE567B">
        <w:rPr>
          <w:rFonts w:ascii="Times New Roman" w:hAnsi="Times New Roman"/>
        </w:rPr>
        <w:t>showerheads.</w:t>
      </w:r>
      <w:r w:rsidR="00290B92">
        <w:rPr>
          <w:rFonts w:ascii="Times New Roman" w:hAnsi="Times New Roman"/>
        </w:rPr>
        <w:t xml:space="preserve"> Staff noted that the direct benefit to customer ratio (55</w:t>
      </w:r>
      <w:r w:rsidR="00830968">
        <w:rPr>
          <w:rFonts w:ascii="Times New Roman" w:hAnsi="Times New Roman"/>
        </w:rPr>
        <w:t xml:space="preserve"> percent</w:t>
      </w:r>
      <w:r w:rsidR="00290B92">
        <w:rPr>
          <w:rFonts w:ascii="Times New Roman" w:hAnsi="Times New Roman"/>
        </w:rPr>
        <w:t xml:space="preserve"> of program costs) seemed lower than most other programs; however the Total Resource Cost (TRC) ratio was high at 3.6.</w:t>
      </w:r>
    </w:p>
    <w:p w14:paraId="0E7586CF" w14:textId="77777777" w:rsidR="00290B92" w:rsidRDefault="00290B92" w:rsidP="007A60D1">
      <w:pPr>
        <w:rPr>
          <w:rFonts w:ascii="Times New Roman" w:hAnsi="Times New Roman"/>
        </w:rPr>
      </w:pPr>
    </w:p>
    <w:p w14:paraId="0E7586D0" w14:textId="45F9A9C2" w:rsidR="00290B92" w:rsidRDefault="00716BB3" w:rsidP="007A60D1">
      <w:pPr>
        <w:rPr>
          <w:rFonts w:ascii="Times New Roman" w:hAnsi="Times New Roman"/>
        </w:rPr>
      </w:pPr>
      <w:r w:rsidRPr="005520D5">
        <w:rPr>
          <w:rFonts w:ascii="Times New Roman" w:hAnsi="Times New Roman"/>
          <w:b/>
          <w:i/>
        </w:rPr>
        <w:t>TV Turn-In program</w:t>
      </w:r>
      <w:r w:rsidR="00903227" w:rsidRPr="005520D5">
        <w:rPr>
          <w:rFonts w:ascii="Times New Roman" w:hAnsi="Times New Roman"/>
          <w:b/>
          <w:i/>
        </w:rPr>
        <w:t>.</w:t>
      </w:r>
      <w:r w:rsidRPr="005520D5">
        <w:rPr>
          <w:rFonts w:ascii="Times New Roman" w:hAnsi="Times New Roman"/>
          <w:b/>
          <w:i/>
        </w:rPr>
        <w:t xml:space="preserve"> </w:t>
      </w:r>
      <w:r w:rsidR="00903227">
        <w:rPr>
          <w:rFonts w:ascii="Times New Roman" w:hAnsi="Times New Roman"/>
        </w:rPr>
        <w:t xml:space="preserve">This program </w:t>
      </w:r>
      <w:r>
        <w:rPr>
          <w:rFonts w:ascii="Times New Roman" w:hAnsi="Times New Roman"/>
        </w:rPr>
        <w:t>had approximately $50,000 in outside services with no direct</w:t>
      </w:r>
      <w:r w:rsidR="00BE567B">
        <w:rPr>
          <w:rFonts w:ascii="Times New Roman" w:hAnsi="Times New Roman"/>
        </w:rPr>
        <w:t xml:space="preserve"> benefit to customer payments. </w:t>
      </w:r>
      <w:r w:rsidR="00903227">
        <w:rPr>
          <w:rFonts w:ascii="Times New Roman" w:hAnsi="Times New Roman"/>
        </w:rPr>
        <w:t xml:space="preserve">This </w:t>
      </w:r>
      <w:r>
        <w:rPr>
          <w:rFonts w:ascii="Times New Roman" w:hAnsi="Times New Roman"/>
        </w:rPr>
        <w:t>trial program</w:t>
      </w:r>
      <w:r w:rsidR="00903227">
        <w:rPr>
          <w:rFonts w:ascii="Times New Roman" w:hAnsi="Times New Roman"/>
        </w:rPr>
        <w:t xml:space="preserve"> was halted</w:t>
      </w:r>
      <w:r>
        <w:rPr>
          <w:rFonts w:ascii="Times New Roman" w:hAnsi="Times New Roman"/>
        </w:rPr>
        <w:t xml:space="preserve"> in the research stage </w:t>
      </w:r>
      <w:r w:rsidR="00903227">
        <w:rPr>
          <w:rFonts w:ascii="Times New Roman" w:hAnsi="Times New Roman"/>
        </w:rPr>
        <w:t xml:space="preserve">when </w:t>
      </w:r>
      <w:r>
        <w:rPr>
          <w:rFonts w:ascii="Times New Roman" w:hAnsi="Times New Roman"/>
        </w:rPr>
        <w:t xml:space="preserve">PSE concluded </w:t>
      </w:r>
      <w:r w:rsidR="00903227">
        <w:rPr>
          <w:rFonts w:ascii="Times New Roman" w:hAnsi="Times New Roman"/>
        </w:rPr>
        <w:t xml:space="preserve">it </w:t>
      </w:r>
      <w:r>
        <w:rPr>
          <w:rFonts w:ascii="Times New Roman" w:hAnsi="Times New Roman"/>
        </w:rPr>
        <w:t xml:space="preserve">would not result in </w:t>
      </w:r>
      <w:r w:rsidR="005F380A">
        <w:rPr>
          <w:rFonts w:ascii="Times New Roman" w:hAnsi="Times New Roman"/>
        </w:rPr>
        <w:t>cost-effective</w:t>
      </w:r>
      <w:r w:rsidR="00BE567B">
        <w:rPr>
          <w:rFonts w:ascii="Times New Roman" w:hAnsi="Times New Roman"/>
        </w:rPr>
        <w:t xml:space="preserve"> savings. </w:t>
      </w:r>
      <w:r>
        <w:rPr>
          <w:rFonts w:ascii="Times New Roman" w:hAnsi="Times New Roman"/>
        </w:rPr>
        <w:t>Staff applauds PSE for not going forward with a questionable program, however also cautions against spending ratepay</w:t>
      </w:r>
      <w:r w:rsidR="00BE567B">
        <w:rPr>
          <w:rFonts w:ascii="Times New Roman" w:hAnsi="Times New Roman"/>
        </w:rPr>
        <w:t>er funds with no known benefit.</w:t>
      </w:r>
      <w:r>
        <w:rPr>
          <w:rFonts w:ascii="Times New Roman" w:hAnsi="Times New Roman"/>
        </w:rPr>
        <w:t xml:space="preserve"> Staff </w:t>
      </w:r>
      <w:r w:rsidR="005F380A">
        <w:rPr>
          <w:rFonts w:ascii="Times New Roman" w:hAnsi="Times New Roman"/>
        </w:rPr>
        <w:t xml:space="preserve">would </w:t>
      </w:r>
      <w:r w:rsidR="007916CC">
        <w:rPr>
          <w:rFonts w:ascii="Times New Roman" w:hAnsi="Times New Roman"/>
        </w:rPr>
        <w:t xml:space="preserve">question the use of the conservation tariff to recover </w:t>
      </w:r>
      <w:r>
        <w:rPr>
          <w:rFonts w:ascii="Times New Roman" w:hAnsi="Times New Roman"/>
        </w:rPr>
        <w:t>spending</w:t>
      </w:r>
      <w:r w:rsidR="007916CC">
        <w:rPr>
          <w:rFonts w:ascii="Times New Roman" w:hAnsi="Times New Roman"/>
        </w:rPr>
        <w:t xml:space="preserve"> </w:t>
      </w:r>
      <w:r>
        <w:rPr>
          <w:rFonts w:ascii="Times New Roman" w:hAnsi="Times New Roman"/>
        </w:rPr>
        <w:t xml:space="preserve">on research and development or “pipeline” projects </w:t>
      </w:r>
      <w:r w:rsidR="007916CC">
        <w:rPr>
          <w:rFonts w:ascii="Times New Roman" w:hAnsi="Times New Roman"/>
        </w:rPr>
        <w:t>prior to determining potential for</w:t>
      </w:r>
      <w:r>
        <w:rPr>
          <w:rFonts w:ascii="Times New Roman" w:hAnsi="Times New Roman"/>
        </w:rPr>
        <w:t xml:space="preserve"> benefits.</w:t>
      </w:r>
      <w:r w:rsidR="007916CC">
        <w:rPr>
          <w:rFonts w:ascii="Times New Roman" w:hAnsi="Times New Roman"/>
        </w:rPr>
        <w:t xml:space="preserve">  </w:t>
      </w:r>
      <w:r>
        <w:rPr>
          <w:rFonts w:ascii="Times New Roman" w:hAnsi="Times New Roman"/>
        </w:rPr>
        <w:t xml:space="preserve">  </w:t>
      </w:r>
    </w:p>
    <w:p w14:paraId="0E7586D1" w14:textId="77777777" w:rsidR="00B67644" w:rsidRDefault="00B67644" w:rsidP="007A60D1">
      <w:pPr>
        <w:rPr>
          <w:rFonts w:ascii="Times New Roman" w:hAnsi="Times New Roman"/>
        </w:rPr>
      </w:pPr>
    </w:p>
    <w:p w14:paraId="0E7586D2" w14:textId="2830D2D6" w:rsidR="00B67644" w:rsidRDefault="00903227" w:rsidP="007A60D1">
      <w:pPr>
        <w:rPr>
          <w:rFonts w:ascii="Times New Roman" w:hAnsi="Times New Roman"/>
        </w:rPr>
      </w:pPr>
      <w:r w:rsidRPr="005520D5">
        <w:rPr>
          <w:rFonts w:ascii="Times New Roman" w:hAnsi="Times New Roman"/>
          <w:b/>
          <w:i/>
        </w:rPr>
        <w:t>Review of internal controls.</w:t>
      </w:r>
      <w:r>
        <w:rPr>
          <w:rFonts w:ascii="Times New Roman" w:hAnsi="Times New Roman"/>
        </w:rPr>
        <w:t xml:space="preserve"> </w:t>
      </w:r>
      <w:r w:rsidR="00EA38C1">
        <w:rPr>
          <w:rFonts w:ascii="Times New Roman" w:hAnsi="Times New Roman"/>
        </w:rPr>
        <w:t xml:space="preserve">Overall the information, documentation and internal controls in place for the PSE conservation programs were very good. However, PSE does not </w:t>
      </w:r>
      <w:r w:rsidR="008A5DF6">
        <w:rPr>
          <w:rFonts w:ascii="Times New Roman" w:hAnsi="Times New Roman"/>
        </w:rPr>
        <w:t>estimate the possible amount of</w:t>
      </w:r>
      <w:r w:rsidR="00EA38C1">
        <w:rPr>
          <w:rFonts w:ascii="Times New Roman" w:hAnsi="Times New Roman"/>
        </w:rPr>
        <w:t xml:space="preserve"> fraud</w:t>
      </w:r>
      <w:r w:rsidR="008A5DF6">
        <w:rPr>
          <w:rFonts w:ascii="Times New Roman" w:hAnsi="Times New Roman"/>
        </w:rPr>
        <w:t>ulent activity, such as</w:t>
      </w:r>
      <w:r w:rsidR="005520D5">
        <w:rPr>
          <w:rFonts w:ascii="Times New Roman" w:hAnsi="Times New Roman"/>
        </w:rPr>
        <w:t xml:space="preserve"> non-qualifying customers attempting to receive incentive rebates</w:t>
      </w:r>
      <w:r w:rsidR="009078DF">
        <w:rPr>
          <w:rFonts w:ascii="Times New Roman" w:hAnsi="Times New Roman"/>
        </w:rPr>
        <w:t xml:space="preserve"> so internal controls are of high importance.</w:t>
      </w:r>
      <w:r w:rsidR="00882895">
        <w:rPr>
          <w:rFonts w:ascii="Times New Roman" w:hAnsi="Times New Roman"/>
        </w:rPr>
        <w:t xml:space="preserve"> </w:t>
      </w:r>
      <w:r w:rsidR="00B67644">
        <w:rPr>
          <w:rFonts w:ascii="Times New Roman" w:hAnsi="Times New Roman"/>
        </w:rPr>
        <w:t>Five large grant projects and three different residential rebate batch files containing customer incentive payments were selected to review for the Single Family Existing Space Heat, Electric to Gas Fuel Convers</w:t>
      </w:r>
      <w:r w:rsidR="00BE567B">
        <w:rPr>
          <w:rFonts w:ascii="Times New Roman" w:hAnsi="Times New Roman"/>
        </w:rPr>
        <w:t xml:space="preserve">ion and C/I Retrofit programs. </w:t>
      </w:r>
      <w:r w:rsidR="005520D5">
        <w:rPr>
          <w:rFonts w:ascii="Times New Roman" w:hAnsi="Times New Roman"/>
        </w:rPr>
        <w:t xml:space="preserve">Total dollar amounts in the files matched documentation presented by PSE. </w:t>
      </w:r>
      <w:r w:rsidR="00EA38C1">
        <w:rPr>
          <w:rFonts w:ascii="Times New Roman" w:hAnsi="Times New Roman"/>
        </w:rPr>
        <w:t>However, o</w:t>
      </w:r>
      <w:r w:rsidR="0040482C">
        <w:rPr>
          <w:rFonts w:ascii="Times New Roman" w:hAnsi="Times New Roman"/>
        </w:rPr>
        <w:t xml:space="preserve">ne of the Electric to Gas Fuel Conversion rebates appeared to have been </w:t>
      </w:r>
      <w:r>
        <w:rPr>
          <w:rFonts w:ascii="Times New Roman" w:hAnsi="Times New Roman"/>
        </w:rPr>
        <w:t>customer-</w:t>
      </w:r>
      <w:r w:rsidR="0040482C">
        <w:rPr>
          <w:rFonts w:ascii="Times New Roman" w:hAnsi="Times New Roman"/>
        </w:rPr>
        <w:t xml:space="preserve">installed rather than </w:t>
      </w:r>
      <w:r>
        <w:rPr>
          <w:rFonts w:ascii="Times New Roman" w:hAnsi="Times New Roman"/>
        </w:rPr>
        <w:t>contractor-</w:t>
      </w:r>
      <w:r w:rsidR="00BE567B">
        <w:rPr>
          <w:rFonts w:ascii="Times New Roman" w:hAnsi="Times New Roman"/>
        </w:rPr>
        <w:t xml:space="preserve">installed as required. </w:t>
      </w:r>
      <w:r w:rsidR="0040482C">
        <w:rPr>
          <w:rFonts w:ascii="Times New Roman" w:hAnsi="Times New Roman"/>
        </w:rPr>
        <w:t xml:space="preserve">The paperwork showed initial rejection due </w:t>
      </w:r>
      <w:r w:rsidR="00BE567B">
        <w:rPr>
          <w:rFonts w:ascii="Times New Roman" w:hAnsi="Times New Roman"/>
        </w:rPr>
        <w:t xml:space="preserve">to insufficient documentation. </w:t>
      </w:r>
      <w:r w:rsidR="0040482C">
        <w:rPr>
          <w:rFonts w:ascii="Times New Roman" w:hAnsi="Times New Roman"/>
        </w:rPr>
        <w:t>It was then processed when receipts and fur</w:t>
      </w:r>
      <w:r w:rsidR="0096464C">
        <w:rPr>
          <w:rFonts w:ascii="Times New Roman" w:hAnsi="Times New Roman"/>
        </w:rPr>
        <w:t>ther explanation were provided.</w:t>
      </w:r>
      <w:r w:rsidR="0040482C">
        <w:rPr>
          <w:rFonts w:ascii="Times New Roman" w:hAnsi="Times New Roman"/>
        </w:rPr>
        <w:t xml:space="preserve"> However, the paperwork doe</w:t>
      </w:r>
      <w:r w:rsidR="00BE567B">
        <w:rPr>
          <w:rFonts w:ascii="Times New Roman" w:hAnsi="Times New Roman"/>
        </w:rPr>
        <w:t>s not reflect the full process.</w:t>
      </w:r>
      <w:r w:rsidR="0040482C">
        <w:rPr>
          <w:rFonts w:ascii="Times New Roman" w:hAnsi="Times New Roman"/>
        </w:rPr>
        <w:t xml:space="preserve"> Another file did not have a waterm</w:t>
      </w:r>
      <w:r w:rsidR="00BE567B">
        <w:rPr>
          <w:rFonts w:ascii="Times New Roman" w:hAnsi="Times New Roman"/>
        </w:rPr>
        <w:t xml:space="preserve">ark on the check showing void. </w:t>
      </w:r>
      <w:r w:rsidR="0040482C">
        <w:rPr>
          <w:rFonts w:ascii="Times New Roman" w:hAnsi="Times New Roman"/>
        </w:rPr>
        <w:t>Generally copies of checks have a watermark show</w:t>
      </w:r>
      <w:r w:rsidR="00BE567B">
        <w:rPr>
          <w:rFonts w:ascii="Times New Roman" w:hAnsi="Times New Roman"/>
        </w:rPr>
        <w:t xml:space="preserve">ing void to avoid duplication. </w:t>
      </w:r>
      <w:r w:rsidR="0040482C">
        <w:rPr>
          <w:rFonts w:ascii="Times New Roman" w:hAnsi="Times New Roman"/>
        </w:rPr>
        <w:t xml:space="preserve">PSE has agreed to provide an overview of its residential rebate processing system and the steps it takes to minimize the potential for fraud, duplicate rebates, returns and other areas of concern in addition to detailing the process for </w:t>
      </w:r>
      <w:r w:rsidR="00FC3012">
        <w:rPr>
          <w:rFonts w:ascii="Times New Roman" w:hAnsi="Times New Roman"/>
        </w:rPr>
        <w:t>allowing customer</w:t>
      </w:r>
      <w:r w:rsidR="0040482C">
        <w:rPr>
          <w:rFonts w:ascii="Times New Roman" w:hAnsi="Times New Roman"/>
        </w:rPr>
        <w:t xml:space="preserve"> self-installs.</w:t>
      </w:r>
      <w:r w:rsidR="00EE212E">
        <w:rPr>
          <w:rFonts w:ascii="Times New Roman" w:hAnsi="Times New Roman"/>
        </w:rPr>
        <w:t xml:space="preserve">  </w:t>
      </w:r>
    </w:p>
    <w:p w14:paraId="0E7586D3" w14:textId="77777777" w:rsidR="00290B92" w:rsidRDefault="00290B92" w:rsidP="007A60D1">
      <w:pPr>
        <w:rPr>
          <w:rFonts w:ascii="Times New Roman" w:hAnsi="Times New Roman"/>
        </w:rPr>
      </w:pPr>
    </w:p>
    <w:p w14:paraId="2BAB883B" w14:textId="77777777" w:rsidR="00BE567B" w:rsidRDefault="00BE567B" w:rsidP="007A60D1">
      <w:pPr>
        <w:rPr>
          <w:rFonts w:ascii="Times New Roman" w:hAnsi="Times New Roman"/>
        </w:rPr>
      </w:pPr>
    </w:p>
    <w:p w14:paraId="6E9604AA" w14:textId="77777777" w:rsidR="00BE567B" w:rsidRDefault="00BE567B" w:rsidP="007A60D1">
      <w:pPr>
        <w:rPr>
          <w:rFonts w:ascii="Times New Roman" w:hAnsi="Times New Roman"/>
        </w:rPr>
      </w:pPr>
    </w:p>
    <w:p w14:paraId="0C3DE7AB" w14:textId="77777777" w:rsidR="00BE567B" w:rsidRDefault="00BE567B" w:rsidP="007A60D1">
      <w:pPr>
        <w:rPr>
          <w:rFonts w:ascii="Times New Roman" w:hAnsi="Times New Roman"/>
        </w:rPr>
      </w:pPr>
    </w:p>
    <w:p w14:paraId="0E7586D4" w14:textId="77777777" w:rsidR="004C7C9C" w:rsidRPr="000055D3" w:rsidRDefault="004C7C9C" w:rsidP="004C7C9C">
      <w:pPr>
        <w:rPr>
          <w:rFonts w:ascii="Times New Roman" w:hAnsi="Times New Roman"/>
          <w:b/>
          <w:u w:val="single"/>
        </w:rPr>
      </w:pPr>
      <w:r w:rsidRPr="000055D3">
        <w:rPr>
          <w:rFonts w:ascii="Times New Roman" w:hAnsi="Times New Roman"/>
          <w:b/>
          <w:u w:val="single"/>
        </w:rPr>
        <w:lastRenderedPageBreak/>
        <w:t>Discussion</w:t>
      </w:r>
    </w:p>
    <w:p w14:paraId="0E7586D5" w14:textId="77777777" w:rsidR="004C7C9C" w:rsidRPr="000055D3" w:rsidRDefault="004C7C9C" w:rsidP="004C7C9C">
      <w:pPr>
        <w:rPr>
          <w:rFonts w:ascii="Times New Roman" w:hAnsi="Times New Roman"/>
        </w:rPr>
      </w:pPr>
    </w:p>
    <w:p w14:paraId="0E7586D6" w14:textId="77777777" w:rsidR="004C7C9C" w:rsidRPr="000055D3" w:rsidRDefault="004C7C9C" w:rsidP="004C7C9C">
      <w:pPr>
        <w:rPr>
          <w:rFonts w:ascii="Times New Roman" w:hAnsi="Times New Roman"/>
          <w:b/>
        </w:rPr>
      </w:pPr>
      <w:r w:rsidRPr="000055D3">
        <w:rPr>
          <w:rFonts w:ascii="Times New Roman" w:hAnsi="Times New Roman"/>
          <w:b/>
        </w:rPr>
        <w:t>Conservation Service Rider</w:t>
      </w:r>
      <w:r>
        <w:rPr>
          <w:rFonts w:ascii="Times New Roman" w:hAnsi="Times New Roman"/>
          <w:b/>
        </w:rPr>
        <w:t xml:space="preserve"> (UE-1</w:t>
      </w:r>
      <w:r w:rsidR="000009C1">
        <w:rPr>
          <w:rFonts w:ascii="Times New Roman" w:hAnsi="Times New Roman"/>
          <w:b/>
        </w:rPr>
        <w:t>20292</w:t>
      </w:r>
      <w:r>
        <w:rPr>
          <w:rFonts w:ascii="Times New Roman" w:hAnsi="Times New Roman"/>
          <w:b/>
        </w:rPr>
        <w:t>)</w:t>
      </w:r>
    </w:p>
    <w:p w14:paraId="0E7586D7" w14:textId="77777777" w:rsidR="004C7C9C" w:rsidRPr="000055D3" w:rsidRDefault="004C7C9C" w:rsidP="004C7C9C">
      <w:pPr>
        <w:rPr>
          <w:rFonts w:ascii="Times New Roman" w:hAnsi="Times New Roman"/>
        </w:rPr>
      </w:pPr>
    </w:p>
    <w:p w14:paraId="0E7586D8" w14:textId="240B86A8" w:rsidR="004C7C9C" w:rsidRPr="000055D3" w:rsidRDefault="004C7C9C" w:rsidP="004C7C9C">
      <w:pPr>
        <w:rPr>
          <w:rFonts w:ascii="Times New Roman" w:hAnsi="Times New Roman"/>
        </w:rPr>
      </w:pPr>
      <w:r w:rsidRPr="000055D3">
        <w:rPr>
          <w:rFonts w:ascii="Times New Roman" w:hAnsi="Times New Roman"/>
        </w:rPr>
        <w:t>During calendar year 20</w:t>
      </w:r>
      <w:r>
        <w:rPr>
          <w:rFonts w:ascii="Times New Roman" w:hAnsi="Times New Roman"/>
        </w:rPr>
        <w:t>1</w:t>
      </w:r>
      <w:r w:rsidR="003671D5">
        <w:rPr>
          <w:rFonts w:ascii="Times New Roman" w:hAnsi="Times New Roman"/>
        </w:rPr>
        <w:t>1</w:t>
      </w:r>
      <w:r w:rsidRPr="000055D3">
        <w:rPr>
          <w:rFonts w:ascii="Times New Roman" w:hAnsi="Times New Roman"/>
        </w:rPr>
        <w:t>, PSE spent $</w:t>
      </w:r>
      <w:r>
        <w:rPr>
          <w:rFonts w:ascii="Times New Roman" w:hAnsi="Times New Roman"/>
        </w:rPr>
        <w:t>7</w:t>
      </w:r>
      <w:r w:rsidR="00CC73D0">
        <w:rPr>
          <w:rFonts w:ascii="Times New Roman" w:hAnsi="Times New Roman"/>
        </w:rPr>
        <w:t>7,865,547</w:t>
      </w:r>
      <w:r w:rsidRPr="000055D3">
        <w:rPr>
          <w:rFonts w:ascii="Times New Roman" w:hAnsi="Times New Roman"/>
        </w:rPr>
        <w:t xml:space="preserve"> on electric energy efficiency programs</w:t>
      </w:r>
      <w:r w:rsidR="00830968">
        <w:rPr>
          <w:rFonts w:ascii="Times New Roman" w:hAnsi="Times New Roman"/>
        </w:rPr>
        <w:t>,</w:t>
      </w:r>
      <w:r w:rsidR="008D0493">
        <w:rPr>
          <w:rFonts w:ascii="Times New Roman" w:hAnsi="Times New Roman"/>
        </w:rPr>
        <w:t xml:space="preserve"> which was a decrease of approximately 13 percent of projected 2011 expenditures</w:t>
      </w:r>
      <w:r w:rsidRPr="000055D3">
        <w:rPr>
          <w:rFonts w:ascii="Times New Roman" w:hAnsi="Times New Roman"/>
        </w:rPr>
        <w:t>. The 201</w:t>
      </w:r>
      <w:r w:rsidR="00CC73D0">
        <w:rPr>
          <w:rFonts w:ascii="Times New Roman" w:hAnsi="Times New Roman"/>
        </w:rPr>
        <w:t>2</w:t>
      </w:r>
      <w:r w:rsidRPr="000055D3">
        <w:rPr>
          <w:rFonts w:ascii="Times New Roman" w:hAnsi="Times New Roman"/>
        </w:rPr>
        <w:t xml:space="preserve"> projected expenditures for electric energy efficiency programs </w:t>
      </w:r>
      <w:r>
        <w:rPr>
          <w:rFonts w:ascii="Times New Roman" w:hAnsi="Times New Roman"/>
        </w:rPr>
        <w:t>increase</w:t>
      </w:r>
      <w:r w:rsidR="00FE0C31">
        <w:rPr>
          <w:rFonts w:ascii="Times New Roman" w:hAnsi="Times New Roman"/>
        </w:rPr>
        <w:t>d</w:t>
      </w:r>
      <w:r>
        <w:rPr>
          <w:rFonts w:ascii="Times New Roman" w:hAnsi="Times New Roman"/>
        </w:rPr>
        <w:t xml:space="preserve"> </w:t>
      </w:r>
      <w:r w:rsidR="00FE0C31">
        <w:rPr>
          <w:rFonts w:ascii="Times New Roman" w:hAnsi="Times New Roman"/>
        </w:rPr>
        <w:t>8</w:t>
      </w:r>
      <w:r>
        <w:rPr>
          <w:rFonts w:ascii="Times New Roman" w:hAnsi="Times New Roman"/>
        </w:rPr>
        <w:t xml:space="preserve"> percent to</w:t>
      </w:r>
      <w:r w:rsidRPr="000055D3">
        <w:rPr>
          <w:rFonts w:ascii="Times New Roman" w:hAnsi="Times New Roman"/>
        </w:rPr>
        <w:t xml:space="preserve"> $</w:t>
      </w:r>
      <w:r w:rsidR="00FE0C31">
        <w:rPr>
          <w:rFonts w:ascii="Times New Roman" w:hAnsi="Times New Roman"/>
        </w:rPr>
        <w:t>96,613,435</w:t>
      </w:r>
      <w:r>
        <w:rPr>
          <w:rFonts w:ascii="Times New Roman" w:hAnsi="Times New Roman"/>
        </w:rPr>
        <w:t>, not including Schedule 449</w:t>
      </w:r>
      <w:r w:rsidR="00FE0C31">
        <w:rPr>
          <w:rFonts w:ascii="Times New Roman" w:hAnsi="Times New Roman"/>
        </w:rPr>
        <w:t>/459</w:t>
      </w:r>
      <w:r>
        <w:rPr>
          <w:rFonts w:ascii="Times New Roman" w:hAnsi="Times New Roman"/>
        </w:rPr>
        <w:t xml:space="preserve"> customers</w:t>
      </w:r>
      <w:r w:rsidRPr="000055D3">
        <w:rPr>
          <w:rFonts w:ascii="Times New Roman" w:hAnsi="Times New Roman"/>
        </w:rPr>
        <w:t>.</w:t>
      </w:r>
      <w:r>
        <w:rPr>
          <w:rStyle w:val="FootnoteReference"/>
          <w:rFonts w:ascii="Times New Roman" w:hAnsi="Times New Roman"/>
        </w:rPr>
        <w:footnoteReference w:id="6"/>
      </w:r>
      <w:r w:rsidRPr="000055D3">
        <w:rPr>
          <w:rFonts w:ascii="Times New Roman" w:hAnsi="Times New Roman"/>
        </w:rPr>
        <w:t xml:space="preserve"> The projected expenditures were reviewed by PSE’s Conservation Resource Advisory Group (CRAG).</w:t>
      </w:r>
      <w:r>
        <w:rPr>
          <w:rStyle w:val="FootnoteReference"/>
          <w:rFonts w:ascii="Times New Roman" w:hAnsi="Times New Roman"/>
        </w:rPr>
        <w:footnoteReference w:id="7"/>
      </w:r>
      <w:r w:rsidRPr="000055D3">
        <w:rPr>
          <w:rFonts w:ascii="Times New Roman" w:hAnsi="Times New Roman"/>
        </w:rPr>
        <w:t xml:space="preserve"> </w:t>
      </w:r>
    </w:p>
    <w:p w14:paraId="0E7586D9" w14:textId="77777777" w:rsidR="004C7C9C" w:rsidRPr="000055D3" w:rsidRDefault="004C7C9C" w:rsidP="004C7C9C">
      <w:pPr>
        <w:rPr>
          <w:rFonts w:ascii="Times New Roman" w:hAnsi="Times New Roman"/>
        </w:rPr>
      </w:pPr>
    </w:p>
    <w:p w14:paraId="0E7586DA" w14:textId="77777777" w:rsidR="004C7C9C" w:rsidRPr="000055D3" w:rsidRDefault="004C7C9C" w:rsidP="004C7C9C">
      <w:pPr>
        <w:rPr>
          <w:rFonts w:ascii="Times New Roman" w:hAnsi="Times New Roman"/>
        </w:rPr>
      </w:pPr>
      <w:r w:rsidRPr="000055D3">
        <w:rPr>
          <w:rFonts w:ascii="Times New Roman" w:hAnsi="Times New Roman"/>
        </w:rPr>
        <w:t xml:space="preserve">This filing </w:t>
      </w:r>
      <w:r>
        <w:rPr>
          <w:rFonts w:ascii="Times New Roman" w:hAnsi="Times New Roman"/>
        </w:rPr>
        <w:t>changes</w:t>
      </w:r>
      <w:r w:rsidRPr="000055D3">
        <w:rPr>
          <w:rFonts w:ascii="Times New Roman" w:hAnsi="Times New Roman"/>
        </w:rPr>
        <w:t xml:space="preserve"> the electric rider charges as shown in the following table, reflecting actual costs and collections over the past year, correcting the true-up from actual expenditures and revenues in previous years, and covering the increased amounts budgeted for energy efficiency programs in the upcoming year. </w:t>
      </w:r>
      <w:r w:rsidR="00CD08AF">
        <w:rPr>
          <w:rFonts w:ascii="Times New Roman" w:hAnsi="Times New Roman"/>
        </w:rPr>
        <w:t xml:space="preserve">  </w:t>
      </w:r>
    </w:p>
    <w:p w14:paraId="0E7586DB" w14:textId="77777777" w:rsidR="004C7C9C" w:rsidRPr="000055D3" w:rsidRDefault="004C7C9C" w:rsidP="004C7C9C">
      <w:pPr>
        <w:rPr>
          <w:rFonts w:ascii="Times New Roman" w:hAnsi="Times New Roman"/>
        </w:rPr>
      </w:pPr>
    </w:p>
    <w:tbl>
      <w:tblPr>
        <w:tblW w:w="0" w:type="auto"/>
        <w:tblBorders>
          <w:top w:val="single" w:sz="4" w:space="0" w:color="000000"/>
          <w:insideH w:val="single" w:sz="4" w:space="0" w:color="000000"/>
        </w:tblBorders>
        <w:tblLook w:val="04A0" w:firstRow="1" w:lastRow="0" w:firstColumn="1" w:lastColumn="0" w:noHBand="0" w:noVBand="1"/>
      </w:tblPr>
      <w:tblGrid>
        <w:gridCol w:w="2388"/>
        <w:gridCol w:w="4020"/>
        <w:gridCol w:w="1530"/>
        <w:gridCol w:w="1614"/>
        <w:gridCol w:w="24"/>
      </w:tblGrid>
      <w:tr w:rsidR="004C7C9C" w:rsidRPr="000055D3" w14:paraId="0E7586E2" w14:textId="77777777" w:rsidTr="00201E59">
        <w:trPr>
          <w:gridAfter w:val="1"/>
          <w:wAfter w:w="24" w:type="dxa"/>
          <w:trHeight w:val="557"/>
        </w:trPr>
        <w:tc>
          <w:tcPr>
            <w:tcW w:w="2388" w:type="dxa"/>
          </w:tcPr>
          <w:p w14:paraId="0E7586DC" w14:textId="77777777" w:rsidR="004C7C9C" w:rsidRPr="000055D3" w:rsidRDefault="004C7C9C" w:rsidP="00954523">
            <w:pPr>
              <w:rPr>
                <w:rFonts w:ascii="Times New Roman" w:hAnsi="Times New Roman"/>
                <w:b/>
              </w:rPr>
            </w:pPr>
          </w:p>
        </w:tc>
        <w:tc>
          <w:tcPr>
            <w:tcW w:w="4020" w:type="dxa"/>
          </w:tcPr>
          <w:p w14:paraId="0E7586DD" w14:textId="77777777" w:rsidR="004C7C9C" w:rsidRPr="000055D3" w:rsidRDefault="004C7C9C" w:rsidP="00954523">
            <w:pPr>
              <w:rPr>
                <w:rFonts w:ascii="Times New Roman" w:hAnsi="Times New Roman"/>
                <w:b/>
              </w:rPr>
            </w:pPr>
            <w:r w:rsidRPr="000055D3">
              <w:rPr>
                <w:rFonts w:ascii="Times New Roman" w:hAnsi="Times New Roman"/>
                <w:b/>
                <w:bCs/>
              </w:rPr>
              <w:t>Schedule</w:t>
            </w:r>
          </w:p>
        </w:tc>
        <w:tc>
          <w:tcPr>
            <w:tcW w:w="1530" w:type="dxa"/>
          </w:tcPr>
          <w:p w14:paraId="0E7586DE" w14:textId="77777777" w:rsidR="004C7C9C" w:rsidRPr="000055D3" w:rsidRDefault="004C7C9C" w:rsidP="00954523">
            <w:pPr>
              <w:rPr>
                <w:rFonts w:ascii="Times New Roman" w:hAnsi="Times New Roman"/>
                <w:b/>
                <w:bCs/>
              </w:rPr>
            </w:pPr>
            <w:r w:rsidRPr="000055D3">
              <w:rPr>
                <w:rFonts w:ascii="Times New Roman" w:hAnsi="Times New Roman"/>
                <w:b/>
                <w:bCs/>
              </w:rPr>
              <w:t xml:space="preserve">Current Rate </w:t>
            </w:r>
          </w:p>
          <w:p w14:paraId="0E7586DF" w14:textId="77777777" w:rsidR="004C7C9C" w:rsidRPr="000055D3" w:rsidRDefault="004C7C9C" w:rsidP="00954523">
            <w:pPr>
              <w:rPr>
                <w:rFonts w:ascii="Times New Roman" w:hAnsi="Times New Roman"/>
                <w:b/>
              </w:rPr>
            </w:pPr>
            <w:r w:rsidRPr="000055D3">
              <w:rPr>
                <w:rFonts w:ascii="Times New Roman" w:hAnsi="Times New Roman"/>
                <w:b/>
                <w:bCs/>
              </w:rPr>
              <w:t xml:space="preserve">per </w:t>
            </w:r>
            <w:r>
              <w:rPr>
                <w:rFonts w:ascii="Times New Roman" w:hAnsi="Times New Roman"/>
                <w:b/>
                <w:bCs/>
              </w:rPr>
              <w:t>k</w:t>
            </w:r>
            <w:r w:rsidRPr="000055D3">
              <w:rPr>
                <w:rFonts w:ascii="Times New Roman" w:hAnsi="Times New Roman"/>
                <w:b/>
                <w:bCs/>
              </w:rPr>
              <w:t>Wh</w:t>
            </w:r>
          </w:p>
        </w:tc>
        <w:tc>
          <w:tcPr>
            <w:tcW w:w="1614" w:type="dxa"/>
          </w:tcPr>
          <w:p w14:paraId="0E7586E0" w14:textId="77777777" w:rsidR="004C7C9C" w:rsidRPr="000055D3" w:rsidRDefault="004C7C9C" w:rsidP="00954523">
            <w:pPr>
              <w:rPr>
                <w:rFonts w:ascii="Times New Roman" w:hAnsi="Times New Roman"/>
                <w:b/>
                <w:vertAlign w:val="superscript"/>
              </w:rPr>
            </w:pPr>
            <w:r w:rsidRPr="000055D3">
              <w:rPr>
                <w:rFonts w:ascii="Times New Roman" w:hAnsi="Times New Roman"/>
                <w:b/>
              </w:rPr>
              <w:t>Proposed</w:t>
            </w:r>
          </w:p>
          <w:p w14:paraId="0E7586E1" w14:textId="77777777" w:rsidR="004C7C9C" w:rsidRPr="000055D3" w:rsidRDefault="004C7C9C" w:rsidP="00954523">
            <w:pPr>
              <w:rPr>
                <w:rFonts w:ascii="Times New Roman" w:hAnsi="Times New Roman"/>
                <w:b/>
              </w:rPr>
            </w:pPr>
            <w:r w:rsidRPr="000055D3">
              <w:rPr>
                <w:rFonts w:ascii="Times New Roman" w:hAnsi="Times New Roman"/>
                <w:b/>
              </w:rPr>
              <w:t xml:space="preserve">Rate per </w:t>
            </w:r>
            <w:r>
              <w:rPr>
                <w:rFonts w:ascii="Times New Roman" w:hAnsi="Times New Roman"/>
                <w:b/>
              </w:rPr>
              <w:t>k</w:t>
            </w:r>
            <w:r w:rsidRPr="000055D3">
              <w:rPr>
                <w:rFonts w:ascii="Times New Roman" w:hAnsi="Times New Roman"/>
                <w:b/>
              </w:rPr>
              <w:t>Wh</w:t>
            </w:r>
          </w:p>
        </w:tc>
      </w:tr>
      <w:tr w:rsidR="005242E5" w:rsidRPr="000055D3" w14:paraId="0E7586E7" w14:textId="77777777" w:rsidTr="00201E59">
        <w:tc>
          <w:tcPr>
            <w:tcW w:w="2388" w:type="dxa"/>
          </w:tcPr>
          <w:p w14:paraId="0E7586E3" w14:textId="77777777" w:rsidR="005242E5" w:rsidRPr="000055D3" w:rsidRDefault="005242E5" w:rsidP="00954523">
            <w:pPr>
              <w:rPr>
                <w:rFonts w:ascii="Times New Roman" w:hAnsi="Times New Roman"/>
              </w:rPr>
            </w:pPr>
            <w:r w:rsidRPr="000055D3">
              <w:rPr>
                <w:rFonts w:ascii="Times New Roman" w:hAnsi="Times New Roman"/>
              </w:rPr>
              <w:t>Residential Service</w:t>
            </w:r>
          </w:p>
        </w:tc>
        <w:tc>
          <w:tcPr>
            <w:tcW w:w="4020" w:type="dxa"/>
          </w:tcPr>
          <w:p w14:paraId="0E7586E4" w14:textId="77777777" w:rsidR="005242E5" w:rsidRPr="000055D3" w:rsidRDefault="005242E5" w:rsidP="00954523">
            <w:pPr>
              <w:rPr>
                <w:rFonts w:ascii="Times New Roman" w:hAnsi="Times New Roman"/>
              </w:rPr>
            </w:pPr>
            <w:r w:rsidRPr="000055D3">
              <w:rPr>
                <w:rFonts w:ascii="Times New Roman" w:hAnsi="Times New Roman"/>
              </w:rPr>
              <w:t xml:space="preserve">Schedule </w:t>
            </w:r>
            <w:r>
              <w:rPr>
                <w:rFonts w:ascii="Times New Roman" w:hAnsi="Times New Roman"/>
              </w:rPr>
              <w:t xml:space="preserve"> </w:t>
            </w:r>
            <w:r w:rsidRPr="000055D3">
              <w:rPr>
                <w:rFonts w:ascii="Times New Roman" w:hAnsi="Times New Roman"/>
              </w:rPr>
              <w:t>7</w:t>
            </w:r>
          </w:p>
        </w:tc>
        <w:tc>
          <w:tcPr>
            <w:tcW w:w="1530" w:type="dxa"/>
          </w:tcPr>
          <w:p w14:paraId="0E7586E5" w14:textId="77777777" w:rsidR="005242E5" w:rsidRPr="000055D3" w:rsidRDefault="005242E5" w:rsidP="00954523">
            <w:pPr>
              <w:rPr>
                <w:rFonts w:ascii="Times New Roman" w:hAnsi="Times New Roman"/>
              </w:rPr>
            </w:pPr>
            <w:r w:rsidRPr="000055D3">
              <w:rPr>
                <w:rFonts w:ascii="Times New Roman" w:hAnsi="Times New Roman"/>
              </w:rPr>
              <w:t>$0.00</w:t>
            </w:r>
            <w:r>
              <w:rPr>
                <w:rFonts w:ascii="Times New Roman" w:hAnsi="Times New Roman"/>
              </w:rPr>
              <w:t>4336</w:t>
            </w:r>
          </w:p>
        </w:tc>
        <w:tc>
          <w:tcPr>
            <w:tcW w:w="1638" w:type="dxa"/>
            <w:gridSpan w:val="2"/>
          </w:tcPr>
          <w:p w14:paraId="0E7586E6" w14:textId="77777777" w:rsidR="005242E5" w:rsidRPr="000055D3" w:rsidRDefault="005242E5" w:rsidP="00954523">
            <w:pPr>
              <w:rPr>
                <w:rFonts w:ascii="Times New Roman" w:hAnsi="Times New Roman"/>
              </w:rPr>
            </w:pPr>
            <w:r>
              <w:rPr>
                <w:rFonts w:ascii="Times New Roman" w:hAnsi="Times New Roman"/>
              </w:rPr>
              <w:t>$0.004359</w:t>
            </w:r>
          </w:p>
        </w:tc>
      </w:tr>
      <w:tr w:rsidR="005242E5" w:rsidRPr="000055D3" w14:paraId="0E7586EC" w14:textId="77777777" w:rsidTr="00201E59">
        <w:tc>
          <w:tcPr>
            <w:tcW w:w="2388" w:type="dxa"/>
          </w:tcPr>
          <w:p w14:paraId="0E7586E8" w14:textId="77777777" w:rsidR="005242E5" w:rsidRPr="000055D3" w:rsidRDefault="005242E5" w:rsidP="00954523">
            <w:pPr>
              <w:rPr>
                <w:rFonts w:ascii="Times New Roman" w:hAnsi="Times New Roman"/>
              </w:rPr>
            </w:pPr>
            <w:r w:rsidRPr="000055D3">
              <w:rPr>
                <w:rFonts w:ascii="Times New Roman" w:hAnsi="Times New Roman"/>
              </w:rPr>
              <w:t>Commercial Service</w:t>
            </w:r>
            <w:r w:rsidR="00954523">
              <w:rPr>
                <w:rStyle w:val="FootnoteReference"/>
                <w:rFonts w:ascii="Times New Roman" w:hAnsi="Times New Roman"/>
              </w:rPr>
              <w:footnoteReference w:id="8"/>
            </w:r>
          </w:p>
        </w:tc>
        <w:tc>
          <w:tcPr>
            <w:tcW w:w="4020" w:type="dxa"/>
          </w:tcPr>
          <w:p w14:paraId="0E7586E9" w14:textId="40BF239B" w:rsidR="005242E5" w:rsidRPr="000055D3" w:rsidRDefault="005242E5" w:rsidP="007C7A8F">
            <w:pPr>
              <w:rPr>
                <w:rFonts w:ascii="Times New Roman" w:hAnsi="Times New Roman"/>
              </w:rPr>
            </w:pPr>
            <w:r w:rsidRPr="000055D3">
              <w:rPr>
                <w:rFonts w:ascii="Times New Roman" w:hAnsi="Times New Roman"/>
              </w:rPr>
              <w:t>Schedule</w:t>
            </w:r>
            <w:r w:rsidR="00201E59">
              <w:rPr>
                <w:rFonts w:ascii="Times New Roman" w:hAnsi="Times New Roman"/>
              </w:rPr>
              <w:t>s</w:t>
            </w:r>
            <w:r>
              <w:rPr>
                <w:rFonts w:ascii="Times New Roman" w:hAnsi="Times New Roman"/>
              </w:rPr>
              <w:t xml:space="preserve"> </w:t>
            </w:r>
            <w:r w:rsidR="00954523">
              <w:rPr>
                <w:rFonts w:ascii="Times New Roman" w:hAnsi="Times New Roman"/>
              </w:rPr>
              <w:t xml:space="preserve"> 24,</w:t>
            </w:r>
            <w:r w:rsidR="00201E59">
              <w:rPr>
                <w:rFonts w:ascii="Times New Roman" w:hAnsi="Times New Roman"/>
              </w:rPr>
              <w:t xml:space="preserve"> 25, </w:t>
            </w:r>
            <w:r w:rsidR="00954523">
              <w:rPr>
                <w:rFonts w:ascii="Times New Roman" w:hAnsi="Times New Roman"/>
              </w:rPr>
              <w:t>26,</w:t>
            </w:r>
            <w:r w:rsidR="00201E59">
              <w:rPr>
                <w:rFonts w:ascii="Times New Roman" w:hAnsi="Times New Roman"/>
              </w:rPr>
              <w:t xml:space="preserve"> </w:t>
            </w:r>
            <w:r w:rsidR="00954523">
              <w:rPr>
                <w:rFonts w:ascii="Times New Roman" w:hAnsi="Times New Roman"/>
              </w:rPr>
              <w:t>29</w:t>
            </w:r>
          </w:p>
        </w:tc>
        <w:tc>
          <w:tcPr>
            <w:tcW w:w="1530" w:type="dxa"/>
          </w:tcPr>
          <w:p w14:paraId="0E7586EA" w14:textId="77777777" w:rsidR="005242E5" w:rsidRPr="000055D3" w:rsidRDefault="005242E5" w:rsidP="00954523">
            <w:pPr>
              <w:rPr>
                <w:rFonts w:ascii="Times New Roman" w:hAnsi="Times New Roman"/>
              </w:rPr>
            </w:pPr>
            <w:r w:rsidRPr="000055D3">
              <w:rPr>
                <w:rFonts w:ascii="Times New Roman" w:hAnsi="Times New Roman"/>
              </w:rPr>
              <w:t>$0.00</w:t>
            </w:r>
            <w:r w:rsidR="00954523">
              <w:rPr>
                <w:rFonts w:ascii="Times New Roman" w:hAnsi="Times New Roman"/>
              </w:rPr>
              <w:t>3839</w:t>
            </w:r>
          </w:p>
        </w:tc>
        <w:tc>
          <w:tcPr>
            <w:tcW w:w="1638" w:type="dxa"/>
            <w:gridSpan w:val="2"/>
          </w:tcPr>
          <w:p w14:paraId="0E7586EB" w14:textId="77777777" w:rsidR="005242E5" w:rsidRPr="000055D3" w:rsidRDefault="005242E5" w:rsidP="00954523">
            <w:pPr>
              <w:rPr>
                <w:rFonts w:ascii="Times New Roman" w:hAnsi="Times New Roman"/>
              </w:rPr>
            </w:pPr>
            <w:r>
              <w:rPr>
                <w:rFonts w:ascii="Times New Roman" w:hAnsi="Times New Roman"/>
              </w:rPr>
              <w:t>$0.00</w:t>
            </w:r>
            <w:r w:rsidR="00954523">
              <w:rPr>
                <w:rFonts w:ascii="Times New Roman" w:hAnsi="Times New Roman"/>
              </w:rPr>
              <w:t>3855</w:t>
            </w:r>
          </w:p>
        </w:tc>
      </w:tr>
      <w:tr w:rsidR="005242E5" w:rsidRPr="000055D3" w14:paraId="0E7586F1" w14:textId="77777777" w:rsidTr="00201E59">
        <w:tc>
          <w:tcPr>
            <w:tcW w:w="2388" w:type="dxa"/>
          </w:tcPr>
          <w:p w14:paraId="0E7586ED" w14:textId="77777777" w:rsidR="005242E5" w:rsidRPr="000055D3" w:rsidRDefault="00954523" w:rsidP="00954523">
            <w:pPr>
              <w:rPr>
                <w:rFonts w:ascii="Times New Roman" w:hAnsi="Times New Roman"/>
              </w:rPr>
            </w:pPr>
            <w:r>
              <w:rPr>
                <w:rFonts w:ascii="Times New Roman" w:hAnsi="Times New Roman"/>
              </w:rPr>
              <w:t>Primary Service</w:t>
            </w:r>
            <w:r>
              <w:rPr>
                <w:rStyle w:val="FootnoteReference"/>
                <w:rFonts w:ascii="Times New Roman" w:hAnsi="Times New Roman"/>
              </w:rPr>
              <w:footnoteReference w:id="9"/>
            </w:r>
          </w:p>
        </w:tc>
        <w:tc>
          <w:tcPr>
            <w:tcW w:w="4020" w:type="dxa"/>
          </w:tcPr>
          <w:p w14:paraId="0E7586EE" w14:textId="152B7F4B" w:rsidR="005242E5" w:rsidRPr="000055D3" w:rsidRDefault="00954523" w:rsidP="00201E59">
            <w:pPr>
              <w:rPr>
                <w:rFonts w:ascii="Times New Roman" w:hAnsi="Times New Roman"/>
              </w:rPr>
            </w:pPr>
            <w:r>
              <w:rPr>
                <w:rFonts w:ascii="Times New Roman" w:hAnsi="Times New Roman"/>
              </w:rPr>
              <w:t>Schedule</w:t>
            </w:r>
            <w:r w:rsidR="00201E59">
              <w:rPr>
                <w:rFonts w:ascii="Times New Roman" w:hAnsi="Times New Roman"/>
              </w:rPr>
              <w:t>s</w:t>
            </w:r>
            <w:r>
              <w:rPr>
                <w:rFonts w:ascii="Times New Roman" w:hAnsi="Times New Roman"/>
              </w:rPr>
              <w:t xml:space="preserve"> 31, 35, 43 </w:t>
            </w:r>
          </w:p>
        </w:tc>
        <w:tc>
          <w:tcPr>
            <w:tcW w:w="1530" w:type="dxa"/>
          </w:tcPr>
          <w:p w14:paraId="0E7586EF" w14:textId="77777777" w:rsidR="005242E5" w:rsidRPr="000055D3" w:rsidRDefault="00BC3D42" w:rsidP="00DB0159">
            <w:pPr>
              <w:rPr>
                <w:rFonts w:ascii="Times New Roman" w:hAnsi="Times New Roman"/>
              </w:rPr>
            </w:pPr>
            <w:r>
              <w:rPr>
                <w:rFonts w:ascii="Times New Roman" w:hAnsi="Times New Roman"/>
              </w:rPr>
              <w:t>$0.00</w:t>
            </w:r>
            <w:r w:rsidR="00DB0159">
              <w:rPr>
                <w:rFonts w:ascii="Times New Roman" w:hAnsi="Times New Roman"/>
              </w:rPr>
              <w:t>3265</w:t>
            </w:r>
          </w:p>
        </w:tc>
        <w:tc>
          <w:tcPr>
            <w:tcW w:w="1638" w:type="dxa"/>
            <w:gridSpan w:val="2"/>
          </w:tcPr>
          <w:p w14:paraId="0E7586F0" w14:textId="77777777" w:rsidR="005242E5" w:rsidRPr="000055D3" w:rsidRDefault="005242E5" w:rsidP="009078DF">
            <w:pPr>
              <w:rPr>
                <w:rFonts w:ascii="Times New Roman" w:hAnsi="Times New Roman"/>
              </w:rPr>
            </w:pPr>
            <w:r>
              <w:rPr>
                <w:rFonts w:ascii="Times New Roman" w:hAnsi="Times New Roman"/>
              </w:rPr>
              <w:t>$0.00</w:t>
            </w:r>
            <w:r w:rsidR="00954523">
              <w:rPr>
                <w:rFonts w:ascii="Times New Roman" w:hAnsi="Times New Roman"/>
              </w:rPr>
              <w:t>3</w:t>
            </w:r>
            <w:r w:rsidR="009078DF">
              <w:rPr>
                <w:rFonts w:ascii="Times New Roman" w:hAnsi="Times New Roman"/>
              </w:rPr>
              <w:t>609</w:t>
            </w:r>
          </w:p>
        </w:tc>
      </w:tr>
      <w:tr w:rsidR="005242E5" w:rsidRPr="000055D3" w14:paraId="0E7586F6" w14:textId="77777777" w:rsidTr="00201E59">
        <w:tc>
          <w:tcPr>
            <w:tcW w:w="2388" w:type="dxa"/>
          </w:tcPr>
          <w:p w14:paraId="0E7586F2" w14:textId="77777777" w:rsidR="005242E5" w:rsidRPr="000055D3" w:rsidRDefault="00954523" w:rsidP="009078DF">
            <w:pPr>
              <w:rPr>
                <w:rFonts w:ascii="Times New Roman" w:hAnsi="Times New Roman"/>
              </w:rPr>
            </w:pPr>
            <w:r>
              <w:rPr>
                <w:rFonts w:ascii="Times New Roman" w:hAnsi="Times New Roman"/>
              </w:rPr>
              <w:t>Campus Service</w:t>
            </w:r>
          </w:p>
        </w:tc>
        <w:tc>
          <w:tcPr>
            <w:tcW w:w="4020" w:type="dxa"/>
          </w:tcPr>
          <w:p w14:paraId="0E7586F3" w14:textId="77777777" w:rsidR="005242E5" w:rsidRDefault="00954523" w:rsidP="00954523">
            <w:pPr>
              <w:rPr>
                <w:rFonts w:ascii="Times New Roman" w:hAnsi="Times New Roman"/>
              </w:rPr>
            </w:pPr>
            <w:r>
              <w:rPr>
                <w:rFonts w:ascii="Times New Roman" w:hAnsi="Times New Roman"/>
              </w:rPr>
              <w:t>Schedule 40</w:t>
            </w:r>
          </w:p>
        </w:tc>
        <w:tc>
          <w:tcPr>
            <w:tcW w:w="1530" w:type="dxa"/>
          </w:tcPr>
          <w:p w14:paraId="0E7586F4" w14:textId="77777777" w:rsidR="005242E5" w:rsidRPr="000055D3" w:rsidRDefault="00BC3D42" w:rsidP="00954523">
            <w:pPr>
              <w:rPr>
                <w:rFonts w:ascii="Times New Roman" w:hAnsi="Times New Roman"/>
              </w:rPr>
            </w:pPr>
            <w:r>
              <w:rPr>
                <w:rFonts w:ascii="Times New Roman" w:hAnsi="Times New Roman"/>
              </w:rPr>
              <w:t>$0.00</w:t>
            </w:r>
            <w:r w:rsidR="00954523">
              <w:rPr>
                <w:rFonts w:ascii="Times New Roman" w:hAnsi="Times New Roman"/>
              </w:rPr>
              <w:t>4713</w:t>
            </w:r>
          </w:p>
        </w:tc>
        <w:tc>
          <w:tcPr>
            <w:tcW w:w="1638" w:type="dxa"/>
            <w:gridSpan w:val="2"/>
          </w:tcPr>
          <w:p w14:paraId="0E7586F5" w14:textId="77777777" w:rsidR="005242E5" w:rsidRDefault="007C7A8F" w:rsidP="00954523">
            <w:pPr>
              <w:rPr>
                <w:rFonts w:ascii="Times New Roman" w:hAnsi="Times New Roman"/>
              </w:rPr>
            </w:pPr>
            <w:r>
              <w:rPr>
                <w:rFonts w:ascii="Times New Roman" w:hAnsi="Times New Roman"/>
              </w:rPr>
              <w:t>$0.00</w:t>
            </w:r>
            <w:r w:rsidR="00954523">
              <w:rPr>
                <w:rFonts w:ascii="Times New Roman" w:hAnsi="Times New Roman"/>
              </w:rPr>
              <w:t>4360</w:t>
            </w:r>
          </w:p>
        </w:tc>
      </w:tr>
      <w:tr w:rsidR="007C7A8F" w:rsidRPr="000055D3" w14:paraId="0E7586FB" w14:textId="77777777" w:rsidTr="00201E59">
        <w:tc>
          <w:tcPr>
            <w:tcW w:w="2388" w:type="dxa"/>
            <w:tcBorders>
              <w:bottom w:val="single" w:sz="4" w:space="0" w:color="000000"/>
            </w:tcBorders>
          </w:tcPr>
          <w:p w14:paraId="0E7586F7" w14:textId="77777777" w:rsidR="007C7A8F" w:rsidRPr="000055D3" w:rsidRDefault="00954523" w:rsidP="00954523">
            <w:pPr>
              <w:rPr>
                <w:rFonts w:ascii="Times New Roman" w:hAnsi="Times New Roman"/>
              </w:rPr>
            </w:pPr>
            <w:r>
              <w:rPr>
                <w:rFonts w:ascii="Times New Roman" w:hAnsi="Times New Roman"/>
              </w:rPr>
              <w:t>Large User Services</w:t>
            </w:r>
            <w:r w:rsidR="009078DF">
              <w:rPr>
                <w:rStyle w:val="FootnoteReference"/>
                <w:rFonts w:ascii="Times New Roman" w:hAnsi="Times New Roman"/>
              </w:rPr>
              <w:footnoteReference w:id="10"/>
            </w:r>
          </w:p>
        </w:tc>
        <w:tc>
          <w:tcPr>
            <w:tcW w:w="4020" w:type="dxa"/>
            <w:tcBorders>
              <w:bottom w:val="single" w:sz="4" w:space="0" w:color="000000"/>
            </w:tcBorders>
          </w:tcPr>
          <w:p w14:paraId="0E7586F8" w14:textId="7BA8C8C7" w:rsidR="007C7A8F" w:rsidRDefault="00954523" w:rsidP="00201E59">
            <w:pPr>
              <w:rPr>
                <w:rFonts w:ascii="Times New Roman" w:hAnsi="Times New Roman"/>
              </w:rPr>
            </w:pPr>
            <w:r>
              <w:rPr>
                <w:rFonts w:ascii="Times New Roman" w:hAnsi="Times New Roman"/>
              </w:rPr>
              <w:t>Schedule</w:t>
            </w:r>
            <w:r w:rsidR="00201E59">
              <w:rPr>
                <w:rFonts w:ascii="Times New Roman" w:hAnsi="Times New Roman"/>
              </w:rPr>
              <w:t>s</w:t>
            </w:r>
            <w:r>
              <w:rPr>
                <w:rFonts w:ascii="Times New Roman" w:hAnsi="Times New Roman"/>
              </w:rPr>
              <w:t xml:space="preserve"> 46, 49 </w:t>
            </w:r>
          </w:p>
        </w:tc>
        <w:tc>
          <w:tcPr>
            <w:tcW w:w="1530" w:type="dxa"/>
            <w:tcBorders>
              <w:bottom w:val="single" w:sz="4" w:space="0" w:color="000000"/>
            </w:tcBorders>
          </w:tcPr>
          <w:p w14:paraId="0E7586F9" w14:textId="77777777" w:rsidR="007C7A8F" w:rsidRPr="000055D3" w:rsidRDefault="000518A7" w:rsidP="00DB0159">
            <w:pPr>
              <w:rPr>
                <w:rFonts w:ascii="Times New Roman" w:hAnsi="Times New Roman"/>
              </w:rPr>
            </w:pPr>
            <w:r>
              <w:rPr>
                <w:rFonts w:ascii="Times New Roman" w:hAnsi="Times New Roman"/>
              </w:rPr>
              <w:t>$0.00</w:t>
            </w:r>
            <w:r w:rsidR="00DB0159">
              <w:rPr>
                <w:rFonts w:ascii="Times New Roman" w:hAnsi="Times New Roman"/>
              </w:rPr>
              <w:t>3831</w:t>
            </w:r>
          </w:p>
        </w:tc>
        <w:tc>
          <w:tcPr>
            <w:tcW w:w="1638" w:type="dxa"/>
            <w:gridSpan w:val="2"/>
            <w:tcBorders>
              <w:bottom w:val="single" w:sz="4" w:space="0" w:color="000000"/>
            </w:tcBorders>
          </w:tcPr>
          <w:p w14:paraId="0E7586FA" w14:textId="77777777" w:rsidR="007C7A8F" w:rsidRDefault="007C7A8F" w:rsidP="00DB0159">
            <w:pPr>
              <w:rPr>
                <w:rFonts w:ascii="Times New Roman" w:hAnsi="Times New Roman"/>
              </w:rPr>
            </w:pPr>
            <w:r>
              <w:rPr>
                <w:rFonts w:ascii="Times New Roman" w:hAnsi="Times New Roman"/>
              </w:rPr>
              <w:t>$0.00</w:t>
            </w:r>
            <w:r w:rsidR="00DB0159">
              <w:rPr>
                <w:rFonts w:ascii="Times New Roman" w:hAnsi="Times New Roman"/>
              </w:rPr>
              <w:t>3807</w:t>
            </w:r>
            <w:r w:rsidR="00BC3D42">
              <w:rPr>
                <w:rFonts w:ascii="Times New Roman" w:hAnsi="Times New Roman"/>
              </w:rPr>
              <w:t xml:space="preserve"> </w:t>
            </w:r>
          </w:p>
        </w:tc>
      </w:tr>
      <w:tr w:rsidR="000518A7" w:rsidRPr="000055D3" w14:paraId="0E758700" w14:textId="77777777" w:rsidTr="00201E59">
        <w:tc>
          <w:tcPr>
            <w:tcW w:w="2388" w:type="dxa"/>
            <w:tcBorders>
              <w:bottom w:val="single" w:sz="4" w:space="0" w:color="auto"/>
            </w:tcBorders>
          </w:tcPr>
          <w:p w14:paraId="0E7586FC" w14:textId="77777777" w:rsidR="000518A7" w:rsidRPr="000055D3" w:rsidRDefault="00954523" w:rsidP="00954523">
            <w:pPr>
              <w:rPr>
                <w:rFonts w:ascii="Times New Roman" w:hAnsi="Times New Roman"/>
              </w:rPr>
            </w:pPr>
            <w:r>
              <w:rPr>
                <w:rFonts w:ascii="Times New Roman" w:hAnsi="Times New Roman"/>
              </w:rPr>
              <w:t>Outdoor Lighting</w:t>
            </w:r>
            <w:r w:rsidR="009078DF">
              <w:rPr>
                <w:rStyle w:val="FootnoteReference"/>
                <w:rFonts w:ascii="Times New Roman" w:hAnsi="Times New Roman"/>
              </w:rPr>
              <w:footnoteReference w:id="11"/>
            </w:r>
          </w:p>
        </w:tc>
        <w:tc>
          <w:tcPr>
            <w:tcW w:w="4020" w:type="dxa"/>
            <w:tcBorders>
              <w:bottom w:val="single" w:sz="4" w:space="0" w:color="auto"/>
            </w:tcBorders>
          </w:tcPr>
          <w:p w14:paraId="0E7586FD" w14:textId="7AAA8B23" w:rsidR="000518A7" w:rsidRPr="000055D3" w:rsidRDefault="00954523" w:rsidP="000518A7">
            <w:pPr>
              <w:rPr>
                <w:rFonts w:ascii="Times New Roman" w:hAnsi="Times New Roman"/>
              </w:rPr>
            </w:pPr>
            <w:r>
              <w:rPr>
                <w:rFonts w:ascii="Times New Roman" w:hAnsi="Times New Roman"/>
              </w:rPr>
              <w:t>Schedule</w:t>
            </w:r>
            <w:r w:rsidR="00201E59">
              <w:rPr>
                <w:rFonts w:ascii="Times New Roman" w:hAnsi="Times New Roman"/>
              </w:rPr>
              <w:t>s</w:t>
            </w:r>
            <w:r>
              <w:rPr>
                <w:rFonts w:ascii="Times New Roman" w:hAnsi="Times New Roman"/>
              </w:rPr>
              <w:t xml:space="preserve"> 50, 51, 52, 53, 54, 55, 57, 58</w:t>
            </w:r>
          </w:p>
        </w:tc>
        <w:tc>
          <w:tcPr>
            <w:tcW w:w="1530" w:type="dxa"/>
            <w:tcBorders>
              <w:bottom w:val="single" w:sz="4" w:space="0" w:color="auto"/>
            </w:tcBorders>
          </w:tcPr>
          <w:p w14:paraId="0E7586FE" w14:textId="77777777" w:rsidR="000518A7" w:rsidRPr="000055D3" w:rsidRDefault="000518A7" w:rsidP="00954523">
            <w:pPr>
              <w:rPr>
                <w:rFonts w:ascii="Times New Roman" w:hAnsi="Times New Roman"/>
              </w:rPr>
            </w:pPr>
            <w:r>
              <w:rPr>
                <w:rFonts w:ascii="Times New Roman" w:hAnsi="Times New Roman"/>
              </w:rPr>
              <w:t>$0.00</w:t>
            </w:r>
            <w:r w:rsidR="00954523">
              <w:rPr>
                <w:rFonts w:ascii="Times New Roman" w:hAnsi="Times New Roman"/>
              </w:rPr>
              <w:t>3475</w:t>
            </w:r>
          </w:p>
        </w:tc>
        <w:tc>
          <w:tcPr>
            <w:tcW w:w="1638" w:type="dxa"/>
            <w:gridSpan w:val="2"/>
            <w:tcBorders>
              <w:bottom w:val="single" w:sz="4" w:space="0" w:color="auto"/>
            </w:tcBorders>
          </w:tcPr>
          <w:p w14:paraId="0E7586FF" w14:textId="77777777" w:rsidR="000518A7" w:rsidRPr="000055D3" w:rsidRDefault="00954523" w:rsidP="00954523">
            <w:pPr>
              <w:rPr>
                <w:rFonts w:ascii="Times New Roman" w:hAnsi="Times New Roman"/>
              </w:rPr>
            </w:pPr>
            <w:r>
              <w:rPr>
                <w:rFonts w:ascii="Times New Roman" w:hAnsi="Times New Roman"/>
              </w:rPr>
              <w:t>$0.00</w:t>
            </w:r>
            <w:r w:rsidR="00D57009">
              <w:rPr>
                <w:rFonts w:ascii="Times New Roman" w:hAnsi="Times New Roman"/>
              </w:rPr>
              <w:t>3880</w:t>
            </w:r>
          </w:p>
        </w:tc>
      </w:tr>
    </w:tbl>
    <w:p w14:paraId="0E758701" w14:textId="77777777" w:rsidR="00771794" w:rsidRDefault="00771794" w:rsidP="004C7C9C">
      <w:pPr>
        <w:rPr>
          <w:rFonts w:ascii="Times New Roman" w:hAnsi="Times New Roman"/>
        </w:rPr>
      </w:pPr>
    </w:p>
    <w:p w14:paraId="0E758702" w14:textId="77777777" w:rsidR="004C7C9C" w:rsidRDefault="004C7C9C" w:rsidP="004C7C9C">
      <w:pPr>
        <w:rPr>
          <w:rFonts w:ascii="Times New Roman" w:hAnsi="Times New Roman"/>
        </w:rPr>
      </w:pPr>
      <w:r w:rsidRPr="008A2CAB">
        <w:rPr>
          <w:rFonts w:ascii="Times New Roman" w:hAnsi="Times New Roman"/>
        </w:rPr>
        <w:t>The filed rates include $</w:t>
      </w:r>
      <w:r>
        <w:rPr>
          <w:rFonts w:ascii="Times New Roman" w:hAnsi="Times New Roman"/>
        </w:rPr>
        <w:t>9</w:t>
      </w:r>
      <w:r w:rsidR="004A127A">
        <w:rPr>
          <w:rFonts w:ascii="Times New Roman" w:hAnsi="Times New Roman"/>
        </w:rPr>
        <w:t>8,476,000</w:t>
      </w:r>
      <w:r w:rsidR="004A127A">
        <w:rPr>
          <w:rStyle w:val="FootnoteReference"/>
          <w:rFonts w:ascii="Times New Roman" w:hAnsi="Times New Roman"/>
        </w:rPr>
        <w:footnoteReference w:id="12"/>
      </w:r>
      <w:r w:rsidRPr="008A2CAB">
        <w:rPr>
          <w:rFonts w:ascii="Times New Roman" w:hAnsi="Times New Roman"/>
        </w:rPr>
        <w:t xml:space="preserve"> in projected</w:t>
      </w:r>
      <w:r>
        <w:rPr>
          <w:rFonts w:ascii="Times New Roman" w:hAnsi="Times New Roman"/>
        </w:rPr>
        <w:t xml:space="preserve"> energy efficiency program</w:t>
      </w:r>
      <w:r w:rsidRPr="008A2CAB">
        <w:rPr>
          <w:rFonts w:ascii="Times New Roman" w:hAnsi="Times New Roman"/>
        </w:rPr>
        <w:t xml:space="preserve"> expenditures</w:t>
      </w:r>
      <w:r>
        <w:rPr>
          <w:rFonts w:ascii="Times New Roman" w:hAnsi="Times New Roman"/>
        </w:rPr>
        <w:t xml:space="preserve"> including Schedule 449 customers</w:t>
      </w:r>
      <w:r w:rsidRPr="008A2CAB">
        <w:rPr>
          <w:rFonts w:ascii="Times New Roman" w:hAnsi="Times New Roman"/>
        </w:rPr>
        <w:t>,</w:t>
      </w:r>
      <w:r>
        <w:rPr>
          <w:rFonts w:ascii="Times New Roman" w:hAnsi="Times New Roman"/>
        </w:rPr>
        <w:t xml:space="preserve"> a revenue-sensitive adjustment </w:t>
      </w:r>
      <w:r w:rsidRPr="00D808BB">
        <w:rPr>
          <w:rFonts w:ascii="Times New Roman" w:hAnsi="Times New Roman"/>
        </w:rPr>
        <w:t>of $4,</w:t>
      </w:r>
      <w:r w:rsidR="00F54718">
        <w:rPr>
          <w:rFonts w:ascii="Times New Roman" w:hAnsi="Times New Roman"/>
        </w:rPr>
        <w:t>552,667,</w:t>
      </w:r>
      <w:r w:rsidRPr="00D808BB">
        <w:rPr>
          <w:rFonts w:ascii="Times New Roman" w:hAnsi="Times New Roman"/>
        </w:rPr>
        <w:t xml:space="preserve"> a decrease for PSE’s previous net over-collection of $</w:t>
      </w:r>
      <w:r w:rsidR="00F54718">
        <w:rPr>
          <w:rFonts w:ascii="Times New Roman" w:hAnsi="Times New Roman"/>
        </w:rPr>
        <w:t>11,091,356 and a one-time reduction to Schedule 258 program grants of $1,000,000 for NEEA and administrative costs</w:t>
      </w:r>
      <w:r>
        <w:rPr>
          <w:rFonts w:ascii="Times New Roman" w:hAnsi="Times New Roman"/>
        </w:rPr>
        <w:t>. Staff believes the proposed rates are reasonable.</w:t>
      </w:r>
    </w:p>
    <w:p w14:paraId="0E758703" w14:textId="77777777" w:rsidR="004C7C9C" w:rsidRDefault="004C7C9C" w:rsidP="004C7C9C">
      <w:pPr>
        <w:rPr>
          <w:rFonts w:ascii="Times New Roman" w:hAnsi="Times New Roman"/>
        </w:rPr>
      </w:pPr>
    </w:p>
    <w:p w14:paraId="0E758704" w14:textId="77777777" w:rsidR="004C7C9C" w:rsidRDefault="004C7C9C" w:rsidP="004C7C9C">
      <w:pPr>
        <w:rPr>
          <w:rFonts w:ascii="Times New Roman" w:hAnsi="Times New Roman"/>
        </w:rPr>
      </w:pPr>
      <w:r w:rsidRPr="000A2C07">
        <w:rPr>
          <w:rFonts w:ascii="Times New Roman" w:hAnsi="Times New Roman"/>
        </w:rPr>
        <w:t xml:space="preserve">The proposed electric tariff rider reflects a </w:t>
      </w:r>
      <w:r w:rsidRPr="00A65F3B">
        <w:rPr>
          <w:rFonts w:ascii="Times New Roman" w:hAnsi="Times New Roman"/>
        </w:rPr>
        <w:t>0.</w:t>
      </w:r>
      <w:r>
        <w:rPr>
          <w:rFonts w:ascii="Times New Roman" w:hAnsi="Times New Roman"/>
        </w:rPr>
        <w:t>0</w:t>
      </w:r>
      <w:r w:rsidR="00F54718">
        <w:rPr>
          <w:rFonts w:ascii="Times New Roman" w:hAnsi="Times New Roman"/>
        </w:rPr>
        <w:t>3</w:t>
      </w:r>
      <w:r w:rsidRPr="00A65F3B">
        <w:rPr>
          <w:rFonts w:ascii="Times New Roman" w:hAnsi="Times New Roman"/>
        </w:rPr>
        <w:t xml:space="preserve"> percent </w:t>
      </w:r>
      <w:r w:rsidR="00F54718">
        <w:rPr>
          <w:rFonts w:ascii="Times New Roman" w:hAnsi="Times New Roman"/>
        </w:rPr>
        <w:t>in</w:t>
      </w:r>
      <w:r w:rsidRPr="00A65F3B">
        <w:rPr>
          <w:rFonts w:ascii="Times New Roman" w:hAnsi="Times New Roman"/>
        </w:rPr>
        <w:t>crease in the company’s base electric revenues</w:t>
      </w:r>
      <w:r w:rsidRPr="000A2C07">
        <w:rPr>
          <w:rFonts w:ascii="Times New Roman" w:hAnsi="Times New Roman"/>
        </w:rPr>
        <w:t xml:space="preserve">, </w:t>
      </w:r>
      <w:r w:rsidR="00F54718">
        <w:rPr>
          <w:rFonts w:ascii="Times New Roman" w:hAnsi="Times New Roman"/>
        </w:rPr>
        <w:t>in</w:t>
      </w:r>
      <w:r>
        <w:rPr>
          <w:rFonts w:ascii="Times New Roman" w:hAnsi="Times New Roman"/>
        </w:rPr>
        <w:t xml:space="preserve">creasing </w:t>
      </w:r>
      <w:r w:rsidRPr="000A2C07">
        <w:rPr>
          <w:rFonts w:ascii="Times New Roman" w:hAnsi="Times New Roman"/>
        </w:rPr>
        <w:t xml:space="preserve">the average bill for an electric residential customer using 1000 kWh per </w:t>
      </w:r>
      <w:r>
        <w:rPr>
          <w:rFonts w:ascii="Times New Roman" w:hAnsi="Times New Roman"/>
        </w:rPr>
        <w:t>m</w:t>
      </w:r>
      <w:r w:rsidRPr="000A2C07">
        <w:rPr>
          <w:rFonts w:ascii="Times New Roman" w:hAnsi="Times New Roman"/>
        </w:rPr>
        <w:t>onth by $</w:t>
      </w:r>
      <w:r>
        <w:rPr>
          <w:rFonts w:ascii="Times New Roman" w:hAnsi="Times New Roman"/>
        </w:rPr>
        <w:t>0</w:t>
      </w:r>
      <w:r w:rsidRPr="000A2C07">
        <w:rPr>
          <w:rFonts w:ascii="Times New Roman" w:hAnsi="Times New Roman"/>
        </w:rPr>
        <w:t>.</w:t>
      </w:r>
      <w:r w:rsidR="005A778E">
        <w:rPr>
          <w:rFonts w:ascii="Times New Roman" w:hAnsi="Times New Roman"/>
        </w:rPr>
        <w:t>02</w:t>
      </w:r>
      <w:r w:rsidRPr="000A2C07">
        <w:rPr>
          <w:rFonts w:ascii="Times New Roman" w:hAnsi="Times New Roman"/>
        </w:rPr>
        <w:t>.</w:t>
      </w:r>
      <w:r>
        <w:rPr>
          <w:rFonts w:ascii="Times New Roman" w:hAnsi="Times New Roman"/>
        </w:rPr>
        <w:t xml:space="preserve">  </w:t>
      </w:r>
    </w:p>
    <w:p w14:paraId="0E758706" w14:textId="77777777" w:rsidR="00B76480" w:rsidRDefault="00B76480" w:rsidP="00B76480">
      <w:pPr>
        <w:rPr>
          <w:rFonts w:ascii="Times New Roman" w:hAnsi="Times New Roman"/>
          <w:b/>
          <w:u w:val="single"/>
        </w:rPr>
      </w:pPr>
      <w:r w:rsidRPr="002F3DAF">
        <w:rPr>
          <w:rFonts w:ascii="Times New Roman" w:hAnsi="Times New Roman"/>
          <w:b/>
          <w:u w:val="single"/>
        </w:rPr>
        <w:lastRenderedPageBreak/>
        <w:t>Customer Comments</w:t>
      </w:r>
    </w:p>
    <w:p w14:paraId="0E758707" w14:textId="77777777" w:rsidR="00B76480" w:rsidRDefault="00B76480" w:rsidP="00B76480">
      <w:pPr>
        <w:rPr>
          <w:rFonts w:ascii="Times New Roman" w:hAnsi="Times New Roman"/>
          <w:b/>
          <w:u w:val="single"/>
        </w:rPr>
      </w:pPr>
    </w:p>
    <w:p w14:paraId="0E758708" w14:textId="77777777" w:rsidR="00B76480" w:rsidRDefault="00B76480" w:rsidP="00B76480">
      <w:pPr>
        <w:rPr>
          <w:rFonts w:ascii="Times New Roman" w:hAnsi="Times New Roman"/>
        </w:rPr>
      </w:pPr>
      <w:r>
        <w:rPr>
          <w:rFonts w:ascii="Times New Roman" w:hAnsi="Times New Roman"/>
        </w:rPr>
        <w:t xml:space="preserve">On or before March 30, 2012, the company notified its customers of the proposed rate increase by published notice in area newspapers, paid advertisements to community agencies and organizations in the area and provided information to the news editors of local newspapers, television and radio stations with information regarding the filing. The company also posted the notice on its website. The commission did not receive any customer comments on this filing. </w:t>
      </w:r>
    </w:p>
    <w:p w14:paraId="0E758709" w14:textId="77777777" w:rsidR="004C7C9C" w:rsidRDefault="004C7C9C" w:rsidP="004C7C9C">
      <w:pPr>
        <w:rPr>
          <w:rFonts w:ascii="Times New Roman" w:hAnsi="Times New Roman"/>
          <w:b/>
        </w:rPr>
      </w:pPr>
    </w:p>
    <w:p w14:paraId="0E75870A" w14:textId="77777777" w:rsidR="004C7C9C" w:rsidRPr="008A2CAB" w:rsidRDefault="004C7C9C" w:rsidP="004C7C9C">
      <w:pPr>
        <w:rPr>
          <w:rFonts w:ascii="Times New Roman" w:hAnsi="Times New Roman"/>
          <w:b/>
          <w:u w:val="single"/>
        </w:rPr>
      </w:pPr>
      <w:r w:rsidRPr="008A2CAB">
        <w:rPr>
          <w:rFonts w:ascii="Times New Roman" w:hAnsi="Times New Roman"/>
          <w:b/>
          <w:u w:val="single"/>
        </w:rPr>
        <w:t>Conclusion</w:t>
      </w:r>
    </w:p>
    <w:p w14:paraId="0E75870B" w14:textId="77777777" w:rsidR="004C7C9C" w:rsidRPr="008A2CAB" w:rsidRDefault="004C7C9C" w:rsidP="004C7C9C">
      <w:pPr>
        <w:rPr>
          <w:rFonts w:ascii="Times New Roman" w:hAnsi="Times New Roman"/>
        </w:rPr>
      </w:pPr>
    </w:p>
    <w:p w14:paraId="0E75870C" w14:textId="77777777" w:rsidR="004C7C9C" w:rsidRDefault="004C7C9C" w:rsidP="004C7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Take no action, thereby a</w:t>
      </w:r>
      <w:r w:rsidRPr="00FD0770">
        <w:rPr>
          <w:rFonts w:ascii="Times New Roman" w:hAnsi="Times New Roman"/>
        </w:rPr>
        <w:t>llow</w:t>
      </w:r>
      <w:r>
        <w:rPr>
          <w:rFonts w:ascii="Times New Roman" w:hAnsi="Times New Roman"/>
        </w:rPr>
        <w:t>ing</w:t>
      </w:r>
      <w:r w:rsidRPr="00FD0770">
        <w:rPr>
          <w:rFonts w:ascii="Times New Roman" w:hAnsi="Times New Roman"/>
        </w:rPr>
        <w:t xml:space="preserve"> the tariff filing made by Puget Sound Energy</w:t>
      </w:r>
      <w:r>
        <w:rPr>
          <w:rFonts w:ascii="Times New Roman" w:hAnsi="Times New Roman"/>
        </w:rPr>
        <w:t>, Inc.,</w:t>
      </w:r>
      <w:r w:rsidRPr="00FD0770">
        <w:rPr>
          <w:rFonts w:ascii="Times New Roman" w:hAnsi="Times New Roman"/>
        </w:rPr>
        <w:t xml:space="preserve"> in Docket </w:t>
      </w:r>
      <w:r>
        <w:rPr>
          <w:rFonts w:ascii="Times New Roman" w:hAnsi="Times New Roman"/>
        </w:rPr>
        <w:t xml:space="preserve">   </w:t>
      </w:r>
    </w:p>
    <w:p w14:paraId="0E75870D" w14:textId="77777777" w:rsidR="004C7C9C" w:rsidRPr="00FD0770" w:rsidRDefault="004C7C9C" w:rsidP="004C7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UE-1</w:t>
      </w:r>
      <w:r w:rsidR="00B16046">
        <w:rPr>
          <w:rFonts w:ascii="Times New Roman" w:hAnsi="Times New Roman"/>
        </w:rPr>
        <w:t>20292</w:t>
      </w:r>
      <w:r>
        <w:rPr>
          <w:rFonts w:ascii="Times New Roman" w:hAnsi="Times New Roman"/>
        </w:rPr>
        <w:t xml:space="preserve"> </w:t>
      </w:r>
      <w:r w:rsidRPr="00FD0770">
        <w:rPr>
          <w:rFonts w:ascii="Times New Roman" w:hAnsi="Times New Roman"/>
        </w:rPr>
        <w:t xml:space="preserve">to </w:t>
      </w:r>
      <w:r>
        <w:rPr>
          <w:rFonts w:ascii="Times New Roman" w:hAnsi="Times New Roman"/>
        </w:rPr>
        <w:t>become effective on May 1, 201</w:t>
      </w:r>
      <w:r w:rsidR="00B16046">
        <w:rPr>
          <w:rFonts w:ascii="Times New Roman" w:hAnsi="Times New Roman"/>
        </w:rPr>
        <w:t>2</w:t>
      </w:r>
      <w:r>
        <w:rPr>
          <w:rFonts w:ascii="Times New Roman" w:hAnsi="Times New Roman"/>
        </w:rPr>
        <w:t>, by operation of law.</w:t>
      </w:r>
    </w:p>
    <w:p w14:paraId="0E75870E" w14:textId="77777777" w:rsidR="004C7C9C" w:rsidRPr="008A2CAB" w:rsidRDefault="004C7C9C" w:rsidP="004C7C9C">
      <w:pPr>
        <w:rPr>
          <w:rFonts w:ascii="Times New Roman" w:hAnsi="Times New Roman"/>
        </w:rPr>
      </w:pPr>
      <w:r w:rsidRPr="008A2CAB">
        <w:rPr>
          <w:rFonts w:ascii="Times New Roman" w:hAnsi="Times New Roman"/>
        </w:rPr>
        <w:t xml:space="preserve"> </w:t>
      </w:r>
    </w:p>
    <w:p w14:paraId="0E75870F" w14:textId="77777777" w:rsidR="004C7C9C" w:rsidRPr="008A2CAB" w:rsidRDefault="004C7C9C" w:rsidP="004C7C9C">
      <w:pPr>
        <w:rPr>
          <w:rFonts w:ascii="Times New Roman" w:hAnsi="Times New Roman"/>
        </w:rPr>
      </w:pPr>
    </w:p>
    <w:p w14:paraId="0E758710" w14:textId="77777777" w:rsidR="004C7C9C" w:rsidRPr="008A2CAB" w:rsidRDefault="004C7C9C" w:rsidP="004C7C9C">
      <w:pPr>
        <w:rPr>
          <w:rFonts w:ascii="Times New Roman" w:hAnsi="Times New Roman"/>
        </w:rPr>
      </w:pPr>
    </w:p>
    <w:p w14:paraId="0E758711" w14:textId="77777777" w:rsidR="004C7C9C" w:rsidRPr="008A2CAB" w:rsidRDefault="004C7C9C" w:rsidP="004C7C9C">
      <w:pPr>
        <w:rPr>
          <w:rFonts w:ascii="Times New Roman" w:hAnsi="Times New Roman"/>
        </w:rPr>
      </w:pPr>
    </w:p>
    <w:p w14:paraId="0E758712" w14:textId="77777777" w:rsidR="004C7C9C" w:rsidRPr="008A2CAB" w:rsidRDefault="004C7C9C" w:rsidP="004C7C9C">
      <w:pPr>
        <w:rPr>
          <w:rFonts w:ascii="Times New Roman" w:hAnsi="Times New Roman"/>
        </w:rPr>
      </w:pPr>
    </w:p>
    <w:p w14:paraId="0E758713" w14:textId="77777777" w:rsidR="002C039A" w:rsidRPr="00AD3312" w:rsidRDefault="002C039A" w:rsidP="00AD3312">
      <w:pPr>
        <w:rPr>
          <w:rFonts w:ascii="Times New Roman" w:hAnsi="Times New Roman"/>
        </w:rPr>
      </w:pPr>
    </w:p>
    <w:sectPr w:rsidR="002C039A" w:rsidRPr="00AD3312" w:rsidSect="00954523">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58716" w14:textId="77777777" w:rsidR="003123EF" w:rsidRDefault="003123EF" w:rsidP="004C7C9C">
      <w:r>
        <w:separator/>
      </w:r>
    </w:p>
  </w:endnote>
  <w:endnote w:type="continuationSeparator" w:id="0">
    <w:p w14:paraId="0E758717" w14:textId="77777777" w:rsidR="003123EF" w:rsidRDefault="003123EF" w:rsidP="004C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58714" w14:textId="77777777" w:rsidR="003123EF" w:rsidRDefault="003123EF" w:rsidP="004C7C9C">
      <w:r>
        <w:separator/>
      </w:r>
    </w:p>
  </w:footnote>
  <w:footnote w:type="continuationSeparator" w:id="0">
    <w:p w14:paraId="0E758715" w14:textId="77777777" w:rsidR="003123EF" w:rsidRDefault="003123EF" w:rsidP="004C7C9C">
      <w:r>
        <w:continuationSeparator/>
      </w:r>
    </w:p>
  </w:footnote>
  <w:footnote w:id="1">
    <w:p w14:paraId="0E75871D" w14:textId="77777777" w:rsidR="00EE212E" w:rsidRDefault="00EE212E" w:rsidP="004C7C9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Twelfth Supplemental Order, UE-011570 and UG-011571 (consolidated), Exhibit F to Settlement Attachment. See also Docket </w:t>
      </w:r>
      <w:r w:rsidR="00396962">
        <w:rPr>
          <w:rFonts w:ascii="Times New Roman" w:hAnsi="Times New Roman"/>
          <w:lang w:val="en-US"/>
        </w:rPr>
        <w:t>UE-970686</w:t>
      </w:r>
      <w:r>
        <w:rPr>
          <w:rFonts w:ascii="Times New Roman" w:hAnsi="Times New Roman"/>
        </w:rPr>
        <w:t xml:space="preserve"> for details on deferral.</w:t>
      </w:r>
    </w:p>
  </w:footnote>
  <w:footnote w:id="2">
    <w:p w14:paraId="0E75871E" w14:textId="77777777" w:rsidR="00EE212E" w:rsidRPr="00A34B6F" w:rsidRDefault="00EE212E">
      <w:pPr>
        <w:pStyle w:val="FootnoteText"/>
        <w:rPr>
          <w:lang w:val="en-US"/>
        </w:rPr>
      </w:pPr>
      <w:r>
        <w:rPr>
          <w:rStyle w:val="FootnoteReference"/>
        </w:rPr>
        <w:footnoteRef/>
      </w:r>
      <w:r>
        <w:t xml:space="preserve"> </w:t>
      </w:r>
      <w:r w:rsidR="00396962">
        <w:rPr>
          <w:lang w:val="en-US"/>
        </w:rPr>
        <w:t>Order 0</w:t>
      </w:r>
      <w:r w:rsidR="00E04677">
        <w:rPr>
          <w:lang w:val="en-US"/>
        </w:rPr>
        <w:t>5</w:t>
      </w:r>
      <w:r w:rsidR="00396962">
        <w:rPr>
          <w:lang w:val="en-US"/>
        </w:rPr>
        <w:t xml:space="preserve">, </w:t>
      </w:r>
      <w:r>
        <w:rPr>
          <w:lang w:val="en-US"/>
        </w:rPr>
        <w:t>Docket UE-100177</w:t>
      </w:r>
      <w:r w:rsidR="00E04677">
        <w:rPr>
          <w:lang w:val="en-US"/>
        </w:rPr>
        <w:t xml:space="preserve">, Settlement Agreement, October 13, 2010, requiring submission of tariffs </w:t>
      </w:r>
      <w:r w:rsidR="00E04677" w:rsidRPr="00AC1302">
        <w:rPr>
          <w:rFonts w:ascii="Times New Roman" w:hAnsi="Times New Roman"/>
        </w:rPr>
        <w:t>to recover electric conservation costs on March 1, 201</w:t>
      </w:r>
      <w:r w:rsidR="00E04677">
        <w:rPr>
          <w:rFonts w:ascii="Times New Roman" w:hAnsi="Times New Roman"/>
        </w:rPr>
        <w:t>2</w:t>
      </w:r>
      <w:r w:rsidR="00E04677" w:rsidRPr="00AC1302">
        <w:rPr>
          <w:rFonts w:ascii="Times New Roman" w:hAnsi="Times New Roman"/>
        </w:rPr>
        <w:t>, with a proposed effective date of May 1, 201</w:t>
      </w:r>
      <w:r w:rsidR="00E04677">
        <w:rPr>
          <w:rFonts w:ascii="Times New Roman" w:hAnsi="Times New Roman"/>
        </w:rPr>
        <w:t>2</w:t>
      </w:r>
      <w:r w:rsidR="00E04677">
        <w:rPr>
          <w:rFonts w:ascii="Times New Roman" w:hAnsi="Times New Roman"/>
          <w:lang w:val="en-US"/>
        </w:rPr>
        <w:t>.</w:t>
      </w:r>
      <w:r>
        <w:rPr>
          <w:lang w:val="en-US"/>
        </w:rPr>
        <w:t xml:space="preserve"> </w:t>
      </w:r>
      <w:r w:rsidR="00E04677">
        <w:rPr>
          <w:lang w:val="en-US"/>
        </w:rPr>
        <w:t xml:space="preserve">See also </w:t>
      </w:r>
      <w:r w:rsidR="00396962">
        <w:rPr>
          <w:lang w:val="en-US"/>
        </w:rPr>
        <w:t xml:space="preserve">initial filing in </w:t>
      </w:r>
      <w:r>
        <w:rPr>
          <w:lang w:val="en-US"/>
        </w:rPr>
        <w:t>Docket UE-111881.</w:t>
      </w:r>
    </w:p>
  </w:footnote>
  <w:footnote w:id="3">
    <w:p w14:paraId="0E75871F" w14:textId="77777777" w:rsidR="00EE212E" w:rsidRPr="00567F6E" w:rsidRDefault="00EE212E">
      <w:pPr>
        <w:pStyle w:val="FootnoteText"/>
        <w:rPr>
          <w:lang w:val="en-US"/>
        </w:rPr>
      </w:pPr>
      <w:r>
        <w:rPr>
          <w:rStyle w:val="FootnoteReference"/>
        </w:rPr>
        <w:footnoteRef/>
      </w:r>
      <w:r>
        <w:rPr>
          <w:lang w:val="en-US"/>
        </w:rPr>
        <w:t xml:space="preserve"> See</w:t>
      </w:r>
      <w:r>
        <w:t xml:space="preserve"> </w:t>
      </w:r>
      <w:r>
        <w:rPr>
          <w:lang w:val="en-US"/>
        </w:rPr>
        <w:t>UE-111860</w:t>
      </w:r>
      <w:r w:rsidR="00396962">
        <w:rPr>
          <w:lang w:val="en-US"/>
        </w:rPr>
        <w:t>, December 29, 2011, open meeting memo</w:t>
      </w:r>
      <w:r>
        <w:rPr>
          <w:lang w:val="en-US"/>
        </w:rPr>
        <w:t>.</w:t>
      </w:r>
    </w:p>
  </w:footnote>
  <w:footnote w:id="4">
    <w:p w14:paraId="0E758720" w14:textId="77777777" w:rsidR="00EE212E" w:rsidRPr="00567F6E" w:rsidRDefault="00EE212E">
      <w:pPr>
        <w:pStyle w:val="FootnoteText"/>
        <w:rPr>
          <w:lang w:val="en-US"/>
        </w:rPr>
      </w:pPr>
      <w:r>
        <w:rPr>
          <w:rStyle w:val="FootnoteReference"/>
        </w:rPr>
        <w:footnoteRef/>
      </w:r>
      <w:r>
        <w:t xml:space="preserve"> </w:t>
      </w:r>
      <w:r>
        <w:rPr>
          <w:lang w:val="en-US"/>
        </w:rPr>
        <w:t>See UE-111881</w:t>
      </w:r>
      <w:r w:rsidR="003576CE">
        <w:rPr>
          <w:lang w:val="en-US"/>
        </w:rPr>
        <w:t>, October 28, 2011 filing.</w:t>
      </w:r>
    </w:p>
  </w:footnote>
  <w:footnote w:id="5">
    <w:p w14:paraId="0E758721" w14:textId="77777777" w:rsidR="00EA38C1" w:rsidRPr="006432DD" w:rsidRDefault="00EA38C1" w:rsidP="00EA38C1">
      <w:pPr>
        <w:pStyle w:val="FootnoteText"/>
        <w:rPr>
          <w:lang w:val="en-US"/>
        </w:rPr>
      </w:pPr>
      <w:r>
        <w:rPr>
          <w:rStyle w:val="FootnoteReference"/>
        </w:rPr>
        <w:footnoteRef/>
      </w:r>
      <w:r>
        <w:t xml:space="preserve"> </w:t>
      </w:r>
      <w:r>
        <w:rPr>
          <w:lang w:val="en-US"/>
        </w:rPr>
        <w:t>Energy Efficiency Services 2011 Annual Report of Energy Conservation Accomplishments.</w:t>
      </w:r>
    </w:p>
  </w:footnote>
  <w:footnote w:id="6">
    <w:p w14:paraId="0E758722" w14:textId="77777777" w:rsidR="00EE212E" w:rsidRPr="00421307" w:rsidRDefault="00EE212E" w:rsidP="004C7C9C">
      <w:pPr>
        <w:pStyle w:val="FootnoteText"/>
        <w:rPr>
          <w:rFonts w:ascii="Times New Roman" w:hAnsi="Times New Roman"/>
          <w:lang w:val="en-US"/>
        </w:rPr>
      </w:pPr>
      <w:r w:rsidRPr="00485EB0">
        <w:rPr>
          <w:rStyle w:val="FootnoteReference"/>
          <w:rFonts w:ascii="Times New Roman" w:hAnsi="Times New Roman"/>
        </w:rPr>
        <w:footnoteRef/>
      </w:r>
      <w:r>
        <w:rPr>
          <w:rFonts w:ascii="Times New Roman" w:hAnsi="Times New Roman"/>
        </w:rPr>
        <w:t xml:space="preserve"> </w:t>
      </w:r>
      <w:r>
        <w:t>E</w:t>
      </w:r>
      <w:r w:rsidRPr="00271B2C">
        <w:rPr>
          <w:rFonts w:ascii="Times New Roman" w:hAnsi="Times New Roman"/>
        </w:rPr>
        <w:t xml:space="preserve">nergy efficiency budget </w:t>
      </w:r>
      <w:r>
        <w:rPr>
          <w:rFonts w:ascii="Times New Roman" w:hAnsi="Times New Roman"/>
        </w:rPr>
        <w:t>excluding 449</w:t>
      </w:r>
      <w:r>
        <w:rPr>
          <w:rFonts w:ascii="Times New Roman" w:hAnsi="Times New Roman"/>
          <w:lang w:val="en-US"/>
        </w:rPr>
        <w:t>/459</w:t>
      </w:r>
      <w:r>
        <w:rPr>
          <w:rFonts w:ascii="Times New Roman" w:hAnsi="Times New Roman"/>
        </w:rPr>
        <w:t xml:space="preserve"> </w:t>
      </w:r>
      <w:r>
        <w:rPr>
          <w:rFonts w:ascii="Times New Roman" w:hAnsi="Times New Roman"/>
          <w:lang w:val="en-US"/>
        </w:rPr>
        <w:t>customers.</w:t>
      </w:r>
    </w:p>
  </w:footnote>
  <w:footnote w:id="7">
    <w:p w14:paraId="0E758723" w14:textId="77777777" w:rsidR="00EE212E" w:rsidRPr="00485EB0" w:rsidRDefault="00EE212E" w:rsidP="004C7C9C">
      <w:pPr>
        <w:pStyle w:val="FootnoteText"/>
        <w:rPr>
          <w:rFonts w:ascii="Times New Roman" w:hAnsi="Times New Roman"/>
        </w:rPr>
      </w:pPr>
      <w:r w:rsidRPr="00485EB0">
        <w:rPr>
          <w:rStyle w:val="FootnoteReference"/>
          <w:rFonts w:ascii="Times New Roman" w:hAnsi="Times New Roman"/>
        </w:rPr>
        <w:footnoteRef/>
      </w:r>
      <w:r w:rsidRPr="00485EB0">
        <w:rPr>
          <w:rFonts w:ascii="Times New Roman" w:hAnsi="Times New Roman"/>
        </w:rPr>
        <w:t xml:space="preserve"> See UE-</w:t>
      </w:r>
      <w:r>
        <w:rPr>
          <w:rFonts w:ascii="Times New Roman" w:hAnsi="Times New Roman"/>
          <w:lang w:val="en-US"/>
        </w:rPr>
        <w:t>111881 and</w:t>
      </w:r>
      <w:r w:rsidRPr="00485EB0">
        <w:rPr>
          <w:rFonts w:ascii="Times New Roman" w:hAnsi="Times New Roman"/>
        </w:rPr>
        <w:t xml:space="preserve">  UE-</w:t>
      </w:r>
      <w:r>
        <w:rPr>
          <w:rFonts w:ascii="Times New Roman" w:hAnsi="Times New Roman"/>
          <w:lang w:val="en-US"/>
        </w:rPr>
        <w:t>111860.</w:t>
      </w:r>
      <w:r w:rsidRPr="00485EB0">
        <w:rPr>
          <w:rFonts w:ascii="Times New Roman" w:hAnsi="Times New Roman"/>
        </w:rPr>
        <w:t xml:space="preserve"> </w:t>
      </w:r>
    </w:p>
  </w:footnote>
  <w:footnote w:id="8">
    <w:p w14:paraId="0E758724" w14:textId="77777777" w:rsidR="00EE212E" w:rsidRPr="00954523" w:rsidRDefault="00EE212E">
      <w:pPr>
        <w:pStyle w:val="FootnoteText"/>
        <w:rPr>
          <w:lang w:val="en-US"/>
        </w:rPr>
      </w:pPr>
      <w:r>
        <w:rPr>
          <w:rStyle w:val="FootnoteReference"/>
        </w:rPr>
        <w:footnoteRef/>
      </w:r>
      <w:r>
        <w:t xml:space="preserve"> </w:t>
      </w:r>
      <w:r>
        <w:rPr>
          <w:lang w:val="en-US"/>
        </w:rPr>
        <w:t>Commercial Service rate shown in table equals an average of schedules.</w:t>
      </w:r>
    </w:p>
  </w:footnote>
  <w:footnote w:id="9">
    <w:p w14:paraId="0E758725" w14:textId="77777777" w:rsidR="00EE212E" w:rsidRPr="00954523" w:rsidRDefault="00EE212E">
      <w:pPr>
        <w:pStyle w:val="FootnoteText"/>
        <w:rPr>
          <w:lang w:val="en-US"/>
        </w:rPr>
      </w:pPr>
      <w:r>
        <w:rPr>
          <w:rStyle w:val="FootnoteReference"/>
        </w:rPr>
        <w:footnoteRef/>
      </w:r>
      <w:r>
        <w:t xml:space="preserve"> </w:t>
      </w:r>
      <w:r>
        <w:rPr>
          <w:lang w:val="en-US"/>
        </w:rPr>
        <w:t>Primary Service rate shown in table equals an average of schedules.</w:t>
      </w:r>
    </w:p>
  </w:footnote>
  <w:footnote w:id="10">
    <w:p w14:paraId="0E758726" w14:textId="77777777" w:rsidR="009078DF" w:rsidRPr="009078DF" w:rsidRDefault="009078DF">
      <w:pPr>
        <w:pStyle w:val="FootnoteText"/>
        <w:rPr>
          <w:lang w:val="en-US"/>
        </w:rPr>
      </w:pPr>
      <w:r>
        <w:rPr>
          <w:rStyle w:val="FootnoteReference"/>
        </w:rPr>
        <w:footnoteRef/>
      </w:r>
      <w:r>
        <w:t xml:space="preserve"> </w:t>
      </w:r>
      <w:r>
        <w:rPr>
          <w:lang w:val="en-US"/>
        </w:rPr>
        <w:t>Large User Services shown in table equals an average of schedules.</w:t>
      </w:r>
    </w:p>
  </w:footnote>
  <w:footnote w:id="11">
    <w:p w14:paraId="0E758727" w14:textId="77777777" w:rsidR="009078DF" w:rsidRPr="009078DF" w:rsidRDefault="009078DF">
      <w:pPr>
        <w:pStyle w:val="FootnoteText"/>
        <w:rPr>
          <w:lang w:val="en-US"/>
        </w:rPr>
      </w:pPr>
      <w:r>
        <w:rPr>
          <w:rStyle w:val="FootnoteReference"/>
        </w:rPr>
        <w:footnoteRef/>
      </w:r>
      <w:r>
        <w:t xml:space="preserve"> </w:t>
      </w:r>
      <w:r>
        <w:rPr>
          <w:lang w:val="en-US"/>
        </w:rPr>
        <w:t>Outdoor Lighting shown in table equals an average of schedules.</w:t>
      </w:r>
    </w:p>
  </w:footnote>
  <w:footnote w:id="12">
    <w:p w14:paraId="0E758728" w14:textId="69399805" w:rsidR="00EE212E" w:rsidRPr="004A127A" w:rsidRDefault="00EE212E">
      <w:pPr>
        <w:pStyle w:val="FootnoteText"/>
        <w:rPr>
          <w:lang w:val="en-US"/>
        </w:rPr>
      </w:pPr>
      <w:r>
        <w:rPr>
          <w:rStyle w:val="FootnoteReference"/>
        </w:rPr>
        <w:footnoteRef/>
      </w:r>
      <w:r>
        <w:t xml:space="preserve"> </w:t>
      </w:r>
      <w:r>
        <w:rPr>
          <w:lang w:val="en-US"/>
        </w:rPr>
        <w:t>Docket UE-111881</w:t>
      </w:r>
      <w:r w:rsidR="00830968">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58718" w14:textId="77777777" w:rsidR="00EE212E" w:rsidRPr="00D83AEA" w:rsidRDefault="00EE212E">
    <w:pPr>
      <w:pStyle w:val="Header"/>
      <w:rPr>
        <w:rFonts w:ascii="Times New Roman" w:hAnsi="Times New Roman"/>
        <w:b/>
        <w:sz w:val="20"/>
        <w:szCs w:val="20"/>
      </w:rPr>
    </w:pPr>
    <w:r w:rsidRPr="00D83AEA">
      <w:rPr>
        <w:rFonts w:ascii="Times New Roman" w:hAnsi="Times New Roman"/>
        <w:b/>
        <w:sz w:val="20"/>
        <w:szCs w:val="20"/>
      </w:rPr>
      <w:t>D</w:t>
    </w:r>
    <w:r>
      <w:rPr>
        <w:rFonts w:ascii="Times New Roman" w:hAnsi="Times New Roman"/>
        <w:b/>
        <w:sz w:val="20"/>
        <w:szCs w:val="20"/>
      </w:rPr>
      <w:t>ocket UE-120292</w:t>
    </w:r>
  </w:p>
  <w:p w14:paraId="0E758719" w14:textId="77777777" w:rsidR="00EE212E" w:rsidRPr="00D83AEA" w:rsidRDefault="00EE212E">
    <w:pPr>
      <w:pStyle w:val="Header"/>
      <w:rPr>
        <w:rFonts w:ascii="Times New Roman" w:hAnsi="Times New Roman"/>
        <w:b/>
        <w:sz w:val="20"/>
        <w:szCs w:val="20"/>
      </w:rPr>
    </w:pPr>
    <w:r>
      <w:rPr>
        <w:rFonts w:ascii="Times New Roman" w:hAnsi="Times New Roman"/>
        <w:b/>
        <w:sz w:val="20"/>
        <w:szCs w:val="20"/>
      </w:rPr>
      <w:t>April 26, 2012</w:t>
    </w:r>
  </w:p>
  <w:p w14:paraId="0E75871A" w14:textId="77777777" w:rsidR="00EE212E" w:rsidRPr="00D83AEA" w:rsidRDefault="00EE212E">
    <w:pPr>
      <w:pStyle w:val="Header"/>
      <w:rPr>
        <w:rStyle w:val="PageNumber"/>
        <w:rFonts w:ascii="Times New Roman" w:hAnsi="Times New Roman"/>
        <w:b/>
        <w:sz w:val="20"/>
        <w:szCs w:val="20"/>
      </w:rPr>
    </w:pPr>
    <w:r w:rsidRPr="00D83AEA">
      <w:rPr>
        <w:rFonts w:ascii="Times New Roman" w:hAnsi="Times New Roman"/>
        <w:b/>
        <w:sz w:val="20"/>
        <w:szCs w:val="20"/>
      </w:rPr>
      <w:t xml:space="preserve">Page </w:t>
    </w:r>
    <w:r w:rsidRPr="00D83AEA">
      <w:rPr>
        <w:rStyle w:val="PageNumber"/>
        <w:rFonts w:ascii="Times New Roman" w:hAnsi="Times New Roman"/>
        <w:b/>
        <w:sz w:val="20"/>
        <w:szCs w:val="20"/>
      </w:rPr>
      <w:fldChar w:fldCharType="begin"/>
    </w:r>
    <w:r w:rsidRPr="00D83AEA">
      <w:rPr>
        <w:rStyle w:val="PageNumber"/>
        <w:rFonts w:ascii="Times New Roman" w:hAnsi="Times New Roman"/>
        <w:b/>
        <w:sz w:val="20"/>
        <w:szCs w:val="20"/>
      </w:rPr>
      <w:instrText xml:space="preserve"> PAGE </w:instrText>
    </w:r>
    <w:r w:rsidRPr="00D83AEA">
      <w:rPr>
        <w:rStyle w:val="PageNumber"/>
        <w:rFonts w:ascii="Times New Roman" w:hAnsi="Times New Roman"/>
        <w:b/>
        <w:sz w:val="20"/>
        <w:szCs w:val="20"/>
      </w:rPr>
      <w:fldChar w:fldCharType="separate"/>
    </w:r>
    <w:r w:rsidR="004D4253">
      <w:rPr>
        <w:rStyle w:val="PageNumber"/>
        <w:rFonts w:ascii="Times New Roman" w:hAnsi="Times New Roman"/>
        <w:b/>
        <w:noProof/>
        <w:sz w:val="20"/>
        <w:szCs w:val="20"/>
      </w:rPr>
      <w:t>5</w:t>
    </w:r>
    <w:r w:rsidRPr="00D83AEA">
      <w:rPr>
        <w:rStyle w:val="PageNumber"/>
        <w:rFonts w:ascii="Times New Roman" w:hAnsi="Times New Roman"/>
        <w:b/>
        <w:sz w:val="20"/>
        <w:szCs w:val="20"/>
      </w:rPr>
      <w:fldChar w:fldCharType="end"/>
    </w:r>
  </w:p>
  <w:p w14:paraId="0E75871B" w14:textId="77777777" w:rsidR="00EE212E" w:rsidRPr="00D83AEA" w:rsidRDefault="00EE212E">
    <w:pPr>
      <w:pStyle w:val="Header"/>
      <w:rPr>
        <w:rStyle w:val="PageNumber"/>
        <w:rFonts w:ascii="Times New Roman" w:hAnsi="Times New Roman"/>
        <w:b/>
        <w:sz w:val="20"/>
        <w:szCs w:val="20"/>
      </w:rPr>
    </w:pPr>
  </w:p>
  <w:p w14:paraId="0E75871C" w14:textId="77777777" w:rsidR="00EE212E" w:rsidRPr="00D83AEA" w:rsidRDefault="00EE212E">
    <w:pPr>
      <w:pStyle w:val="Header"/>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65DB"/>
    <w:multiLevelType w:val="hybridMultilevel"/>
    <w:tmpl w:val="C366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D2D99"/>
    <w:multiLevelType w:val="hybridMultilevel"/>
    <w:tmpl w:val="F558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072F31"/>
    <w:multiLevelType w:val="hybridMultilevel"/>
    <w:tmpl w:val="6158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9538C9"/>
    <w:multiLevelType w:val="hybridMultilevel"/>
    <w:tmpl w:val="7AC2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9C"/>
    <w:rsid w:val="000009C1"/>
    <w:rsid w:val="00001921"/>
    <w:rsid w:val="000518A7"/>
    <w:rsid w:val="000772CA"/>
    <w:rsid w:val="000E640C"/>
    <w:rsid w:val="001C5AB1"/>
    <w:rsid w:val="001E1D7A"/>
    <w:rsid w:val="00201E59"/>
    <w:rsid w:val="00290B92"/>
    <w:rsid w:val="002C039A"/>
    <w:rsid w:val="002F0F7E"/>
    <w:rsid w:val="003123EF"/>
    <w:rsid w:val="003576CE"/>
    <w:rsid w:val="003577FB"/>
    <w:rsid w:val="003671D5"/>
    <w:rsid w:val="00396962"/>
    <w:rsid w:val="003D3727"/>
    <w:rsid w:val="0040482C"/>
    <w:rsid w:val="0041128C"/>
    <w:rsid w:val="00421307"/>
    <w:rsid w:val="00422A1D"/>
    <w:rsid w:val="00465456"/>
    <w:rsid w:val="004A127A"/>
    <w:rsid w:val="004C7C9C"/>
    <w:rsid w:val="004D4253"/>
    <w:rsid w:val="005242E5"/>
    <w:rsid w:val="005520D5"/>
    <w:rsid w:val="00552600"/>
    <w:rsid w:val="00567F6E"/>
    <w:rsid w:val="005A6C74"/>
    <w:rsid w:val="005A778E"/>
    <w:rsid w:val="005F380A"/>
    <w:rsid w:val="006432DD"/>
    <w:rsid w:val="00672F7B"/>
    <w:rsid w:val="00687F9A"/>
    <w:rsid w:val="00691CD4"/>
    <w:rsid w:val="006A41EE"/>
    <w:rsid w:val="006C5AC0"/>
    <w:rsid w:val="007058FA"/>
    <w:rsid w:val="007112AF"/>
    <w:rsid w:val="00716BB3"/>
    <w:rsid w:val="00752D03"/>
    <w:rsid w:val="007637E9"/>
    <w:rsid w:val="00771794"/>
    <w:rsid w:val="00783DED"/>
    <w:rsid w:val="007916CC"/>
    <w:rsid w:val="0079520A"/>
    <w:rsid w:val="007A60D1"/>
    <w:rsid w:val="007C7A8F"/>
    <w:rsid w:val="007E6158"/>
    <w:rsid w:val="007F39FA"/>
    <w:rsid w:val="00804A2F"/>
    <w:rsid w:val="008116FE"/>
    <w:rsid w:val="00830968"/>
    <w:rsid w:val="00882895"/>
    <w:rsid w:val="008A5DF6"/>
    <w:rsid w:val="008D0493"/>
    <w:rsid w:val="008F1F66"/>
    <w:rsid w:val="008F72C3"/>
    <w:rsid w:val="00903227"/>
    <w:rsid w:val="0090333E"/>
    <w:rsid w:val="009078DF"/>
    <w:rsid w:val="00914202"/>
    <w:rsid w:val="009301CE"/>
    <w:rsid w:val="00954523"/>
    <w:rsid w:val="0096464C"/>
    <w:rsid w:val="00977074"/>
    <w:rsid w:val="00996CFF"/>
    <w:rsid w:val="009C2EAC"/>
    <w:rsid w:val="009D25BF"/>
    <w:rsid w:val="00A34B6F"/>
    <w:rsid w:val="00A51273"/>
    <w:rsid w:val="00A84C2A"/>
    <w:rsid w:val="00AD3312"/>
    <w:rsid w:val="00AD5394"/>
    <w:rsid w:val="00AD749F"/>
    <w:rsid w:val="00AE273E"/>
    <w:rsid w:val="00B13041"/>
    <w:rsid w:val="00B16046"/>
    <w:rsid w:val="00B21976"/>
    <w:rsid w:val="00B4307B"/>
    <w:rsid w:val="00B509A2"/>
    <w:rsid w:val="00B67644"/>
    <w:rsid w:val="00B76480"/>
    <w:rsid w:val="00BA1EA9"/>
    <w:rsid w:val="00BA42EA"/>
    <w:rsid w:val="00BC3D42"/>
    <w:rsid w:val="00BE567B"/>
    <w:rsid w:val="00C9678A"/>
    <w:rsid w:val="00CC709B"/>
    <w:rsid w:val="00CC73D0"/>
    <w:rsid w:val="00CD08AF"/>
    <w:rsid w:val="00CF6AC3"/>
    <w:rsid w:val="00D3220B"/>
    <w:rsid w:val="00D57009"/>
    <w:rsid w:val="00DA1B86"/>
    <w:rsid w:val="00DA2A22"/>
    <w:rsid w:val="00DB0159"/>
    <w:rsid w:val="00DD2A47"/>
    <w:rsid w:val="00E04677"/>
    <w:rsid w:val="00EA38C1"/>
    <w:rsid w:val="00EE212E"/>
    <w:rsid w:val="00EE5AF1"/>
    <w:rsid w:val="00F12362"/>
    <w:rsid w:val="00F17971"/>
    <w:rsid w:val="00F21B68"/>
    <w:rsid w:val="00F248C3"/>
    <w:rsid w:val="00F34712"/>
    <w:rsid w:val="00F45A0F"/>
    <w:rsid w:val="00F54718"/>
    <w:rsid w:val="00F912B9"/>
    <w:rsid w:val="00FC3012"/>
    <w:rsid w:val="00FC3289"/>
    <w:rsid w:val="00FC682A"/>
    <w:rsid w:val="00FE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9C"/>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C7C9C"/>
    <w:pPr>
      <w:tabs>
        <w:tab w:val="center" w:pos="4320"/>
        <w:tab w:val="right" w:pos="8640"/>
      </w:tabs>
    </w:pPr>
  </w:style>
  <w:style w:type="character" w:customStyle="1" w:styleId="HeaderChar">
    <w:name w:val="Header Char"/>
    <w:basedOn w:val="DefaultParagraphFont"/>
    <w:link w:val="Header"/>
    <w:rsid w:val="004C7C9C"/>
    <w:rPr>
      <w:rFonts w:ascii="Palatino Linotype" w:eastAsia="Times New Roman" w:hAnsi="Palatino Linotype" w:cs="Times New Roman"/>
      <w:sz w:val="24"/>
      <w:szCs w:val="24"/>
    </w:rPr>
  </w:style>
  <w:style w:type="character" w:styleId="PageNumber">
    <w:name w:val="page number"/>
    <w:basedOn w:val="DefaultParagraphFont"/>
    <w:rsid w:val="004C7C9C"/>
  </w:style>
  <w:style w:type="paragraph" w:styleId="FootnoteText">
    <w:name w:val="footnote text"/>
    <w:basedOn w:val="Normal"/>
    <w:link w:val="FootnoteTextChar"/>
    <w:rsid w:val="004C7C9C"/>
    <w:rPr>
      <w:sz w:val="20"/>
      <w:szCs w:val="20"/>
      <w:lang w:val="x-none" w:eastAsia="x-none"/>
    </w:rPr>
  </w:style>
  <w:style w:type="character" w:customStyle="1" w:styleId="FootnoteTextChar">
    <w:name w:val="Footnote Text Char"/>
    <w:basedOn w:val="DefaultParagraphFont"/>
    <w:link w:val="FootnoteText"/>
    <w:rsid w:val="004C7C9C"/>
    <w:rPr>
      <w:rFonts w:ascii="Palatino Linotype" w:eastAsia="Times New Roman" w:hAnsi="Palatino Linotype" w:cs="Times New Roman"/>
      <w:sz w:val="20"/>
      <w:szCs w:val="20"/>
      <w:lang w:val="x-none" w:eastAsia="x-none"/>
    </w:rPr>
  </w:style>
  <w:style w:type="character" w:styleId="FootnoteReference">
    <w:name w:val="footnote reference"/>
    <w:rsid w:val="004C7C9C"/>
    <w:rPr>
      <w:vertAlign w:val="superscript"/>
    </w:rPr>
  </w:style>
  <w:style w:type="character" w:styleId="CommentReference">
    <w:name w:val="annotation reference"/>
    <w:basedOn w:val="DefaultParagraphFont"/>
    <w:uiPriority w:val="99"/>
    <w:semiHidden/>
    <w:unhideWhenUsed/>
    <w:rsid w:val="000009C1"/>
    <w:rPr>
      <w:sz w:val="16"/>
      <w:szCs w:val="16"/>
    </w:rPr>
  </w:style>
  <w:style w:type="paragraph" w:styleId="CommentText">
    <w:name w:val="annotation text"/>
    <w:basedOn w:val="Normal"/>
    <w:link w:val="CommentTextChar"/>
    <w:uiPriority w:val="99"/>
    <w:semiHidden/>
    <w:unhideWhenUsed/>
    <w:rsid w:val="000009C1"/>
    <w:rPr>
      <w:sz w:val="20"/>
      <w:szCs w:val="20"/>
    </w:rPr>
  </w:style>
  <w:style w:type="character" w:customStyle="1" w:styleId="CommentTextChar">
    <w:name w:val="Comment Text Char"/>
    <w:basedOn w:val="DefaultParagraphFont"/>
    <w:link w:val="CommentText"/>
    <w:uiPriority w:val="99"/>
    <w:semiHidden/>
    <w:rsid w:val="000009C1"/>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009C1"/>
    <w:rPr>
      <w:b/>
      <w:bCs/>
    </w:rPr>
  </w:style>
  <w:style w:type="character" w:customStyle="1" w:styleId="CommentSubjectChar">
    <w:name w:val="Comment Subject Char"/>
    <w:basedOn w:val="CommentTextChar"/>
    <w:link w:val="CommentSubject"/>
    <w:uiPriority w:val="99"/>
    <w:semiHidden/>
    <w:rsid w:val="000009C1"/>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0009C1"/>
    <w:rPr>
      <w:rFonts w:ascii="Tahoma" w:hAnsi="Tahoma" w:cs="Tahoma"/>
      <w:sz w:val="16"/>
      <w:szCs w:val="16"/>
    </w:rPr>
  </w:style>
  <w:style w:type="character" w:customStyle="1" w:styleId="BalloonTextChar">
    <w:name w:val="Balloon Text Char"/>
    <w:basedOn w:val="DefaultParagraphFont"/>
    <w:link w:val="BalloonText"/>
    <w:uiPriority w:val="99"/>
    <w:semiHidden/>
    <w:rsid w:val="000009C1"/>
    <w:rPr>
      <w:rFonts w:ascii="Tahoma" w:eastAsia="Times New Roman" w:hAnsi="Tahoma" w:cs="Tahoma"/>
      <w:sz w:val="16"/>
      <w:szCs w:val="16"/>
    </w:rPr>
  </w:style>
  <w:style w:type="paragraph" w:styleId="ListParagraph">
    <w:name w:val="List Paragraph"/>
    <w:basedOn w:val="Normal"/>
    <w:uiPriority w:val="34"/>
    <w:qFormat/>
    <w:rsid w:val="007112AF"/>
    <w:pPr>
      <w:ind w:left="720"/>
      <w:contextualSpacing/>
    </w:pPr>
  </w:style>
  <w:style w:type="paragraph" w:styleId="Footer">
    <w:name w:val="footer"/>
    <w:basedOn w:val="Normal"/>
    <w:link w:val="FooterChar"/>
    <w:uiPriority w:val="99"/>
    <w:unhideWhenUsed/>
    <w:rsid w:val="00567F6E"/>
    <w:pPr>
      <w:tabs>
        <w:tab w:val="center" w:pos="4680"/>
        <w:tab w:val="right" w:pos="9360"/>
      </w:tabs>
    </w:pPr>
  </w:style>
  <w:style w:type="character" w:customStyle="1" w:styleId="FooterChar">
    <w:name w:val="Footer Char"/>
    <w:basedOn w:val="DefaultParagraphFont"/>
    <w:link w:val="Footer"/>
    <w:uiPriority w:val="99"/>
    <w:rsid w:val="00567F6E"/>
    <w:rPr>
      <w:rFonts w:ascii="Palatino Linotype" w:eastAsia="Times New Roman" w:hAnsi="Palatino Linotype" w:cs="Times New Roman"/>
      <w:sz w:val="24"/>
      <w:szCs w:val="24"/>
    </w:rPr>
  </w:style>
  <w:style w:type="paragraph" w:styleId="Revision">
    <w:name w:val="Revision"/>
    <w:hidden/>
    <w:uiPriority w:val="99"/>
    <w:semiHidden/>
    <w:rsid w:val="00903227"/>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9C"/>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C7C9C"/>
    <w:pPr>
      <w:tabs>
        <w:tab w:val="center" w:pos="4320"/>
        <w:tab w:val="right" w:pos="8640"/>
      </w:tabs>
    </w:pPr>
  </w:style>
  <w:style w:type="character" w:customStyle="1" w:styleId="HeaderChar">
    <w:name w:val="Header Char"/>
    <w:basedOn w:val="DefaultParagraphFont"/>
    <w:link w:val="Header"/>
    <w:rsid w:val="004C7C9C"/>
    <w:rPr>
      <w:rFonts w:ascii="Palatino Linotype" w:eastAsia="Times New Roman" w:hAnsi="Palatino Linotype" w:cs="Times New Roman"/>
      <w:sz w:val="24"/>
      <w:szCs w:val="24"/>
    </w:rPr>
  </w:style>
  <w:style w:type="character" w:styleId="PageNumber">
    <w:name w:val="page number"/>
    <w:basedOn w:val="DefaultParagraphFont"/>
    <w:rsid w:val="004C7C9C"/>
  </w:style>
  <w:style w:type="paragraph" w:styleId="FootnoteText">
    <w:name w:val="footnote text"/>
    <w:basedOn w:val="Normal"/>
    <w:link w:val="FootnoteTextChar"/>
    <w:rsid w:val="004C7C9C"/>
    <w:rPr>
      <w:sz w:val="20"/>
      <w:szCs w:val="20"/>
      <w:lang w:val="x-none" w:eastAsia="x-none"/>
    </w:rPr>
  </w:style>
  <w:style w:type="character" w:customStyle="1" w:styleId="FootnoteTextChar">
    <w:name w:val="Footnote Text Char"/>
    <w:basedOn w:val="DefaultParagraphFont"/>
    <w:link w:val="FootnoteText"/>
    <w:rsid w:val="004C7C9C"/>
    <w:rPr>
      <w:rFonts w:ascii="Palatino Linotype" w:eastAsia="Times New Roman" w:hAnsi="Palatino Linotype" w:cs="Times New Roman"/>
      <w:sz w:val="20"/>
      <w:szCs w:val="20"/>
      <w:lang w:val="x-none" w:eastAsia="x-none"/>
    </w:rPr>
  </w:style>
  <w:style w:type="character" w:styleId="FootnoteReference">
    <w:name w:val="footnote reference"/>
    <w:rsid w:val="004C7C9C"/>
    <w:rPr>
      <w:vertAlign w:val="superscript"/>
    </w:rPr>
  </w:style>
  <w:style w:type="character" w:styleId="CommentReference">
    <w:name w:val="annotation reference"/>
    <w:basedOn w:val="DefaultParagraphFont"/>
    <w:uiPriority w:val="99"/>
    <w:semiHidden/>
    <w:unhideWhenUsed/>
    <w:rsid w:val="000009C1"/>
    <w:rPr>
      <w:sz w:val="16"/>
      <w:szCs w:val="16"/>
    </w:rPr>
  </w:style>
  <w:style w:type="paragraph" w:styleId="CommentText">
    <w:name w:val="annotation text"/>
    <w:basedOn w:val="Normal"/>
    <w:link w:val="CommentTextChar"/>
    <w:uiPriority w:val="99"/>
    <w:semiHidden/>
    <w:unhideWhenUsed/>
    <w:rsid w:val="000009C1"/>
    <w:rPr>
      <w:sz w:val="20"/>
      <w:szCs w:val="20"/>
    </w:rPr>
  </w:style>
  <w:style w:type="character" w:customStyle="1" w:styleId="CommentTextChar">
    <w:name w:val="Comment Text Char"/>
    <w:basedOn w:val="DefaultParagraphFont"/>
    <w:link w:val="CommentText"/>
    <w:uiPriority w:val="99"/>
    <w:semiHidden/>
    <w:rsid w:val="000009C1"/>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009C1"/>
    <w:rPr>
      <w:b/>
      <w:bCs/>
    </w:rPr>
  </w:style>
  <w:style w:type="character" w:customStyle="1" w:styleId="CommentSubjectChar">
    <w:name w:val="Comment Subject Char"/>
    <w:basedOn w:val="CommentTextChar"/>
    <w:link w:val="CommentSubject"/>
    <w:uiPriority w:val="99"/>
    <w:semiHidden/>
    <w:rsid w:val="000009C1"/>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0009C1"/>
    <w:rPr>
      <w:rFonts w:ascii="Tahoma" w:hAnsi="Tahoma" w:cs="Tahoma"/>
      <w:sz w:val="16"/>
      <w:szCs w:val="16"/>
    </w:rPr>
  </w:style>
  <w:style w:type="character" w:customStyle="1" w:styleId="BalloonTextChar">
    <w:name w:val="Balloon Text Char"/>
    <w:basedOn w:val="DefaultParagraphFont"/>
    <w:link w:val="BalloonText"/>
    <w:uiPriority w:val="99"/>
    <w:semiHidden/>
    <w:rsid w:val="000009C1"/>
    <w:rPr>
      <w:rFonts w:ascii="Tahoma" w:eastAsia="Times New Roman" w:hAnsi="Tahoma" w:cs="Tahoma"/>
      <w:sz w:val="16"/>
      <w:szCs w:val="16"/>
    </w:rPr>
  </w:style>
  <w:style w:type="paragraph" w:styleId="ListParagraph">
    <w:name w:val="List Paragraph"/>
    <w:basedOn w:val="Normal"/>
    <w:uiPriority w:val="34"/>
    <w:qFormat/>
    <w:rsid w:val="007112AF"/>
    <w:pPr>
      <w:ind w:left="720"/>
      <w:contextualSpacing/>
    </w:pPr>
  </w:style>
  <w:style w:type="paragraph" w:styleId="Footer">
    <w:name w:val="footer"/>
    <w:basedOn w:val="Normal"/>
    <w:link w:val="FooterChar"/>
    <w:uiPriority w:val="99"/>
    <w:unhideWhenUsed/>
    <w:rsid w:val="00567F6E"/>
    <w:pPr>
      <w:tabs>
        <w:tab w:val="center" w:pos="4680"/>
        <w:tab w:val="right" w:pos="9360"/>
      </w:tabs>
    </w:pPr>
  </w:style>
  <w:style w:type="character" w:customStyle="1" w:styleId="FooterChar">
    <w:name w:val="Footer Char"/>
    <w:basedOn w:val="DefaultParagraphFont"/>
    <w:link w:val="Footer"/>
    <w:uiPriority w:val="99"/>
    <w:rsid w:val="00567F6E"/>
    <w:rPr>
      <w:rFonts w:ascii="Palatino Linotype" w:eastAsia="Times New Roman" w:hAnsi="Palatino Linotype" w:cs="Times New Roman"/>
      <w:sz w:val="24"/>
      <w:szCs w:val="24"/>
    </w:rPr>
  </w:style>
  <w:style w:type="paragraph" w:styleId="Revision">
    <w:name w:val="Revision"/>
    <w:hidden/>
    <w:uiPriority w:val="99"/>
    <w:semiHidden/>
    <w:rsid w:val="00903227"/>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2012-03-01T08:00:00+00:00</OpenedDate>
    <Date1 xmlns="dc463f71-b30c-4ab2-9473-d307f9d35888">2012-04-26T07:00:00+00:00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4FC86E12A261438680A16AAB6711B5" ma:contentTypeVersion="139" ma:contentTypeDescription="" ma:contentTypeScope="" ma:versionID="e189ada9ac473524e1e24d974a80ac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9F6D3-4F83-4D78-AA7B-A0B7B943AA40}"/>
</file>

<file path=customXml/itemProps2.xml><?xml version="1.0" encoding="utf-8"?>
<ds:datastoreItem xmlns:ds="http://schemas.openxmlformats.org/officeDocument/2006/customXml" ds:itemID="{B183E27E-22E0-479B-BCAE-ED52703792ED}"/>
</file>

<file path=customXml/itemProps3.xml><?xml version="1.0" encoding="utf-8"?>
<ds:datastoreItem xmlns:ds="http://schemas.openxmlformats.org/officeDocument/2006/customXml" ds:itemID="{064AFEA7-77FE-4C27-A0CC-361C1F37FCDD}"/>
</file>

<file path=customXml/itemProps4.xml><?xml version="1.0" encoding="utf-8"?>
<ds:datastoreItem xmlns:ds="http://schemas.openxmlformats.org/officeDocument/2006/customXml" ds:itemID="{1E08BBFE-5104-4A08-9B48-4D11BA6DA6B9}"/>
</file>

<file path=customXml/itemProps5.xml><?xml version="1.0" encoding="utf-8"?>
<ds:datastoreItem xmlns:ds="http://schemas.openxmlformats.org/officeDocument/2006/customXml" ds:itemID="{1B423F4E-4B47-4F58-93AB-D9C115795D70}"/>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 Keating</dc:creator>
  <cp:lastModifiedBy>Lisa Wyse, Records Manager</cp:lastModifiedBy>
  <cp:revision>2</cp:revision>
  <cp:lastPrinted>2012-04-18T15:20:00Z</cp:lastPrinted>
  <dcterms:created xsi:type="dcterms:W3CDTF">2012-04-23T21:49:00Z</dcterms:created>
  <dcterms:modified xsi:type="dcterms:W3CDTF">2012-04-23T21:49:00Z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0x0101006E56B4D1795A2E4DB2F0B01679ED314A00E34FC86E12A261438680A16AAB6711B5</vt:lpwstr>
  </property>
  <property fmtid="{D5CDD505-2E9C-101B-9397-08002B2CF9AE}" pid="3" name="_docset_NoMedatataSyncRequired">
    <vt:lpwstr>False</vt:lpwstr>
  </property>
</Properties>
</file>