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CA" w:rsidRPr="003D58CA" w:rsidRDefault="003D58CA" w:rsidP="00635711">
      <w:pPr>
        <w:jc w:val="center"/>
        <w:rPr>
          <w:rFonts w:ascii="Times New Roman" w:hAnsi="Times New Roman"/>
        </w:rPr>
      </w:pPr>
      <w:r w:rsidRPr="003D58CA">
        <w:rPr>
          <w:rFonts w:ascii="Times New Roman" w:hAnsi="Times New Roman"/>
        </w:rPr>
        <w:t>BEFORE THE WASHINGTON STATE</w:t>
      </w:r>
    </w:p>
    <w:p w:rsidR="003D58CA" w:rsidRPr="003D58CA" w:rsidRDefault="003D58CA" w:rsidP="00635711">
      <w:pPr>
        <w:jc w:val="center"/>
        <w:rPr>
          <w:rFonts w:ascii="Times New Roman" w:hAnsi="Times New Roman"/>
        </w:rPr>
      </w:pPr>
      <w:r w:rsidRPr="003D58CA">
        <w:rPr>
          <w:rFonts w:ascii="Times New Roman" w:hAnsi="Times New Roman"/>
        </w:rPr>
        <w:t>UTILITIES AND TRANSPORTATION COMMISSION</w:t>
      </w:r>
    </w:p>
    <w:p w:rsidR="003D58CA" w:rsidRPr="003D58CA" w:rsidRDefault="003D58CA" w:rsidP="00635711">
      <w:pPr>
        <w:rPr>
          <w:rFonts w:ascii="Times New Roman" w:hAnsi="Times New Roman"/>
        </w:rPr>
      </w:pPr>
    </w:p>
    <w:p w:rsidR="003D58CA" w:rsidRPr="003D58CA" w:rsidRDefault="003D58CA" w:rsidP="00635711">
      <w:pPr>
        <w:rPr>
          <w:rFonts w:ascii="Times New Roman" w:hAnsi="Times New Roman"/>
        </w:rPr>
      </w:pPr>
      <w:r w:rsidRPr="003D58CA">
        <w:rPr>
          <w:rFonts w:ascii="Times New Roman" w:hAnsi="Times New Roman"/>
        </w:rPr>
        <w:t>WASHINGTON UTILITIES AND</w:t>
      </w:r>
      <w:r w:rsidRPr="003D58CA">
        <w:rPr>
          <w:rFonts w:ascii="Times New Roman" w:hAnsi="Times New Roman"/>
        </w:rPr>
        <w:tab/>
      </w:r>
      <w:r w:rsidRPr="003D58CA">
        <w:rPr>
          <w:rFonts w:ascii="Times New Roman" w:hAnsi="Times New Roman"/>
        </w:rPr>
        <w:tab/>
        <w:t>)</w:t>
      </w:r>
      <w:r w:rsidRPr="003D58CA">
        <w:rPr>
          <w:rFonts w:ascii="Times New Roman" w:hAnsi="Times New Roman"/>
        </w:rPr>
        <w:tab/>
      </w:r>
    </w:p>
    <w:p w:rsidR="003D58CA" w:rsidRPr="003D58CA" w:rsidRDefault="003D58CA" w:rsidP="00635711">
      <w:pPr>
        <w:rPr>
          <w:rFonts w:ascii="Times New Roman" w:hAnsi="Times New Roman"/>
        </w:rPr>
      </w:pPr>
      <w:r w:rsidRPr="003D58CA">
        <w:rPr>
          <w:rFonts w:ascii="Times New Roman" w:hAnsi="Times New Roman"/>
        </w:rPr>
        <w:t>TRANSPORTATION COMMISSION</w:t>
      </w:r>
      <w:r w:rsidRPr="003D58CA">
        <w:rPr>
          <w:rFonts w:ascii="Times New Roman" w:hAnsi="Times New Roman"/>
        </w:rPr>
        <w:tab/>
        <w:t>)</w:t>
      </w:r>
    </w:p>
    <w:p w:rsidR="003D58CA" w:rsidRPr="003D58CA" w:rsidRDefault="003D58CA" w:rsidP="00635711">
      <w:pPr>
        <w:rPr>
          <w:rFonts w:ascii="Times New Roman" w:hAnsi="Times New Roman"/>
        </w:rPr>
      </w:pP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t>)</w:t>
      </w:r>
    </w:p>
    <w:p w:rsidR="003D58CA" w:rsidRPr="003D58CA" w:rsidRDefault="003D58CA" w:rsidP="00635711">
      <w:pPr>
        <w:rPr>
          <w:rFonts w:ascii="Times New Roman" w:hAnsi="Times New Roman"/>
        </w:rPr>
      </w:pPr>
      <w:r w:rsidRPr="003D58CA">
        <w:rPr>
          <w:rFonts w:ascii="Times New Roman" w:hAnsi="Times New Roman"/>
        </w:rPr>
        <w:tab/>
      </w:r>
      <w:r w:rsidRPr="003D58CA">
        <w:rPr>
          <w:rFonts w:ascii="Times New Roman" w:hAnsi="Times New Roman"/>
        </w:rPr>
        <w:tab/>
      </w:r>
      <w:r w:rsidRPr="003D58CA">
        <w:rPr>
          <w:rFonts w:ascii="Times New Roman" w:hAnsi="Times New Roman"/>
        </w:rPr>
        <w:tab/>
        <w:t>Complainant,</w:t>
      </w:r>
      <w:r w:rsidRPr="003D58CA">
        <w:rPr>
          <w:rFonts w:ascii="Times New Roman" w:hAnsi="Times New Roman"/>
        </w:rPr>
        <w:tab/>
      </w:r>
      <w:r w:rsidRPr="003D58CA">
        <w:rPr>
          <w:rFonts w:ascii="Times New Roman" w:hAnsi="Times New Roman"/>
        </w:rPr>
        <w:tab/>
        <w:t>)</w:t>
      </w:r>
      <w:r w:rsidRPr="003D58CA">
        <w:rPr>
          <w:rFonts w:ascii="Times New Roman" w:hAnsi="Times New Roman"/>
        </w:rPr>
        <w:tab/>
      </w:r>
      <w:r w:rsidR="00F246E8" w:rsidRPr="003D58CA">
        <w:rPr>
          <w:rFonts w:ascii="Times New Roman" w:hAnsi="Times New Roman"/>
        </w:rPr>
        <w:t>DOCKET NO. UE-130043</w:t>
      </w:r>
    </w:p>
    <w:p w:rsidR="003D58CA" w:rsidRPr="003D58CA" w:rsidRDefault="003D58CA" w:rsidP="00635711">
      <w:pPr>
        <w:rPr>
          <w:rFonts w:ascii="Times New Roman" w:hAnsi="Times New Roman"/>
        </w:rPr>
      </w:pP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t>)</w:t>
      </w:r>
      <w:r w:rsidRPr="003D58CA">
        <w:rPr>
          <w:rFonts w:ascii="Times New Roman" w:hAnsi="Times New Roman"/>
        </w:rPr>
        <w:tab/>
      </w:r>
    </w:p>
    <w:p w:rsidR="003D58CA" w:rsidRPr="003D58CA" w:rsidRDefault="003D58CA" w:rsidP="00635711">
      <w:pPr>
        <w:rPr>
          <w:rFonts w:ascii="Times New Roman" w:hAnsi="Times New Roman"/>
        </w:rPr>
      </w:pPr>
      <w:r w:rsidRPr="003D58CA">
        <w:rPr>
          <w:rFonts w:ascii="Times New Roman" w:hAnsi="Times New Roman"/>
        </w:rPr>
        <w:t>v.</w:t>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t>)</w:t>
      </w:r>
      <w:r w:rsidR="008B2DBC">
        <w:rPr>
          <w:rFonts w:ascii="Times New Roman" w:hAnsi="Times New Roman"/>
        </w:rPr>
        <w:tab/>
      </w:r>
    </w:p>
    <w:p w:rsidR="003D58CA" w:rsidRPr="003D58CA" w:rsidRDefault="003D58CA" w:rsidP="00635711">
      <w:pPr>
        <w:rPr>
          <w:rFonts w:ascii="Times New Roman" w:hAnsi="Times New Roman"/>
        </w:rPr>
      </w:pP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t>)</w:t>
      </w:r>
    </w:p>
    <w:p w:rsidR="003D58CA" w:rsidRPr="003D58CA" w:rsidRDefault="003D58CA" w:rsidP="00635711">
      <w:pPr>
        <w:rPr>
          <w:rFonts w:ascii="Times New Roman" w:hAnsi="Times New Roman"/>
        </w:rPr>
      </w:pPr>
      <w:r w:rsidRPr="003D58CA">
        <w:rPr>
          <w:rFonts w:ascii="Times New Roman" w:hAnsi="Times New Roman"/>
        </w:rPr>
        <w:t xml:space="preserve">PACIFICORP d/b/a/ PACIFIC POWER </w:t>
      </w:r>
      <w:r w:rsidRPr="003D58CA">
        <w:rPr>
          <w:rFonts w:ascii="Times New Roman" w:hAnsi="Times New Roman"/>
        </w:rPr>
        <w:tab/>
        <w:t>)</w:t>
      </w:r>
    </w:p>
    <w:p w:rsidR="003D58CA" w:rsidRPr="003D58CA" w:rsidRDefault="003D58CA" w:rsidP="00635711">
      <w:pPr>
        <w:rPr>
          <w:rFonts w:ascii="Times New Roman" w:hAnsi="Times New Roman"/>
        </w:rPr>
      </w:pPr>
      <w:r w:rsidRPr="003D58CA">
        <w:rPr>
          <w:rFonts w:ascii="Times New Roman" w:hAnsi="Times New Roman"/>
        </w:rPr>
        <w:t>&amp; LIGHT COMPANY</w:t>
      </w:r>
      <w:r w:rsidRPr="003D58CA">
        <w:rPr>
          <w:rFonts w:ascii="Times New Roman" w:hAnsi="Times New Roman"/>
        </w:rPr>
        <w:tab/>
      </w:r>
      <w:r w:rsidRPr="003D58CA">
        <w:rPr>
          <w:rFonts w:ascii="Times New Roman" w:hAnsi="Times New Roman"/>
        </w:rPr>
        <w:tab/>
      </w:r>
      <w:r w:rsidRPr="003D58CA">
        <w:rPr>
          <w:rFonts w:ascii="Times New Roman" w:hAnsi="Times New Roman"/>
        </w:rPr>
        <w:tab/>
        <w:t>)</w:t>
      </w:r>
    </w:p>
    <w:p w:rsidR="003D58CA" w:rsidRPr="003D58CA" w:rsidRDefault="003D58CA" w:rsidP="00635711">
      <w:pPr>
        <w:rPr>
          <w:rFonts w:ascii="Times New Roman" w:hAnsi="Times New Roman"/>
        </w:rPr>
      </w:pP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t>)</w:t>
      </w:r>
    </w:p>
    <w:p w:rsidR="003D58CA" w:rsidRPr="003D58CA" w:rsidRDefault="003D58CA" w:rsidP="00635711">
      <w:pPr>
        <w:rPr>
          <w:rFonts w:ascii="Times New Roman" w:hAnsi="Times New Roman"/>
        </w:rPr>
      </w:pPr>
      <w:r w:rsidRPr="003D58CA">
        <w:rPr>
          <w:rFonts w:ascii="Times New Roman" w:hAnsi="Times New Roman"/>
        </w:rPr>
        <w:tab/>
      </w:r>
      <w:r w:rsidRPr="003D58CA">
        <w:rPr>
          <w:rFonts w:ascii="Times New Roman" w:hAnsi="Times New Roman"/>
        </w:rPr>
        <w:tab/>
      </w:r>
      <w:r w:rsidRPr="003D58CA">
        <w:rPr>
          <w:rFonts w:ascii="Times New Roman" w:hAnsi="Times New Roman"/>
        </w:rPr>
        <w:tab/>
        <w:t>Respondent.</w:t>
      </w:r>
      <w:r w:rsidRPr="003D58CA">
        <w:rPr>
          <w:rFonts w:ascii="Times New Roman" w:hAnsi="Times New Roman"/>
        </w:rPr>
        <w:tab/>
      </w:r>
      <w:r w:rsidRPr="003D58CA">
        <w:rPr>
          <w:rFonts w:ascii="Times New Roman" w:hAnsi="Times New Roman"/>
        </w:rPr>
        <w:tab/>
        <w:t>)</w:t>
      </w:r>
    </w:p>
    <w:p w:rsidR="00D21F00" w:rsidRPr="003D58CA" w:rsidRDefault="003D58CA" w:rsidP="00635711">
      <w:pPr>
        <w:pStyle w:val="Title"/>
        <w:jc w:val="left"/>
        <w:rPr>
          <w:b w:val="0"/>
          <w:szCs w:val="26"/>
        </w:rPr>
      </w:pPr>
      <w:r w:rsidRPr="003D58CA">
        <w:rPr>
          <w:b w:val="0"/>
        </w:rPr>
        <w:t>. . . . . . . . . . . . . . . . . . . . . . . . . . . . . . . . . . . . )</w:t>
      </w:r>
    </w:p>
    <w:p w:rsidR="00D21F00" w:rsidRDefault="00D21F00" w:rsidP="00635711">
      <w:pPr>
        <w:autoSpaceDE w:val="0"/>
        <w:autoSpaceDN w:val="0"/>
        <w:adjustRightInd w:val="0"/>
        <w:rPr>
          <w:rFonts w:ascii="Times New Roman" w:hAnsi="Times New Roman"/>
        </w:rPr>
      </w:pPr>
    </w:p>
    <w:p w:rsidR="002A1A0E" w:rsidRDefault="002A1A0E" w:rsidP="00635711">
      <w:pPr>
        <w:autoSpaceDE w:val="0"/>
        <w:autoSpaceDN w:val="0"/>
        <w:adjustRightInd w:val="0"/>
        <w:rPr>
          <w:rFonts w:ascii="Times New Roman" w:hAnsi="Times New Roman"/>
        </w:rPr>
      </w:pPr>
    </w:p>
    <w:p w:rsidR="002A1A0E" w:rsidRDefault="002A1A0E" w:rsidP="00635711">
      <w:pPr>
        <w:autoSpaceDE w:val="0"/>
        <w:autoSpaceDN w:val="0"/>
        <w:adjustRightInd w:val="0"/>
        <w:rPr>
          <w:rFonts w:ascii="Times New Roman" w:hAnsi="Times New Roman"/>
        </w:rPr>
      </w:pPr>
    </w:p>
    <w:p w:rsidR="002A1A0E" w:rsidRDefault="002A1A0E" w:rsidP="00635711">
      <w:pPr>
        <w:autoSpaceDE w:val="0"/>
        <w:autoSpaceDN w:val="0"/>
        <w:adjustRightInd w:val="0"/>
        <w:rPr>
          <w:rFonts w:ascii="Times New Roman" w:hAnsi="Times New Roman"/>
        </w:rPr>
      </w:pPr>
    </w:p>
    <w:p w:rsidR="002A1A0E" w:rsidRDefault="002A1A0E" w:rsidP="00635711">
      <w:pPr>
        <w:autoSpaceDE w:val="0"/>
        <w:autoSpaceDN w:val="0"/>
        <w:adjustRightInd w:val="0"/>
        <w:rPr>
          <w:rFonts w:ascii="Times New Roman" w:hAnsi="Times New Roman"/>
        </w:rPr>
      </w:pPr>
    </w:p>
    <w:p w:rsidR="002A1A0E" w:rsidRDefault="002A1A0E" w:rsidP="00635711">
      <w:pPr>
        <w:autoSpaceDE w:val="0"/>
        <w:autoSpaceDN w:val="0"/>
        <w:adjustRightInd w:val="0"/>
        <w:rPr>
          <w:rFonts w:ascii="Times New Roman" w:hAnsi="Times New Roman"/>
        </w:rPr>
      </w:pPr>
    </w:p>
    <w:p w:rsidR="002A1A0E" w:rsidRPr="003D58CA" w:rsidRDefault="002A1A0E" w:rsidP="00635711">
      <w:pPr>
        <w:autoSpaceDE w:val="0"/>
        <w:autoSpaceDN w:val="0"/>
        <w:adjustRightInd w:val="0"/>
        <w:rPr>
          <w:rFonts w:ascii="Times New Roman" w:hAnsi="Times New Roman"/>
        </w:rPr>
      </w:pPr>
    </w:p>
    <w:p w:rsidR="00D21F00" w:rsidRDefault="00E34662" w:rsidP="00635711">
      <w:pPr>
        <w:autoSpaceDE w:val="0"/>
        <w:autoSpaceDN w:val="0"/>
        <w:adjustRightInd w:val="0"/>
        <w:jc w:val="center"/>
        <w:rPr>
          <w:rFonts w:ascii="Times New Roman" w:hAnsi="Times New Roman"/>
          <w:bCs/>
        </w:rPr>
      </w:pPr>
      <w:r>
        <w:rPr>
          <w:rFonts w:ascii="Times New Roman" w:hAnsi="Times New Roman"/>
          <w:bCs/>
        </w:rPr>
        <w:t>THE ENERGY PROJECT’S</w:t>
      </w:r>
    </w:p>
    <w:p w:rsidR="002A1A0E" w:rsidRDefault="00E34662" w:rsidP="00635711">
      <w:pPr>
        <w:autoSpaceDE w:val="0"/>
        <w:autoSpaceDN w:val="0"/>
        <w:adjustRightInd w:val="0"/>
        <w:jc w:val="center"/>
        <w:rPr>
          <w:rFonts w:ascii="Times New Roman" w:hAnsi="Times New Roman"/>
          <w:bCs/>
        </w:rPr>
      </w:pPr>
      <w:r>
        <w:rPr>
          <w:rFonts w:ascii="Times New Roman" w:hAnsi="Times New Roman"/>
          <w:bCs/>
        </w:rPr>
        <w:t>INITIAL POST-HEARING</w:t>
      </w:r>
      <w:r w:rsidR="002A1A0E">
        <w:rPr>
          <w:rFonts w:ascii="Times New Roman" w:hAnsi="Times New Roman"/>
          <w:bCs/>
        </w:rPr>
        <w:t xml:space="preserve"> BRIEF</w:t>
      </w:r>
    </w:p>
    <w:p w:rsidR="002A1A0E" w:rsidRDefault="002A1A0E" w:rsidP="00635711">
      <w:pPr>
        <w:spacing w:after="200" w:line="276" w:lineRule="auto"/>
        <w:rPr>
          <w:rFonts w:ascii="Times New Roman" w:hAnsi="Times New Roman"/>
          <w:bCs/>
        </w:rPr>
      </w:pPr>
      <w:r>
        <w:rPr>
          <w:rFonts w:ascii="Times New Roman" w:hAnsi="Times New Roman"/>
          <w:bCs/>
        </w:rPr>
        <w:br w:type="page"/>
      </w:r>
    </w:p>
    <w:p w:rsidR="00E34662" w:rsidRPr="004B021D" w:rsidRDefault="004B021D" w:rsidP="00635711">
      <w:pPr>
        <w:autoSpaceDE w:val="0"/>
        <w:autoSpaceDN w:val="0"/>
        <w:adjustRightInd w:val="0"/>
        <w:jc w:val="center"/>
        <w:rPr>
          <w:rFonts w:ascii="Times New Roman" w:hAnsi="Times New Roman"/>
          <w:b/>
          <w:bCs/>
        </w:rPr>
      </w:pPr>
      <w:r>
        <w:rPr>
          <w:rFonts w:ascii="Times New Roman" w:hAnsi="Times New Roman"/>
          <w:b/>
          <w:bCs/>
        </w:rPr>
        <w:lastRenderedPageBreak/>
        <w:t>I.</w:t>
      </w:r>
      <w:r>
        <w:rPr>
          <w:rFonts w:ascii="Times New Roman" w:hAnsi="Times New Roman"/>
          <w:b/>
          <w:bCs/>
        </w:rPr>
        <w:tab/>
        <w:t>ARGUMENT</w:t>
      </w:r>
    </w:p>
    <w:p w:rsidR="00D21F00" w:rsidRPr="003D58CA" w:rsidRDefault="00D21F00" w:rsidP="00635711">
      <w:pPr>
        <w:rPr>
          <w:rFonts w:ascii="Times New Roman" w:hAnsi="Times New Roman"/>
          <w:bCs/>
        </w:rPr>
      </w:pPr>
    </w:p>
    <w:p w:rsidR="00B26F4E" w:rsidRDefault="00B26F4E" w:rsidP="00635711">
      <w:pPr>
        <w:autoSpaceDE w:val="0"/>
        <w:autoSpaceDN w:val="0"/>
        <w:adjustRightInd w:val="0"/>
        <w:spacing w:line="480" w:lineRule="auto"/>
        <w:rPr>
          <w:rFonts w:ascii="Times New Roman" w:hAnsi="Times New Roman"/>
          <w:bCs/>
        </w:rPr>
      </w:pPr>
      <w:r>
        <w:rPr>
          <w:rFonts w:ascii="Times New Roman" w:hAnsi="Times New Roman"/>
          <w:bCs/>
        </w:rPr>
        <w:t>1.</w:t>
      </w:r>
      <w:r>
        <w:rPr>
          <w:rFonts w:ascii="Times New Roman" w:hAnsi="Times New Roman"/>
          <w:bCs/>
        </w:rPr>
        <w:tab/>
        <w:t xml:space="preserve">The Energy Project’s initial areas of interest and/or concern were discussed in the </w:t>
      </w:r>
      <w:r w:rsidR="00F246E8">
        <w:rPr>
          <w:rFonts w:ascii="Times New Roman" w:hAnsi="Times New Roman"/>
          <w:bCs/>
        </w:rPr>
        <w:t xml:space="preserve">initial </w:t>
      </w:r>
      <w:r>
        <w:rPr>
          <w:rFonts w:ascii="Times New Roman" w:hAnsi="Times New Roman"/>
          <w:bCs/>
        </w:rPr>
        <w:t>Responsive Tes</w:t>
      </w:r>
      <w:r w:rsidR="00F246E8">
        <w:rPr>
          <w:rFonts w:ascii="Times New Roman" w:hAnsi="Times New Roman"/>
          <w:bCs/>
        </w:rPr>
        <w:t xml:space="preserve">timony of Charles M. Eberdt, </w:t>
      </w:r>
      <w:r w:rsidR="00F246E8">
        <w:rPr>
          <w:rFonts w:ascii="Times New Roman" w:hAnsi="Times New Roman"/>
          <w:bCs/>
          <w:i/>
        </w:rPr>
        <w:t>Exh. CME-1T</w:t>
      </w:r>
      <w:r w:rsidR="00DD1D25">
        <w:rPr>
          <w:rFonts w:ascii="Times New Roman" w:hAnsi="Times New Roman"/>
          <w:bCs/>
        </w:rPr>
        <w:t>, filed August 2, 2013,</w:t>
      </w:r>
      <w:r>
        <w:rPr>
          <w:rFonts w:ascii="Times New Roman" w:hAnsi="Times New Roman"/>
          <w:bCs/>
        </w:rPr>
        <w:t xml:space="preserve"> and included:</w:t>
      </w:r>
    </w:p>
    <w:p w:rsidR="00B26F4E" w:rsidRDefault="00B26F4E" w:rsidP="00635711">
      <w:pPr>
        <w:autoSpaceDE w:val="0"/>
        <w:autoSpaceDN w:val="0"/>
        <w:adjustRightInd w:val="0"/>
        <w:spacing w:line="480" w:lineRule="auto"/>
        <w:rPr>
          <w:rFonts w:ascii="Times New Roman" w:hAnsi="Times New Roman"/>
          <w:bCs/>
        </w:rPr>
      </w:pPr>
      <w:r>
        <w:rPr>
          <w:rFonts w:ascii="Times New Roman" w:hAnsi="Times New Roman"/>
          <w:bCs/>
        </w:rPr>
        <w:tab/>
        <w:t>A.</w:t>
      </w:r>
      <w:r>
        <w:rPr>
          <w:rFonts w:ascii="Times New Roman" w:hAnsi="Times New Roman"/>
          <w:bCs/>
        </w:rPr>
        <w:tab/>
        <w:t>The impact of the Company’s proposed rate increase on the poor and the Company’s proposed changes to its Low-Income Bill Assistance Program (LIBA);</w:t>
      </w:r>
    </w:p>
    <w:p w:rsidR="00F25535" w:rsidRDefault="00B26F4E" w:rsidP="00635711">
      <w:pPr>
        <w:autoSpaceDE w:val="0"/>
        <w:autoSpaceDN w:val="0"/>
        <w:adjustRightInd w:val="0"/>
        <w:spacing w:line="480" w:lineRule="auto"/>
        <w:rPr>
          <w:rFonts w:ascii="Times New Roman" w:hAnsi="Times New Roman"/>
          <w:bCs/>
        </w:rPr>
      </w:pPr>
      <w:r>
        <w:rPr>
          <w:rFonts w:ascii="Times New Roman" w:hAnsi="Times New Roman"/>
          <w:bCs/>
        </w:rPr>
        <w:tab/>
        <w:t>B.</w:t>
      </w:r>
      <w:r>
        <w:rPr>
          <w:rFonts w:ascii="Times New Roman" w:hAnsi="Times New Roman"/>
          <w:bCs/>
        </w:rPr>
        <w:tab/>
      </w:r>
      <w:r w:rsidR="00F25535">
        <w:rPr>
          <w:rFonts w:ascii="Times New Roman" w:hAnsi="Times New Roman"/>
          <w:bCs/>
        </w:rPr>
        <w:t>The Energy Project’s position on the proposed modifications to the LIBA 5-year settlement plan, and;</w:t>
      </w:r>
    </w:p>
    <w:p w:rsidR="00F25535" w:rsidRDefault="00F25535" w:rsidP="00635711">
      <w:pPr>
        <w:autoSpaceDE w:val="0"/>
        <w:autoSpaceDN w:val="0"/>
        <w:adjustRightInd w:val="0"/>
        <w:spacing w:line="480" w:lineRule="auto"/>
        <w:rPr>
          <w:rFonts w:ascii="Times New Roman" w:hAnsi="Times New Roman"/>
          <w:bCs/>
        </w:rPr>
      </w:pPr>
      <w:r>
        <w:rPr>
          <w:rFonts w:ascii="Times New Roman" w:hAnsi="Times New Roman"/>
          <w:bCs/>
        </w:rPr>
        <w:tab/>
        <w:t>C.</w:t>
      </w:r>
      <w:r>
        <w:rPr>
          <w:rFonts w:ascii="Times New Roman" w:hAnsi="Times New Roman"/>
          <w:bCs/>
        </w:rPr>
        <w:tab/>
        <w:t>The Company’s proposed changes to its Schedule 300 Customer Service Charges</w:t>
      </w:r>
      <w:r w:rsidR="000418FF">
        <w:rPr>
          <w:rFonts w:ascii="Times New Roman" w:hAnsi="Times New Roman"/>
          <w:bCs/>
        </w:rPr>
        <w:t xml:space="preserve"> such as disconnection and reconnection fees</w:t>
      </w:r>
      <w:r>
        <w:rPr>
          <w:rFonts w:ascii="Times New Roman" w:hAnsi="Times New Roman"/>
          <w:bCs/>
        </w:rPr>
        <w:t>.</w:t>
      </w:r>
    </w:p>
    <w:p w:rsidR="000418FF" w:rsidRPr="00E6149F" w:rsidRDefault="000418FF" w:rsidP="00635711">
      <w:pPr>
        <w:autoSpaceDE w:val="0"/>
        <w:autoSpaceDN w:val="0"/>
        <w:adjustRightInd w:val="0"/>
        <w:spacing w:line="480" w:lineRule="auto"/>
        <w:rPr>
          <w:rFonts w:ascii="Times New Roman" w:hAnsi="Times New Roman"/>
          <w:bCs/>
        </w:rPr>
      </w:pPr>
      <w:r>
        <w:rPr>
          <w:rFonts w:ascii="Times New Roman" w:hAnsi="Times New Roman"/>
          <w:bCs/>
        </w:rPr>
        <w:t>2.</w:t>
      </w:r>
      <w:r>
        <w:rPr>
          <w:rFonts w:ascii="Times New Roman" w:hAnsi="Times New Roman"/>
          <w:bCs/>
        </w:rPr>
        <w:tab/>
        <w:t xml:space="preserve">Regarding the Energy Project’s concerns about the impact that the requested rate increase </w:t>
      </w:r>
      <w:r w:rsidR="004C12B7">
        <w:rPr>
          <w:rFonts w:ascii="Times New Roman" w:hAnsi="Times New Roman"/>
          <w:bCs/>
        </w:rPr>
        <w:t>will have on</w:t>
      </w:r>
      <w:r>
        <w:rPr>
          <w:rFonts w:ascii="Times New Roman" w:hAnsi="Times New Roman"/>
          <w:bCs/>
        </w:rPr>
        <w:t xml:space="preserve"> the poor, Mr. Eberdt notes that the </w:t>
      </w:r>
      <w:r w:rsidR="00AE348A">
        <w:rPr>
          <w:rFonts w:ascii="Times New Roman" w:hAnsi="Times New Roman"/>
          <w:bCs/>
        </w:rPr>
        <w:t xml:space="preserve">Company has proposed a sizeable rate increase “which will have significant consequences for PacifiCorp’s low-income customers who struggle to pay for life’s basic necessities.” </w:t>
      </w:r>
      <w:r w:rsidR="00AE348A">
        <w:rPr>
          <w:rFonts w:ascii="Times New Roman" w:hAnsi="Times New Roman"/>
          <w:bCs/>
          <w:i/>
        </w:rPr>
        <w:t>Exh No. CME-1T, p. 2, lns 10-12.</w:t>
      </w:r>
      <w:r w:rsidR="00AE348A">
        <w:rPr>
          <w:rFonts w:ascii="Times New Roman" w:hAnsi="Times New Roman"/>
          <w:bCs/>
        </w:rPr>
        <w:t xml:space="preserve">  Mr. Eberdt further testified that “[u]tility bills are often the most significant bill that a typical low income family must pay every month.  The current trend of nearly annual general rate cases for regulated electric utilities seeking sizeable rate increases has taken an increasingly heavy toll on those customers who are financially at the margin in terms of their ability to pay.” </w:t>
      </w:r>
      <w:r w:rsidR="00AE348A">
        <w:rPr>
          <w:rFonts w:ascii="Times New Roman" w:hAnsi="Times New Roman"/>
          <w:bCs/>
          <w:i/>
        </w:rPr>
        <w:t xml:space="preserve">Id. at lns., 12-16.  </w:t>
      </w:r>
      <w:r w:rsidR="00AE348A">
        <w:rPr>
          <w:rFonts w:ascii="Times New Roman" w:hAnsi="Times New Roman"/>
          <w:bCs/>
        </w:rPr>
        <w:t xml:space="preserve">Mr. Eberdt concluded that “[w]hile the 5-year plan for LIBA is of tremendous assistance to the Company’s low income customers, the Energy Project remains concerned about the size of the rate increase in this case and the impact it will have on low income customers, especially those who are unable to participate in the LIBA program.” </w:t>
      </w:r>
      <w:r w:rsidR="00AE348A">
        <w:rPr>
          <w:rFonts w:ascii="Times New Roman" w:hAnsi="Times New Roman"/>
          <w:bCs/>
          <w:i/>
        </w:rPr>
        <w:t>Id., lns., 16-20.</w:t>
      </w:r>
      <w:r w:rsidR="00AE348A">
        <w:rPr>
          <w:rFonts w:ascii="Times New Roman" w:hAnsi="Times New Roman"/>
          <w:bCs/>
        </w:rPr>
        <w:t xml:space="preserve">  Based on the foregoing, Mr. Eberdtd stated that “</w:t>
      </w:r>
      <w:r w:rsidR="00F246E8">
        <w:rPr>
          <w:rFonts w:ascii="Times New Roman" w:hAnsi="Times New Roman"/>
          <w:bCs/>
        </w:rPr>
        <w:t>[</w:t>
      </w:r>
      <w:r w:rsidR="00AE348A">
        <w:rPr>
          <w:rFonts w:ascii="Times New Roman" w:hAnsi="Times New Roman"/>
          <w:bCs/>
        </w:rPr>
        <w:t>t</w:t>
      </w:r>
      <w:r w:rsidR="00F246E8">
        <w:rPr>
          <w:rFonts w:ascii="Times New Roman" w:hAnsi="Times New Roman"/>
          <w:bCs/>
        </w:rPr>
        <w:t>]</w:t>
      </w:r>
      <w:r w:rsidR="00AE348A">
        <w:rPr>
          <w:rFonts w:ascii="Times New Roman" w:hAnsi="Times New Roman"/>
          <w:bCs/>
        </w:rPr>
        <w:t xml:space="preserve">he Energy Project opposes the magnitude of the requested rate increase </w:t>
      </w:r>
      <w:r w:rsidR="004C12B7">
        <w:rPr>
          <w:rFonts w:ascii="Times New Roman" w:hAnsi="Times New Roman"/>
          <w:bCs/>
        </w:rPr>
        <w:lastRenderedPageBreak/>
        <w:t>but</w:t>
      </w:r>
      <w:r w:rsidR="00AE348A">
        <w:rPr>
          <w:rFonts w:ascii="Times New Roman" w:hAnsi="Times New Roman"/>
          <w:bCs/>
        </w:rPr>
        <w:t xml:space="preserve"> leaves it to other parties to address the technical aspects of revenue requirement.” </w:t>
      </w:r>
      <w:r w:rsidR="00AE348A">
        <w:rPr>
          <w:rFonts w:ascii="Times New Roman" w:hAnsi="Times New Roman"/>
          <w:bCs/>
          <w:i/>
        </w:rPr>
        <w:t xml:space="preserve">Id., lns </w:t>
      </w:r>
      <w:r w:rsidR="00E6149F">
        <w:rPr>
          <w:rFonts w:ascii="Times New Roman" w:hAnsi="Times New Roman"/>
          <w:bCs/>
          <w:i/>
        </w:rPr>
        <w:t>2</w:t>
      </w:r>
      <w:r w:rsidR="00F246E8">
        <w:rPr>
          <w:rFonts w:ascii="Times New Roman" w:hAnsi="Times New Roman"/>
          <w:bCs/>
          <w:i/>
        </w:rPr>
        <w:t>1</w:t>
      </w:r>
      <w:r w:rsidR="00E6149F">
        <w:rPr>
          <w:rFonts w:ascii="Times New Roman" w:hAnsi="Times New Roman"/>
          <w:bCs/>
          <w:i/>
        </w:rPr>
        <w:t>-23.</w:t>
      </w:r>
    </w:p>
    <w:p w:rsidR="006421FB" w:rsidRDefault="00E6149F" w:rsidP="00635711">
      <w:pPr>
        <w:autoSpaceDE w:val="0"/>
        <w:autoSpaceDN w:val="0"/>
        <w:adjustRightInd w:val="0"/>
        <w:spacing w:line="480" w:lineRule="auto"/>
        <w:rPr>
          <w:rFonts w:ascii="Times New Roman" w:hAnsi="Times New Roman"/>
          <w:bCs/>
        </w:rPr>
      </w:pPr>
      <w:r>
        <w:rPr>
          <w:rFonts w:ascii="Times New Roman" w:hAnsi="Times New Roman"/>
          <w:bCs/>
        </w:rPr>
        <w:t>3.</w:t>
      </w:r>
      <w:r w:rsidR="000418FF">
        <w:rPr>
          <w:rFonts w:ascii="Times New Roman" w:hAnsi="Times New Roman"/>
          <w:bCs/>
        </w:rPr>
        <w:tab/>
      </w:r>
      <w:r>
        <w:rPr>
          <w:rFonts w:ascii="Times New Roman" w:hAnsi="Times New Roman"/>
          <w:bCs/>
        </w:rPr>
        <w:t>Mr. Eberdt articulated the Energy Project’s position that the changes to LIBA proposed by the Company in this case are consistent with the 5-year plan approved by the Commission</w:t>
      </w:r>
      <w:r w:rsidR="006421FB">
        <w:rPr>
          <w:rFonts w:ascii="Times New Roman" w:hAnsi="Times New Roman"/>
          <w:bCs/>
        </w:rPr>
        <w:t xml:space="preserve"> in Docket No. 111190, Order 07</w:t>
      </w:r>
      <w:r w:rsidR="006B673C">
        <w:rPr>
          <w:rFonts w:ascii="Times New Roman" w:hAnsi="Times New Roman"/>
          <w:bCs/>
        </w:rPr>
        <w:t xml:space="preserve"> issued on March 30, 2012</w:t>
      </w:r>
      <w:r>
        <w:rPr>
          <w:rFonts w:ascii="Times New Roman" w:hAnsi="Times New Roman"/>
          <w:bCs/>
        </w:rPr>
        <w:t>, regarding phased-in changes to LIBA funding and other program design characteristics</w:t>
      </w:r>
      <w:r w:rsidR="00D26942">
        <w:rPr>
          <w:rFonts w:ascii="Times New Roman" w:hAnsi="Times New Roman"/>
          <w:bCs/>
        </w:rPr>
        <w:t xml:space="preserve"> and supports those proposed changes</w:t>
      </w:r>
      <w:r>
        <w:rPr>
          <w:rFonts w:ascii="Times New Roman" w:hAnsi="Times New Roman"/>
          <w:bCs/>
        </w:rPr>
        <w:t>.</w:t>
      </w:r>
      <w:r w:rsidR="00D26942">
        <w:rPr>
          <w:rFonts w:ascii="Times New Roman" w:hAnsi="Times New Roman"/>
          <w:bCs/>
        </w:rPr>
        <w:t xml:space="preserve"> </w:t>
      </w:r>
      <w:r w:rsidR="00D26942">
        <w:rPr>
          <w:rFonts w:ascii="Times New Roman" w:hAnsi="Times New Roman"/>
          <w:bCs/>
          <w:i/>
        </w:rPr>
        <w:t>Id., p. 4, lns 15-21.</w:t>
      </w:r>
      <w:r>
        <w:rPr>
          <w:rFonts w:ascii="Times New Roman" w:hAnsi="Times New Roman"/>
          <w:bCs/>
        </w:rPr>
        <w:t xml:space="preserve">  The plan includes the following changes to LIBA over the 5-year plan period: 1) a percentage of the Company’s LIBA recipients will be certified every other year, as opposed to annually; 2) </w:t>
      </w:r>
      <w:r w:rsidR="006421FB">
        <w:rPr>
          <w:rFonts w:ascii="Times New Roman" w:hAnsi="Times New Roman"/>
          <w:bCs/>
        </w:rPr>
        <w:t>the program will provide assistance to additional recipients; 3) the LIBA eligibility certification fee paid to the community action agencies who administer LIBA will be incrementally increased, and; 4) funding for benefits received by LIBA participants will be increased to twice the amount of any rate increase authorized by the Commission for PacifiCorp.</w:t>
      </w:r>
    </w:p>
    <w:p w:rsidR="006421FB" w:rsidRDefault="006421FB" w:rsidP="00635711">
      <w:pPr>
        <w:autoSpaceDE w:val="0"/>
        <w:autoSpaceDN w:val="0"/>
        <w:adjustRightInd w:val="0"/>
        <w:spacing w:line="480" w:lineRule="auto"/>
        <w:rPr>
          <w:rFonts w:ascii="Times New Roman" w:hAnsi="Times New Roman"/>
          <w:bCs/>
        </w:rPr>
      </w:pPr>
      <w:r>
        <w:rPr>
          <w:rFonts w:ascii="Times New Roman" w:hAnsi="Times New Roman"/>
          <w:bCs/>
        </w:rPr>
        <w:t>4.</w:t>
      </w:r>
      <w:r>
        <w:rPr>
          <w:rFonts w:ascii="Times New Roman" w:hAnsi="Times New Roman"/>
          <w:bCs/>
        </w:rPr>
        <w:tab/>
      </w:r>
      <w:r w:rsidR="006B673C">
        <w:rPr>
          <w:rFonts w:ascii="Times New Roman" w:hAnsi="Times New Roman"/>
          <w:bCs/>
        </w:rPr>
        <w:t xml:space="preserve">Mr. Eberdt pointed out that whatever ultimate rate relief any given party supports, under the terms of the 5-year plan and </w:t>
      </w:r>
      <w:r w:rsidR="004C12B7">
        <w:rPr>
          <w:rFonts w:ascii="Times New Roman" w:hAnsi="Times New Roman"/>
          <w:bCs/>
        </w:rPr>
        <w:t xml:space="preserve">as </w:t>
      </w:r>
      <w:r w:rsidR="006B673C">
        <w:rPr>
          <w:rFonts w:ascii="Times New Roman" w:hAnsi="Times New Roman"/>
          <w:bCs/>
        </w:rPr>
        <w:t xml:space="preserve">confirmed by the Company and other parties, LIBA funding will increase by twice the percentage of any rate increase ultimately approved by the Commission for the residential class and the other conditions of the 5-year LIBA plan will still be implemented and funded. </w:t>
      </w:r>
      <w:r w:rsidR="006B673C">
        <w:rPr>
          <w:rFonts w:ascii="Times New Roman" w:hAnsi="Times New Roman"/>
          <w:bCs/>
          <w:i/>
        </w:rPr>
        <w:t>Id., p. 5, lns. 2-6.</w:t>
      </w:r>
    </w:p>
    <w:p w:rsidR="00224C6C" w:rsidRDefault="006B673C" w:rsidP="00635711">
      <w:pPr>
        <w:autoSpaceDE w:val="0"/>
        <w:autoSpaceDN w:val="0"/>
        <w:adjustRightInd w:val="0"/>
        <w:spacing w:line="480" w:lineRule="auto"/>
        <w:rPr>
          <w:rFonts w:ascii="Times New Roman" w:hAnsi="Times New Roman"/>
          <w:bCs/>
        </w:rPr>
      </w:pPr>
      <w:r>
        <w:rPr>
          <w:rFonts w:ascii="Times New Roman" w:hAnsi="Times New Roman"/>
          <w:bCs/>
        </w:rPr>
        <w:t>5.</w:t>
      </w:r>
      <w:r>
        <w:rPr>
          <w:rFonts w:ascii="Times New Roman" w:hAnsi="Times New Roman"/>
          <w:bCs/>
        </w:rPr>
        <w:tab/>
        <w:t>The Energy Project opposed PPL’s proposed changes to its Schedule 300 customer service charges on numerous grounds</w:t>
      </w:r>
      <w:r w:rsidR="00583092">
        <w:rPr>
          <w:rFonts w:ascii="Times New Roman" w:hAnsi="Times New Roman"/>
          <w:bCs/>
        </w:rPr>
        <w:t xml:space="preserve"> including the fact that </w:t>
      </w:r>
      <w:r w:rsidR="00583092" w:rsidRPr="00583092">
        <w:rPr>
          <w:rFonts w:ascii="Times New Roman" w:hAnsi="Times New Roman"/>
          <w:bCs/>
        </w:rPr>
        <w:t>“[i]</w:t>
      </w:r>
      <w:r w:rsidR="00583092" w:rsidRPr="00583092">
        <w:rPr>
          <w:rFonts w:ascii="Times New Roman" w:hAnsi="Times New Roman"/>
        </w:rPr>
        <w:t>t is evident that PacifiCorp's basis for the reconnection fee increase is based on an amalgam of generalizations, allocations, averages, subjective assignment of costs, inclusion of costs completely unrelated to reconnection, and an assortment of other speculative and/or subjective information.</w:t>
      </w:r>
      <w:r w:rsidR="00583092">
        <w:rPr>
          <w:rFonts w:ascii="Times New Roman" w:hAnsi="Times New Roman"/>
        </w:rPr>
        <w:t xml:space="preserve">” </w:t>
      </w:r>
      <w:r w:rsidR="00583092">
        <w:rPr>
          <w:rFonts w:ascii="Times New Roman" w:hAnsi="Times New Roman"/>
          <w:i/>
        </w:rPr>
        <w:t>Id., p. 10, lns. 9-12.</w:t>
      </w:r>
      <w:r w:rsidR="00583092">
        <w:rPr>
          <w:rFonts w:ascii="Times New Roman" w:hAnsi="Times New Roman"/>
        </w:rPr>
        <w:t xml:space="preserve">  The Energy Project also challenged the proposed Schedule 300 charge increases on the basis that they </w:t>
      </w:r>
      <w:r w:rsidR="00583092">
        <w:rPr>
          <w:rFonts w:ascii="Times New Roman" w:hAnsi="Times New Roman"/>
        </w:rPr>
        <w:lastRenderedPageBreak/>
        <w:t>would disproportionately impact low-income customers. For example, roughly one-third of the customers against whom th</w:t>
      </w:r>
      <w:r w:rsidR="00D26942">
        <w:rPr>
          <w:rFonts w:ascii="Times New Roman" w:hAnsi="Times New Roman"/>
        </w:rPr>
        <w:t>e disconnection</w:t>
      </w:r>
      <w:r w:rsidR="00583092">
        <w:rPr>
          <w:rFonts w:ascii="Times New Roman" w:hAnsi="Times New Roman"/>
        </w:rPr>
        <w:t xml:space="preserve"> charge is imposed are low-income. </w:t>
      </w:r>
      <w:r w:rsidR="00583092">
        <w:rPr>
          <w:rFonts w:ascii="Times New Roman" w:hAnsi="Times New Roman"/>
          <w:i/>
        </w:rPr>
        <w:t>Exh. CME-1T, p. 12, lns. 20-22.</w:t>
      </w:r>
      <w:r w:rsidR="00583092">
        <w:rPr>
          <w:rFonts w:ascii="Times New Roman" w:hAnsi="Times New Roman"/>
        </w:rPr>
        <w:t xml:space="preserve">  Mr. Eberdt outlined a number of other concerns about the proposed customer charge increases and</w:t>
      </w:r>
      <w:r w:rsidR="00FE3BA6">
        <w:rPr>
          <w:rFonts w:ascii="Times New Roman" w:hAnsi="Times New Roman"/>
          <w:bCs/>
        </w:rPr>
        <w:t xml:space="preserve"> provided a detailed discussion of th</w:t>
      </w:r>
      <w:r w:rsidR="00583092">
        <w:rPr>
          <w:rFonts w:ascii="Times New Roman" w:hAnsi="Times New Roman"/>
          <w:bCs/>
        </w:rPr>
        <w:t>e many consequences of the Schedule 300 charge increases</w:t>
      </w:r>
      <w:r w:rsidR="00FE3BA6">
        <w:rPr>
          <w:rFonts w:ascii="Times New Roman" w:hAnsi="Times New Roman"/>
          <w:bCs/>
        </w:rPr>
        <w:t xml:space="preserve"> </w:t>
      </w:r>
      <w:r w:rsidR="00224C6C">
        <w:rPr>
          <w:rFonts w:ascii="Times New Roman" w:hAnsi="Times New Roman"/>
          <w:bCs/>
        </w:rPr>
        <w:t xml:space="preserve">and illustrated how the </w:t>
      </w:r>
      <w:r w:rsidR="00583092">
        <w:rPr>
          <w:rFonts w:ascii="Times New Roman" w:hAnsi="Times New Roman"/>
          <w:bCs/>
        </w:rPr>
        <w:t xml:space="preserve">proposed increases to the customer charges </w:t>
      </w:r>
      <w:r w:rsidR="00224C6C">
        <w:rPr>
          <w:rFonts w:ascii="Times New Roman" w:hAnsi="Times New Roman"/>
          <w:bCs/>
        </w:rPr>
        <w:t xml:space="preserve">were most likely to impact low-income customers and significantly so.  </w:t>
      </w:r>
      <w:r w:rsidR="00583092">
        <w:rPr>
          <w:rFonts w:ascii="Times New Roman" w:hAnsi="Times New Roman"/>
          <w:bCs/>
        </w:rPr>
        <w:t xml:space="preserve">Finally, </w:t>
      </w:r>
      <w:r w:rsidR="00FE3BA6">
        <w:rPr>
          <w:rFonts w:ascii="Times New Roman" w:hAnsi="Times New Roman"/>
          <w:bCs/>
        </w:rPr>
        <w:t xml:space="preserve">Public Counsel also opposed the Schedule 300 changes.  </w:t>
      </w:r>
    </w:p>
    <w:p w:rsidR="00F25535" w:rsidRDefault="00224C6C" w:rsidP="00635711">
      <w:pPr>
        <w:autoSpaceDE w:val="0"/>
        <w:autoSpaceDN w:val="0"/>
        <w:adjustRightInd w:val="0"/>
        <w:spacing w:line="480" w:lineRule="auto"/>
        <w:rPr>
          <w:rFonts w:ascii="Times New Roman" w:hAnsi="Times New Roman"/>
          <w:bCs/>
        </w:rPr>
      </w:pPr>
      <w:r>
        <w:rPr>
          <w:rFonts w:ascii="Times New Roman" w:hAnsi="Times New Roman"/>
          <w:bCs/>
        </w:rPr>
        <w:t>6.</w:t>
      </w:r>
      <w:r>
        <w:rPr>
          <w:rFonts w:ascii="Times New Roman" w:hAnsi="Times New Roman"/>
          <w:bCs/>
        </w:rPr>
        <w:tab/>
      </w:r>
      <w:r w:rsidR="00FE3BA6">
        <w:rPr>
          <w:rFonts w:ascii="Times New Roman" w:hAnsi="Times New Roman"/>
          <w:bCs/>
        </w:rPr>
        <w:t xml:space="preserve">In the face of the Energy Project’s and Public Counsel’s opposition to the customer service charge increases, the Company filed a Motion to Withdraw Tariff Filing </w:t>
      </w:r>
      <w:r w:rsidR="00D473A5">
        <w:rPr>
          <w:rFonts w:ascii="Times New Roman" w:hAnsi="Times New Roman"/>
          <w:bCs/>
        </w:rPr>
        <w:t xml:space="preserve">on </w:t>
      </w:r>
      <w:r w:rsidR="00DD0379">
        <w:rPr>
          <w:rFonts w:ascii="Times New Roman" w:hAnsi="Times New Roman"/>
          <w:bCs/>
        </w:rPr>
        <w:t>July 11, 2013</w:t>
      </w:r>
      <w:r w:rsidR="00F246E8">
        <w:rPr>
          <w:rFonts w:ascii="Times New Roman" w:hAnsi="Times New Roman"/>
          <w:bCs/>
        </w:rPr>
        <w:t>, withdrawing all of the proposed Schedule 300 charge increases</w:t>
      </w:r>
      <w:r w:rsidR="004C12B7">
        <w:rPr>
          <w:rFonts w:ascii="Times New Roman" w:hAnsi="Times New Roman"/>
          <w:bCs/>
        </w:rPr>
        <w:t xml:space="preserve"> from consideration in this case</w:t>
      </w:r>
      <w:r w:rsidR="00F246E8">
        <w:rPr>
          <w:rFonts w:ascii="Times New Roman" w:hAnsi="Times New Roman"/>
          <w:bCs/>
        </w:rPr>
        <w:t>.  That motion</w:t>
      </w:r>
      <w:r w:rsidR="00FE3BA6">
        <w:rPr>
          <w:rFonts w:ascii="Times New Roman" w:hAnsi="Times New Roman"/>
          <w:bCs/>
        </w:rPr>
        <w:t xml:space="preserve"> was</w:t>
      </w:r>
      <w:r w:rsidR="00DD0379">
        <w:rPr>
          <w:rFonts w:ascii="Times New Roman" w:hAnsi="Times New Roman"/>
          <w:bCs/>
        </w:rPr>
        <w:t xml:space="preserve"> approved </w:t>
      </w:r>
      <w:r w:rsidR="00D473A5">
        <w:rPr>
          <w:rFonts w:ascii="Times New Roman" w:hAnsi="Times New Roman"/>
          <w:bCs/>
        </w:rPr>
        <w:t>by the Commission in Order</w:t>
      </w:r>
      <w:r w:rsidR="00DD0379">
        <w:rPr>
          <w:rFonts w:ascii="Times New Roman" w:hAnsi="Times New Roman"/>
          <w:bCs/>
        </w:rPr>
        <w:t xml:space="preserve"> </w:t>
      </w:r>
      <w:r w:rsidR="00DB56F5">
        <w:rPr>
          <w:rFonts w:ascii="Times New Roman" w:hAnsi="Times New Roman"/>
          <w:bCs/>
        </w:rPr>
        <w:t xml:space="preserve">No. </w:t>
      </w:r>
      <w:r w:rsidR="00DD0379">
        <w:rPr>
          <w:rFonts w:ascii="Times New Roman" w:hAnsi="Times New Roman"/>
          <w:bCs/>
        </w:rPr>
        <w:t>04 on July 29, 2013</w:t>
      </w:r>
      <w:r w:rsidR="00D473A5">
        <w:rPr>
          <w:rFonts w:ascii="Times New Roman" w:hAnsi="Times New Roman"/>
          <w:bCs/>
        </w:rPr>
        <w:t xml:space="preserve">. </w:t>
      </w:r>
      <w:r>
        <w:rPr>
          <w:rFonts w:ascii="Times New Roman" w:hAnsi="Times New Roman"/>
          <w:bCs/>
        </w:rPr>
        <w:t xml:space="preserve"> The issue</w:t>
      </w:r>
      <w:r w:rsidR="00F246E8">
        <w:rPr>
          <w:rFonts w:ascii="Times New Roman" w:hAnsi="Times New Roman"/>
          <w:bCs/>
        </w:rPr>
        <w:t>s regarding Schedule 300 charges</w:t>
      </w:r>
      <w:r>
        <w:rPr>
          <w:rFonts w:ascii="Times New Roman" w:hAnsi="Times New Roman"/>
          <w:bCs/>
        </w:rPr>
        <w:t xml:space="preserve">, therefore, </w:t>
      </w:r>
      <w:r w:rsidR="004C12B7">
        <w:rPr>
          <w:rFonts w:ascii="Times New Roman" w:hAnsi="Times New Roman"/>
          <w:bCs/>
        </w:rPr>
        <w:t>are no longer at play</w:t>
      </w:r>
      <w:r>
        <w:rPr>
          <w:rFonts w:ascii="Times New Roman" w:hAnsi="Times New Roman"/>
          <w:bCs/>
        </w:rPr>
        <w:t xml:space="preserve"> in this case.</w:t>
      </w:r>
    </w:p>
    <w:p w:rsidR="00043742" w:rsidRPr="00355A1F" w:rsidRDefault="00AA5D7F" w:rsidP="00635711">
      <w:pPr>
        <w:autoSpaceDE w:val="0"/>
        <w:autoSpaceDN w:val="0"/>
        <w:adjustRightInd w:val="0"/>
        <w:spacing w:line="480" w:lineRule="auto"/>
        <w:rPr>
          <w:rFonts w:ascii="Times New Roman" w:hAnsi="Times New Roman"/>
        </w:rPr>
      </w:pPr>
      <w:r>
        <w:rPr>
          <w:rFonts w:ascii="Times New Roman" w:hAnsi="Times New Roman"/>
          <w:bCs/>
        </w:rPr>
        <w:t>7</w:t>
      </w:r>
      <w:r w:rsidR="00D473A5">
        <w:rPr>
          <w:rFonts w:ascii="Times New Roman" w:hAnsi="Times New Roman"/>
          <w:bCs/>
        </w:rPr>
        <w:t>.</w:t>
      </w:r>
      <w:r w:rsidR="00D473A5">
        <w:rPr>
          <w:rFonts w:ascii="Times New Roman" w:hAnsi="Times New Roman"/>
          <w:bCs/>
        </w:rPr>
        <w:tab/>
        <w:t xml:space="preserve">On </w:t>
      </w:r>
      <w:r w:rsidR="00C74DF0">
        <w:rPr>
          <w:rFonts w:ascii="Times New Roman" w:hAnsi="Times New Roman"/>
          <w:bCs/>
        </w:rPr>
        <w:t>August 2, 2013</w:t>
      </w:r>
      <w:r w:rsidR="00D473A5">
        <w:rPr>
          <w:rFonts w:ascii="Times New Roman" w:hAnsi="Times New Roman"/>
          <w:bCs/>
        </w:rPr>
        <w:t xml:space="preserve">, the Commission Staff filed the Responsive Testimony of Mr. Christopher T. Mickelson proposing, among other things, that </w:t>
      </w:r>
      <w:r w:rsidR="00043742">
        <w:rPr>
          <w:rFonts w:ascii="Times New Roman" w:hAnsi="Times New Roman"/>
          <w:bCs/>
        </w:rPr>
        <w:t xml:space="preserve">the </w:t>
      </w:r>
      <w:r w:rsidR="00C74DF0">
        <w:rPr>
          <w:rFonts w:ascii="Times New Roman" w:hAnsi="Times New Roman"/>
          <w:bCs/>
        </w:rPr>
        <w:t xml:space="preserve">Company’s </w:t>
      </w:r>
      <w:r w:rsidR="00043742">
        <w:rPr>
          <w:rFonts w:ascii="Times New Roman" w:hAnsi="Times New Roman"/>
          <w:bCs/>
        </w:rPr>
        <w:t xml:space="preserve">existing two-tiered residential rate design </w:t>
      </w:r>
      <w:r w:rsidR="006F301E">
        <w:rPr>
          <w:rFonts w:ascii="Times New Roman" w:hAnsi="Times New Roman"/>
          <w:bCs/>
        </w:rPr>
        <w:t xml:space="preserve">structure </w:t>
      </w:r>
      <w:r w:rsidR="00043742">
        <w:rPr>
          <w:rFonts w:ascii="Times New Roman" w:hAnsi="Times New Roman"/>
          <w:bCs/>
        </w:rPr>
        <w:t>be revised as follows</w:t>
      </w:r>
      <w:r w:rsidR="006F301E">
        <w:rPr>
          <w:rFonts w:ascii="Times New Roman" w:hAnsi="Times New Roman"/>
          <w:bCs/>
        </w:rPr>
        <w:t>:</w:t>
      </w:r>
      <w:r w:rsidR="00043742">
        <w:rPr>
          <w:rFonts w:ascii="Times New Roman" w:hAnsi="Times New Roman"/>
          <w:bCs/>
        </w:rPr>
        <w:t xml:space="preserve"> 1) the existing first tier consisting of consumption up to 600 kWh/month be increased</w:t>
      </w:r>
      <w:r w:rsidR="006F301E">
        <w:rPr>
          <w:rFonts w:ascii="Times New Roman" w:hAnsi="Times New Roman"/>
          <w:bCs/>
        </w:rPr>
        <w:t xml:space="preserve"> to 800 kWh</w:t>
      </w:r>
      <w:r w:rsidR="00043742">
        <w:rPr>
          <w:rFonts w:ascii="Times New Roman" w:hAnsi="Times New Roman"/>
          <w:bCs/>
        </w:rPr>
        <w:t xml:space="preserve">.  According to Mr. Mickelson, this captures a greater amount of non-discretionary usage for which there is no price elasticity. </w:t>
      </w:r>
      <w:r w:rsidR="00586B21">
        <w:rPr>
          <w:rFonts w:ascii="Times New Roman" w:hAnsi="Times New Roman"/>
          <w:bCs/>
          <w:i/>
        </w:rPr>
        <w:t>Exh. CTM-1T</w:t>
      </w:r>
      <w:r w:rsidR="00043742">
        <w:rPr>
          <w:rFonts w:ascii="Times New Roman" w:hAnsi="Times New Roman"/>
          <w:bCs/>
          <w:i/>
        </w:rPr>
        <w:t>, pp. 33-34</w:t>
      </w:r>
      <w:r w:rsidR="004C12B7">
        <w:rPr>
          <w:rFonts w:ascii="Times New Roman" w:hAnsi="Times New Roman"/>
          <w:bCs/>
          <w:i/>
        </w:rPr>
        <w:t>;</w:t>
      </w:r>
      <w:r w:rsidR="00043742">
        <w:rPr>
          <w:rFonts w:ascii="Times New Roman" w:hAnsi="Times New Roman"/>
          <w:bCs/>
        </w:rPr>
        <w:t xml:space="preserve">  </w:t>
      </w:r>
      <w:r>
        <w:rPr>
          <w:rFonts w:ascii="Times New Roman" w:hAnsi="Times New Roman"/>
          <w:bCs/>
        </w:rPr>
        <w:t xml:space="preserve">2) </w:t>
      </w:r>
      <w:r w:rsidR="00043742">
        <w:rPr>
          <w:rFonts w:ascii="Times New Roman" w:hAnsi="Times New Roman"/>
          <w:bCs/>
        </w:rPr>
        <w:t>Mr. Mickelson further proposed that the existing second tier be capped at 1500 kWh/month because “</w:t>
      </w:r>
      <w:r w:rsidR="00043742" w:rsidRPr="00043742">
        <w:rPr>
          <w:rFonts w:ascii="Times New Roman" w:hAnsi="Times New Roman"/>
        </w:rPr>
        <w:t>any usage over 1,500 kWh should be considered discretionary, or excessive, energy use</w:t>
      </w:r>
      <w:r w:rsidR="00043742">
        <w:rPr>
          <w:rFonts w:ascii="Times New Roman" w:hAnsi="Times New Roman"/>
        </w:rPr>
        <w:t xml:space="preserve">.” </w:t>
      </w:r>
      <w:r w:rsidR="00043742">
        <w:rPr>
          <w:rFonts w:ascii="Times New Roman" w:hAnsi="Times New Roman"/>
          <w:i/>
        </w:rPr>
        <w:t>Id., p. 34, lns 10-11</w:t>
      </w:r>
      <w:r w:rsidR="004C12B7">
        <w:rPr>
          <w:rFonts w:ascii="Times New Roman" w:hAnsi="Times New Roman"/>
        </w:rPr>
        <w:t>, and</w:t>
      </w:r>
      <w:r w:rsidR="004C12B7">
        <w:rPr>
          <w:rFonts w:ascii="Times New Roman" w:hAnsi="Times New Roman"/>
          <w:i/>
        </w:rPr>
        <w:t>;</w:t>
      </w:r>
      <w:r w:rsidR="00043742">
        <w:rPr>
          <w:rFonts w:ascii="Times New Roman" w:hAnsi="Times New Roman"/>
        </w:rPr>
        <w:t xml:space="preserve">  </w:t>
      </w:r>
      <w:r>
        <w:rPr>
          <w:rFonts w:ascii="Times New Roman" w:hAnsi="Times New Roman"/>
        </w:rPr>
        <w:t xml:space="preserve">3) </w:t>
      </w:r>
      <w:r w:rsidR="00043742">
        <w:rPr>
          <w:rFonts w:ascii="Times New Roman" w:hAnsi="Times New Roman"/>
        </w:rPr>
        <w:t>Mr. Mickelson proposed a third tier or “tail block” of all monthly consumption in excess of 1500 kWh</w:t>
      </w:r>
      <w:r w:rsidR="00DB56F5">
        <w:rPr>
          <w:rFonts w:ascii="Times New Roman" w:hAnsi="Times New Roman"/>
        </w:rPr>
        <w:t xml:space="preserve">, priced at the highest </w:t>
      </w:r>
      <w:r w:rsidR="004C12B7">
        <w:rPr>
          <w:rFonts w:ascii="Times New Roman" w:hAnsi="Times New Roman"/>
        </w:rPr>
        <w:t>energy rate</w:t>
      </w:r>
      <w:r w:rsidR="00DB56F5">
        <w:rPr>
          <w:rFonts w:ascii="Times New Roman" w:hAnsi="Times New Roman"/>
        </w:rPr>
        <w:t xml:space="preserve"> that residential customers </w:t>
      </w:r>
      <w:r w:rsidR="004C12B7">
        <w:rPr>
          <w:rFonts w:ascii="Times New Roman" w:hAnsi="Times New Roman"/>
        </w:rPr>
        <w:t xml:space="preserve">would </w:t>
      </w:r>
      <w:r w:rsidR="00DB56F5">
        <w:rPr>
          <w:rFonts w:ascii="Times New Roman" w:hAnsi="Times New Roman"/>
        </w:rPr>
        <w:t>pay</w:t>
      </w:r>
      <w:r w:rsidR="00D26942">
        <w:rPr>
          <w:rFonts w:ascii="Times New Roman" w:hAnsi="Times New Roman"/>
        </w:rPr>
        <w:t xml:space="preserve"> under Mr. Mickelson’s proposal</w:t>
      </w:r>
      <w:r w:rsidR="00043742">
        <w:rPr>
          <w:rFonts w:ascii="Times New Roman" w:hAnsi="Times New Roman"/>
        </w:rPr>
        <w:t xml:space="preserve">.  In support of this proposal, Mr. Mickelson noted that PPL’s average residential monthly consumption is 1300 kWh and that </w:t>
      </w:r>
      <w:r w:rsidR="00043742">
        <w:rPr>
          <w:rFonts w:ascii="Times New Roman" w:hAnsi="Times New Roman"/>
        </w:rPr>
        <w:lastRenderedPageBreak/>
        <w:t>“</w:t>
      </w:r>
      <w:r w:rsidR="00043742" w:rsidRPr="00043742">
        <w:rPr>
          <w:rFonts w:ascii="Times New Roman" w:hAnsi="Times New Roman"/>
        </w:rPr>
        <w:t>creating a three-block rate design, compared to the current two-block rate design, should help with conservation measures by allowing a slightly more aggressive tail block rate</w:t>
      </w:r>
      <w:r w:rsidR="00043742" w:rsidRPr="00F27E5A">
        <w:t>.</w:t>
      </w:r>
      <w:r w:rsidR="00043742">
        <w:t>”</w:t>
      </w:r>
      <w:r w:rsidR="00355A1F">
        <w:t xml:space="preserve"> </w:t>
      </w:r>
      <w:r w:rsidR="00355A1F">
        <w:rPr>
          <w:i/>
        </w:rPr>
        <w:t>Id., p. 34, lns. 15-16.</w:t>
      </w:r>
    </w:p>
    <w:p w:rsidR="00A57836" w:rsidRDefault="00AA5D7F" w:rsidP="00635711">
      <w:pPr>
        <w:autoSpaceDE w:val="0"/>
        <w:autoSpaceDN w:val="0"/>
        <w:adjustRightInd w:val="0"/>
        <w:spacing w:line="480" w:lineRule="auto"/>
        <w:rPr>
          <w:rFonts w:ascii="Times New Roman" w:hAnsi="Times New Roman"/>
          <w:bCs/>
        </w:rPr>
      </w:pPr>
      <w:r>
        <w:rPr>
          <w:rFonts w:ascii="Times New Roman" w:hAnsi="Times New Roman"/>
        </w:rPr>
        <w:t>8</w:t>
      </w:r>
      <w:r w:rsidR="00043742">
        <w:rPr>
          <w:rFonts w:ascii="Times New Roman" w:hAnsi="Times New Roman"/>
        </w:rPr>
        <w:t>.</w:t>
      </w:r>
      <w:r w:rsidR="00043742">
        <w:rPr>
          <w:rFonts w:ascii="Times New Roman" w:hAnsi="Times New Roman"/>
        </w:rPr>
        <w:tab/>
      </w:r>
      <w:r>
        <w:rPr>
          <w:rFonts w:ascii="Times New Roman" w:hAnsi="Times New Roman"/>
        </w:rPr>
        <w:t>T</w:t>
      </w:r>
      <w:r w:rsidR="00AE60DE">
        <w:rPr>
          <w:rFonts w:ascii="Times New Roman" w:hAnsi="Times New Roman"/>
          <w:bCs/>
        </w:rPr>
        <w:t>he Energy Project opposed Staff’s residential rate design proposals and filed the Cross-Answering Testimony of Charles Eberdt articulating th</w:t>
      </w:r>
      <w:r>
        <w:rPr>
          <w:rFonts w:ascii="Times New Roman" w:hAnsi="Times New Roman"/>
          <w:bCs/>
        </w:rPr>
        <w:t xml:space="preserve">at </w:t>
      </w:r>
      <w:r w:rsidR="00AE60DE">
        <w:rPr>
          <w:rFonts w:ascii="Times New Roman" w:hAnsi="Times New Roman"/>
          <w:bCs/>
        </w:rPr>
        <w:t>opposition.</w:t>
      </w:r>
      <w:r>
        <w:rPr>
          <w:rFonts w:ascii="Times New Roman" w:hAnsi="Times New Roman"/>
          <w:bCs/>
        </w:rPr>
        <w:t xml:space="preserve">  </w:t>
      </w:r>
      <w:r w:rsidR="00586B21">
        <w:rPr>
          <w:rFonts w:ascii="Times New Roman" w:hAnsi="Times New Roman"/>
          <w:bCs/>
        </w:rPr>
        <w:t xml:space="preserve">Mr. Eberdt </w:t>
      </w:r>
      <w:r>
        <w:rPr>
          <w:rFonts w:ascii="Times New Roman" w:hAnsi="Times New Roman"/>
          <w:bCs/>
        </w:rPr>
        <w:t xml:space="preserve">pointed out that Staff’s proposed rate design changes </w:t>
      </w:r>
      <w:r w:rsidR="00163317">
        <w:rPr>
          <w:rFonts w:ascii="Times New Roman" w:hAnsi="Times New Roman"/>
          <w:bCs/>
        </w:rPr>
        <w:t>are based on</w:t>
      </w:r>
      <w:r>
        <w:rPr>
          <w:rFonts w:ascii="Times New Roman" w:hAnsi="Times New Roman"/>
          <w:bCs/>
        </w:rPr>
        <w:t xml:space="preserve"> the presumption that </w:t>
      </w:r>
      <w:r w:rsidR="00163317">
        <w:rPr>
          <w:rFonts w:ascii="Times New Roman" w:hAnsi="Times New Roman"/>
          <w:bCs/>
        </w:rPr>
        <w:t xml:space="preserve">the Company’s highest consuming residential customers are </w:t>
      </w:r>
      <w:r>
        <w:rPr>
          <w:rFonts w:ascii="Times New Roman" w:hAnsi="Times New Roman"/>
          <w:bCs/>
        </w:rPr>
        <w:t xml:space="preserve">non-low income.  Mr. Eberdt </w:t>
      </w:r>
      <w:r w:rsidR="00DB56F5">
        <w:rPr>
          <w:rFonts w:ascii="Times New Roman" w:hAnsi="Times New Roman"/>
          <w:bCs/>
        </w:rPr>
        <w:t>testified</w:t>
      </w:r>
      <w:r w:rsidR="00586B21">
        <w:rPr>
          <w:rFonts w:ascii="Times New Roman" w:hAnsi="Times New Roman"/>
          <w:bCs/>
        </w:rPr>
        <w:t xml:space="preserve"> that PPL responses to Energy Project </w:t>
      </w:r>
      <w:r w:rsidR="00D26942">
        <w:rPr>
          <w:rFonts w:ascii="Times New Roman" w:hAnsi="Times New Roman"/>
          <w:bCs/>
        </w:rPr>
        <w:t xml:space="preserve">initial </w:t>
      </w:r>
      <w:r w:rsidR="00586B21">
        <w:rPr>
          <w:rFonts w:ascii="Times New Roman" w:hAnsi="Times New Roman"/>
          <w:bCs/>
        </w:rPr>
        <w:t>data requests</w:t>
      </w:r>
      <w:r w:rsidR="00DB56F5">
        <w:rPr>
          <w:rFonts w:ascii="Times New Roman" w:hAnsi="Times New Roman"/>
          <w:bCs/>
        </w:rPr>
        <w:t xml:space="preserve"> in this case</w:t>
      </w:r>
      <w:r w:rsidR="00586B21">
        <w:rPr>
          <w:rFonts w:ascii="Times New Roman" w:hAnsi="Times New Roman"/>
          <w:bCs/>
        </w:rPr>
        <w:t xml:space="preserve"> </w:t>
      </w:r>
      <w:r w:rsidR="00D26942">
        <w:rPr>
          <w:rFonts w:ascii="Times New Roman" w:hAnsi="Times New Roman"/>
          <w:bCs/>
        </w:rPr>
        <w:t>strongly suggest</w:t>
      </w:r>
      <w:r w:rsidR="00586B21">
        <w:rPr>
          <w:rFonts w:ascii="Times New Roman" w:hAnsi="Times New Roman"/>
          <w:bCs/>
        </w:rPr>
        <w:t xml:space="preserve"> that </w:t>
      </w:r>
      <w:r>
        <w:rPr>
          <w:rFonts w:ascii="Times New Roman" w:hAnsi="Times New Roman"/>
          <w:bCs/>
        </w:rPr>
        <w:t xml:space="preserve">this presumption might well be </w:t>
      </w:r>
      <w:r w:rsidR="00163317">
        <w:rPr>
          <w:rFonts w:ascii="Times New Roman" w:hAnsi="Times New Roman"/>
          <w:bCs/>
        </w:rPr>
        <w:t>false</w:t>
      </w:r>
      <w:r w:rsidR="00F44C83">
        <w:rPr>
          <w:rFonts w:ascii="Times New Roman" w:hAnsi="Times New Roman"/>
          <w:bCs/>
        </w:rPr>
        <w:t xml:space="preserve"> and that, at least during winter heating months, low-income customers consume significantly more electricity than non-low income</w:t>
      </w:r>
      <w:r w:rsidR="00355A1F">
        <w:rPr>
          <w:rFonts w:ascii="Times New Roman" w:hAnsi="Times New Roman"/>
          <w:bCs/>
        </w:rPr>
        <w:t xml:space="preserve">.  </w:t>
      </w:r>
    </w:p>
    <w:p w:rsidR="00A57836" w:rsidRDefault="00A57836" w:rsidP="00635711">
      <w:pPr>
        <w:autoSpaceDE w:val="0"/>
        <w:autoSpaceDN w:val="0"/>
        <w:adjustRightInd w:val="0"/>
        <w:spacing w:line="480" w:lineRule="auto"/>
        <w:rPr>
          <w:rFonts w:ascii="Times New Roman" w:hAnsi="Times New Roman"/>
          <w:bCs/>
        </w:rPr>
      </w:pPr>
      <w:r>
        <w:rPr>
          <w:rFonts w:ascii="Times New Roman" w:hAnsi="Times New Roman"/>
          <w:bCs/>
        </w:rPr>
        <w:t>9.</w:t>
      </w:r>
      <w:r>
        <w:rPr>
          <w:rFonts w:ascii="Times New Roman" w:hAnsi="Times New Roman"/>
          <w:bCs/>
        </w:rPr>
        <w:tab/>
      </w:r>
      <w:r w:rsidR="00355A1F">
        <w:rPr>
          <w:rFonts w:ascii="Times New Roman" w:hAnsi="Times New Roman"/>
          <w:bCs/>
        </w:rPr>
        <w:t xml:space="preserve">The Energy Project submitted a number of data requests </w:t>
      </w:r>
      <w:r w:rsidR="00FC6883">
        <w:rPr>
          <w:rFonts w:ascii="Times New Roman" w:hAnsi="Times New Roman"/>
          <w:bCs/>
        </w:rPr>
        <w:t xml:space="preserve">in this case </w:t>
      </w:r>
      <w:r w:rsidR="00355A1F">
        <w:rPr>
          <w:rFonts w:ascii="Times New Roman" w:hAnsi="Times New Roman"/>
          <w:bCs/>
        </w:rPr>
        <w:t>comparing monthly consumption between non-low income residential customers and low-income customers using a “low-income proxy group” defined as those P</w:t>
      </w:r>
      <w:r w:rsidR="00D26942">
        <w:rPr>
          <w:rFonts w:ascii="Times New Roman" w:hAnsi="Times New Roman"/>
          <w:bCs/>
        </w:rPr>
        <w:t>acifiCorp</w:t>
      </w:r>
      <w:r w:rsidR="00355A1F">
        <w:rPr>
          <w:rFonts w:ascii="Times New Roman" w:hAnsi="Times New Roman"/>
          <w:bCs/>
        </w:rPr>
        <w:t xml:space="preserve"> Washington customers </w:t>
      </w:r>
      <w:r w:rsidR="00355A1F" w:rsidRPr="00A41495">
        <w:rPr>
          <w:rFonts w:ascii="Times New Roman" w:hAnsi="Times New Roman"/>
        </w:rPr>
        <w:t>who received either LIHEAP or LIBA benefits during the test year</w:t>
      </w:r>
      <w:r w:rsidR="00355A1F">
        <w:rPr>
          <w:rFonts w:ascii="Times New Roman" w:hAnsi="Times New Roman"/>
        </w:rPr>
        <w:t>, but counting customers who received multiple forms of low-income assistance only once to avoid over-counting</w:t>
      </w:r>
      <w:r w:rsidR="00355A1F" w:rsidRPr="00A41495">
        <w:rPr>
          <w:rFonts w:ascii="Times New Roman" w:hAnsi="Times New Roman"/>
        </w:rPr>
        <w:t>.</w:t>
      </w:r>
      <w:r w:rsidR="00FC6883">
        <w:rPr>
          <w:rFonts w:ascii="Times New Roman" w:hAnsi="Times New Roman"/>
        </w:rPr>
        <w:t xml:space="preserve">  Mr. Eberdt notes that</w:t>
      </w:r>
      <w:r w:rsidR="00F44C83">
        <w:rPr>
          <w:rFonts w:ascii="Times New Roman" w:hAnsi="Times New Roman"/>
        </w:rPr>
        <w:t>, with respect to the data obtained thus far, “it is too early to be certain”</w:t>
      </w:r>
      <w:r w:rsidR="00F44C83">
        <w:rPr>
          <w:rStyle w:val="FootnoteReference"/>
          <w:rFonts w:ascii="Times New Roman" w:hAnsi="Times New Roman"/>
        </w:rPr>
        <w:footnoteReference w:id="2"/>
      </w:r>
      <w:r w:rsidR="00F44C83">
        <w:rPr>
          <w:rFonts w:ascii="Times New Roman" w:hAnsi="Times New Roman"/>
        </w:rPr>
        <w:t xml:space="preserve"> </w:t>
      </w:r>
      <w:r>
        <w:rPr>
          <w:rFonts w:ascii="Times New Roman" w:hAnsi="Times New Roman"/>
        </w:rPr>
        <w:t xml:space="preserve">as to any conclusions the data supports </w:t>
      </w:r>
      <w:r w:rsidR="00F44C83">
        <w:rPr>
          <w:rFonts w:ascii="Times New Roman" w:hAnsi="Times New Roman"/>
        </w:rPr>
        <w:t xml:space="preserve">because of the complexity involved in analyzing the data and the need to collaborate with other parties, especially Staff and the Company, </w:t>
      </w:r>
      <w:r w:rsidR="00D26942">
        <w:rPr>
          <w:rFonts w:ascii="Times New Roman" w:hAnsi="Times New Roman"/>
        </w:rPr>
        <w:t xml:space="preserve">in order </w:t>
      </w:r>
      <w:r w:rsidR="00F44C83">
        <w:rPr>
          <w:rFonts w:ascii="Times New Roman" w:hAnsi="Times New Roman"/>
        </w:rPr>
        <w:t xml:space="preserve">to fully understand the implications of the data and the likely need to obtain even more.  </w:t>
      </w:r>
      <w:r w:rsidR="00A41495">
        <w:rPr>
          <w:rFonts w:ascii="Times New Roman" w:hAnsi="Times New Roman"/>
          <w:bCs/>
        </w:rPr>
        <w:t xml:space="preserve">Though the low-income proxy group is far smaller than all PPL customers who otherwise meet federal definitions of “low-income,” it is the best surrogate that the Energy Project has identified thus far that does not violate privacy rights.  </w:t>
      </w:r>
    </w:p>
    <w:p w:rsidR="00AA5D7F" w:rsidRDefault="00A57836" w:rsidP="00635711">
      <w:pPr>
        <w:autoSpaceDE w:val="0"/>
        <w:autoSpaceDN w:val="0"/>
        <w:adjustRightInd w:val="0"/>
        <w:spacing w:line="480" w:lineRule="auto"/>
        <w:rPr>
          <w:rFonts w:ascii="Times New Roman" w:hAnsi="Times New Roman"/>
          <w:bCs/>
        </w:rPr>
      </w:pPr>
      <w:r>
        <w:rPr>
          <w:rFonts w:ascii="Times New Roman" w:hAnsi="Times New Roman"/>
          <w:bCs/>
        </w:rPr>
        <w:lastRenderedPageBreak/>
        <w:t>10.</w:t>
      </w:r>
      <w:r>
        <w:rPr>
          <w:rFonts w:ascii="Times New Roman" w:hAnsi="Times New Roman"/>
          <w:bCs/>
        </w:rPr>
        <w:tab/>
      </w:r>
      <w:r w:rsidR="00F44C83">
        <w:rPr>
          <w:rFonts w:ascii="Times New Roman" w:hAnsi="Times New Roman"/>
          <w:bCs/>
        </w:rPr>
        <w:t>Again, a</w:t>
      </w:r>
      <w:r w:rsidR="001907D1">
        <w:rPr>
          <w:rFonts w:ascii="Times New Roman" w:hAnsi="Times New Roman"/>
          <w:bCs/>
        </w:rPr>
        <w:t xml:space="preserve">s Mr. Eberdt conceded in his </w:t>
      </w:r>
      <w:r w:rsidR="00745688">
        <w:rPr>
          <w:rFonts w:ascii="Times New Roman" w:hAnsi="Times New Roman"/>
          <w:bCs/>
        </w:rPr>
        <w:t xml:space="preserve">cross-answering testimony, “the Energy Project has </w:t>
      </w:r>
      <w:r w:rsidR="00D26942">
        <w:rPr>
          <w:rFonts w:ascii="Times New Roman" w:hAnsi="Times New Roman"/>
          <w:bCs/>
        </w:rPr>
        <w:t>not had sufficient</w:t>
      </w:r>
      <w:r w:rsidR="00745688">
        <w:rPr>
          <w:rFonts w:ascii="Times New Roman" w:hAnsi="Times New Roman"/>
          <w:bCs/>
        </w:rPr>
        <w:t xml:space="preserve"> time or resources to fully vet this issue [referring to the relative consumption by low-income as opposed to non-low inco</w:t>
      </w:r>
      <w:r>
        <w:rPr>
          <w:rFonts w:ascii="Times New Roman" w:hAnsi="Times New Roman"/>
          <w:bCs/>
        </w:rPr>
        <w:t xml:space="preserve">me PPL residential customers]. </w:t>
      </w:r>
      <w:r w:rsidR="00F44C83">
        <w:rPr>
          <w:rFonts w:ascii="Times New Roman" w:hAnsi="Times New Roman"/>
          <w:bCs/>
        </w:rPr>
        <w:t xml:space="preserve">” </w:t>
      </w:r>
      <w:r w:rsidR="00F44C83">
        <w:rPr>
          <w:rFonts w:ascii="Times New Roman" w:hAnsi="Times New Roman"/>
          <w:bCs/>
          <w:i/>
        </w:rPr>
        <w:t>Exh. CME-8T, p. 2, lns. 2-4.</w:t>
      </w:r>
      <w:r w:rsidR="00F44C83">
        <w:rPr>
          <w:rFonts w:ascii="Times New Roman" w:hAnsi="Times New Roman"/>
          <w:bCs/>
        </w:rPr>
        <w:t xml:space="preserve">  </w:t>
      </w:r>
      <w:r w:rsidR="00C021AD">
        <w:rPr>
          <w:rFonts w:ascii="Times New Roman" w:hAnsi="Times New Roman"/>
          <w:bCs/>
        </w:rPr>
        <w:t xml:space="preserve">Nonetheless, </w:t>
      </w:r>
      <w:r w:rsidR="00E5516F">
        <w:rPr>
          <w:rFonts w:ascii="Times New Roman" w:hAnsi="Times New Roman"/>
          <w:bCs/>
        </w:rPr>
        <w:t>the Energy Project</w:t>
      </w:r>
      <w:r w:rsidR="00C021AD">
        <w:rPr>
          <w:rFonts w:ascii="Times New Roman" w:hAnsi="Times New Roman"/>
          <w:bCs/>
        </w:rPr>
        <w:t xml:space="preserve"> base</w:t>
      </w:r>
      <w:r w:rsidR="004A3253">
        <w:rPr>
          <w:rFonts w:ascii="Times New Roman" w:hAnsi="Times New Roman"/>
          <w:bCs/>
        </w:rPr>
        <w:t xml:space="preserve">d its opposition to Staff’s proposed residential rate design on something greater than mere speculation and genuinely believes that additional, collaborative work on this issue will confirm that great care must be exercised when balancing the interests of low-income customers with the objective of encouraging conservation through higher rates imposed on </w:t>
      </w:r>
      <w:r>
        <w:rPr>
          <w:rFonts w:ascii="Times New Roman" w:hAnsi="Times New Roman"/>
          <w:bCs/>
        </w:rPr>
        <w:t>discretionary consumption</w:t>
      </w:r>
      <w:r w:rsidR="004A3253">
        <w:rPr>
          <w:rFonts w:ascii="Times New Roman" w:hAnsi="Times New Roman"/>
          <w:bCs/>
        </w:rPr>
        <w:t xml:space="preserve">.  </w:t>
      </w:r>
      <w:r>
        <w:rPr>
          <w:rFonts w:ascii="Times New Roman" w:hAnsi="Times New Roman"/>
          <w:bCs/>
        </w:rPr>
        <w:t xml:space="preserve">The danger in pursuing this latter objective is that </w:t>
      </w:r>
      <w:r w:rsidR="004B021D">
        <w:rPr>
          <w:rFonts w:ascii="Times New Roman" w:hAnsi="Times New Roman"/>
          <w:bCs/>
        </w:rPr>
        <w:t xml:space="preserve">if low-income customers use relatively high amounts of electricity because of factors beyond their control such as poor housing stock, reliance on electric heat, and the inability to install weatherization measures, then they have little to no discretion or ability to avoid their high consumption.  </w:t>
      </w:r>
      <w:r w:rsidR="004A3253">
        <w:rPr>
          <w:rFonts w:ascii="Times New Roman" w:hAnsi="Times New Roman"/>
          <w:bCs/>
        </w:rPr>
        <w:t xml:space="preserve">Considering that historic assumptions are now in doubt as to their accuracy, this collaborative effort to craft a residential design that best meets the disparate objectives described above </w:t>
      </w:r>
      <w:r w:rsidR="00D26942">
        <w:rPr>
          <w:rFonts w:ascii="Times New Roman" w:hAnsi="Times New Roman"/>
          <w:bCs/>
        </w:rPr>
        <w:t>will likely</w:t>
      </w:r>
      <w:r w:rsidR="004A3253">
        <w:rPr>
          <w:rFonts w:ascii="Times New Roman" w:hAnsi="Times New Roman"/>
          <w:bCs/>
        </w:rPr>
        <w:t xml:space="preserve"> be challenging and will likely involve some very unique solutions</w:t>
      </w:r>
      <w:r w:rsidR="004B021D">
        <w:rPr>
          <w:rFonts w:ascii="Times New Roman" w:hAnsi="Times New Roman"/>
          <w:bCs/>
        </w:rPr>
        <w:t>, but is essential</w:t>
      </w:r>
      <w:r w:rsidR="004A3253">
        <w:rPr>
          <w:rFonts w:ascii="Times New Roman" w:hAnsi="Times New Roman"/>
          <w:bCs/>
        </w:rPr>
        <w:t xml:space="preserve">.  </w:t>
      </w:r>
      <w:r w:rsidR="00586B21">
        <w:rPr>
          <w:rFonts w:ascii="Times New Roman" w:hAnsi="Times New Roman"/>
          <w:bCs/>
        </w:rPr>
        <w:t xml:space="preserve">  </w:t>
      </w:r>
    </w:p>
    <w:p w:rsidR="00AE60DE" w:rsidRPr="00EF3A8B" w:rsidRDefault="004B021D" w:rsidP="00635711">
      <w:pPr>
        <w:autoSpaceDE w:val="0"/>
        <w:autoSpaceDN w:val="0"/>
        <w:adjustRightInd w:val="0"/>
        <w:spacing w:line="480" w:lineRule="auto"/>
        <w:rPr>
          <w:rFonts w:ascii="Times New Roman" w:hAnsi="Times New Roman"/>
          <w:bCs/>
        </w:rPr>
      </w:pPr>
      <w:r>
        <w:rPr>
          <w:rFonts w:ascii="Times New Roman" w:hAnsi="Times New Roman"/>
          <w:bCs/>
        </w:rPr>
        <w:t>11</w:t>
      </w:r>
      <w:r w:rsidR="00AA5D7F">
        <w:rPr>
          <w:rFonts w:ascii="Times New Roman" w:hAnsi="Times New Roman"/>
          <w:bCs/>
        </w:rPr>
        <w:t>.</w:t>
      </w:r>
      <w:r w:rsidR="00AA5D7F">
        <w:rPr>
          <w:rFonts w:ascii="Times New Roman" w:hAnsi="Times New Roman"/>
          <w:bCs/>
        </w:rPr>
        <w:tab/>
      </w:r>
      <w:r w:rsidR="00586B21">
        <w:rPr>
          <w:rFonts w:ascii="Times New Roman" w:hAnsi="Times New Roman"/>
          <w:bCs/>
        </w:rPr>
        <w:t>Mr. Eberdt expressed concern that</w:t>
      </w:r>
      <w:r w:rsidR="00313802">
        <w:rPr>
          <w:rFonts w:ascii="Times New Roman" w:hAnsi="Times New Roman"/>
          <w:bCs/>
        </w:rPr>
        <w:t xml:space="preserve">, if one accepts the possibility that </w:t>
      </w:r>
      <w:r w:rsidR="00F44C83">
        <w:rPr>
          <w:rFonts w:ascii="Times New Roman" w:hAnsi="Times New Roman"/>
          <w:bCs/>
        </w:rPr>
        <w:t xml:space="preserve">PPL’s </w:t>
      </w:r>
      <w:r w:rsidR="00313802">
        <w:rPr>
          <w:rFonts w:ascii="Times New Roman" w:hAnsi="Times New Roman"/>
          <w:bCs/>
        </w:rPr>
        <w:t xml:space="preserve">low-income consumers are the highest </w:t>
      </w:r>
      <w:r w:rsidR="00163317">
        <w:rPr>
          <w:rFonts w:ascii="Times New Roman" w:hAnsi="Times New Roman"/>
          <w:bCs/>
        </w:rPr>
        <w:t xml:space="preserve">residential </w:t>
      </w:r>
      <w:r w:rsidR="00313802">
        <w:rPr>
          <w:rFonts w:ascii="Times New Roman" w:hAnsi="Times New Roman"/>
          <w:bCs/>
        </w:rPr>
        <w:t xml:space="preserve">users, especially during the cold weather months, then </w:t>
      </w:r>
      <w:r w:rsidR="00586B21">
        <w:rPr>
          <w:rFonts w:ascii="Times New Roman" w:hAnsi="Times New Roman"/>
          <w:bCs/>
        </w:rPr>
        <w:t xml:space="preserve">Staff’s proposed residential rate design changes would </w:t>
      </w:r>
      <w:r w:rsidR="00313802">
        <w:rPr>
          <w:rFonts w:ascii="Times New Roman" w:hAnsi="Times New Roman"/>
          <w:bCs/>
        </w:rPr>
        <w:t>result in low-income customers paying the</w:t>
      </w:r>
      <w:r w:rsidR="00F44C83">
        <w:rPr>
          <w:rFonts w:ascii="Times New Roman" w:hAnsi="Times New Roman"/>
          <w:bCs/>
        </w:rPr>
        <w:t xml:space="preserve"> highest residential energy rates that PPL charges</w:t>
      </w:r>
      <w:r w:rsidR="00313802">
        <w:rPr>
          <w:rFonts w:ascii="Times New Roman" w:hAnsi="Times New Roman"/>
          <w:bCs/>
        </w:rPr>
        <w:t>.</w:t>
      </w:r>
      <w:r>
        <w:rPr>
          <w:rFonts w:ascii="Times New Roman" w:hAnsi="Times New Roman"/>
          <w:bCs/>
        </w:rPr>
        <w:t xml:space="preserve">  Thus, Staff’s rate design proposal might well increase low-income bills and substantially so.</w:t>
      </w:r>
      <w:r w:rsidR="00313802">
        <w:rPr>
          <w:rFonts w:ascii="Times New Roman" w:hAnsi="Times New Roman"/>
          <w:bCs/>
        </w:rPr>
        <w:t xml:space="preserve">  </w:t>
      </w:r>
      <w:r w:rsidR="00CF4AB2">
        <w:rPr>
          <w:rFonts w:ascii="Times New Roman" w:hAnsi="Times New Roman"/>
          <w:bCs/>
        </w:rPr>
        <w:t xml:space="preserve">As Mr. Mickelson noted himself, his proposed rate design changes would target higher users.  </w:t>
      </w:r>
      <w:r w:rsidR="00163317">
        <w:rPr>
          <w:rFonts w:ascii="Times New Roman" w:hAnsi="Times New Roman"/>
          <w:bCs/>
        </w:rPr>
        <w:t xml:space="preserve">Based on </w:t>
      </w:r>
      <w:r w:rsidR="00CF4AB2">
        <w:rPr>
          <w:rFonts w:ascii="Times New Roman" w:hAnsi="Times New Roman"/>
          <w:bCs/>
        </w:rPr>
        <w:t xml:space="preserve">“simple logic and arithmetic,” </w:t>
      </w:r>
      <w:r w:rsidR="00313802">
        <w:rPr>
          <w:rFonts w:ascii="Times New Roman" w:hAnsi="Times New Roman"/>
          <w:bCs/>
        </w:rPr>
        <w:t xml:space="preserve"> Mr. Eberdt testified, </w:t>
      </w:r>
      <w:r w:rsidR="00CF4AB2">
        <w:rPr>
          <w:rFonts w:ascii="Times New Roman" w:hAnsi="Times New Roman"/>
          <w:bCs/>
        </w:rPr>
        <w:t xml:space="preserve">this disproportionate impact on higher users would occur both by increasing the first residential rate tier from 600-800 kWh as well as by adding a third tier. </w:t>
      </w:r>
      <w:r w:rsidR="0011113B">
        <w:rPr>
          <w:rFonts w:ascii="Times New Roman" w:hAnsi="Times New Roman"/>
          <w:bCs/>
        </w:rPr>
        <w:t xml:space="preserve"> </w:t>
      </w:r>
      <w:r w:rsidR="00CF4AB2">
        <w:rPr>
          <w:rFonts w:ascii="Times New Roman" w:hAnsi="Times New Roman"/>
          <w:bCs/>
          <w:i/>
        </w:rPr>
        <w:t>Id., p. 2, ln. 10.</w:t>
      </w:r>
      <w:r w:rsidR="00163317">
        <w:rPr>
          <w:rFonts w:ascii="Times New Roman" w:hAnsi="Times New Roman"/>
          <w:bCs/>
        </w:rPr>
        <w:t xml:space="preserve">  </w:t>
      </w:r>
      <w:r w:rsidR="00A57836">
        <w:rPr>
          <w:rFonts w:ascii="Times New Roman" w:hAnsi="Times New Roman"/>
          <w:bCs/>
        </w:rPr>
        <w:lastRenderedPageBreak/>
        <w:t xml:space="preserve">Despite the </w:t>
      </w:r>
      <w:r w:rsidR="00D26942">
        <w:rPr>
          <w:rFonts w:ascii="Times New Roman" w:hAnsi="Times New Roman"/>
          <w:bCs/>
        </w:rPr>
        <w:t>fact that</w:t>
      </w:r>
      <w:r w:rsidR="00A57836">
        <w:rPr>
          <w:rFonts w:ascii="Times New Roman" w:hAnsi="Times New Roman"/>
          <w:bCs/>
        </w:rPr>
        <w:t xml:space="preserve"> data provided by PPL</w:t>
      </w:r>
      <w:r w:rsidR="00D26942">
        <w:rPr>
          <w:rFonts w:ascii="Times New Roman" w:hAnsi="Times New Roman"/>
          <w:bCs/>
        </w:rPr>
        <w:t xml:space="preserve"> has not been fully scrutinized</w:t>
      </w:r>
      <w:r w:rsidR="00A57836">
        <w:rPr>
          <w:rFonts w:ascii="Times New Roman" w:hAnsi="Times New Roman"/>
          <w:bCs/>
        </w:rPr>
        <w:t xml:space="preserve">, </w:t>
      </w:r>
      <w:r w:rsidR="00163317">
        <w:rPr>
          <w:rFonts w:ascii="Times New Roman" w:hAnsi="Times New Roman"/>
          <w:bCs/>
        </w:rPr>
        <w:t xml:space="preserve">Mr. Eberdt </w:t>
      </w:r>
      <w:r w:rsidR="00A57836">
        <w:rPr>
          <w:rFonts w:ascii="Times New Roman" w:hAnsi="Times New Roman"/>
          <w:bCs/>
        </w:rPr>
        <w:t xml:space="preserve">still </w:t>
      </w:r>
      <w:r w:rsidR="00163317">
        <w:rPr>
          <w:rFonts w:ascii="Times New Roman" w:hAnsi="Times New Roman"/>
          <w:bCs/>
        </w:rPr>
        <w:t xml:space="preserve">felt that he had “gleaned enough </w:t>
      </w:r>
      <w:r w:rsidR="00E145A5">
        <w:rPr>
          <w:rFonts w:ascii="Times New Roman" w:hAnsi="Times New Roman"/>
          <w:bCs/>
        </w:rPr>
        <w:t xml:space="preserve">from the data provided [by PPL] thus far to form a basis for objecting to Mr. Mickelson’s proposal.” </w:t>
      </w:r>
      <w:r w:rsidR="00E145A5">
        <w:rPr>
          <w:rFonts w:ascii="Times New Roman" w:hAnsi="Times New Roman"/>
          <w:bCs/>
          <w:i/>
        </w:rPr>
        <w:t>Id., lns 5-</w:t>
      </w:r>
      <w:r w:rsidR="00EF3A8B">
        <w:rPr>
          <w:rFonts w:ascii="Times New Roman" w:hAnsi="Times New Roman"/>
          <w:bCs/>
        </w:rPr>
        <w:t>10</w:t>
      </w:r>
      <w:r w:rsidR="00E145A5">
        <w:rPr>
          <w:rFonts w:ascii="Times New Roman" w:hAnsi="Times New Roman"/>
          <w:bCs/>
          <w:i/>
        </w:rPr>
        <w:t>.</w:t>
      </w:r>
      <w:r w:rsidR="00A57836">
        <w:rPr>
          <w:rFonts w:ascii="Times New Roman" w:hAnsi="Times New Roman"/>
          <w:bCs/>
        </w:rPr>
        <w:t xml:space="preserve"> </w:t>
      </w:r>
      <w:r>
        <w:rPr>
          <w:rFonts w:ascii="Times New Roman" w:hAnsi="Times New Roman"/>
          <w:bCs/>
        </w:rPr>
        <w:t xml:space="preserve"> </w:t>
      </w:r>
      <w:r w:rsidR="00137353">
        <w:rPr>
          <w:rFonts w:ascii="Times New Roman" w:hAnsi="Times New Roman"/>
          <w:bCs/>
        </w:rPr>
        <w:t xml:space="preserve">For this same reason, </w:t>
      </w:r>
      <w:r w:rsidR="00EF3A8B">
        <w:rPr>
          <w:rFonts w:ascii="Times New Roman" w:hAnsi="Times New Roman"/>
          <w:bCs/>
        </w:rPr>
        <w:t xml:space="preserve">and despite the fact that Mr. Mickelson’s proposed rate design changes might be right-minded in terms of </w:t>
      </w:r>
      <w:r w:rsidR="00D26942">
        <w:rPr>
          <w:rFonts w:ascii="Times New Roman" w:hAnsi="Times New Roman"/>
          <w:bCs/>
        </w:rPr>
        <w:t>Staff’s</w:t>
      </w:r>
      <w:r w:rsidR="00EF3A8B">
        <w:rPr>
          <w:rFonts w:ascii="Times New Roman" w:hAnsi="Times New Roman"/>
          <w:bCs/>
        </w:rPr>
        <w:t xml:space="preserve"> objectives, </w:t>
      </w:r>
      <w:r w:rsidR="00137353">
        <w:rPr>
          <w:rFonts w:ascii="Times New Roman" w:hAnsi="Times New Roman"/>
          <w:bCs/>
        </w:rPr>
        <w:t xml:space="preserve">Mr. Eberdt reasoned that “it is premature to alter the Company’s existing residential rate design as proposed by Mr. Mickelson until such assessment </w:t>
      </w:r>
      <w:r w:rsidR="00EF3A8B">
        <w:rPr>
          <w:rFonts w:ascii="Times New Roman" w:hAnsi="Times New Roman"/>
          <w:bCs/>
        </w:rPr>
        <w:t>[</w:t>
      </w:r>
      <w:r>
        <w:rPr>
          <w:rFonts w:ascii="Times New Roman" w:hAnsi="Times New Roman"/>
          <w:bCs/>
        </w:rPr>
        <w:t xml:space="preserve">i.e., </w:t>
      </w:r>
      <w:r w:rsidR="00EF3A8B">
        <w:rPr>
          <w:rFonts w:ascii="Times New Roman" w:hAnsi="Times New Roman"/>
          <w:bCs/>
        </w:rPr>
        <w:t xml:space="preserve">the true relative level of low-income consumption and the impact of Staff’s proposed rate design changes on those customers] </w:t>
      </w:r>
      <w:r w:rsidR="00137353">
        <w:rPr>
          <w:rFonts w:ascii="Times New Roman" w:hAnsi="Times New Roman"/>
          <w:bCs/>
        </w:rPr>
        <w:t xml:space="preserve">has been made.” </w:t>
      </w:r>
      <w:r w:rsidR="00137353">
        <w:rPr>
          <w:rFonts w:ascii="Times New Roman" w:hAnsi="Times New Roman"/>
          <w:bCs/>
          <w:i/>
        </w:rPr>
        <w:t>Id., p. 2, ln. 22-p. 3, lns1-2.</w:t>
      </w:r>
      <w:r w:rsidR="00EF3A8B">
        <w:rPr>
          <w:rFonts w:ascii="Times New Roman" w:hAnsi="Times New Roman"/>
          <w:bCs/>
        </w:rPr>
        <w:t xml:space="preserve">  </w:t>
      </w:r>
    </w:p>
    <w:p w:rsidR="00637441" w:rsidRPr="000721B4" w:rsidRDefault="00EF3A8B" w:rsidP="00635711">
      <w:pPr>
        <w:autoSpaceDE w:val="0"/>
        <w:autoSpaceDN w:val="0"/>
        <w:adjustRightInd w:val="0"/>
        <w:spacing w:line="480" w:lineRule="auto"/>
        <w:rPr>
          <w:rFonts w:ascii="Times New Roman" w:hAnsi="Times New Roman"/>
          <w:i/>
        </w:rPr>
      </w:pPr>
      <w:r>
        <w:rPr>
          <w:rFonts w:ascii="Times New Roman" w:hAnsi="Times New Roman"/>
          <w:bCs/>
        </w:rPr>
        <w:t>1</w:t>
      </w:r>
      <w:r w:rsidR="004B021D">
        <w:rPr>
          <w:rFonts w:ascii="Times New Roman" w:hAnsi="Times New Roman"/>
          <w:bCs/>
        </w:rPr>
        <w:t>2</w:t>
      </w:r>
      <w:r w:rsidR="0011113B">
        <w:rPr>
          <w:rFonts w:ascii="Times New Roman" w:hAnsi="Times New Roman"/>
          <w:bCs/>
        </w:rPr>
        <w:t>.</w:t>
      </w:r>
      <w:r w:rsidR="0011113B">
        <w:rPr>
          <w:rFonts w:ascii="Times New Roman" w:hAnsi="Times New Roman"/>
          <w:bCs/>
        </w:rPr>
        <w:tab/>
        <w:t>The Energy Project was not alone in its opposition to Mr. Mickelson’s proposed rate design changes.  The Company also opposed Staff’s residential rate design proposal regarding the revision of the existing two-tiered rate structure through the rebuttal testimony of Ms. Joelle Steward who testified that:  “t</w:t>
      </w:r>
      <w:r w:rsidR="0011113B">
        <w:rPr>
          <w:rFonts w:ascii="Times New Roman" w:hAnsi="Times New Roman"/>
        </w:rPr>
        <w:t xml:space="preserve">he Company does not support Mr. Mickelson’s other proposed changes to residential rate design because the supporting information is neither current nor necessarily reflective of the Company’s Washington service area.” </w:t>
      </w:r>
      <w:r w:rsidR="0011113B">
        <w:rPr>
          <w:rFonts w:ascii="Times New Roman" w:hAnsi="Times New Roman"/>
          <w:i/>
        </w:rPr>
        <w:t>Exh. JRS-T2, p. 2, lns. 14-17.</w:t>
      </w:r>
      <w:r w:rsidR="0011113B">
        <w:rPr>
          <w:rFonts w:ascii="Times New Roman" w:hAnsi="Times New Roman"/>
        </w:rPr>
        <w:t xml:space="preserve">  Ms. Steward argued that the Company’s existing residential rate structure “already sends strong price signals to more customers than Mr. Mickelson’s proposed rate structure, including high usage customers.”  </w:t>
      </w:r>
      <w:r w:rsidR="0011113B">
        <w:rPr>
          <w:rFonts w:ascii="Times New Roman" w:hAnsi="Times New Roman"/>
          <w:i/>
        </w:rPr>
        <w:t>Id., lns. 18-21.</w:t>
      </w:r>
      <w:r w:rsidR="0011113B">
        <w:rPr>
          <w:rFonts w:ascii="Times New Roman" w:hAnsi="Times New Roman"/>
        </w:rPr>
        <w:t xml:space="preserve">  In addition, </w:t>
      </w:r>
      <w:r w:rsidR="00AA6D6C">
        <w:rPr>
          <w:rFonts w:ascii="Times New Roman" w:hAnsi="Times New Roman"/>
        </w:rPr>
        <w:t>Ms. Steward testified, “</w:t>
      </w:r>
      <w:r w:rsidR="0011113B">
        <w:rPr>
          <w:rFonts w:ascii="Times New Roman" w:hAnsi="Times New Roman"/>
        </w:rPr>
        <w:t>the proposed rate structure could adversely impact the benefits customers receive through the Low Income Bill Assistance Program (LIBA)</w:t>
      </w:r>
      <w:r w:rsidR="00AA6D6C">
        <w:rPr>
          <w:rFonts w:ascii="Times New Roman" w:hAnsi="Times New Roman"/>
        </w:rPr>
        <w:t xml:space="preserve">.” </w:t>
      </w:r>
      <w:r w:rsidR="00AA6D6C">
        <w:rPr>
          <w:rFonts w:ascii="Times New Roman" w:hAnsi="Times New Roman"/>
          <w:i/>
        </w:rPr>
        <w:t>Id. pp. 19-21.</w:t>
      </w:r>
      <w:r w:rsidR="00AA6D6C">
        <w:rPr>
          <w:rFonts w:ascii="Times New Roman" w:hAnsi="Times New Roman"/>
        </w:rPr>
        <w:t xml:space="preserve">  Ms. Steward argued that under Staff’s proposed rate design changes, some low-income customers “would not receive a low income credit in some months.” </w:t>
      </w:r>
      <w:r w:rsidR="00AA6D6C">
        <w:rPr>
          <w:rFonts w:ascii="Times New Roman" w:hAnsi="Times New Roman"/>
          <w:i/>
        </w:rPr>
        <w:t>Id. p. 21, lns. 1-2.</w:t>
      </w:r>
      <w:r w:rsidR="00637441">
        <w:rPr>
          <w:rFonts w:ascii="Times New Roman" w:hAnsi="Times New Roman"/>
        </w:rPr>
        <w:t xml:space="preserve">  Ms. Steward concluded her discussion of this issue noting that Staff’s proposal to alter the existing tiered residential rate structure “was not included in the </w:t>
      </w:r>
      <w:r w:rsidR="00637441">
        <w:rPr>
          <w:rFonts w:ascii="Times New Roman" w:hAnsi="Times New Roman"/>
        </w:rPr>
        <w:lastRenderedPageBreak/>
        <w:t xml:space="preserve">required notice to customers for this case; therefore, residential customers that would be affected would have not had an opportunity to comment before implementation.” </w:t>
      </w:r>
      <w:r w:rsidR="00313802">
        <w:rPr>
          <w:rFonts w:ascii="Times New Roman" w:hAnsi="Times New Roman"/>
        </w:rPr>
        <w:t xml:space="preserve"> </w:t>
      </w:r>
      <w:r w:rsidR="000721B4">
        <w:rPr>
          <w:rFonts w:ascii="Times New Roman" w:hAnsi="Times New Roman"/>
          <w:i/>
        </w:rPr>
        <w:t>Id., lns. 3-6.</w:t>
      </w:r>
    </w:p>
    <w:p w:rsidR="006B6D20" w:rsidRDefault="00913AF1" w:rsidP="00635711">
      <w:pPr>
        <w:autoSpaceDE w:val="0"/>
        <w:autoSpaceDN w:val="0"/>
        <w:adjustRightInd w:val="0"/>
        <w:spacing w:line="480" w:lineRule="auto"/>
        <w:rPr>
          <w:rFonts w:ascii="Times New Roman" w:hAnsi="Times New Roman"/>
          <w:bCs/>
        </w:rPr>
      </w:pPr>
      <w:r>
        <w:rPr>
          <w:rFonts w:ascii="Times New Roman" w:hAnsi="Times New Roman"/>
          <w:bCs/>
        </w:rPr>
        <w:t>1</w:t>
      </w:r>
      <w:r w:rsidR="004B021D">
        <w:rPr>
          <w:rFonts w:ascii="Times New Roman" w:hAnsi="Times New Roman"/>
          <w:bCs/>
        </w:rPr>
        <w:t>3</w:t>
      </w:r>
      <w:r w:rsidR="006B6D20">
        <w:rPr>
          <w:rFonts w:ascii="Times New Roman" w:hAnsi="Times New Roman"/>
          <w:bCs/>
        </w:rPr>
        <w:t>.</w:t>
      </w:r>
      <w:r w:rsidR="006B6D20">
        <w:rPr>
          <w:rFonts w:ascii="Times New Roman" w:hAnsi="Times New Roman"/>
          <w:bCs/>
        </w:rPr>
        <w:tab/>
        <w:t>Following the filing of PPL’s rebuttal and the other parties’ cross-answering testimonies, settlement discussions were conducted resulting in a Partial Settlement Regarding Cost of Service, Rate Spread, and Rate Design and executed by the Energy Project, the Company, Staff, Public Counsel and Boise White Paper</w:t>
      </w:r>
      <w:r w:rsidR="0006162F">
        <w:rPr>
          <w:rFonts w:ascii="Times New Roman" w:hAnsi="Times New Roman"/>
          <w:bCs/>
        </w:rPr>
        <w:t xml:space="preserve"> and filed with the Commission on August 21, 2013</w:t>
      </w:r>
      <w:r w:rsidR="006B6D20">
        <w:rPr>
          <w:rFonts w:ascii="Times New Roman" w:hAnsi="Times New Roman"/>
          <w:bCs/>
        </w:rPr>
        <w:t>.  That partial settlement involved a variety of issues.  Those issues relevant to the Energy Project’s direct interests inc</w:t>
      </w:r>
      <w:r>
        <w:rPr>
          <w:rFonts w:ascii="Times New Roman" w:hAnsi="Times New Roman"/>
          <w:bCs/>
        </w:rPr>
        <w:t>lude the impacts of Staff’s proposed residential rate designs on low-income residential customers as discussed below</w:t>
      </w:r>
      <w:r w:rsidR="0006162F">
        <w:rPr>
          <w:rFonts w:ascii="Times New Roman" w:hAnsi="Times New Roman"/>
          <w:bCs/>
        </w:rPr>
        <w:t>.</w:t>
      </w:r>
    </w:p>
    <w:p w:rsidR="0006162F" w:rsidRDefault="00913AF1" w:rsidP="00635711">
      <w:pPr>
        <w:autoSpaceDE w:val="0"/>
        <w:autoSpaceDN w:val="0"/>
        <w:adjustRightInd w:val="0"/>
        <w:spacing w:line="480" w:lineRule="auto"/>
        <w:rPr>
          <w:rFonts w:ascii="Times New Roman" w:hAnsi="Times New Roman"/>
          <w:bCs/>
        </w:rPr>
      </w:pPr>
      <w:r>
        <w:rPr>
          <w:rFonts w:ascii="Times New Roman" w:hAnsi="Times New Roman"/>
          <w:bCs/>
        </w:rPr>
        <w:t>1</w:t>
      </w:r>
      <w:r w:rsidR="004B021D">
        <w:rPr>
          <w:rFonts w:ascii="Times New Roman" w:hAnsi="Times New Roman"/>
          <w:bCs/>
        </w:rPr>
        <w:t>4</w:t>
      </w:r>
      <w:r w:rsidR="0006162F">
        <w:rPr>
          <w:rFonts w:ascii="Times New Roman" w:hAnsi="Times New Roman"/>
          <w:bCs/>
        </w:rPr>
        <w:t>.</w:t>
      </w:r>
      <w:r w:rsidR="0006162F">
        <w:rPr>
          <w:rFonts w:ascii="Times New Roman" w:hAnsi="Times New Roman"/>
          <w:bCs/>
        </w:rPr>
        <w:tab/>
        <w:t>As part of the partial settlement, it was agreed that any increase to the Company’s residential rate class be recovered through “an equal percentage increase to all demand and energy rate components within each rate schedule,” and that the Company’s basic monthly charge be increased from $6.00 to $7.75.  The effect of the partial settlement is that, among other things, Staff’s proposed residential rate de</w:t>
      </w:r>
      <w:r w:rsidR="00635711">
        <w:rPr>
          <w:rFonts w:ascii="Times New Roman" w:hAnsi="Times New Roman"/>
          <w:bCs/>
        </w:rPr>
        <w:t>sign changes will no longer be proposed</w:t>
      </w:r>
      <w:r w:rsidR="0006162F">
        <w:rPr>
          <w:rFonts w:ascii="Times New Roman" w:hAnsi="Times New Roman"/>
          <w:bCs/>
        </w:rPr>
        <w:t xml:space="preserve"> or supported by Staff or any other party to this case.  The partial settlement is applicable only to any rate </w:t>
      </w:r>
      <w:r w:rsidR="001466D8">
        <w:rPr>
          <w:rFonts w:ascii="Times New Roman" w:hAnsi="Times New Roman"/>
          <w:bCs/>
        </w:rPr>
        <w:t>increase</w:t>
      </w:r>
      <w:r w:rsidR="0006162F">
        <w:rPr>
          <w:rFonts w:ascii="Times New Roman" w:hAnsi="Times New Roman"/>
          <w:bCs/>
        </w:rPr>
        <w:t xml:space="preserve"> resulting from the Commission’s ruling in this case.  The</w:t>
      </w:r>
      <w:r w:rsidR="001466D8">
        <w:rPr>
          <w:rFonts w:ascii="Times New Roman" w:hAnsi="Times New Roman"/>
          <w:bCs/>
        </w:rPr>
        <w:t xml:space="preserve"> parties are free to propose residential rate design changes in future cases following a reasonable </w:t>
      </w:r>
      <w:r w:rsidR="00D26942">
        <w:rPr>
          <w:rFonts w:ascii="Times New Roman" w:hAnsi="Times New Roman"/>
          <w:bCs/>
        </w:rPr>
        <w:t xml:space="preserve">period of </w:t>
      </w:r>
      <w:r w:rsidR="001466D8">
        <w:rPr>
          <w:rFonts w:ascii="Times New Roman" w:hAnsi="Times New Roman"/>
          <w:bCs/>
        </w:rPr>
        <w:t xml:space="preserve">time </w:t>
      </w:r>
      <w:r w:rsidR="004B021D">
        <w:rPr>
          <w:rFonts w:ascii="Times New Roman" w:hAnsi="Times New Roman"/>
          <w:bCs/>
        </w:rPr>
        <w:t>during</w:t>
      </w:r>
      <w:r w:rsidR="001466D8">
        <w:rPr>
          <w:rFonts w:ascii="Times New Roman" w:hAnsi="Times New Roman"/>
          <w:bCs/>
        </w:rPr>
        <w:t xml:space="preserve"> which they can work collaboratively to identify means of balancing the objectives of sending conservation price signals to residential customers while protecting low-income customers from paying a disproportionate share of the residential class revenue requirement while having no realistic ability to reduce their consumption</w:t>
      </w:r>
      <w:r w:rsidR="0006162F">
        <w:rPr>
          <w:rFonts w:ascii="Times New Roman" w:hAnsi="Times New Roman"/>
          <w:bCs/>
        </w:rPr>
        <w:t>.</w:t>
      </w:r>
    </w:p>
    <w:p w:rsidR="00BA767C" w:rsidRDefault="00CF478A" w:rsidP="00635711">
      <w:pPr>
        <w:autoSpaceDE w:val="0"/>
        <w:autoSpaceDN w:val="0"/>
        <w:adjustRightInd w:val="0"/>
        <w:spacing w:line="480" w:lineRule="auto"/>
        <w:rPr>
          <w:rFonts w:ascii="Times New Roman" w:hAnsi="Times New Roman"/>
          <w:bCs/>
        </w:rPr>
      </w:pPr>
      <w:r>
        <w:rPr>
          <w:rFonts w:ascii="Times New Roman" w:hAnsi="Times New Roman"/>
          <w:bCs/>
        </w:rPr>
        <w:t>1</w:t>
      </w:r>
      <w:r w:rsidR="004B021D">
        <w:rPr>
          <w:rFonts w:ascii="Times New Roman" w:hAnsi="Times New Roman"/>
          <w:bCs/>
        </w:rPr>
        <w:t>5</w:t>
      </w:r>
      <w:r w:rsidR="0006162F">
        <w:rPr>
          <w:rFonts w:ascii="Times New Roman" w:hAnsi="Times New Roman"/>
          <w:bCs/>
        </w:rPr>
        <w:t>.</w:t>
      </w:r>
      <w:r w:rsidR="0006162F">
        <w:rPr>
          <w:rFonts w:ascii="Times New Roman" w:hAnsi="Times New Roman"/>
          <w:bCs/>
        </w:rPr>
        <w:tab/>
      </w:r>
      <w:r w:rsidR="006E5696">
        <w:rPr>
          <w:rFonts w:ascii="Times New Roman" w:hAnsi="Times New Roman"/>
          <w:bCs/>
        </w:rPr>
        <w:t>The partial settlement was supported by the Joint Testimony of Christopher T. Mickelson, Joelle R. Steward, Lea Daeschel, Charles Eberdt and Michael C. Deen</w:t>
      </w:r>
      <w:r w:rsidR="00CE4242">
        <w:rPr>
          <w:rFonts w:ascii="Times New Roman" w:hAnsi="Times New Roman"/>
          <w:bCs/>
        </w:rPr>
        <w:t xml:space="preserve"> all of whom </w:t>
      </w:r>
      <w:r w:rsidR="00CE4242">
        <w:rPr>
          <w:rFonts w:ascii="Times New Roman" w:hAnsi="Times New Roman"/>
          <w:bCs/>
        </w:rPr>
        <w:lastRenderedPageBreak/>
        <w:t>testified jointly and appeared at the hearing as a panel where the witnesses were available to the Commissioners for cross-examination</w:t>
      </w:r>
      <w:r w:rsidR="00BA767C">
        <w:rPr>
          <w:rFonts w:ascii="Times New Roman" w:hAnsi="Times New Roman"/>
          <w:bCs/>
        </w:rPr>
        <w:t xml:space="preserve">.  The Energy Project notes that Commissioners Goltz and Danner asked a number of questions of the panel </w:t>
      </w:r>
      <w:r w:rsidR="00203172">
        <w:rPr>
          <w:rFonts w:ascii="Times New Roman" w:hAnsi="Times New Roman"/>
          <w:bCs/>
        </w:rPr>
        <w:t>during the hearing in this matter including, among other things,</w:t>
      </w:r>
      <w:r w:rsidR="00BA767C">
        <w:rPr>
          <w:rFonts w:ascii="Times New Roman" w:hAnsi="Times New Roman"/>
          <w:bCs/>
        </w:rPr>
        <w:t xml:space="preserve"> whether the imposition of a third residential rate tier was desirable because it would target those customers with a high degree of discretionary usage and questioning whether it was very likely that low-income customers would be among the Company’s highest residential consumers.</w:t>
      </w:r>
    </w:p>
    <w:p w:rsidR="004B021D" w:rsidRDefault="004B021D" w:rsidP="00635711">
      <w:pPr>
        <w:autoSpaceDE w:val="0"/>
        <w:autoSpaceDN w:val="0"/>
        <w:adjustRightInd w:val="0"/>
        <w:spacing w:line="480" w:lineRule="auto"/>
        <w:rPr>
          <w:rFonts w:ascii="Times New Roman" w:hAnsi="Times New Roman"/>
          <w:bCs/>
        </w:rPr>
      </w:pPr>
      <w:r>
        <w:rPr>
          <w:rFonts w:ascii="Times New Roman" w:hAnsi="Times New Roman"/>
          <w:bCs/>
        </w:rPr>
        <w:t>16.</w:t>
      </w:r>
      <w:r>
        <w:rPr>
          <w:rFonts w:ascii="Times New Roman" w:hAnsi="Times New Roman"/>
          <w:bCs/>
        </w:rPr>
        <w:tab/>
        <w:t>The Energy Project submits that the partial settlement constitutes a wise course of action by which Staff’s conservation price signal objectives will be fully explored along with the Energy Project’s objectives of avoiding a rate design that punishes low-income customers for non-discretionary consumption.  The collective wisdom, knowledge and skills of the respective participants to such a collaborative should produce valuable information to better inform the Commission when this matter is addressed at a future time.</w:t>
      </w:r>
    </w:p>
    <w:p w:rsidR="00091E12" w:rsidRDefault="00091E12" w:rsidP="00091E12">
      <w:pPr>
        <w:autoSpaceDE w:val="0"/>
        <w:autoSpaceDN w:val="0"/>
        <w:adjustRightInd w:val="0"/>
        <w:spacing w:line="480" w:lineRule="auto"/>
        <w:jc w:val="center"/>
        <w:rPr>
          <w:rFonts w:ascii="Times New Roman" w:hAnsi="Times New Roman"/>
          <w:b/>
          <w:bCs/>
        </w:rPr>
      </w:pPr>
      <w:r>
        <w:rPr>
          <w:rFonts w:ascii="Times New Roman" w:hAnsi="Times New Roman"/>
          <w:b/>
          <w:bCs/>
        </w:rPr>
        <w:t>II.</w:t>
      </w:r>
      <w:r>
        <w:rPr>
          <w:rFonts w:ascii="Times New Roman" w:hAnsi="Times New Roman"/>
          <w:b/>
          <w:bCs/>
        </w:rPr>
        <w:tab/>
        <w:t>CONCLUSION</w:t>
      </w:r>
    </w:p>
    <w:p w:rsidR="00091E12" w:rsidRDefault="00463CAC" w:rsidP="00091E12">
      <w:pPr>
        <w:autoSpaceDE w:val="0"/>
        <w:autoSpaceDN w:val="0"/>
        <w:adjustRightInd w:val="0"/>
        <w:spacing w:line="480" w:lineRule="auto"/>
        <w:rPr>
          <w:rFonts w:ascii="Times New Roman" w:hAnsi="Times New Roman"/>
          <w:bCs/>
        </w:rPr>
      </w:pPr>
      <w:r>
        <w:rPr>
          <w:rFonts w:ascii="Times New Roman" w:hAnsi="Times New Roman"/>
          <w:bCs/>
        </w:rPr>
        <w:t>17.</w:t>
      </w:r>
      <w:r w:rsidR="00E2265F">
        <w:rPr>
          <w:rFonts w:ascii="Times New Roman" w:hAnsi="Times New Roman"/>
          <w:bCs/>
        </w:rPr>
        <w:tab/>
        <w:t xml:space="preserve">The Energy Project remains concerned about the magnitude of the Company’s requested rate increase and the impact on the poor of the annual filing of general rate cases.  </w:t>
      </w:r>
      <w:r w:rsidR="00B1106C">
        <w:rPr>
          <w:rFonts w:ascii="Times New Roman" w:hAnsi="Times New Roman"/>
          <w:bCs/>
        </w:rPr>
        <w:t>As noted, the Energy Project did not take a position on issues related to revenue requirement and revenue allocation or “rate spread” in this proceeding.</w:t>
      </w:r>
    </w:p>
    <w:p w:rsidR="00582993" w:rsidRDefault="00463CAC" w:rsidP="00091E12">
      <w:pPr>
        <w:autoSpaceDE w:val="0"/>
        <w:autoSpaceDN w:val="0"/>
        <w:adjustRightInd w:val="0"/>
        <w:spacing w:line="480" w:lineRule="auto"/>
        <w:rPr>
          <w:rFonts w:ascii="Times New Roman" w:hAnsi="Times New Roman"/>
          <w:bCs/>
        </w:rPr>
      </w:pPr>
      <w:r>
        <w:rPr>
          <w:rFonts w:ascii="Times New Roman" w:hAnsi="Times New Roman"/>
          <w:bCs/>
        </w:rPr>
        <w:t>18.</w:t>
      </w:r>
      <w:r w:rsidR="00582993">
        <w:rPr>
          <w:rFonts w:ascii="Times New Roman" w:hAnsi="Times New Roman"/>
          <w:bCs/>
        </w:rPr>
        <w:tab/>
      </w:r>
      <w:r w:rsidR="00D26942">
        <w:rPr>
          <w:rFonts w:ascii="Times New Roman" w:hAnsi="Times New Roman"/>
          <w:bCs/>
        </w:rPr>
        <w:t>Notwithstanding i</w:t>
      </w:r>
      <w:r w:rsidR="00582993">
        <w:rPr>
          <w:rFonts w:ascii="Times New Roman" w:hAnsi="Times New Roman"/>
          <w:bCs/>
        </w:rPr>
        <w:t>ts concern over rapidly increasing electric bills for the poor, the Energy Project supports the LIBA changes proposed by the Company under the 5-year plan and either not challenged or supported by all other parties to this case.</w:t>
      </w:r>
    </w:p>
    <w:p w:rsidR="001A1E48" w:rsidRDefault="00463CAC" w:rsidP="00091E12">
      <w:pPr>
        <w:autoSpaceDE w:val="0"/>
        <w:autoSpaceDN w:val="0"/>
        <w:adjustRightInd w:val="0"/>
        <w:spacing w:line="480" w:lineRule="auto"/>
        <w:rPr>
          <w:rFonts w:ascii="Times New Roman" w:hAnsi="Times New Roman"/>
          <w:bCs/>
        </w:rPr>
      </w:pPr>
      <w:r>
        <w:rPr>
          <w:rFonts w:ascii="Times New Roman" w:hAnsi="Times New Roman"/>
          <w:bCs/>
        </w:rPr>
        <w:t>19.</w:t>
      </w:r>
      <w:r w:rsidR="00B1106C">
        <w:rPr>
          <w:rFonts w:ascii="Times New Roman" w:hAnsi="Times New Roman"/>
          <w:bCs/>
        </w:rPr>
        <w:tab/>
        <w:t xml:space="preserve">The Energy Project supports the partial settlement suspending Staff’s residential rate design changes and respectfully requests that the Commission direct the parties to analyze the </w:t>
      </w:r>
      <w:r w:rsidR="00B1106C">
        <w:rPr>
          <w:rFonts w:ascii="Times New Roman" w:hAnsi="Times New Roman"/>
          <w:bCs/>
        </w:rPr>
        <w:lastRenderedPageBreak/>
        <w:t>issues raised by the Energy Project in this case and related to low-income consumption and the need to craft a rate design that is fair, just and</w:t>
      </w:r>
      <w:r w:rsidR="006E44C2">
        <w:rPr>
          <w:rFonts w:ascii="Times New Roman" w:hAnsi="Times New Roman"/>
          <w:bCs/>
        </w:rPr>
        <w:t xml:space="preserve"> reasonable to those customers.  </w:t>
      </w:r>
      <w:r w:rsidR="001A1E48">
        <w:rPr>
          <w:rFonts w:ascii="Times New Roman" w:hAnsi="Times New Roman"/>
          <w:bCs/>
        </w:rPr>
        <w:t>The Energy Project, therefore, requests that the Commission accept the partial settlement and order the collaborative rate design effort just described.</w:t>
      </w:r>
    </w:p>
    <w:p w:rsidR="005F36C4" w:rsidRDefault="005F36C4" w:rsidP="00635711">
      <w:pPr>
        <w:rPr>
          <w:rFonts w:ascii="Times New Roman" w:hAnsi="Times New Roman"/>
        </w:rPr>
      </w:pPr>
    </w:p>
    <w:p w:rsidR="00D21F00" w:rsidRPr="003D58CA" w:rsidRDefault="00D21F00" w:rsidP="00635711">
      <w:pPr>
        <w:rPr>
          <w:rFonts w:ascii="Times New Roman" w:hAnsi="Times New Roman"/>
        </w:rPr>
      </w:pPr>
      <w:r w:rsidRPr="003D58CA">
        <w:rPr>
          <w:rFonts w:ascii="Times New Roman" w:hAnsi="Times New Roman"/>
        </w:rPr>
        <w:t xml:space="preserve">RESPECTFULLY SUBMITTED, this </w:t>
      </w:r>
      <w:r w:rsidR="00204629">
        <w:rPr>
          <w:rFonts w:ascii="Times New Roman" w:hAnsi="Times New Roman"/>
        </w:rPr>
        <w:t>1</w:t>
      </w:r>
      <w:r w:rsidR="00204629" w:rsidRPr="00204629">
        <w:rPr>
          <w:rFonts w:ascii="Times New Roman" w:hAnsi="Times New Roman"/>
          <w:vertAlign w:val="superscript"/>
        </w:rPr>
        <w:t>st</w:t>
      </w:r>
      <w:r w:rsidR="00204629">
        <w:rPr>
          <w:rFonts w:ascii="Times New Roman" w:hAnsi="Times New Roman"/>
        </w:rPr>
        <w:t xml:space="preserve"> day of October, 2013.</w:t>
      </w:r>
    </w:p>
    <w:p w:rsidR="00D21F00" w:rsidRPr="003D58CA" w:rsidRDefault="00D21F00" w:rsidP="00635711">
      <w:pPr>
        <w:rPr>
          <w:rFonts w:ascii="Times New Roman" w:hAnsi="Times New Roman"/>
        </w:rPr>
      </w:pPr>
    </w:p>
    <w:p w:rsidR="00D21F00" w:rsidRPr="003D58CA" w:rsidRDefault="00D21F00" w:rsidP="00635711">
      <w:pPr>
        <w:rPr>
          <w:rFonts w:ascii="Times New Roman" w:hAnsi="Times New Roman"/>
        </w:rPr>
      </w:pPr>
    </w:p>
    <w:p w:rsidR="00D21F00" w:rsidRPr="003D58CA" w:rsidRDefault="00D21F00" w:rsidP="00635711">
      <w:pPr>
        <w:rPr>
          <w:rFonts w:ascii="Times New Roman" w:hAnsi="Times New Roman"/>
        </w:rPr>
      </w:pPr>
    </w:p>
    <w:p w:rsidR="00D21F00" w:rsidRPr="003D58CA" w:rsidRDefault="00D21F00" w:rsidP="00635711">
      <w:pPr>
        <w:rPr>
          <w:rFonts w:ascii="Times New Roman" w:hAnsi="Times New Roman"/>
        </w:rPr>
      </w:pPr>
    </w:p>
    <w:p w:rsidR="00D21F00" w:rsidRPr="003D58CA" w:rsidRDefault="00D21F00" w:rsidP="00635711">
      <w:pPr>
        <w:rPr>
          <w:rFonts w:ascii="Times New Roman" w:hAnsi="Times New Roman"/>
        </w:rPr>
      </w:pP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t>_____________________________________</w:t>
      </w:r>
    </w:p>
    <w:p w:rsidR="00D21F00" w:rsidRPr="003D58CA" w:rsidRDefault="00D21F00" w:rsidP="00635711">
      <w:pPr>
        <w:rPr>
          <w:rFonts w:ascii="Times New Roman" w:hAnsi="Times New Roman"/>
        </w:rPr>
      </w:pP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t>Brad M. Purdy</w:t>
      </w:r>
    </w:p>
    <w:p w:rsidR="00D21F00" w:rsidRDefault="00D21F00" w:rsidP="00635711">
      <w:pPr>
        <w:rPr>
          <w:rFonts w:ascii="Times New Roman" w:hAnsi="Times New Roman"/>
        </w:rPr>
      </w:pP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r>
      <w:r w:rsidRPr="003D58CA">
        <w:rPr>
          <w:rFonts w:ascii="Times New Roman" w:hAnsi="Times New Roman"/>
        </w:rPr>
        <w:tab/>
        <w:t>Attorney for the Energy Project</w:t>
      </w:r>
    </w:p>
    <w:p w:rsidR="00204629" w:rsidRDefault="00204629" w:rsidP="00204629">
      <w:pPr>
        <w:pStyle w:val="Title"/>
        <w:jc w:val="left"/>
        <w:rPr>
          <w:b w:val="0"/>
        </w:rPr>
      </w:pPr>
      <w:r>
        <w:tab/>
      </w:r>
      <w:r>
        <w:tab/>
      </w:r>
      <w:r>
        <w:tab/>
      </w:r>
      <w:r>
        <w:tab/>
      </w:r>
      <w:r>
        <w:tab/>
      </w:r>
      <w:r>
        <w:tab/>
      </w:r>
      <w:r>
        <w:rPr>
          <w:b w:val="0"/>
        </w:rPr>
        <w:t>Attorney at Law</w:t>
      </w:r>
    </w:p>
    <w:p w:rsidR="00204629" w:rsidRDefault="00204629" w:rsidP="00204629">
      <w:pPr>
        <w:pStyle w:val="Title"/>
        <w:jc w:val="left"/>
        <w:rPr>
          <w:b w:val="0"/>
        </w:rPr>
      </w:pPr>
      <w:r>
        <w:rPr>
          <w:b w:val="0"/>
        </w:rPr>
        <w:tab/>
      </w:r>
      <w:r>
        <w:rPr>
          <w:b w:val="0"/>
        </w:rPr>
        <w:tab/>
      </w:r>
      <w:r>
        <w:rPr>
          <w:b w:val="0"/>
        </w:rPr>
        <w:tab/>
      </w:r>
      <w:r>
        <w:rPr>
          <w:b w:val="0"/>
        </w:rPr>
        <w:tab/>
      </w:r>
      <w:r>
        <w:rPr>
          <w:b w:val="0"/>
        </w:rPr>
        <w:tab/>
      </w:r>
      <w:r>
        <w:rPr>
          <w:b w:val="0"/>
        </w:rPr>
        <w:tab/>
        <w:t>2019 N. 17</w:t>
      </w:r>
      <w:r>
        <w:rPr>
          <w:b w:val="0"/>
          <w:vertAlign w:val="superscript"/>
        </w:rPr>
        <w:t>th</w:t>
      </w:r>
      <w:r>
        <w:rPr>
          <w:b w:val="0"/>
        </w:rPr>
        <w:t xml:space="preserve"> St.</w:t>
      </w:r>
    </w:p>
    <w:p w:rsidR="00204629" w:rsidRDefault="00204629" w:rsidP="00204629">
      <w:pPr>
        <w:pStyle w:val="Title"/>
        <w:jc w:val="left"/>
        <w:rPr>
          <w:b w:val="0"/>
        </w:rPr>
      </w:pPr>
      <w:r>
        <w:rPr>
          <w:b w:val="0"/>
        </w:rPr>
        <w:tab/>
      </w:r>
      <w:r>
        <w:rPr>
          <w:b w:val="0"/>
        </w:rPr>
        <w:tab/>
      </w:r>
      <w:r>
        <w:rPr>
          <w:b w:val="0"/>
        </w:rPr>
        <w:tab/>
      </w:r>
      <w:r>
        <w:rPr>
          <w:b w:val="0"/>
        </w:rPr>
        <w:tab/>
      </w:r>
      <w:r>
        <w:rPr>
          <w:b w:val="0"/>
        </w:rPr>
        <w:tab/>
      </w:r>
      <w:r>
        <w:rPr>
          <w:b w:val="0"/>
        </w:rPr>
        <w:tab/>
        <w:t>Boise, ID.  83702</w:t>
      </w:r>
    </w:p>
    <w:p w:rsidR="00204629" w:rsidRDefault="00204629" w:rsidP="00204629">
      <w:pPr>
        <w:pStyle w:val="Title"/>
        <w:jc w:val="left"/>
        <w:rPr>
          <w:b w:val="0"/>
        </w:rPr>
      </w:pPr>
      <w:r>
        <w:rPr>
          <w:b w:val="0"/>
        </w:rPr>
        <w:tab/>
      </w:r>
      <w:r>
        <w:rPr>
          <w:b w:val="0"/>
        </w:rPr>
        <w:tab/>
      </w:r>
      <w:r>
        <w:rPr>
          <w:b w:val="0"/>
        </w:rPr>
        <w:tab/>
      </w:r>
      <w:r>
        <w:rPr>
          <w:b w:val="0"/>
        </w:rPr>
        <w:tab/>
      </w:r>
      <w:r>
        <w:rPr>
          <w:b w:val="0"/>
        </w:rPr>
        <w:tab/>
      </w:r>
      <w:r>
        <w:rPr>
          <w:b w:val="0"/>
        </w:rPr>
        <w:tab/>
        <w:t>(208) 384-1299  (Land)</w:t>
      </w:r>
    </w:p>
    <w:p w:rsidR="008B0431" w:rsidRDefault="008B0431" w:rsidP="00204629">
      <w:pPr>
        <w:pStyle w:val="Title"/>
        <w:jc w:val="left"/>
        <w:rPr>
          <w:b w:val="0"/>
        </w:rPr>
      </w:pPr>
      <w:r>
        <w:rPr>
          <w:b w:val="0"/>
        </w:rPr>
        <w:tab/>
      </w:r>
      <w:r>
        <w:rPr>
          <w:b w:val="0"/>
        </w:rPr>
        <w:tab/>
      </w:r>
      <w:r>
        <w:rPr>
          <w:b w:val="0"/>
        </w:rPr>
        <w:tab/>
      </w:r>
      <w:r>
        <w:rPr>
          <w:b w:val="0"/>
        </w:rPr>
        <w:tab/>
      </w:r>
      <w:r>
        <w:rPr>
          <w:b w:val="0"/>
        </w:rPr>
        <w:tab/>
      </w:r>
      <w:r>
        <w:rPr>
          <w:b w:val="0"/>
        </w:rPr>
        <w:tab/>
        <w:t>(208) 484-9980</w:t>
      </w:r>
      <w:r w:rsidR="005F36C4">
        <w:rPr>
          <w:b w:val="0"/>
        </w:rPr>
        <w:t xml:space="preserve"> (Cell)</w:t>
      </w:r>
    </w:p>
    <w:p w:rsidR="00204629" w:rsidRPr="003D58CA" w:rsidRDefault="00204629" w:rsidP="00204629">
      <w:pPr>
        <w:pStyle w:val="Title"/>
        <w:jc w:val="left"/>
      </w:pPr>
      <w:r>
        <w:rPr>
          <w:b w:val="0"/>
        </w:rPr>
        <w:tab/>
      </w:r>
      <w:r>
        <w:rPr>
          <w:b w:val="0"/>
        </w:rPr>
        <w:tab/>
      </w:r>
      <w:r>
        <w:rPr>
          <w:b w:val="0"/>
        </w:rPr>
        <w:tab/>
      </w:r>
      <w:r>
        <w:rPr>
          <w:b w:val="0"/>
        </w:rPr>
        <w:tab/>
      </w:r>
      <w:r>
        <w:rPr>
          <w:b w:val="0"/>
        </w:rPr>
        <w:tab/>
      </w:r>
      <w:r>
        <w:rPr>
          <w:b w:val="0"/>
        </w:rPr>
        <w:tab/>
      </w:r>
      <w:hyperlink r:id="rId6" w:history="1">
        <w:r>
          <w:rPr>
            <w:rStyle w:val="Hyperlink"/>
            <w:b w:val="0"/>
          </w:rPr>
          <w:t>bmpurdy@hotmail.com</w:t>
        </w:r>
      </w:hyperlink>
    </w:p>
    <w:p w:rsidR="00D21F00" w:rsidRPr="003D58CA" w:rsidRDefault="00D21F00" w:rsidP="00635711">
      <w:pPr>
        <w:rPr>
          <w:rFonts w:ascii="Times New Roman" w:hAnsi="Times New Roman"/>
        </w:rPr>
      </w:pPr>
    </w:p>
    <w:sectPr w:rsidR="00D21F00" w:rsidRPr="003D58CA" w:rsidSect="008F4AA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9A7" w:rsidRDefault="000E49A7" w:rsidP="00D21F00">
      <w:r>
        <w:separator/>
      </w:r>
    </w:p>
  </w:endnote>
  <w:endnote w:type="continuationSeparator" w:id="1">
    <w:p w:rsidR="000E49A7" w:rsidRDefault="000E49A7" w:rsidP="00D21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102164"/>
      <w:docPartObj>
        <w:docPartGallery w:val="Page Numbers (Bottom of Page)"/>
        <w:docPartUnique/>
      </w:docPartObj>
    </w:sdtPr>
    <w:sdtContent>
      <w:p w:rsidR="00A57836" w:rsidRPr="007B10E4" w:rsidRDefault="00A57836">
        <w:pPr>
          <w:pStyle w:val="Footer"/>
          <w:rPr>
            <w:rFonts w:ascii="Times New Roman" w:hAnsi="Times New Roman"/>
          </w:rPr>
        </w:pPr>
        <w:r w:rsidRPr="007B10E4">
          <w:rPr>
            <w:rFonts w:ascii="Times New Roman" w:hAnsi="Times New Roman"/>
          </w:rPr>
          <w:t>ENERGY PROJECT’S INITIAL POST-HEARING BRIEF</w:t>
        </w:r>
        <w:r w:rsidRPr="007B10E4">
          <w:rPr>
            <w:rFonts w:ascii="Times New Roman" w:hAnsi="Times New Roman"/>
          </w:rPr>
          <w:tab/>
        </w:r>
        <w:r w:rsidR="00C475C4" w:rsidRPr="007B10E4">
          <w:rPr>
            <w:rFonts w:ascii="Times New Roman" w:hAnsi="Times New Roman"/>
          </w:rPr>
          <w:fldChar w:fldCharType="begin"/>
        </w:r>
        <w:r w:rsidRPr="007B10E4">
          <w:rPr>
            <w:rFonts w:ascii="Times New Roman" w:hAnsi="Times New Roman"/>
          </w:rPr>
          <w:instrText xml:space="preserve"> PAGE   \* MERGEFORMAT </w:instrText>
        </w:r>
        <w:r w:rsidR="00C475C4" w:rsidRPr="007B10E4">
          <w:rPr>
            <w:rFonts w:ascii="Times New Roman" w:hAnsi="Times New Roman"/>
          </w:rPr>
          <w:fldChar w:fldCharType="separate"/>
        </w:r>
        <w:r w:rsidR="009E7306">
          <w:rPr>
            <w:rFonts w:ascii="Times New Roman" w:hAnsi="Times New Roman"/>
            <w:noProof/>
          </w:rPr>
          <w:t>1</w:t>
        </w:r>
        <w:r w:rsidR="00C475C4" w:rsidRPr="007B10E4">
          <w:rPr>
            <w:rFonts w:ascii="Times New Roman" w:hAnsi="Times New Roman"/>
          </w:rPr>
          <w:fldChar w:fldCharType="end"/>
        </w:r>
      </w:p>
    </w:sdtContent>
  </w:sdt>
  <w:p w:rsidR="00A57836" w:rsidRDefault="00A57836" w:rsidP="008F4AA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9A7" w:rsidRDefault="000E49A7" w:rsidP="00D21F00">
      <w:r>
        <w:separator/>
      </w:r>
    </w:p>
  </w:footnote>
  <w:footnote w:type="continuationSeparator" w:id="1">
    <w:p w:rsidR="000E49A7" w:rsidRDefault="000E49A7" w:rsidP="00D21F00">
      <w:r>
        <w:continuationSeparator/>
      </w:r>
    </w:p>
  </w:footnote>
  <w:footnote w:id="2">
    <w:p w:rsidR="00A57836" w:rsidRPr="00F44C83" w:rsidRDefault="00A57836">
      <w:pPr>
        <w:pStyle w:val="FootnoteText"/>
        <w:rPr>
          <w:i/>
        </w:rPr>
      </w:pPr>
      <w:r>
        <w:rPr>
          <w:rStyle w:val="FootnoteReference"/>
        </w:rPr>
        <w:footnoteRef/>
      </w:r>
      <w:r>
        <w:t xml:space="preserve"> </w:t>
      </w:r>
      <w:r w:rsidRPr="00F44C83">
        <w:rPr>
          <w:rFonts w:ascii="Times New Roman" w:hAnsi="Times New Roman"/>
          <w:i/>
        </w:rPr>
        <w:t>Exh. CME-8T, p. 2, ln 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1F00"/>
    <w:rsid w:val="000418FF"/>
    <w:rsid w:val="00043742"/>
    <w:rsid w:val="0006162F"/>
    <w:rsid w:val="000721B4"/>
    <w:rsid w:val="000865CB"/>
    <w:rsid w:val="00091E12"/>
    <w:rsid w:val="000E49A7"/>
    <w:rsid w:val="0011113B"/>
    <w:rsid w:val="00137353"/>
    <w:rsid w:val="001466D8"/>
    <w:rsid w:val="00163317"/>
    <w:rsid w:val="001907D1"/>
    <w:rsid w:val="001A1E48"/>
    <w:rsid w:val="00203172"/>
    <w:rsid w:val="00204629"/>
    <w:rsid w:val="00224C6C"/>
    <w:rsid w:val="002A1A0E"/>
    <w:rsid w:val="00313802"/>
    <w:rsid w:val="00355A1F"/>
    <w:rsid w:val="00357FCE"/>
    <w:rsid w:val="003D58CA"/>
    <w:rsid w:val="00463CAC"/>
    <w:rsid w:val="004A3253"/>
    <w:rsid w:val="004B021D"/>
    <w:rsid w:val="004C12B7"/>
    <w:rsid w:val="004E5995"/>
    <w:rsid w:val="0056176A"/>
    <w:rsid w:val="00582993"/>
    <w:rsid w:val="00583092"/>
    <w:rsid w:val="00586B21"/>
    <w:rsid w:val="00593317"/>
    <w:rsid w:val="005A5B0A"/>
    <w:rsid w:val="005E7457"/>
    <w:rsid w:val="005F36C4"/>
    <w:rsid w:val="00625DCF"/>
    <w:rsid w:val="00635711"/>
    <w:rsid w:val="00637441"/>
    <w:rsid w:val="006421FB"/>
    <w:rsid w:val="00693FAF"/>
    <w:rsid w:val="006B673C"/>
    <w:rsid w:val="006B6D20"/>
    <w:rsid w:val="006E44C2"/>
    <w:rsid w:val="006E5696"/>
    <w:rsid w:val="006F301E"/>
    <w:rsid w:val="00745688"/>
    <w:rsid w:val="007B6186"/>
    <w:rsid w:val="008345EC"/>
    <w:rsid w:val="0085286F"/>
    <w:rsid w:val="008B0431"/>
    <w:rsid w:val="008B2DBC"/>
    <w:rsid w:val="008E33B6"/>
    <w:rsid w:val="008F4AA9"/>
    <w:rsid w:val="00913AF1"/>
    <w:rsid w:val="009E7306"/>
    <w:rsid w:val="00A41495"/>
    <w:rsid w:val="00A57836"/>
    <w:rsid w:val="00AA5D7F"/>
    <w:rsid w:val="00AA6D6C"/>
    <w:rsid w:val="00AD2A0C"/>
    <w:rsid w:val="00AE348A"/>
    <w:rsid w:val="00AE60DE"/>
    <w:rsid w:val="00B1106C"/>
    <w:rsid w:val="00B26F4E"/>
    <w:rsid w:val="00B3751E"/>
    <w:rsid w:val="00BA767C"/>
    <w:rsid w:val="00C021AD"/>
    <w:rsid w:val="00C475C4"/>
    <w:rsid w:val="00C74DF0"/>
    <w:rsid w:val="00C938F6"/>
    <w:rsid w:val="00CE4242"/>
    <w:rsid w:val="00CF478A"/>
    <w:rsid w:val="00CF4AB2"/>
    <w:rsid w:val="00D06FBD"/>
    <w:rsid w:val="00D21F00"/>
    <w:rsid w:val="00D26942"/>
    <w:rsid w:val="00D473A5"/>
    <w:rsid w:val="00DB3418"/>
    <w:rsid w:val="00DB56F5"/>
    <w:rsid w:val="00DD0379"/>
    <w:rsid w:val="00DD1D25"/>
    <w:rsid w:val="00DF10A0"/>
    <w:rsid w:val="00E145A5"/>
    <w:rsid w:val="00E2265F"/>
    <w:rsid w:val="00E34662"/>
    <w:rsid w:val="00E5516F"/>
    <w:rsid w:val="00E6149F"/>
    <w:rsid w:val="00E722BB"/>
    <w:rsid w:val="00EF3A8B"/>
    <w:rsid w:val="00F246E8"/>
    <w:rsid w:val="00F25535"/>
    <w:rsid w:val="00F44C83"/>
    <w:rsid w:val="00FC3F85"/>
    <w:rsid w:val="00FC6883"/>
    <w:rsid w:val="00FE3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00"/>
    <w:pPr>
      <w:spacing w:after="0" w:line="240" w:lineRule="auto"/>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21F00"/>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D21F00"/>
    <w:rPr>
      <w:rFonts w:eastAsia="Times New Roman" w:cs="Times New Roman"/>
      <w:b/>
      <w:bCs/>
      <w:szCs w:val="24"/>
    </w:rPr>
  </w:style>
  <w:style w:type="paragraph" w:styleId="FootnoteText">
    <w:name w:val="footnote text"/>
    <w:basedOn w:val="Normal"/>
    <w:link w:val="FootnoteTextChar"/>
    <w:rsid w:val="00D21F00"/>
  </w:style>
  <w:style w:type="character" w:customStyle="1" w:styleId="FootnoteTextChar">
    <w:name w:val="Footnote Text Char"/>
    <w:basedOn w:val="DefaultParagraphFont"/>
    <w:link w:val="FootnoteText"/>
    <w:rsid w:val="00D21F00"/>
    <w:rPr>
      <w:rFonts w:asciiTheme="minorHAnsi" w:hAnsiTheme="minorHAnsi"/>
      <w:szCs w:val="24"/>
    </w:rPr>
  </w:style>
  <w:style w:type="character" w:styleId="FootnoteReference">
    <w:name w:val="footnote reference"/>
    <w:basedOn w:val="DefaultParagraphFont"/>
    <w:rsid w:val="00D21F00"/>
    <w:rPr>
      <w:vertAlign w:val="superscript"/>
    </w:rPr>
  </w:style>
  <w:style w:type="paragraph" w:styleId="Footer">
    <w:name w:val="footer"/>
    <w:basedOn w:val="Normal"/>
    <w:link w:val="FooterChar"/>
    <w:uiPriority w:val="99"/>
    <w:unhideWhenUsed/>
    <w:rsid w:val="00D21F00"/>
    <w:pPr>
      <w:tabs>
        <w:tab w:val="center" w:pos="4680"/>
        <w:tab w:val="right" w:pos="9360"/>
      </w:tabs>
    </w:pPr>
  </w:style>
  <w:style w:type="character" w:customStyle="1" w:styleId="FooterChar">
    <w:name w:val="Footer Char"/>
    <w:basedOn w:val="DefaultParagraphFont"/>
    <w:link w:val="Footer"/>
    <w:uiPriority w:val="99"/>
    <w:rsid w:val="00D21F00"/>
    <w:rPr>
      <w:rFonts w:asciiTheme="minorHAnsi" w:hAnsiTheme="minorHAnsi"/>
      <w:szCs w:val="24"/>
    </w:rPr>
  </w:style>
  <w:style w:type="character" w:styleId="Hyperlink">
    <w:name w:val="Hyperlink"/>
    <w:basedOn w:val="DefaultParagraphFont"/>
    <w:uiPriority w:val="99"/>
    <w:unhideWhenUsed/>
    <w:rsid w:val="00D21F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purdy@hotmail.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2013-10-01T07:00:00+00:00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8A0594-1E05-4F83-A94D-EEF48C2F38C2}"/>
</file>

<file path=customXml/itemProps2.xml><?xml version="1.0" encoding="utf-8"?>
<ds:datastoreItem xmlns:ds="http://schemas.openxmlformats.org/officeDocument/2006/customXml" ds:itemID="{FCEC9823-E5B4-4038-AC79-C2CE878C3E79}"/>
</file>

<file path=customXml/itemProps3.xml><?xml version="1.0" encoding="utf-8"?>
<ds:datastoreItem xmlns:ds="http://schemas.openxmlformats.org/officeDocument/2006/customXml" ds:itemID="{421D2D5C-F87C-41F0-BCD2-09610F6AA74E}"/>
</file>

<file path=customXml/itemProps4.xml><?xml version="1.0" encoding="utf-8"?>
<ds:datastoreItem xmlns:ds="http://schemas.openxmlformats.org/officeDocument/2006/customXml" ds:itemID="{850D717C-2D5B-48D4-9D87-311A608EA0A4}"/>
</file>

<file path=docProps/app.xml><?xml version="1.0" encoding="utf-8"?>
<Properties xmlns="http://schemas.openxmlformats.org/officeDocument/2006/extended-properties" xmlns:vt="http://schemas.openxmlformats.org/officeDocument/2006/docPropsVTypes">
  <Template>Normal</Template>
  <TotalTime>1</TotalTime>
  <Pages>10</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2</cp:revision>
  <cp:lastPrinted>2013-10-01T17:32:00Z</cp:lastPrinted>
  <dcterms:created xsi:type="dcterms:W3CDTF">2013-10-01T19:55:00Z</dcterms:created>
  <dcterms:modified xsi:type="dcterms:W3CDTF">2013-10-01T19:55:00Z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