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22D" w:rsidRDefault="003B422D" w:rsidP="003B422D">
      <w:pPr>
        <w:pStyle w:val="NoSpacing"/>
        <w:jc w:val="center"/>
        <w:rPr>
          <w:sz w:val="14"/>
        </w:rPr>
      </w:pPr>
      <w:bookmarkStart w:id="0" w:name="_GoBack"/>
      <w:bookmarkEnd w:id="0"/>
      <w:r>
        <w:rPr>
          <w:noProof/>
        </w:rPr>
        <w:drawing>
          <wp:inline distT="0" distB="0" distL="0" distR="0" wp14:anchorId="42EE1704" wp14:editId="42F5C51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3B422D" w:rsidRDefault="003B422D" w:rsidP="003B422D">
      <w:pPr>
        <w:pStyle w:val="NoSpacing"/>
        <w:jc w:val="center"/>
        <w:rPr>
          <w:rFonts w:ascii="Arial" w:hAnsi="Arial"/>
          <w:b/>
          <w:color w:val="008000"/>
          <w:sz w:val="18"/>
        </w:rPr>
      </w:pPr>
    </w:p>
    <w:p w:rsidR="003B422D" w:rsidRDefault="003B422D" w:rsidP="003B422D">
      <w:pPr>
        <w:pStyle w:val="NoSpacing"/>
        <w:spacing w:after="80"/>
        <w:jc w:val="center"/>
        <w:rPr>
          <w:rFonts w:ascii="Arial" w:hAnsi="Arial"/>
          <w:b/>
          <w:color w:val="008000"/>
          <w:sz w:val="18"/>
        </w:rPr>
      </w:pPr>
      <w:r>
        <w:rPr>
          <w:rFonts w:ascii="Arial" w:hAnsi="Arial"/>
          <w:b/>
          <w:color w:val="008000"/>
          <w:sz w:val="18"/>
        </w:rPr>
        <w:t>STATE OF WASHINGTON</w:t>
      </w:r>
    </w:p>
    <w:p w:rsidR="003B422D" w:rsidRDefault="003B422D" w:rsidP="003B422D">
      <w:pPr>
        <w:pStyle w:val="NoSpacing"/>
        <w:spacing w:after="80"/>
        <w:jc w:val="center"/>
        <w:rPr>
          <w:rFonts w:ascii="Arial" w:hAnsi="Arial"/>
          <w:color w:val="008000"/>
          <w:sz w:val="28"/>
        </w:rPr>
      </w:pPr>
      <w:r>
        <w:rPr>
          <w:rFonts w:ascii="Arial" w:hAnsi="Arial"/>
          <w:color w:val="008000"/>
          <w:sz w:val="28"/>
        </w:rPr>
        <w:t>UTILITIES AND TRANSPORTATION COMMISSION</w:t>
      </w:r>
    </w:p>
    <w:p w:rsidR="003B422D" w:rsidRDefault="003B422D" w:rsidP="003B422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3B422D" w:rsidRDefault="003B422D" w:rsidP="003B422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2A66F0" w:rsidRPr="00435C9F" w:rsidRDefault="002A66F0" w:rsidP="00435C9F">
      <w:pPr>
        <w:tabs>
          <w:tab w:val="center" w:pos="4507"/>
          <w:tab w:val="right" w:pos="9000"/>
        </w:tabs>
        <w:spacing w:line="264" w:lineRule="auto"/>
        <w:ind w:right="115"/>
        <w:jc w:val="center"/>
        <w:rPr>
          <w:sz w:val="24"/>
          <w:lang w:eastAsia="zh-CN"/>
        </w:rPr>
      </w:pPr>
      <w:r w:rsidRPr="00435C9F">
        <w:rPr>
          <w:sz w:val="24"/>
          <w:lang w:eastAsia="zh-CN"/>
        </w:rPr>
        <w:t>March 1</w:t>
      </w:r>
      <w:r w:rsidR="00296B99">
        <w:rPr>
          <w:sz w:val="24"/>
          <w:lang w:eastAsia="zh-CN"/>
        </w:rPr>
        <w:t>7</w:t>
      </w:r>
      <w:r w:rsidRPr="00435C9F">
        <w:rPr>
          <w:sz w:val="24"/>
          <w:lang w:eastAsia="zh-CN"/>
        </w:rPr>
        <w:t>, 2016</w:t>
      </w:r>
    </w:p>
    <w:p w:rsidR="00435C9F" w:rsidRPr="00435C9F" w:rsidRDefault="00435C9F" w:rsidP="00435C9F">
      <w:pPr>
        <w:tabs>
          <w:tab w:val="center" w:pos="4507"/>
          <w:tab w:val="right" w:pos="9000"/>
        </w:tabs>
        <w:spacing w:line="264" w:lineRule="auto"/>
        <w:ind w:right="115"/>
        <w:jc w:val="center"/>
        <w:rPr>
          <w:sz w:val="24"/>
          <w:lang w:eastAsia="zh-CN"/>
        </w:rPr>
      </w:pPr>
    </w:p>
    <w:p w:rsidR="002A66F0" w:rsidRPr="00435C9F" w:rsidRDefault="002A66F0" w:rsidP="00435C9F">
      <w:pPr>
        <w:tabs>
          <w:tab w:val="center" w:pos="4507"/>
          <w:tab w:val="right" w:pos="9000"/>
        </w:tabs>
        <w:spacing w:line="264" w:lineRule="auto"/>
        <w:ind w:right="115"/>
        <w:jc w:val="center"/>
        <w:rPr>
          <w:b/>
          <w:sz w:val="24"/>
          <w:lang w:eastAsia="zh-CN"/>
        </w:rPr>
      </w:pPr>
      <w:r w:rsidRPr="00435C9F">
        <w:rPr>
          <w:b/>
          <w:sz w:val="24"/>
          <w:lang w:eastAsia="zh-CN"/>
        </w:rPr>
        <w:t xml:space="preserve">NOTICE OF </w:t>
      </w:r>
      <w:r w:rsidR="00297B40">
        <w:rPr>
          <w:b/>
          <w:sz w:val="24"/>
          <w:lang w:eastAsia="zh-CN"/>
        </w:rPr>
        <w:t>COMMISSION ACTION AMENDING ORDER 07</w:t>
      </w:r>
    </w:p>
    <w:p w:rsidR="002A66F0" w:rsidRDefault="002A66F0" w:rsidP="00435C9F">
      <w:pPr>
        <w:tabs>
          <w:tab w:val="center" w:pos="4507"/>
          <w:tab w:val="right" w:pos="9000"/>
        </w:tabs>
        <w:spacing w:line="264" w:lineRule="auto"/>
        <w:ind w:right="115"/>
        <w:rPr>
          <w:sz w:val="24"/>
          <w:lang w:eastAsia="zh-CN"/>
        </w:rPr>
      </w:pPr>
    </w:p>
    <w:p w:rsidR="00435C9F" w:rsidRPr="00435C9F" w:rsidRDefault="00435C9F" w:rsidP="00435C9F">
      <w:pPr>
        <w:tabs>
          <w:tab w:val="center" w:pos="4507"/>
          <w:tab w:val="right" w:pos="9000"/>
        </w:tabs>
        <w:spacing w:line="264" w:lineRule="auto"/>
        <w:ind w:right="115"/>
        <w:rPr>
          <w:sz w:val="24"/>
          <w:lang w:eastAsia="zh-CN"/>
        </w:rPr>
      </w:pPr>
    </w:p>
    <w:p w:rsidR="00435C9F" w:rsidRPr="00435C9F" w:rsidRDefault="002A66F0" w:rsidP="00435C9F">
      <w:pPr>
        <w:spacing w:line="264" w:lineRule="auto"/>
        <w:ind w:left="720" w:hanging="720"/>
        <w:rPr>
          <w:rFonts w:eastAsia="Calibri"/>
          <w:sz w:val="24"/>
        </w:rPr>
      </w:pPr>
      <w:r w:rsidRPr="00435C9F">
        <w:rPr>
          <w:sz w:val="24"/>
          <w:lang w:eastAsia="zh-CN"/>
        </w:rPr>
        <w:t>RE:</w:t>
      </w:r>
      <w:r w:rsidRPr="00435C9F">
        <w:rPr>
          <w:sz w:val="24"/>
          <w:lang w:eastAsia="zh-CN"/>
        </w:rPr>
        <w:tab/>
      </w:r>
      <w:r w:rsidR="00435C9F" w:rsidRPr="00435C9F">
        <w:rPr>
          <w:rFonts w:eastAsia="Calibri"/>
          <w:i/>
          <w:sz w:val="24"/>
        </w:rPr>
        <w:t>In the Matter of the Petition of Puget Sound Energy and NW Energy Coalition For an Order Authorizing PSE to Implement Electric and Natural Gas Decoupling Mechanisms and to Record Accounting Entries Associated with the Mechanisms</w:t>
      </w:r>
      <w:r w:rsidR="00435C9F" w:rsidRPr="00435C9F">
        <w:rPr>
          <w:rFonts w:eastAsia="Calibri"/>
          <w:sz w:val="24"/>
        </w:rPr>
        <w:t xml:space="preserve">, Dockets UE-121697 and UG-121705 </w:t>
      </w:r>
      <w:r w:rsidR="00435C9F" w:rsidRPr="00435C9F">
        <w:rPr>
          <w:rFonts w:eastAsia="Calibri"/>
          <w:i/>
          <w:sz w:val="24"/>
        </w:rPr>
        <w:t>(Consolidated)</w:t>
      </w:r>
    </w:p>
    <w:p w:rsidR="00435C9F" w:rsidRPr="00435C9F" w:rsidRDefault="00435C9F" w:rsidP="00435C9F">
      <w:pPr>
        <w:spacing w:line="264" w:lineRule="auto"/>
        <w:ind w:left="720" w:hanging="720"/>
        <w:rPr>
          <w:rFonts w:eastAsia="Calibri"/>
          <w:sz w:val="24"/>
        </w:rPr>
      </w:pPr>
    </w:p>
    <w:p w:rsidR="00435C9F" w:rsidRPr="00435C9F" w:rsidRDefault="00435C9F" w:rsidP="00435C9F">
      <w:pPr>
        <w:spacing w:line="264" w:lineRule="auto"/>
        <w:ind w:left="720"/>
        <w:rPr>
          <w:sz w:val="24"/>
        </w:rPr>
      </w:pPr>
      <w:r w:rsidRPr="00435C9F">
        <w:rPr>
          <w:rFonts w:eastAsia="Calibri"/>
          <w:i/>
          <w:sz w:val="24"/>
        </w:rPr>
        <w:t>Washington Utilities and Transportation Commission v. Puget Sound Energy,</w:t>
      </w:r>
      <w:r w:rsidRPr="00435C9F">
        <w:rPr>
          <w:rFonts w:eastAsia="Calibri"/>
          <w:sz w:val="24"/>
        </w:rPr>
        <w:t xml:space="preserve"> Dockets UE-130137 and UG-130138 </w:t>
      </w:r>
      <w:r w:rsidRPr="00435C9F">
        <w:rPr>
          <w:rFonts w:eastAsia="Calibri"/>
          <w:i/>
          <w:sz w:val="24"/>
        </w:rPr>
        <w:t>(Consolidated)</w:t>
      </w:r>
    </w:p>
    <w:p w:rsidR="008E0E80" w:rsidRPr="00435C9F" w:rsidRDefault="008E0E80" w:rsidP="00435C9F">
      <w:pPr>
        <w:spacing w:line="264" w:lineRule="auto"/>
        <w:rPr>
          <w:sz w:val="24"/>
        </w:rPr>
      </w:pPr>
    </w:p>
    <w:p w:rsidR="00B85350" w:rsidRPr="00435C9F" w:rsidRDefault="00B85350" w:rsidP="00435C9F">
      <w:pPr>
        <w:spacing w:line="264" w:lineRule="auto"/>
        <w:rPr>
          <w:sz w:val="24"/>
        </w:rPr>
      </w:pPr>
      <w:r w:rsidRPr="00435C9F">
        <w:rPr>
          <w:sz w:val="24"/>
        </w:rPr>
        <w:t>TO ALL PARTIES:</w:t>
      </w:r>
    </w:p>
    <w:p w:rsidR="00B85350" w:rsidRPr="00435C9F" w:rsidRDefault="00B85350" w:rsidP="00435C9F">
      <w:pPr>
        <w:spacing w:line="264" w:lineRule="auto"/>
        <w:rPr>
          <w:sz w:val="24"/>
        </w:rPr>
      </w:pPr>
    </w:p>
    <w:p w:rsidR="002A66F0" w:rsidRPr="00435C9F" w:rsidRDefault="002A66F0" w:rsidP="00435C9F">
      <w:pPr>
        <w:spacing w:line="264" w:lineRule="auto"/>
        <w:rPr>
          <w:color w:val="000000"/>
          <w:sz w:val="24"/>
        </w:rPr>
      </w:pPr>
      <w:r w:rsidRPr="00435C9F">
        <w:rPr>
          <w:color w:val="000000"/>
          <w:sz w:val="24"/>
        </w:rPr>
        <w:t>In Order 07 in these dockets, the Washington Utilities and Transportation Commission (Commission) authorized, for Puget Sound Energy (PSE), a multi-year rate plan with an annual escalation factor, also referred to as the K-factor. The Commission also “approve[d] the NWEC/PSE Amended Decoupling Petition and allow[ed] the proposed electric and natural gas decoupling mechanisms to become effective as filed.”</w:t>
      </w:r>
      <w:r w:rsidRPr="00435C9F">
        <w:rPr>
          <w:rStyle w:val="FootnoteReference"/>
          <w:color w:val="000000"/>
          <w:sz w:val="24"/>
        </w:rPr>
        <w:footnoteReference w:id="1"/>
      </w:r>
      <w:r w:rsidRPr="00435C9F">
        <w:rPr>
          <w:color w:val="000000"/>
          <w:sz w:val="24"/>
        </w:rPr>
        <w:t xml:space="preserve"> The Amended Decoupling Mechanisms included a rate case stay out period providing that:  </w:t>
      </w:r>
    </w:p>
    <w:p w:rsidR="002A66F0" w:rsidRPr="00435C9F" w:rsidRDefault="002A66F0" w:rsidP="00435C9F">
      <w:pPr>
        <w:spacing w:line="264" w:lineRule="auto"/>
        <w:rPr>
          <w:color w:val="000000"/>
          <w:sz w:val="24"/>
        </w:rPr>
      </w:pPr>
    </w:p>
    <w:p w:rsidR="008E0E80" w:rsidRPr="00435C9F" w:rsidRDefault="002A66F0" w:rsidP="00435C9F">
      <w:pPr>
        <w:spacing w:line="264" w:lineRule="auto"/>
        <w:ind w:left="720" w:right="720"/>
        <w:rPr>
          <w:color w:val="000000"/>
          <w:sz w:val="24"/>
        </w:rPr>
      </w:pPr>
      <w:r w:rsidRPr="00435C9F">
        <w:rPr>
          <w:color w:val="000000"/>
          <w:sz w:val="24"/>
        </w:rPr>
        <w:t>The mechanism will remain in place, at a minimum, until the effective date of new rates set in PSE’s next general rate case. PSE will file a general rate case no sooner than April 1, 2015, and no later than April 1, 2016, unless otherwise agreed to by the parties to PSE’s last general rate case.”</w:t>
      </w:r>
      <w:r w:rsidRPr="00435C9F">
        <w:rPr>
          <w:rStyle w:val="FootnoteReference"/>
          <w:color w:val="000000"/>
          <w:sz w:val="24"/>
        </w:rPr>
        <w:footnoteReference w:id="2"/>
      </w:r>
      <w:r w:rsidRPr="00435C9F">
        <w:rPr>
          <w:color w:val="000000"/>
          <w:sz w:val="24"/>
        </w:rPr>
        <w:t xml:space="preserve"> </w:t>
      </w:r>
    </w:p>
    <w:p w:rsidR="002A66F0" w:rsidRPr="00435C9F" w:rsidRDefault="002A66F0" w:rsidP="00435C9F">
      <w:pPr>
        <w:spacing w:line="264" w:lineRule="auto"/>
        <w:ind w:left="720" w:right="720"/>
        <w:rPr>
          <w:color w:val="000000"/>
          <w:sz w:val="24"/>
        </w:rPr>
      </w:pPr>
    </w:p>
    <w:p w:rsidR="002A66F0" w:rsidRDefault="002A66F0" w:rsidP="00435C9F">
      <w:pPr>
        <w:spacing w:line="264" w:lineRule="auto"/>
        <w:rPr>
          <w:color w:val="000000"/>
          <w:sz w:val="24"/>
        </w:rPr>
      </w:pPr>
      <w:r w:rsidRPr="00435C9F">
        <w:rPr>
          <w:sz w:val="24"/>
        </w:rPr>
        <w:t xml:space="preserve">On March 9, 2016, </w:t>
      </w:r>
      <w:r w:rsidR="00B85350" w:rsidRPr="00435C9F">
        <w:rPr>
          <w:sz w:val="24"/>
        </w:rPr>
        <w:t xml:space="preserve">PSE, </w:t>
      </w:r>
      <w:r w:rsidR="00B85350" w:rsidRPr="00435C9F">
        <w:rPr>
          <w:color w:val="000000"/>
          <w:sz w:val="24"/>
        </w:rPr>
        <w:t>Commission</w:t>
      </w:r>
      <w:r w:rsidR="00B85350" w:rsidRPr="00435C9F">
        <w:rPr>
          <w:iCs/>
          <w:color w:val="000000"/>
          <w:sz w:val="24"/>
        </w:rPr>
        <w:t xml:space="preserve"> Regulatory</w:t>
      </w:r>
      <w:r w:rsidR="00B85350" w:rsidRPr="00435C9F">
        <w:rPr>
          <w:color w:val="000000"/>
          <w:sz w:val="24"/>
        </w:rPr>
        <w:t xml:space="preserve"> Staff</w:t>
      </w:r>
      <w:r w:rsidR="00B85350" w:rsidRPr="00435C9F">
        <w:rPr>
          <w:iCs/>
          <w:color w:val="000000"/>
          <w:sz w:val="24"/>
        </w:rPr>
        <w:t xml:space="preserve"> (Staff)</w:t>
      </w:r>
      <w:r w:rsidR="00B85350" w:rsidRPr="00435C9F">
        <w:rPr>
          <w:color w:val="000000"/>
          <w:sz w:val="24"/>
        </w:rPr>
        <w:t xml:space="preserve">, </w:t>
      </w:r>
      <w:r w:rsidR="00B85350" w:rsidRPr="00435C9F">
        <w:rPr>
          <w:iCs/>
          <w:color w:val="000000"/>
          <w:sz w:val="24"/>
        </w:rPr>
        <w:t xml:space="preserve">the </w:t>
      </w:r>
      <w:r w:rsidR="00B85350" w:rsidRPr="00435C9F">
        <w:rPr>
          <w:color w:val="000000"/>
          <w:sz w:val="24"/>
        </w:rPr>
        <w:t>Public Counsel</w:t>
      </w:r>
      <w:r w:rsidR="00B85350" w:rsidRPr="00435C9F">
        <w:rPr>
          <w:iCs/>
          <w:color w:val="000000"/>
          <w:sz w:val="24"/>
        </w:rPr>
        <w:t xml:space="preserve"> Unit of the Office of Attorney General (Public Counsel)</w:t>
      </w:r>
      <w:r w:rsidR="00B85350" w:rsidRPr="00435C9F">
        <w:rPr>
          <w:color w:val="000000"/>
          <w:sz w:val="24"/>
        </w:rPr>
        <w:t>, Industrial Customers of Northwest Utilities, Northwest Industrial Gas Users, The Energy Project, NW Energy Coalition</w:t>
      </w:r>
      <w:r w:rsidR="00B85350" w:rsidRPr="00435C9F">
        <w:rPr>
          <w:iCs/>
          <w:color w:val="000000"/>
          <w:sz w:val="24"/>
        </w:rPr>
        <w:t xml:space="preserve"> (NWEC)</w:t>
      </w:r>
      <w:r w:rsidR="00B85350" w:rsidRPr="00435C9F">
        <w:rPr>
          <w:color w:val="000000"/>
          <w:sz w:val="24"/>
        </w:rPr>
        <w:t>, Federal Executive Agencies</w:t>
      </w:r>
      <w:r w:rsidR="00B85350" w:rsidRPr="00435C9F">
        <w:rPr>
          <w:iCs/>
          <w:color w:val="000000"/>
          <w:sz w:val="24"/>
        </w:rPr>
        <w:t xml:space="preserve"> </w:t>
      </w:r>
      <w:r w:rsidR="00B85350" w:rsidRPr="00435C9F">
        <w:rPr>
          <w:color w:val="000000"/>
          <w:sz w:val="24"/>
        </w:rPr>
        <w:t>and the Sierra Club</w:t>
      </w:r>
      <w:r w:rsidR="00B85350" w:rsidRPr="00435C9F">
        <w:rPr>
          <w:iCs/>
          <w:color w:val="000000"/>
          <w:sz w:val="24"/>
        </w:rPr>
        <w:t xml:space="preserve"> (collectively Joint Petitioners), filed their “Joint Petition to Modify 0rder 07” by extending the date by which PSE must file a general rate case until no </w:t>
      </w:r>
      <w:r w:rsidR="00B85350" w:rsidRPr="00435C9F">
        <w:rPr>
          <w:iCs/>
          <w:color w:val="000000"/>
          <w:sz w:val="24"/>
        </w:rPr>
        <w:lastRenderedPageBreak/>
        <w:t xml:space="preserve">later than January 17, 2017. The remaining parties in these dockets, </w:t>
      </w:r>
      <w:r w:rsidR="00B85350" w:rsidRPr="00435C9F">
        <w:rPr>
          <w:color w:val="000000"/>
          <w:sz w:val="24"/>
        </w:rPr>
        <w:t>Nucor Steel, Kroger, and Cost Management Services</w:t>
      </w:r>
      <w:r w:rsidR="00B85350" w:rsidRPr="00435C9F">
        <w:rPr>
          <w:iCs/>
          <w:color w:val="000000"/>
          <w:sz w:val="24"/>
        </w:rPr>
        <w:t xml:space="preserve"> do not oppose the relief requested, according to the Joint Petition</w:t>
      </w:r>
      <w:r w:rsidR="00B85350" w:rsidRPr="00435C9F">
        <w:rPr>
          <w:color w:val="000000"/>
          <w:sz w:val="24"/>
        </w:rPr>
        <w:t>.</w:t>
      </w:r>
      <w:r w:rsidR="00B85350" w:rsidRPr="00435C9F">
        <w:rPr>
          <w:rStyle w:val="FootnoteReference"/>
          <w:iCs/>
          <w:color w:val="000000"/>
          <w:sz w:val="24"/>
        </w:rPr>
        <w:footnoteReference w:id="3"/>
      </w:r>
    </w:p>
    <w:p w:rsidR="00297B40" w:rsidRDefault="00297B40" w:rsidP="00435C9F">
      <w:pPr>
        <w:spacing w:line="264" w:lineRule="auto"/>
        <w:rPr>
          <w:color w:val="000000"/>
          <w:sz w:val="24"/>
        </w:rPr>
      </w:pPr>
    </w:p>
    <w:p w:rsidR="00296B99" w:rsidRDefault="00297B40" w:rsidP="00435C9F">
      <w:pPr>
        <w:spacing w:line="264" w:lineRule="auto"/>
        <w:rPr>
          <w:color w:val="000000"/>
          <w:sz w:val="24"/>
        </w:rPr>
      </w:pPr>
      <w:r>
        <w:rPr>
          <w:color w:val="000000"/>
          <w:sz w:val="24"/>
        </w:rPr>
        <w:t>The Commission</w:t>
      </w:r>
      <w:r w:rsidR="00D12434">
        <w:rPr>
          <w:color w:val="000000"/>
          <w:sz w:val="24"/>
        </w:rPr>
        <w:t xml:space="preserve"> conducted a hearing on March 17, 2016, in accordance with WAC 480-07-875, and ruled from the Bench granting the parties’ joint petition. </w:t>
      </w:r>
    </w:p>
    <w:p w:rsidR="00296B99" w:rsidRDefault="00296B99" w:rsidP="00435C9F">
      <w:pPr>
        <w:spacing w:line="264" w:lineRule="auto"/>
        <w:rPr>
          <w:color w:val="000000"/>
          <w:sz w:val="24"/>
        </w:rPr>
      </w:pPr>
    </w:p>
    <w:p w:rsidR="00297B40" w:rsidRPr="00296B99" w:rsidRDefault="00296B99" w:rsidP="00435C9F">
      <w:pPr>
        <w:spacing w:line="264" w:lineRule="auto"/>
        <w:rPr>
          <w:b/>
          <w:color w:val="000000"/>
          <w:sz w:val="24"/>
        </w:rPr>
      </w:pPr>
      <w:r w:rsidRPr="00296B99">
        <w:rPr>
          <w:b/>
          <w:color w:val="000000"/>
          <w:sz w:val="24"/>
        </w:rPr>
        <w:t xml:space="preserve">THE COMMISSION ACCORDINGLY GIVES NOTICE THAT </w:t>
      </w:r>
      <w:r w:rsidR="00D12434" w:rsidRPr="00296B99">
        <w:rPr>
          <w:b/>
          <w:color w:val="000000"/>
          <w:sz w:val="24"/>
        </w:rPr>
        <w:t xml:space="preserve">Order 07 </w:t>
      </w:r>
      <w:r w:rsidRPr="00296B99">
        <w:rPr>
          <w:b/>
          <w:color w:val="000000"/>
          <w:sz w:val="24"/>
        </w:rPr>
        <w:t>in these dockets</w:t>
      </w:r>
      <w:r w:rsidR="00D12434" w:rsidRPr="00296B99">
        <w:rPr>
          <w:b/>
          <w:color w:val="000000"/>
          <w:sz w:val="24"/>
        </w:rPr>
        <w:t xml:space="preserve"> is amended by substituting the date January 17, 2017, for the date April 1, 2016, in paragraphs 9,</w:t>
      </w:r>
      <w:r w:rsidRPr="00296B99">
        <w:rPr>
          <w:rStyle w:val="FootnoteReference"/>
          <w:b/>
          <w:color w:val="000000"/>
          <w:sz w:val="24"/>
        </w:rPr>
        <w:footnoteReference w:id="4"/>
      </w:r>
      <w:r w:rsidR="00D12434" w:rsidRPr="00296B99">
        <w:rPr>
          <w:b/>
          <w:color w:val="000000"/>
          <w:sz w:val="24"/>
        </w:rPr>
        <w:t xml:space="preserve"> 137, and 166. Thus, PSE</w:t>
      </w:r>
      <w:r w:rsidRPr="00296B99">
        <w:rPr>
          <w:b/>
          <w:color w:val="000000"/>
          <w:sz w:val="24"/>
        </w:rPr>
        <w:t xml:space="preserve"> is relieved of its obligation to file and general rate case by April 1, 2016 and, instead, is</w:t>
      </w:r>
      <w:r w:rsidR="00D12434" w:rsidRPr="00296B99">
        <w:rPr>
          <w:b/>
          <w:color w:val="000000"/>
          <w:sz w:val="24"/>
        </w:rPr>
        <w:t xml:space="preserve"> required to file a general rate case no later than January 17, 2017</w:t>
      </w:r>
      <w:r w:rsidRPr="00296B99">
        <w:rPr>
          <w:b/>
          <w:color w:val="000000"/>
          <w:sz w:val="24"/>
        </w:rPr>
        <w:t>.</w:t>
      </w:r>
    </w:p>
    <w:p w:rsidR="00025E0E" w:rsidRPr="00296B99" w:rsidRDefault="00025E0E" w:rsidP="00435C9F">
      <w:pPr>
        <w:spacing w:line="264" w:lineRule="auto"/>
        <w:rPr>
          <w:b/>
          <w:color w:val="000000"/>
          <w:sz w:val="24"/>
        </w:rPr>
      </w:pPr>
    </w:p>
    <w:p w:rsidR="00435C9F" w:rsidRPr="00435C9F" w:rsidRDefault="00435C9F" w:rsidP="00435C9F">
      <w:pPr>
        <w:spacing w:line="264" w:lineRule="auto"/>
        <w:rPr>
          <w:sz w:val="24"/>
        </w:rPr>
      </w:pPr>
    </w:p>
    <w:p w:rsidR="00435C9F" w:rsidRPr="00435C9F" w:rsidRDefault="00435C9F" w:rsidP="00435C9F">
      <w:pPr>
        <w:spacing w:line="264" w:lineRule="auto"/>
        <w:rPr>
          <w:sz w:val="24"/>
        </w:rPr>
      </w:pPr>
    </w:p>
    <w:p w:rsidR="00435C9F" w:rsidRPr="00435C9F" w:rsidRDefault="00435C9F" w:rsidP="00435C9F">
      <w:pPr>
        <w:spacing w:line="264" w:lineRule="auto"/>
        <w:rPr>
          <w:sz w:val="24"/>
        </w:rPr>
      </w:pPr>
      <w:r w:rsidRPr="00435C9F">
        <w:rPr>
          <w:sz w:val="24"/>
        </w:rPr>
        <w:t>DENNIS J. MOSS</w:t>
      </w:r>
    </w:p>
    <w:p w:rsidR="00435C9F" w:rsidRPr="00435C9F" w:rsidRDefault="00296B99" w:rsidP="00435C9F">
      <w:pPr>
        <w:spacing w:line="264" w:lineRule="auto"/>
        <w:rPr>
          <w:sz w:val="24"/>
        </w:rPr>
      </w:pPr>
      <w:r>
        <w:rPr>
          <w:sz w:val="24"/>
        </w:rPr>
        <w:t>Senior Review</w:t>
      </w:r>
      <w:r w:rsidR="00435C9F" w:rsidRPr="00435C9F">
        <w:rPr>
          <w:sz w:val="24"/>
        </w:rPr>
        <w:t xml:space="preserve"> Judge</w:t>
      </w:r>
    </w:p>
    <w:sectPr w:rsidR="00435C9F" w:rsidRPr="00435C9F" w:rsidSect="00435C9F">
      <w:headerReference w:type="default" r:id="rId12"/>
      <w:headerReference w:type="first" r:id="rId13"/>
      <w:footerReference w:type="first" r:id="rId14"/>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18" w:rsidRDefault="00AA1918" w:rsidP="002A66F0">
      <w:r>
        <w:separator/>
      </w:r>
    </w:p>
  </w:endnote>
  <w:endnote w:type="continuationSeparator" w:id="0">
    <w:p w:rsidR="00AA1918" w:rsidRDefault="00AA1918" w:rsidP="002A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9F" w:rsidRDefault="00435C9F" w:rsidP="00435C9F">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18" w:rsidRDefault="00AA1918" w:rsidP="002A66F0">
      <w:r>
        <w:separator/>
      </w:r>
    </w:p>
  </w:footnote>
  <w:footnote w:type="continuationSeparator" w:id="0">
    <w:p w:rsidR="00AA1918" w:rsidRDefault="00AA1918" w:rsidP="002A66F0">
      <w:r>
        <w:continuationSeparator/>
      </w:r>
    </w:p>
  </w:footnote>
  <w:footnote w:id="1">
    <w:p w:rsidR="002A66F0" w:rsidRPr="003B422D" w:rsidRDefault="002A66F0">
      <w:pPr>
        <w:pStyle w:val="FootnoteText"/>
        <w:rPr>
          <w:szCs w:val="22"/>
        </w:rPr>
      </w:pPr>
      <w:r w:rsidRPr="003B422D">
        <w:rPr>
          <w:rStyle w:val="FootnoteReference"/>
          <w:szCs w:val="22"/>
        </w:rPr>
        <w:footnoteRef/>
      </w:r>
      <w:r w:rsidRPr="003B422D">
        <w:rPr>
          <w:szCs w:val="22"/>
        </w:rPr>
        <w:t xml:space="preserve"> Order 07 ¶ 136.  </w:t>
      </w:r>
    </w:p>
  </w:footnote>
  <w:footnote w:id="2">
    <w:p w:rsidR="002A66F0" w:rsidRDefault="002A66F0">
      <w:pPr>
        <w:pStyle w:val="FootnoteText"/>
      </w:pPr>
      <w:r w:rsidRPr="003B422D">
        <w:rPr>
          <w:rStyle w:val="FootnoteReference"/>
          <w:szCs w:val="22"/>
        </w:rPr>
        <w:footnoteRef/>
      </w:r>
      <w:r w:rsidRPr="003B422D">
        <w:rPr>
          <w:szCs w:val="22"/>
        </w:rPr>
        <w:t xml:space="preserve"> </w:t>
      </w:r>
      <w:r w:rsidRPr="003B422D">
        <w:rPr>
          <w:color w:val="000000"/>
          <w:szCs w:val="22"/>
        </w:rPr>
        <w:t>Order 07 ¶ 9, fn. 9 (citing Amended Decoupling Petition ¶ 20).</w:t>
      </w:r>
    </w:p>
  </w:footnote>
  <w:footnote w:id="3">
    <w:p w:rsidR="00B85350" w:rsidRDefault="00B85350" w:rsidP="00B85350">
      <w:pPr>
        <w:pStyle w:val="FootnoteText"/>
      </w:pPr>
      <w:r>
        <w:rPr>
          <w:rStyle w:val="FootnoteReference"/>
        </w:rPr>
        <w:footnoteRef/>
      </w:r>
      <w:r>
        <w:t xml:space="preserve"> Joint Petition ¶ 2.</w:t>
      </w:r>
    </w:p>
  </w:footnote>
  <w:footnote w:id="4">
    <w:p w:rsidR="00296B99" w:rsidRDefault="00296B99">
      <w:pPr>
        <w:pStyle w:val="FootnoteText"/>
      </w:pPr>
      <w:r>
        <w:rPr>
          <w:rStyle w:val="FootnoteReference"/>
        </w:rPr>
        <w:footnoteRef/>
      </w:r>
      <w:r>
        <w:t xml:space="preserve"> The date is amended both in the body of ¶ 9 and in n.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9F" w:rsidRPr="00100F6E" w:rsidRDefault="00435C9F" w:rsidP="00435C9F">
    <w:pPr>
      <w:pStyle w:val="Header"/>
      <w:tabs>
        <w:tab w:val="clear" w:pos="9360"/>
        <w:tab w:val="right" w:pos="8550"/>
      </w:tabs>
      <w:rPr>
        <w:b/>
        <w:noProof/>
        <w:sz w:val="20"/>
        <w:szCs w:val="20"/>
      </w:rPr>
    </w:pPr>
    <w:r w:rsidRPr="00100F6E">
      <w:rPr>
        <w:b/>
        <w:sz w:val="20"/>
        <w:szCs w:val="20"/>
      </w:rPr>
      <w:t>DOCKET</w:t>
    </w:r>
    <w:r>
      <w:rPr>
        <w:b/>
        <w:sz w:val="20"/>
        <w:szCs w:val="20"/>
      </w:rPr>
      <w:t xml:space="preserve">S UE-121697 and UG-121705 </w:t>
    </w:r>
    <w:r w:rsidRPr="00047D86">
      <w:rPr>
        <w:b/>
        <w:i/>
        <w:sz w:val="20"/>
        <w:szCs w:val="20"/>
      </w:rPr>
      <w:t>(Consolidated</w:t>
    </w:r>
    <w:r>
      <w:rPr>
        <w:b/>
        <w:sz w:val="20"/>
        <w:szCs w:val="20"/>
      </w:rPr>
      <w:t>)</w:t>
    </w:r>
    <w:r w:rsidRPr="00100F6E">
      <w:rPr>
        <w:b/>
        <w:sz w:val="20"/>
        <w:szCs w:val="20"/>
      </w:rPr>
      <w:tab/>
    </w:r>
    <w:r w:rsidRPr="00100F6E">
      <w:rPr>
        <w:b/>
        <w:sz w:val="20"/>
        <w:szCs w:val="20"/>
      </w:rPr>
      <w:tab/>
      <w:t xml:space="preserve">PAGE </w:t>
    </w:r>
    <w:r w:rsidRPr="00100F6E">
      <w:rPr>
        <w:b/>
        <w:sz w:val="20"/>
        <w:szCs w:val="20"/>
      </w:rPr>
      <w:fldChar w:fldCharType="begin"/>
    </w:r>
    <w:r w:rsidRPr="00100F6E">
      <w:rPr>
        <w:b/>
        <w:sz w:val="20"/>
        <w:szCs w:val="20"/>
      </w:rPr>
      <w:instrText xml:space="preserve"> PAGE   \* MERGEFORMAT </w:instrText>
    </w:r>
    <w:r w:rsidRPr="00100F6E">
      <w:rPr>
        <w:b/>
        <w:sz w:val="20"/>
        <w:szCs w:val="20"/>
      </w:rPr>
      <w:fldChar w:fldCharType="separate"/>
    </w:r>
    <w:r w:rsidR="00F56489">
      <w:rPr>
        <w:b/>
        <w:noProof/>
        <w:sz w:val="20"/>
        <w:szCs w:val="20"/>
      </w:rPr>
      <w:t>2</w:t>
    </w:r>
    <w:r w:rsidRPr="00100F6E">
      <w:rPr>
        <w:b/>
        <w:noProof/>
        <w:sz w:val="20"/>
        <w:szCs w:val="20"/>
      </w:rPr>
      <w:fldChar w:fldCharType="end"/>
    </w:r>
  </w:p>
  <w:p w:rsidR="00435C9F" w:rsidRDefault="00435C9F" w:rsidP="00435C9F">
    <w:pPr>
      <w:pStyle w:val="Header"/>
      <w:tabs>
        <w:tab w:val="clear" w:pos="9360"/>
        <w:tab w:val="right" w:pos="8550"/>
      </w:tabs>
      <w:rPr>
        <w:b/>
        <w:sz w:val="20"/>
        <w:szCs w:val="20"/>
      </w:rPr>
    </w:pPr>
    <w:r>
      <w:rPr>
        <w:b/>
        <w:sz w:val="20"/>
        <w:szCs w:val="20"/>
      </w:rPr>
      <w:t xml:space="preserve">DOCKETS UE-130137 and UG-130138 </w:t>
    </w:r>
    <w:r w:rsidRPr="00047D86">
      <w:rPr>
        <w:b/>
        <w:i/>
        <w:sz w:val="20"/>
        <w:szCs w:val="20"/>
      </w:rPr>
      <w:t>(Consolidated)</w:t>
    </w:r>
  </w:p>
  <w:p w:rsidR="00435C9F" w:rsidRDefault="00435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55" w:rsidRPr="009A5855" w:rsidRDefault="009A5855" w:rsidP="009A5855">
    <w:pPr>
      <w:pStyle w:val="Header"/>
      <w:tabs>
        <w:tab w:val="clear" w:pos="468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E6811"/>
    <w:multiLevelType w:val="hybridMultilevel"/>
    <w:tmpl w:val="246491AE"/>
    <w:lvl w:ilvl="0" w:tplc="09E4E49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B7F02"/>
    <w:multiLevelType w:val="multilevel"/>
    <w:tmpl w:val="9ECC83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3C2E30"/>
    <w:multiLevelType w:val="hybridMultilevel"/>
    <w:tmpl w:val="55006098"/>
    <w:lvl w:ilvl="0" w:tplc="43A6AB58">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29"/>
    <w:rsid w:val="00025E0E"/>
    <w:rsid w:val="00045475"/>
    <w:rsid w:val="00084DF7"/>
    <w:rsid w:val="000D161E"/>
    <w:rsid w:val="00123124"/>
    <w:rsid w:val="00296B99"/>
    <w:rsid w:val="00297B40"/>
    <w:rsid w:val="002A66F0"/>
    <w:rsid w:val="003B422D"/>
    <w:rsid w:val="00435C9F"/>
    <w:rsid w:val="00663875"/>
    <w:rsid w:val="006B3930"/>
    <w:rsid w:val="00772DAD"/>
    <w:rsid w:val="00784DE4"/>
    <w:rsid w:val="00785A3A"/>
    <w:rsid w:val="00797235"/>
    <w:rsid w:val="008E0E80"/>
    <w:rsid w:val="00903602"/>
    <w:rsid w:val="009A5855"/>
    <w:rsid w:val="009C28BE"/>
    <w:rsid w:val="009C381F"/>
    <w:rsid w:val="00A56322"/>
    <w:rsid w:val="00AA1918"/>
    <w:rsid w:val="00AC6C68"/>
    <w:rsid w:val="00B72B13"/>
    <w:rsid w:val="00B831C6"/>
    <w:rsid w:val="00B85350"/>
    <w:rsid w:val="00CA0B8B"/>
    <w:rsid w:val="00D12434"/>
    <w:rsid w:val="00D30031"/>
    <w:rsid w:val="00E40CBE"/>
    <w:rsid w:val="00E83841"/>
    <w:rsid w:val="00F37229"/>
    <w:rsid w:val="00F56489"/>
    <w:rsid w:val="00FB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68"/>
    <w:pPr>
      <w:spacing w:after="0"/>
    </w:pPr>
    <w:rPr>
      <w:rFonts w:ascii="Times New Roman" w:hAnsi="Times New Roman" w:cs="Times New Roman"/>
      <w:sz w:val="25"/>
      <w:szCs w:val="24"/>
    </w:rPr>
  </w:style>
  <w:style w:type="paragraph" w:styleId="Heading1">
    <w:name w:val="heading 1"/>
    <w:basedOn w:val="Normal"/>
    <w:next w:val="Normal"/>
    <w:link w:val="Heading1Char"/>
    <w:qFormat/>
    <w:rsid w:val="00FB6C1A"/>
    <w:pPr>
      <w:keepNext/>
      <w:widowControl w:val="0"/>
      <w:autoSpaceDE w:val="0"/>
      <w:autoSpaceDN w:val="0"/>
      <w:adjustRightInd w:val="0"/>
      <w:jc w:val="center"/>
      <w:outlineLvl w:val="0"/>
    </w:pPr>
    <w:rPr>
      <w:rFonts w:cs="Arial"/>
      <w:b/>
      <w:sz w:val="24"/>
      <w:u w:val="single"/>
    </w:rPr>
  </w:style>
  <w:style w:type="paragraph" w:styleId="Heading2">
    <w:name w:val="heading 2"/>
    <w:basedOn w:val="Normal"/>
    <w:next w:val="Normal"/>
    <w:link w:val="Heading2Char"/>
    <w:qFormat/>
    <w:rsid w:val="00FB6C1A"/>
    <w:pPr>
      <w:keepNext/>
      <w:numPr>
        <w:numId w:val="1"/>
      </w:numPr>
      <w:outlineLvl w:val="1"/>
    </w:pPr>
    <w:rPr>
      <w:b/>
      <w:bCs/>
      <w:sz w:val="24"/>
    </w:rPr>
  </w:style>
  <w:style w:type="paragraph" w:styleId="Heading3">
    <w:name w:val="heading 3"/>
    <w:basedOn w:val="Normal"/>
    <w:next w:val="Normal"/>
    <w:link w:val="Heading3Char"/>
    <w:qFormat/>
    <w:rsid w:val="00785A3A"/>
    <w:pPr>
      <w:keepNext/>
      <w:jc w:val="center"/>
      <w:outlineLvl w:val="2"/>
    </w:pPr>
    <w:rPr>
      <w:rFonts w:asciiTheme="minorHAnsi" w:hAnsiTheme="minorHAnsi" w:cstheme="min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1"/>
    <w:qFormat/>
    <w:rsid w:val="00B831C6"/>
    <w:pPr>
      <w:spacing w:after="120"/>
    </w:pPr>
    <w:rPr>
      <w:sz w:val="22"/>
    </w:rPr>
  </w:style>
  <w:style w:type="character" w:customStyle="1" w:styleId="FootnoteTextChar">
    <w:name w:val="Footnote Text Char"/>
    <w:basedOn w:val="DefaultParagraphFont"/>
    <w:uiPriority w:val="99"/>
    <w:rsid w:val="00663875"/>
    <w:rPr>
      <w:rFonts w:ascii="Times New Roman" w:hAnsi="Times New Roman"/>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locked/>
    <w:rsid w:val="00B831C6"/>
    <w:rPr>
      <w:rFonts w:ascii="Times New Roman" w:hAnsi="Times New Roman" w:cs="Times New Roman"/>
      <w:szCs w:val="24"/>
    </w:rPr>
  </w:style>
  <w:style w:type="character" w:customStyle="1" w:styleId="Heading1Char">
    <w:name w:val="Heading 1 Char"/>
    <w:basedOn w:val="DefaultParagraphFont"/>
    <w:link w:val="Heading1"/>
    <w:rsid w:val="00FB6C1A"/>
    <w:rPr>
      <w:rFonts w:ascii="Times New Roman" w:hAnsi="Times New Roman" w:cs="Arial"/>
      <w:b/>
      <w:sz w:val="24"/>
      <w:szCs w:val="24"/>
      <w:u w:val="single"/>
    </w:rPr>
  </w:style>
  <w:style w:type="character" w:customStyle="1" w:styleId="Heading2Char">
    <w:name w:val="Heading 2 Char"/>
    <w:basedOn w:val="DefaultParagraphFont"/>
    <w:link w:val="Heading2"/>
    <w:rsid w:val="00FB6C1A"/>
    <w:rPr>
      <w:rFonts w:ascii="Times New Roman" w:hAnsi="Times New Roman" w:cs="Times New Roman"/>
      <w:b/>
      <w:bCs/>
      <w:sz w:val="24"/>
      <w:szCs w:val="24"/>
    </w:rPr>
  </w:style>
  <w:style w:type="character" w:customStyle="1" w:styleId="Heading3Char">
    <w:name w:val="Heading 3 Char"/>
    <w:link w:val="Heading3"/>
    <w:rsid w:val="00785A3A"/>
    <w:rPr>
      <w:b/>
      <w:bCs/>
      <w:sz w:val="24"/>
      <w:szCs w:val="24"/>
    </w:rPr>
  </w:style>
  <w:style w:type="character" w:styleId="FootnoteReference">
    <w:name w:val="footnote reference"/>
    <w:basedOn w:val="DefaultParagraphFont"/>
    <w:semiHidden/>
    <w:unhideWhenUsed/>
    <w:rsid w:val="002A66F0"/>
    <w:rPr>
      <w:vertAlign w:val="superscript"/>
    </w:rPr>
  </w:style>
  <w:style w:type="paragraph" w:styleId="NoSpacing">
    <w:name w:val="No Spacing"/>
    <w:uiPriority w:val="1"/>
    <w:qFormat/>
    <w:rsid w:val="003B422D"/>
    <w:pPr>
      <w:spacing w:after="0"/>
    </w:pPr>
    <w:rPr>
      <w:rFonts w:ascii="Calibri" w:eastAsia="Calibri" w:hAnsi="Calibri" w:cs="Times New Roman"/>
    </w:rPr>
  </w:style>
  <w:style w:type="paragraph" w:styleId="Header">
    <w:name w:val="header"/>
    <w:basedOn w:val="Normal"/>
    <w:link w:val="HeaderChar"/>
    <w:uiPriority w:val="99"/>
    <w:unhideWhenUsed/>
    <w:rsid w:val="003B422D"/>
    <w:pPr>
      <w:tabs>
        <w:tab w:val="center" w:pos="4680"/>
        <w:tab w:val="right" w:pos="9360"/>
      </w:tabs>
    </w:pPr>
  </w:style>
  <w:style w:type="character" w:customStyle="1" w:styleId="HeaderChar">
    <w:name w:val="Header Char"/>
    <w:basedOn w:val="DefaultParagraphFont"/>
    <w:link w:val="Header"/>
    <w:uiPriority w:val="99"/>
    <w:rsid w:val="003B422D"/>
    <w:rPr>
      <w:rFonts w:ascii="Times New Roman" w:hAnsi="Times New Roman" w:cs="Times New Roman"/>
      <w:sz w:val="25"/>
      <w:szCs w:val="24"/>
    </w:rPr>
  </w:style>
  <w:style w:type="paragraph" w:styleId="Footer">
    <w:name w:val="footer"/>
    <w:basedOn w:val="Normal"/>
    <w:link w:val="FooterChar"/>
    <w:uiPriority w:val="99"/>
    <w:unhideWhenUsed/>
    <w:rsid w:val="003B422D"/>
    <w:pPr>
      <w:tabs>
        <w:tab w:val="center" w:pos="4680"/>
        <w:tab w:val="right" w:pos="9360"/>
      </w:tabs>
    </w:pPr>
  </w:style>
  <w:style w:type="character" w:customStyle="1" w:styleId="FooterChar">
    <w:name w:val="Footer Char"/>
    <w:basedOn w:val="DefaultParagraphFont"/>
    <w:link w:val="Footer"/>
    <w:uiPriority w:val="99"/>
    <w:rsid w:val="003B422D"/>
    <w:rPr>
      <w:rFonts w:ascii="Times New Roman" w:hAnsi="Times New Roman" w:cs="Times New Roman"/>
      <w:sz w:val="25"/>
      <w:szCs w:val="24"/>
    </w:rPr>
  </w:style>
  <w:style w:type="paragraph" w:styleId="BalloonText">
    <w:name w:val="Balloon Text"/>
    <w:basedOn w:val="Normal"/>
    <w:link w:val="BalloonTextChar"/>
    <w:uiPriority w:val="99"/>
    <w:semiHidden/>
    <w:unhideWhenUsed/>
    <w:rsid w:val="00123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2016-03-17T22:03:50+00:00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28BF817-BD85-45C4-A260-A863A9BAAE3A}"/>
</file>

<file path=customXml/itemProps2.xml><?xml version="1.0" encoding="utf-8"?>
<ds:datastoreItem xmlns:ds="http://schemas.openxmlformats.org/officeDocument/2006/customXml" ds:itemID="{67D0CEAC-3B9F-49F0-8564-C8EF554D332D}"/>
</file>

<file path=customXml/itemProps3.xml><?xml version="1.0" encoding="utf-8"?>
<ds:datastoreItem xmlns:ds="http://schemas.openxmlformats.org/officeDocument/2006/customXml" ds:itemID="{B7359AF3-E081-448F-BB6B-B6C90C88C95A}"/>
</file>

<file path=customXml/itemProps4.xml><?xml version="1.0" encoding="utf-8"?>
<ds:datastoreItem xmlns:ds="http://schemas.openxmlformats.org/officeDocument/2006/customXml" ds:itemID="{8EA0500D-7297-4CCE-825A-52D0360CE65B}"/>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2016-03-17T21:40:00Z</dcterms:created>
  <dcterms:modified xsi:type="dcterms:W3CDTF">2016-03-17T21:40:00Z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