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E9" w:rsidRDefault="00FE6336" w:rsidP="00BB18E9">
      <w:pPr>
        <w:pStyle w:val="Question"/>
        <w:jc w:val="left"/>
      </w:pPr>
      <w:r w:rsidRPr="00FE6336">
        <w:rPr>
          <w:szCs w:val="24"/>
        </w:rPr>
        <w:t>Q.</w:t>
      </w:r>
      <w:r w:rsidRPr="00FE6336">
        <w:rPr>
          <w:szCs w:val="24"/>
        </w:rPr>
        <w:tab/>
      </w:r>
      <w:r w:rsidR="00BB18E9">
        <w:rPr>
          <w:szCs w:val="24"/>
        </w:rPr>
        <w:t xml:space="preserve">Are you the same Andrea L. Kelly </w:t>
      </w:r>
      <w:r w:rsidR="00BB18E9">
        <w:t>that previously provided testimony in this docket?</w:t>
      </w:r>
    </w:p>
    <w:p w:rsidR="00FE6336" w:rsidRPr="00094647" w:rsidRDefault="00FE6336" w:rsidP="00BB18E9">
      <w:pPr>
        <w:pStyle w:val="BodyTextIndent"/>
        <w:tabs>
          <w:tab w:val="clear" w:pos="720"/>
        </w:tabs>
        <w:rPr>
          <w:szCs w:val="24"/>
        </w:rPr>
      </w:pPr>
      <w:r w:rsidRPr="00094647">
        <w:rPr>
          <w:szCs w:val="24"/>
        </w:rPr>
        <w:t>A.</w:t>
      </w:r>
      <w:r w:rsidRPr="00094647">
        <w:rPr>
          <w:szCs w:val="24"/>
        </w:rPr>
        <w:tab/>
      </w:r>
      <w:r w:rsidR="00094647" w:rsidRPr="00094647">
        <w:rPr>
          <w:szCs w:val="24"/>
        </w:rPr>
        <w:t>Yes</w:t>
      </w:r>
      <w:r w:rsidR="00F71BF1">
        <w:rPr>
          <w:szCs w:val="24"/>
        </w:rPr>
        <w:t>.</w:t>
      </w:r>
    </w:p>
    <w:p w:rsidR="00BA01E1" w:rsidRPr="00FE6336" w:rsidRDefault="00FE6336" w:rsidP="002B3D96">
      <w:pPr>
        <w:tabs>
          <w:tab w:val="left" w:pos="720"/>
        </w:tabs>
        <w:spacing w:line="480" w:lineRule="auto"/>
        <w:ind w:left="720" w:hanging="720"/>
        <w:rPr>
          <w:b/>
          <w:sz w:val="24"/>
          <w:szCs w:val="24"/>
        </w:rPr>
      </w:pPr>
      <w:r>
        <w:rPr>
          <w:b/>
          <w:sz w:val="24"/>
          <w:szCs w:val="24"/>
        </w:rPr>
        <w:t>Purpose</w:t>
      </w:r>
      <w:r w:rsidR="00BA01E1" w:rsidRPr="00FE6336">
        <w:rPr>
          <w:b/>
          <w:sz w:val="24"/>
          <w:szCs w:val="24"/>
        </w:rPr>
        <w:t xml:space="preserve"> </w:t>
      </w:r>
      <w:r w:rsidR="00BB18E9">
        <w:rPr>
          <w:b/>
          <w:sz w:val="24"/>
          <w:szCs w:val="24"/>
        </w:rPr>
        <w:t xml:space="preserve">and Summary </w:t>
      </w:r>
      <w:r w:rsidR="00BA01E1" w:rsidRPr="00FE6336">
        <w:rPr>
          <w:b/>
          <w:sz w:val="24"/>
          <w:szCs w:val="24"/>
        </w:rPr>
        <w:t>of Testimony</w:t>
      </w:r>
    </w:p>
    <w:p w:rsidR="00BA01E1" w:rsidRPr="00FE6336" w:rsidRDefault="00BA01E1" w:rsidP="002B3D96">
      <w:pPr>
        <w:tabs>
          <w:tab w:val="left" w:pos="720"/>
        </w:tabs>
        <w:spacing w:line="480" w:lineRule="auto"/>
        <w:rPr>
          <w:b/>
          <w:sz w:val="24"/>
          <w:szCs w:val="24"/>
        </w:rPr>
      </w:pPr>
      <w:r w:rsidRPr="00FE6336">
        <w:rPr>
          <w:b/>
          <w:sz w:val="24"/>
          <w:szCs w:val="24"/>
        </w:rPr>
        <w:t>Q.</w:t>
      </w:r>
      <w:r w:rsidRPr="00FE6336">
        <w:rPr>
          <w:b/>
          <w:sz w:val="24"/>
          <w:szCs w:val="24"/>
        </w:rPr>
        <w:tab/>
        <w:t xml:space="preserve">What is the purpose of your </w:t>
      </w:r>
      <w:r w:rsidR="00F71BF1">
        <w:rPr>
          <w:b/>
          <w:sz w:val="24"/>
          <w:szCs w:val="24"/>
        </w:rPr>
        <w:t xml:space="preserve">rebuttal </w:t>
      </w:r>
      <w:r w:rsidRPr="00FE6336">
        <w:rPr>
          <w:b/>
          <w:sz w:val="24"/>
          <w:szCs w:val="24"/>
        </w:rPr>
        <w:t>testimony?</w:t>
      </w:r>
    </w:p>
    <w:p w:rsidR="00094647" w:rsidRDefault="00E06726" w:rsidP="002B3D96">
      <w:pPr>
        <w:pStyle w:val="BodyTextIndent"/>
        <w:jc w:val="left"/>
        <w:rPr>
          <w:szCs w:val="24"/>
        </w:rPr>
      </w:pPr>
      <w:r>
        <w:rPr>
          <w:szCs w:val="24"/>
        </w:rPr>
        <w:t>A.</w:t>
      </w:r>
      <w:r>
        <w:rPr>
          <w:szCs w:val="24"/>
        </w:rPr>
        <w:tab/>
        <w:t xml:space="preserve">My </w:t>
      </w:r>
      <w:r w:rsidR="00094647">
        <w:rPr>
          <w:szCs w:val="24"/>
        </w:rPr>
        <w:t xml:space="preserve">rebuttal </w:t>
      </w:r>
      <w:r>
        <w:rPr>
          <w:szCs w:val="24"/>
        </w:rPr>
        <w:t xml:space="preserve">testimony </w:t>
      </w:r>
      <w:r w:rsidR="00094647">
        <w:rPr>
          <w:szCs w:val="24"/>
        </w:rPr>
        <w:t>responds to the direct testimony of Commission Staff</w:t>
      </w:r>
      <w:r w:rsidR="00E47971">
        <w:rPr>
          <w:szCs w:val="24"/>
        </w:rPr>
        <w:t xml:space="preserve"> (Staff)</w:t>
      </w:r>
      <w:r w:rsidR="00094647">
        <w:rPr>
          <w:szCs w:val="24"/>
        </w:rPr>
        <w:t xml:space="preserve"> witness Kathryn H. Breda and the direct testimony of Industrial Customers of Northwest Utilities</w:t>
      </w:r>
      <w:r w:rsidR="000C27BA">
        <w:rPr>
          <w:szCs w:val="24"/>
        </w:rPr>
        <w:t xml:space="preserve"> and Public Counsel</w:t>
      </w:r>
      <w:r w:rsidR="00094647">
        <w:rPr>
          <w:szCs w:val="24"/>
        </w:rPr>
        <w:t xml:space="preserve"> (</w:t>
      </w:r>
      <w:proofErr w:type="spellStart"/>
      <w:r w:rsidR="000C27BA">
        <w:rPr>
          <w:szCs w:val="24"/>
        </w:rPr>
        <w:t>ICNU</w:t>
      </w:r>
      <w:proofErr w:type="spellEnd"/>
      <w:r w:rsidR="000C27BA">
        <w:rPr>
          <w:szCs w:val="24"/>
        </w:rPr>
        <w:t>/PC</w:t>
      </w:r>
      <w:r w:rsidR="00094647">
        <w:rPr>
          <w:szCs w:val="24"/>
        </w:rPr>
        <w:t xml:space="preserve">) joint witness Donald W. </w:t>
      </w:r>
      <w:proofErr w:type="spellStart"/>
      <w:r w:rsidR="00094647">
        <w:rPr>
          <w:szCs w:val="24"/>
        </w:rPr>
        <w:t>Schoenbeck</w:t>
      </w:r>
      <w:proofErr w:type="spellEnd"/>
      <w:r w:rsidR="00094647">
        <w:rPr>
          <w:szCs w:val="24"/>
        </w:rPr>
        <w:t xml:space="preserve">.  Specifically, </w:t>
      </w:r>
      <w:r w:rsidR="000C27BA">
        <w:rPr>
          <w:szCs w:val="24"/>
        </w:rPr>
        <w:t>my testimony:</w:t>
      </w:r>
    </w:p>
    <w:p w:rsidR="009A552A" w:rsidRDefault="000C27BA" w:rsidP="002B3D96">
      <w:pPr>
        <w:pStyle w:val="BodyTextIndent"/>
        <w:numPr>
          <w:ilvl w:val="0"/>
          <w:numId w:val="26"/>
        </w:numPr>
        <w:jc w:val="left"/>
        <w:rPr>
          <w:szCs w:val="24"/>
        </w:rPr>
      </w:pPr>
      <w:r>
        <w:rPr>
          <w:szCs w:val="24"/>
        </w:rPr>
        <w:t xml:space="preserve">Demonstrates that Staff’s and </w:t>
      </w:r>
      <w:proofErr w:type="spellStart"/>
      <w:r>
        <w:rPr>
          <w:szCs w:val="24"/>
        </w:rPr>
        <w:t>ICNU</w:t>
      </w:r>
      <w:proofErr w:type="spellEnd"/>
      <w:r>
        <w:rPr>
          <w:szCs w:val="24"/>
        </w:rPr>
        <w:t>/</w:t>
      </w:r>
      <w:proofErr w:type="spellStart"/>
      <w:r>
        <w:rPr>
          <w:szCs w:val="24"/>
        </w:rPr>
        <w:t>PC’s</w:t>
      </w:r>
      <w:proofErr w:type="spellEnd"/>
      <w:r>
        <w:rPr>
          <w:szCs w:val="24"/>
        </w:rPr>
        <w:t xml:space="preserve"> proposals </w:t>
      </w:r>
      <w:r w:rsidR="00EA7C59">
        <w:rPr>
          <w:szCs w:val="24"/>
        </w:rPr>
        <w:t xml:space="preserve">are one-sided and </w:t>
      </w:r>
      <w:r>
        <w:rPr>
          <w:szCs w:val="24"/>
        </w:rPr>
        <w:t xml:space="preserve">inappropriately isolate one cost element from prior periods without regard for the Company’s overall earnings levels; </w:t>
      </w:r>
    </w:p>
    <w:p w:rsidR="009A552A" w:rsidRDefault="00EA7C59" w:rsidP="002B3D96">
      <w:pPr>
        <w:pStyle w:val="BodyTextIndent"/>
        <w:numPr>
          <w:ilvl w:val="0"/>
          <w:numId w:val="26"/>
        </w:numPr>
        <w:jc w:val="left"/>
        <w:rPr>
          <w:szCs w:val="24"/>
        </w:rPr>
      </w:pPr>
      <w:r>
        <w:rPr>
          <w:szCs w:val="24"/>
        </w:rPr>
        <w:t xml:space="preserve">Discusses the </w:t>
      </w:r>
      <w:r w:rsidR="00F71BF1">
        <w:rPr>
          <w:szCs w:val="24"/>
        </w:rPr>
        <w:t xml:space="preserve">negative </w:t>
      </w:r>
      <w:r w:rsidR="00C07BC1">
        <w:rPr>
          <w:szCs w:val="24"/>
        </w:rPr>
        <w:t>policy ramifications</w:t>
      </w:r>
      <w:r>
        <w:rPr>
          <w:szCs w:val="24"/>
        </w:rPr>
        <w:t xml:space="preserve"> </w:t>
      </w:r>
      <w:r w:rsidR="00F71BF1">
        <w:rPr>
          <w:szCs w:val="24"/>
        </w:rPr>
        <w:t xml:space="preserve">associated with adoption </w:t>
      </w:r>
      <w:r w:rsidR="00C07BC1">
        <w:rPr>
          <w:szCs w:val="24"/>
        </w:rPr>
        <w:t>of Staff’s</w:t>
      </w:r>
      <w:r>
        <w:rPr>
          <w:szCs w:val="24"/>
        </w:rPr>
        <w:t xml:space="preserve"> or </w:t>
      </w:r>
      <w:proofErr w:type="spellStart"/>
      <w:r>
        <w:rPr>
          <w:szCs w:val="24"/>
        </w:rPr>
        <w:t>ICNU</w:t>
      </w:r>
      <w:proofErr w:type="spellEnd"/>
      <w:r>
        <w:rPr>
          <w:szCs w:val="24"/>
        </w:rPr>
        <w:t>/</w:t>
      </w:r>
      <w:proofErr w:type="spellStart"/>
      <w:r>
        <w:rPr>
          <w:szCs w:val="24"/>
        </w:rPr>
        <w:t>PC</w:t>
      </w:r>
      <w:r w:rsidR="00F71BF1">
        <w:rPr>
          <w:szCs w:val="24"/>
        </w:rPr>
        <w:t>’s</w:t>
      </w:r>
      <w:proofErr w:type="spellEnd"/>
      <w:r w:rsidR="00F71BF1">
        <w:rPr>
          <w:szCs w:val="24"/>
        </w:rPr>
        <w:t xml:space="preserve"> proposals</w:t>
      </w:r>
      <w:r>
        <w:rPr>
          <w:szCs w:val="24"/>
        </w:rPr>
        <w:t>; and</w:t>
      </w:r>
    </w:p>
    <w:p w:rsidR="009A552A" w:rsidRDefault="00EA7C59" w:rsidP="002B3D96">
      <w:pPr>
        <w:pStyle w:val="BodyTextIndent"/>
        <w:numPr>
          <w:ilvl w:val="0"/>
          <w:numId w:val="26"/>
        </w:numPr>
        <w:jc w:val="left"/>
        <w:rPr>
          <w:szCs w:val="24"/>
        </w:rPr>
      </w:pPr>
      <w:r>
        <w:rPr>
          <w:szCs w:val="24"/>
        </w:rPr>
        <w:t xml:space="preserve">Responds to Staff’s and </w:t>
      </w:r>
      <w:proofErr w:type="spellStart"/>
      <w:r>
        <w:rPr>
          <w:szCs w:val="24"/>
        </w:rPr>
        <w:t>ICNU</w:t>
      </w:r>
      <w:proofErr w:type="spellEnd"/>
      <w:r>
        <w:rPr>
          <w:szCs w:val="24"/>
        </w:rPr>
        <w:t>/</w:t>
      </w:r>
      <w:proofErr w:type="spellStart"/>
      <w:r>
        <w:rPr>
          <w:szCs w:val="24"/>
        </w:rPr>
        <w:t>PC’s</w:t>
      </w:r>
      <w:proofErr w:type="spellEnd"/>
      <w:r>
        <w:rPr>
          <w:szCs w:val="24"/>
        </w:rPr>
        <w:t xml:space="preserve"> unsupported recommendation to alter the design of the tracking mechanism.</w:t>
      </w:r>
    </w:p>
    <w:p w:rsidR="00094647" w:rsidRDefault="00094647" w:rsidP="002B3D96">
      <w:pPr>
        <w:pStyle w:val="BodyTextIndent"/>
        <w:jc w:val="left"/>
        <w:rPr>
          <w:b/>
          <w:szCs w:val="24"/>
        </w:rPr>
      </w:pPr>
      <w:r>
        <w:rPr>
          <w:b/>
          <w:szCs w:val="24"/>
        </w:rPr>
        <w:t>Q.</w:t>
      </w:r>
      <w:r>
        <w:rPr>
          <w:b/>
          <w:szCs w:val="24"/>
        </w:rPr>
        <w:tab/>
        <w:t xml:space="preserve">Are there </w:t>
      </w:r>
      <w:proofErr w:type="gramStart"/>
      <w:r>
        <w:rPr>
          <w:b/>
          <w:szCs w:val="24"/>
        </w:rPr>
        <w:t>other</w:t>
      </w:r>
      <w:proofErr w:type="gramEnd"/>
      <w:r>
        <w:rPr>
          <w:b/>
          <w:szCs w:val="24"/>
        </w:rPr>
        <w:t xml:space="preserve"> Company witnesses sponsoring rebuttal testimony?</w:t>
      </w:r>
    </w:p>
    <w:p w:rsidR="00094647" w:rsidRPr="00094647" w:rsidRDefault="00094647" w:rsidP="002B3D96">
      <w:pPr>
        <w:pStyle w:val="BodyTextIndent"/>
        <w:jc w:val="left"/>
        <w:rPr>
          <w:szCs w:val="24"/>
        </w:rPr>
      </w:pPr>
      <w:r>
        <w:rPr>
          <w:szCs w:val="24"/>
        </w:rPr>
        <w:t>A.</w:t>
      </w:r>
      <w:r>
        <w:rPr>
          <w:szCs w:val="24"/>
        </w:rPr>
        <w:tab/>
        <w:t xml:space="preserve">Yes.  </w:t>
      </w:r>
      <w:r w:rsidR="00DB651B">
        <w:rPr>
          <w:szCs w:val="24"/>
        </w:rPr>
        <w:t>Company witnesses Stacey J. Kusters and R. Bryce Dalley are</w:t>
      </w:r>
      <w:r>
        <w:rPr>
          <w:szCs w:val="24"/>
        </w:rPr>
        <w:t xml:space="preserve"> also </w:t>
      </w:r>
      <w:proofErr w:type="gramStart"/>
      <w:r>
        <w:rPr>
          <w:szCs w:val="24"/>
        </w:rPr>
        <w:t>sponsoring</w:t>
      </w:r>
      <w:proofErr w:type="gramEnd"/>
      <w:r>
        <w:rPr>
          <w:szCs w:val="24"/>
        </w:rPr>
        <w:t xml:space="preserve"> rebuttal testimony.</w:t>
      </w:r>
    </w:p>
    <w:p w:rsidR="00065068" w:rsidRDefault="00065068" w:rsidP="002B3D96">
      <w:pPr>
        <w:pStyle w:val="BodyTextIndent"/>
        <w:jc w:val="left"/>
        <w:rPr>
          <w:b/>
          <w:szCs w:val="24"/>
        </w:rPr>
      </w:pPr>
      <w:r w:rsidRPr="00D61FB2">
        <w:rPr>
          <w:b/>
          <w:szCs w:val="24"/>
        </w:rPr>
        <w:t>Q.</w:t>
      </w:r>
      <w:r w:rsidRPr="00D61FB2">
        <w:rPr>
          <w:b/>
          <w:szCs w:val="24"/>
        </w:rPr>
        <w:tab/>
      </w:r>
      <w:r w:rsidR="00F71BF1">
        <w:rPr>
          <w:b/>
          <w:szCs w:val="24"/>
        </w:rPr>
        <w:t>Does</w:t>
      </w:r>
      <w:r w:rsidR="008B0101">
        <w:rPr>
          <w:b/>
          <w:szCs w:val="24"/>
        </w:rPr>
        <w:t xml:space="preserve"> your testimony address the legal </w:t>
      </w:r>
      <w:r w:rsidR="00690553">
        <w:rPr>
          <w:b/>
          <w:szCs w:val="24"/>
        </w:rPr>
        <w:t>definition of</w:t>
      </w:r>
      <w:r w:rsidR="008B0101">
        <w:rPr>
          <w:b/>
          <w:szCs w:val="24"/>
        </w:rPr>
        <w:t xml:space="preserve"> retroactive ratemaking</w:t>
      </w:r>
      <w:r w:rsidR="00A97150">
        <w:rPr>
          <w:b/>
          <w:szCs w:val="24"/>
        </w:rPr>
        <w:t>?</w:t>
      </w:r>
    </w:p>
    <w:p w:rsidR="002B3D96" w:rsidRDefault="00D61FB2" w:rsidP="002B3D96">
      <w:pPr>
        <w:pStyle w:val="AutoNumBodyCharCharCharChar"/>
        <w:ind w:hanging="720"/>
        <w:sectPr w:rsidR="002B3D96" w:rsidSect="002B3D9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800" w:bottom="1440" w:left="1800" w:header="720" w:footer="720" w:gutter="0"/>
          <w:lnNumType w:countBy="1"/>
          <w:cols w:space="720"/>
          <w:docGrid w:linePitch="360"/>
        </w:sectPr>
      </w:pPr>
      <w:r>
        <w:t>A.</w:t>
      </w:r>
      <w:r>
        <w:tab/>
      </w:r>
      <w:r w:rsidR="008B0101">
        <w:t xml:space="preserve">No.  My direct and rebuttal testimony do not address the legal </w:t>
      </w:r>
      <w:r w:rsidR="00690553">
        <w:t>definition of</w:t>
      </w:r>
      <w:r w:rsidR="008B0101">
        <w:t xml:space="preserve"> retroactive ratemaking.  </w:t>
      </w:r>
      <w:r w:rsidR="00F71BF1">
        <w:t xml:space="preserve">The Company’s </w:t>
      </w:r>
      <w:r w:rsidR="0003203E">
        <w:t xml:space="preserve">post-hearing </w:t>
      </w:r>
      <w:r w:rsidR="00F71BF1">
        <w:t xml:space="preserve">brief will </w:t>
      </w:r>
      <w:r w:rsidR="00F419F7">
        <w:t>outline</w:t>
      </w:r>
      <w:r w:rsidR="00F71BF1">
        <w:t xml:space="preserve"> the legal prohibitions </w:t>
      </w:r>
      <w:r w:rsidR="00F419F7">
        <w:t>barring</w:t>
      </w:r>
      <w:r w:rsidR="00F71BF1">
        <w:t xml:space="preserve"> adoption of Staff’s and</w:t>
      </w:r>
      <w:r w:rsidR="0003203E">
        <w:t xml:space="preserve"> PC/</w:t>
      </w:r>
      <w:proofErr w:type="spellStart"/>
      <w:r w:rsidR="0003203E">
        <w:t>I</w:t>
      </w:r>
      <w:r w:rsidR="00F71BF1">
        <w:t>C</w:t>
      </w:r>
      <w:r w:rsidR="0003203E">
        <w:t>N</w:t>
      </w:r>
      <w:r w:rsidR="00F71BF1">
        <w:t>U’s</w:t>
      </w:r>
      <w:proofErr w:type="spellEnd"/>
      <w:r w:rsidR="00F71BF1">
        <w:t xml:space="preserve"> proposals. </w:t>
      </w:r>
      <w:r w:rsidR="008B0101">
        <w:t xml:space="preserve">Irrespective of </w:t>
      </w:r>
    </w:p>
    <w:p w:rsidR="00690D97" w:rsidRDefault="002B3D96" w:rsidP="002B3D96">
      <w:pPr>
        <w:pStyle w:val="AutoNumBodyCharCharCharChar"/>
        <w:ind w:hanging="720"/>
      </w:pPr>
      <w:r>
        <w:lastRenderedPageBreak/>
        <w:tab/>
      </w:r>
      <w:proofErr w:type="gramStart"/>
      <w:r w:rsidR="008B0101">
        <w:t>the</w:t>
      </w:r>
      <w:proofErr w:type="gramEnd"/>
      <w:r w:rsidR="008B0101">
        <w:t xml:space="preserve"> Commission’s </w:t>
      </w:r>
      <w:r w:rsidR="00AF0664">
        <w:t xml:space="preserve">legal </w:t>
      </w:r>
      <w:r w:rsidR="008B0101">
        <w:t xml:space="preserve">determination on retroactive ratemaking, </w:t>
      </w:r>
      <w:r w:rsidR="00F71BF1">
        <w:t xml:space="preserve">however, </w:t>
      </w:r>
      <w:r w:rsidR="008B0101">
        <w:t xml:space="preserve">my </w:t>
      </w:r>
      <w:r w:rsidR="00690553">
        <w:t>testimon</w:t>
      </w:r>
      <w:r w:rsidR="00F71BF1">
        <w:t>y</w:t>
      </w:r>
      <w:r w:rsidR="00690553">
        <w:t xml:space="preserve"> demonstrate</w:t>
      </w:r>
      <w:r w:rsidR="00F71BF1">
        <w:t>s</w:t>
      </w:r>
      <w:r w:rsidR="008B0101">
        <w:t xml:space="preserve"> why a decision to credit </w:t>
      </w:r>
      <w:r w:rsidR="00690553">
        <w:t xml:space="preserve">to customers </w:t>
      </w:r>
      <w:r w:rsidR="001D167F">
        <w:t xml:space="preserve">additional </w:t>
      </w:r>
      <w:proofErr w:type="spellStart"/>
      <w:r w:rsidR="008B0101">
        <w:t>REC</w:t>
      </w:r>
      <w:proofErr w:type="spellEnd"/>
      <w:r w:rsidR="008B0101">
        <w:t xml:space="preserve"> revenues from 2009 and 2010 </w:t>
      </w:r>
      <w:r w:rsidR="00EB079B">
        <w:t>is</w:t>
      </w:r>
      <w:r w:rsidR="008B0101">
        <w:t xml:space="preserve"> </w:t>
      </w:r>
      <w:r w:rsidR="00690553">
        <w:t>poor</w:t>
      </w:r>
      <w:r w:rsidR="008B0101">
        <w:t xml:space="preserve"> policy and would further exacerbate an already challenging regulatory and business climate </w:t>
      </w:r>
      <w:r w:rsidR="00AF77FC">
        <w:t xml:space="preserve">for </w:t>
      </w:r>
      <w:r w:rsidR="00690553">
        <w:t>the Company</w:t>
      </w:r>
      <w:r w:rsidR="008B0101">
        <w:t xml:space="preserve"> in Washington.</w:t>
      </w:r>
    </w:p>
    <w:p w:rsidR="00F04505" w:rsidRPr="009F212B" w:rsidRDefault="009F212B" w:rsidP="002B3D96">
      <w:pPr>
        <w:pStyle w:val="AutoNumBodyCharCharCharChar"/>
        <w:ind w:hanging="720"/>
        <w:rPr>
          <w:b/>
        </w:rPr>
      </w:pPr>
      <w:r w:rsidRPr="009F212B">
        <w:rPr>
          <w:b/>
        </w:rPr>
        <w:t>Q.</w:t>
      </w:r>
      <w:r w:rsidRPr="009F212B">
        <w:rPr>
          <w:b/>
        </w:rPr>
        <w:tab/>
        <w:t xml:space="preserve">What are the most troubling aspects of </w:t>
      </w:r>
      <w:r w:rsidR="00842DFF">
        <w:rPr>
          <w:b/>
        </w:rPr>
        <w:t>the parties’ proposals?</w:t>
      </w:r>
      <w:r w:rsidRPr="009F212B">
        <w:rPr>
          <w:b/>
        </w:rPr>
        <w:t xml:space="preserve"> </w:t>
      </w:r>
    </w:p>
    <w:p w:rsidR="009F212B" w:rsidRDefault="009F212B" w:rsidP="002B3D96">
      <w:pPr>
        <w:pStyle w:val="AutoNumBodyCharCharCharChar"/>
        <w:ind w:hanging="720"/>
      </w:pPr>
      <w:r>
        <w:t>A.</w:t>
      </w:r>
      <w:r>
        <w:tab/>
      </w:r>
      <w:r w:rsidR="00842DFF">
        <w:t xml:space="preserve">The proposals of </w:t>
      </w:r>
      <w:r w:rsidR="001C52DB">
        <w:t xml:space="preserve">Staff and </w:t>
      </w:r>
      <w:proofErr w:type="spellStart"/>
      <w:r w:rsidR="007E6C39">
        <w:t>ICNU</w:t>
      </w:r>
      <w:proofErr w:type="spellEnd"/>
      <w:r w:rsidR="007E6C39">
        <w:t>/PC</w:t>
      </w:r>
      <w:r w:rsidR="001C52DB">
        <w:t xml:space="preserve"> cherry-pick </w:t>
      </w:r>
      <w:r>
        <w:t xml:space="preserve">cost and revenue elements </w:t>
      </w:r>
      <w:r w:rsidR="001C52DB">
        <w:t>that were set in prior proceeding</w:t>
      </w:r>
      <w:r w:rsidR="00AF0664">
        <w:t>s</w:t>
      </w:r>
      <w:r w:rsidR="001C52DB">
        <w:t xml:space="preserve"> and seek dollar-for-dollar true-up of these elements </w:t>
      </w:r>
      <w:r w:rsidR="00690553">
        <w:t xml:space="preserve">years later </w:t>
      </w:r>
      <w:r>
        <w:t xml:space="preserve">without regard to the </w:t>
      </w:r>
      <w:r w:rsidR="00F419F7">
        <w:t xml:space="preserve">fact that the Company significantly </w:t>
      </w:r>
      <w:r w:rsidR="00C07BC1">
        <w:t>under earned</w:t>
      </w:r>
      <w:r w:rsidR="00F419F7">
        <w:t xml:space="preserve"> throughout the entire period in question.</w:t>
      </w:r>
      <w:r w:rsidR="001C52DB">
        <w:t xml:space="preserve">  </w:t>
      </w:r>
      <w:r w:rsidR="00842DFF">
        <w:t>These proposals are inconsistent with fundamental tenets of ratemaking. If adopted, they</w:t>
      </w:r>
      <w:r w:rsidR="001C52DB">
        <w:t xml:space="preserve"> could</w:t>
      </w:r>
      <w:r w:rsidR="007E6C39">
        <w:t xml:space="preserve"> also</w:t>
      </w:r>
      <w:r w:rsidR="001C52DB">
        <w:t xml:space="preserve"> undermine t</w:t>
      </w:r>
      <w:r w:rsidR="008449B5">
        <w:t>he settlement process and result in full litigation of all rate cases.</w:t>
      </w:r>
      <w:r w:rsidR="001C52DB">
        <w:t xml:space="preserve"> </w:t>
      </w:r>
      <w:r w:rsidR="008449B5">
        <w:t xml:space="preserve"> </w:t>
      </w:r>
      <w:r w:rsidR="001C52DB">
        <w:t>Th</w:t>
      </w:r>
      <w:r w:rsidR="00842DFF">
        <w:t>es</w:t>
      </w:r>
      <w:r w:rsidR="00F71BF1">
        <w:t>e</w:t>
      </w:r>
      <w:r w:rsidR="00842DFF">
        <w:t xml:space="preserve"> problems are </w:t>
      </w:r>
      <w:r w:rsidR="001C52DB">
        <w:t xml:space="preserve">compounded by the fact that </w:t>
      </w:r>
      <w:r w:rsidR="00F71BF1">
        <w:t xml:space="preserve">Staff and </w:t>
      </w:r>
      <w:proofErr w:type="spellStart"/>
      <w:r w:rsidR="007E6C39">
        <w:t>ICNU</w:t>
      </w:r>
      <w:proofErr w:type="spellEnd"/>
      <w:r w:rsidR="007E6C39">
        <w:t>/PC</w:t>
      </w:r>
      <w:r w:rsidR="00F71BF1">
        <w:t xml:space="preserve"> have attempted to expand the scope of this proceeding to increase the potential </w:t>
      </w:r>
      <w:proofErr w:type="spellStart"/>
      <w:r w:rsidR="00F71BF1">
        <w:t>REC</w:t>
      </w:r>
      <w:proofErr w:type="spellEnd"/>
      <w:r w:rsidR="00F71BF1">
        <w:t xml:space="preserve"> credit. </w:t>
      </w:r>
      <w:r w:rsidR="001C52DB">
        <w:t xml:space="preserve"> </w:t>
      </w:r>
      <w:r>
        <w:t>Staff’</w:t>
      </w:r>
      <w:r w:rsidR="001C52DB">
        <w:t xml:space="preserve">s proposal </w:t>
      </w:r>
      <w:r w:rsidR="00F71BF1">
        <w:t xml:space="preserve">in particular </w:t>
      </w:r>
      <w:r w:rsidR="001C52DB">
        <w:t>continues to be</w:t>
      </w:r>
      <w:r>
        <w:t xml:space="preserve"> a moving target</w:t>
      </w:r>
      <w:r w:rsidR="00F71BF1">
        <w:t xml:space="preserve"> in this regard</w:t>
      </w:r>
      <w:r>
        <w:t xml:space="preserve">.  </w:t>
      </w:r>
    </w:p>
    <w:p w:rsidR="00A97150" w:rsidRPr="008449B5" w:rsidRDefault="008449B5" w:rsidP="002B3D96">
      <w:pPr>
        <w:pStyle w:val="AutoNumBodyCharCharCharChar"/>
        <w:ind w:hanging="720"/>
        <w:rPr>
          <w:b/>
        </w:rPr>
      </w:pPr>
      <w:r w:rsidRPr="008449B5">
        <w:rPr>
          <w:b/>
        </w:rPr>
        <w:t>Q.</w:t>
      </w:r>
      <w:r w:rsidRPr="008449B5">
        <w:rPr>
          <w:b/>
        </w:rPr>
        <w:tab/>
        <w:t>Please elaborate on your first concern.</w:t>
      </w:r>
    </w:p>
    <w:p w:rsidR="003750F1" w:rsidRDefault="008449B5" w:rsidP="002B3D96">
      <w:pPr>
        <w:pStyle w:val="AutoNumBodyCharCharCharChar"/>
        <w:ind w:hanging="720"/>
      </w:pPr>
      <w:r>
        <w:t>A.</w:t>
      </w:r>
      <w:r>
        <w:tab/>
        <w:t xml:space="preserve">Staff’s testimony acknowledges that since Docket </w:t>
      </w:r>
      <w:r w:rsidR="00EA7C59">
        <w:t>UE-</w:t>
      </w:r>
      <w:r w:rsidR="00EB079B" w:rsidRPr="00EB079B">
        <w:t>080220</w:t>
      </w:r>
      <w:r>
        <w:t xml:space="preserve">, </w:t>
      </w:r>
      <w:r w:rsidR="003750F1">
        <w:t xml:space="preserve">the Commission has set </w:t>
      </w:r>
      <w:r>
        <w:t>rates for the Company using a forecast level of revenues from renewable energy credit (</w:t>
      </w:r>
      <w:proofErr w:type="spellStart"/>
      <w:r>
        <w:t>REC</w:t>
      </w:r>
      <w:proofErr w:type="spellEnd"/>
      <w:r>
        <w:t>) sales for the rate effective period.</w:t>
      </w:r>
      <w:r w:rsidR="00AF0664">
        <w:rPr>
          <w:rStyle w:val="FootnoteReference"/>
        </w:rPr>
        <w:footnoteReference w:id="1"/>
      </w:r>
      <w:r>
        <w:t xml:space="preserve">  This is consistent with the practice of the Commission to utilize a forecast of net power costs for the rate effective </w:t>
      </w:r>
      <w:r w:rsidR="00F3353D">
        <w:t xml:space="preserve">period.  </w:t>
      </w:r>
      <w:r w:rsidR="000D7283">
        <w:t xml:space="preserve">It is uncontroverted that </w:t>
      </w:r>
      <w:r w:rsidR="00F913FC">
        <w:t xml:space="preserve">the </w:t>
      </w:r>
      <w:r w:rsidR="00AF0664">
        <w:t xml:space="preserve">Company used a forecast </w:t>
      </w:r>
      <w:proofErr w:type="spellStart"/>
      <w:r w:rsidR="00F913FC">
        <w:t>REC</w:t>
      </w:r>
      <w:proofErr w:type="spellEnd"/>
      <w:r w:rsidR="00F913FC">
        <w:t xml:space="preserve"> revenue level for </w:t>
      </w:r>
      <w:r w:rsidR="00BD2739">
        <w:t>the 12-months ending June 2008</w:t>
      </w:r>
      <w:r w:rsidR="00F913FC">
        <w:t xml:space="preserve"> in Docket </w:t>
      </w:r>
      <w:r w:rsidR="00EA7C59">
        <w:t>UE</w:t>
      </w:r>
      <w:r w:rsidR="00EA7C59">
        <w:rPr>
          <w:color w:val="1F497D"/>
          <w:sz w:val="20"/>
          <w:szCs w:val="20"/>
        </w:rPr>
        <w:t>-</w:t>
      </w:r>
      <w:r w:rsidR="00EB079B" w:rsidRPr="00EB079B">
        <w:t>080220</w:t>
      </w:r>
      <w:r w:rsidR="00EB079B">
        <w:t xml:space="preserve"> </w:t>
      </w:r>
      <w:r w:rsidR="000D7283">
        <w:t xml:space="preserve">and </w:t>
      </w:r>
      <w:r w:rsidR="00AF0664">
        <w:t xml:space="preserve">used </w:t>
      </w:r>
      <w:r w:rsidR="00AF0664">
        <w:lastRenderedPageBreak/>
        <w:t xml:space="preserve">a forecast </w:t>
      </w:r>
      <w:proofErr w:type="spellStart"/>
      <w:r w:rsidR="000D7283">
        <w:t>REC</w:t>
      </w:r>
      <w:proofErr w:type="spellEnd"/>
      <w:r w:rsidR="000D7283">
        <w:t xml:space="preserve"> revenue level for calendar year 2010 </w:t>
      </w:r>
      <w:r w:rsidR="00AF0664">
        <w:t>in</w:t>
      </w:r>
      <w:r w:rsidR="000D7283">
        <w:t xml:space="preserve"> Docket </w:t>
      </w:r>
      <w:r w:rsidR="00EA7C59">
        <w:t>UE-</w:t>
      </w:r>
      <w:r w:rsidR="000D7283">
        <w:t>09</w:t>
      </w:r>
      <w:r w:rsidR="00C50E97">
        <w:t>0205</w:t>
      </w:r>
      <w:r w:rsidR="000D7283">
        <w:t xml:space="preserve">.  </w:t>
      </w:r>
    </w:p>
    <w:p w:rsidR="00A2559F" w:rsidRDefault="003750F1" w:rsidP="002B3D96">
      <w:pPr>
        <w:pStyle w:val="AutoNumBodyCharCharCharChar"/>
        <w:ind w:firstLine="720"/>
      </w:pPr>
      <w:r>
        <w:t xml:space="preserve">Notwithstanding this history, the proposals of Staff and </w:t>
      </w:r>
      <w:proofErr w:type="spellStart"/>
      <w:r>
        <w:t>ICNU</w:t>
      </w:r>
      <w:proofErr w:type="spellEnd"/>
      <w:r>
        <w:t xml:space="preserve">/PC are premised on the argument </w:t>
      </w:r>
      <w:r w:rsidR="00AF0664">
        <w:t xml:space="preserve">that 2009 </w:t>
      </w:r>
      <w:proofErr w:type="spellStart"/>
      <w:r w:rsidR="00AF0664">
        <w:t>REC</w:t>
      </w:r>
      <w:proofErr w:type="spellEnd"/>
      <w:r w:rsidR="00AF0664">
        <w:t xml:space="preserve"> revenue levels</w:t>
      </w:r>
      <w:r w:rsidR="000D7283">
        <w:t xml:space="preserve"> should be </w:t>
      </w:r>
      <w:r w:rsidR="000D7283" w:rsidRPr="005C7F35">
        <w:rPr>
          <w:i/>
        </w:rPr>
        <w:t>re-established</w:t>
      </w:r>
      <w:r w:rsidR="000D7283">
        <w:t xml:space="preserve"> in this proceeding based on a </w:t>
      </w:r>
      <w:r w:rsidR="00690553">
        <w:t xml:space="preserve">2009 </w:t>
      </w:r>
      <w:r w:rsidR="000D7283">
        <w:t>historic actual level and credited to customers through a balancing account</w:t>
      </w:r>
      <w:r w:rsidR="00C9472A">
        <w:t xml:space="preserve">.  </w:t>
      </w:r>
      <w:r>
        <w:t>On top of this, the p</w:t>
      </w:r>
      <w:r w:rsidR="00EA7C59">
        <w:t xml:space="preserve">arties </w:t>
      </w:r>
      <w:r w:rsidR="00AF0664">
        <w:t>also propose to capture the actual levels of 2010 revenues through this proceeding</w:t>
      </w:r>
      <w:r w:rsidR="00E92496">
        <w:t>, even though 2010 is neither the test period nor the rate effective period in this proceeding</w:t>
      </w:r>
      <w:r w:rsidR="000D7283">
        <w:t>.</w:t>
      </w:r>
      <w:r w:rsidR="003F6882">
        <w:t xml:space="preserve"> This results in the confiscation of three years of </w:t>
      </w:r>
      <w:proofErr w:type="spellStart"/>
      <w:r w:rsidR="003F6882">
        <w:t>REC</w:t>
      </w:r>
      <w:proofErr w:type="spellEnd"/>
      <w:r w:rsidR="003F6882">
        <w:t xml:space="preserve"> revenues in a single rate case proceeding</w:t>
      </w:r>
      <w:r>
        <w:t xml:space="preserve">—the historic test year, the forecast rate period and the time period </w:t>
      </w:r>
      <w:r w:rsidR="00C07BC1">
        <w:t>in between</w:t>
      </w:r>
      <w:r w:rsidR="003F6882">
        <w:t xml:space="preserve">.  There is certainly no </w:t>
      </w:r>
      <w:r>
        <w:t>other cost or revenue element in this rate case that</w:t>
      </w:r>
      <w:r w:rsidR="00F3353D">
        <w:t xml:space="preserve"> is</w:t>
      </w:r>
      <w:r>
        <w:t xml:space="preserve"> triple-counted in this manner. </w:t>
      </w:r>
    </w:p>
    <w:p w:rsidR="000D7283" w:rsidRPr="00C41443" w:rsidRDefault="0085261D" w:rsidP="002B3D96">
      <w:pPr>
        <w:pStyle w:val="AutoNumBodyCharCharCharChar"/>
        <w:ind w:hanging="720"/>
        <w:rPr>
          <w:b/>
        </w:rPr>
      </w:pPr>
      <w:r w:rsidRPr="00C41443">
        <w:rPr>
          <w:b/>
        </w:rPr>
        <w:t>Q.</w:t>
      </w:r>
      <w:r w:rsidRPr="00C41443">
        <w:rPr>
          <w:b/>
        </w:rPr>
        <w:tab/>
      </w:r>
      <w:r w:rsidR="003750F1">
        <w:rPr>
          <w:b/>
        </w:rPr>
        <w:t xml:space="preserve">Aside from the unfairness of these proposals as applied to this case, do you </w:t>
      </w:r>
      <w:r w:rsidR="00C07BC1">
        <w:rPr>
          <w:b/>
        </w:rPr>
        <w:t>have broader</w:t>
      </w:r>
      <w:r w:rsidR="003750F1">
        <w:rPr>
          <w:b/>
        </w:rPr>
        <w:t xml:space="preserve"> policy</w:t>
      </w:r>
      <w:r w:rsidRPr="00C41443">
        <w:rPr>
          <w:b/>
        </w:rPr>
        <w:t xml:space="preserve"> concerns regarding </w:t>
      </w:r>
      <w:r w:rsidR="003750F1">
        <w:rPr>
          <w:b/>
        </w:rPr>
        <w:t>these proposals</w:t>
      </w:r>
      <w:r w:rsidRPr="00C41443">
        <w:rPr>
          <w:b/>
        </w:rPr>
        <w:t>?</w:t>
      </w:r>
    </w:p>
    <w:p w:rsidR="00F913FC" w:rsidRDefault="0085261D" w:rsidP="002B3D96">
      <w:pPr>
        <w:pStyle w:val="AutoNumBodyCharCharCharChar"/>
        <w:ind w:hanging="720"/>
      </w:pPr>
      <w:r>
        <w:t>A.</w:t>
      </w:r>
      <w:r>
        <w:tab/>
        <w:t>Yes.</w:t>
      </w:r>
      <w:r w:rsidR="00C41443">
        <w:t xml:space="preserve">  If the Commission were to  </w:t>
      </w:r>
      <w:r w:rsidR="004B7A9C">
        <w:t xml:space="preserve">make the </w:t>
      </w:r>
      <w:r w:rsidR="00C41443">
        <w:t>policy</w:t>
      </w:r>
      <w:r w:rsidR="004B7A9C">
        <w:t xml:space="preserve"> changes required to adopt Staff’s or </w:t>
      </w:r>
      <w:proofErr w:type="spellStart"/>
      <w:r w:rsidR="004B7A9C">
        <w:t>ICNU</w:t>
      </w:r>
      <w:proofErr w:type="spellEnd"/>
      <w:r w:rsidR="004B7A9C">
        <w:t>/</w:t>
      </w:r>
      <w:proofErr w:type="spellStart"/>
      <w:r w:rsidR="004B7A9C">
        <w:t>PC’s</w:t>
      </w:r>
      <w:proofErr w:type="spellEnd"/>
      <w:r w:rsidR="004B7A9C">
        <w:t xml:space="preserve"> proposals</w:t>
      </w:r>
      <w:r w:rsidR="00C41443">
        <w:t xml:space="preserve">, parties </w:t>
      </w:r>
      <w:r w:rsidR="004B7A9C">
        <w:t xml:space="preserve">could thereafter </w:t>
      </w:r>
      <w:r w:rsidR="00C41443">
        <w:t xml:space="preserve">cherry-pick revenue and cost elements from prior cases and attempt to true-up discrepancies from historical periods in a </w:t>
      </w:r>
      <w:r w:rsidR="004B7A9C">
        <w:t xml:space="preserve">one-sided </w:t>
      </w:r>
      <w:r w:rsidR="00C41443">
        <w:t xml:space="preserve">manner that </w:t>
      </w:r>
      <w:r w:rsidR="004B7A9C">
        <w:t xml:space="preserve">picks up only cost-savings but not offsetting cost increases.  </w:t>
      </w:r>
      <w:r w:rsidR="00C41443">
        <w:t xml:space="preserve">It would also establish precedent for analyzing </w:t>
      </w:r>
      <w:r w:rsidR="004B7A9C">
        <w:t>isolated</w:t>
      </w:r>
      <w:r w:rsidR="00C41443">
        <w:t xml:space="preserve"> element</w:t>
      </w:r>
      <w:r w:rsidR="004B7A9C">
        <w:t>s</w:t>
      </w:r>
      <w:r w:rsidR="00C41443">
        <w:t xml:space="preserve"> of a utility’s costs and revenues without regard </w:t>
      </w:r>
      <w:r w:rsidR="004B7A9C">
        <w:t>to</w:t>
      </w:r>
      <w:r w:rsidR="00C41443">
        <w:t xml:space="preserve"> the overall level of earnings of the utility.  </w:t>
      </w:r>
    </w:p>
    <w:p w:rsidR="00C41443" w:rsidRPr="00C41443" w:rsidRDefault="00C41443" w:rsidP="002B3D96">
      <w:pPr>
        <w:pStyle w:val="AutoNumBodyCharCharCharChar"/>
        <w:ind w:hanging="720"/>
        <w:rPr>
          <w:b/>
        </w:rPr>
      </w:pPr>
      <w:r w:rsidRPr="00C41443">
        <w:rPr>
          <w:b/>
        </w:rPr>
        <w:t>Q.</w:t>
      </w:r>
      <w:r w:rsidRPr="00C41443">
        <w:rPr>
          <w:b/>
        </w:rPr>
        <w:tab/>
        <w:t>How is this approach one-sided?</w:t>
      </w:r>
    </w:p>
    <w:p w:rsidR="001031FF" w:rsidRDefault="00C41443" w:rsidP="002B3D96">
      <w:pPr>
        <w:pStyle w:val="AutoNumBodyCharCharCharChar"/>
        <w:ind w:hanging="720"/>
      </w:pPr>
      <w:r>
        <w:t>A.</w:t>
      </w:r>
      <w:r>
        <w:tab/>
        <w:t xml:space="preserve">Establishing a </w:t>
      </w:r>
      <w:r w:rsidR="001031FF">
        <w:t xml:space="preserve">combined historic and forecast </w:t>
      </w:r>
      <w:r>
        <w:t xml:space="preserve">dollar-for-dollar balancing account for </w:t>
      </w:r>
      <w:proofErr w:type="spellStart"/>
      <w:r>
        <w:t>REC</w:t>
      </w:r>
      <w:proofErr w:type="spellEnd"/>
      <w:r>
        <w:t xml:space="preserve"> revenues generated in 2009 and 2010 </w:t>
      </w:r>
      <w:r w:rsidR="001031FF">
        <w:t xml:space="preserve">and forecast for 2011 </w:t>
      </w:r>
      <w:r w:rsidR="004D3E13">
        <w:t>would never be acceptable to parties if the same logic was applied to costs.  This would be the equivalent of the Company proposing in this docket to establish a dollar-for-dollar balancing account for differences between forecast and actual net power costs from Docket UE</w:t>
      </w:r>
      <w:r w:rsidR="007B37B9">
        <w:t>-</w:t>
      </w:r>
      <w:r w:rsidR="00EB079B" w:rsidRPr="00EB079B">
        <w:rPr>
          <w:color w:val="auto"/>
        </w:rPr>
        <w:t>080220</w:t>
      </w:r>
      <w:r w:rsidR="00EB079B">
        <w:rPr>
          <w:color w:val="1F497D"/>
        </w:rPr>
        <w:t xml:space="preserve"> </w:t>
      </w:r>
      <w:r w:rsidR="004D3E13">
        <w:t>and Docket UE</w:t>
      </w:r>
      <w:r w:rsidR="007B37B9">
        <w:t>-</w:t>
      </w:r>
      <w:r w:rsidR="004D3E13">
        <w:t>09</w:t>
      </w:r>
      <w:r w:rsidR="00C50E97">
        <w:t>0205</w:t>
      </w:r>
      <w:r w:rsidR="004D3E13">
        <w:t xml:space="preserve">, </w:t>
      </w:r>
      <w:r w:rsidR="00C07BC1">
        <w:t>simultaneously</w:t>
      </w:r>
      <w:r w:rsidR="001031FF">
        <w:t xml:space="preserve"> </w:t>
      </w:r>
      <w:r w:rsidR="004B7A9C">
        <w:t xml:space="preserve">with </w:t>
      </w:r>
      <w:r w:rsidR="004D3E13">
        <w:t xml:space="preserve">establishing a new net power cost baseline in rates and </w:t>
      </w:r>
      <w:r w:rsidR="005C7F35">
        <w:t xml:space="preserve">a </w:t>
      </w:r>
      <w:r w:rsidR="00E92496">
        <w:t xml:space="preserve">dollar-for-dollar </w:t>
      </w:r>
      <w:r w:rsidR="004D3E13">
        <w:t>balancing account for the rate effective period and all periods going forward.  Given the Commission’s rejection of the Company’s proposal for a power cost adjustment (</w:t>
      </w:r>
      <w:proofErr w:type="spellStart"/>
      <w:r w:rsidR="004D3E13">
        <w:t>PCA</w:t>
      </w:r>
      <w:proofErr w:type="spellEnd"/>
      <w:r w:rsidR="004D3E13">
        <w:t>) mechanism in Docket UE</w:t>
      </w:r>
      <w:r w:rsidR="007B37B9">
        <w:t>-</w:t>
      </w:r>
      <w:r w:rsidR="00EB079B" w:rsidRPr="00EB079B">
        <w:t>080220</w:t>
      </w:r>
      <w:r w:rsidR="004D3E13">
        <w:t xml:space="preserve"> and the inclusion of sharing bands in the </w:t>
      </w:r>
      <w:proofErr w:type="spellStart"/>
      <w:r w:rsidR="004D3E13">
        <w:t>PCA’s</w:t>
      </w:r>
      <w:proofErr w:type="spellEnd"/>
      <w:r w:rsidR="004D3E13">
        <w:t xml:space="preserve"> of Puget Sound Energy and </w:t>
      </w:r>
      <w:proofErr w:type="spellStart"/>
      <w:r w:rsidR="004D3E13">
        <w:t>Avista</w:t>
      </w:r>
      <w:proofErr w:type="spellEnd"/>
      <w:r w:rsidR="004D3E13">
        <w:t xml:space="preserve">, it seems highly unlikely that this </w:t>
      </w:r>
      <w:r w:rsidR="001031FF">
        <w:t xml:space="preserve">“triple-count” </w:t>
      </w:r>
      <w:r w:rsidR="004D3E13">
        <w:t xml:space="preserve">proposal would be </w:t>
      </w:r>
      <w:r w:rsidR="00690553">
        <w:t xml:space="preserve">acceptable to parties and </w:t>
      </w:r>
      <w:r w:rsidR="004D3E13">
        <w:t xml:space="preserve">adopted by the Commission.  Yet, this is the precise proposal advocated for </w:t>
      </w:r>
      <w:proofErr w:type="spellStart"/>
      <w:r w:rsidR="004D3E13">
        <w:t>REC</w:t>
      </w:r>
      <w:proofErr w:type="spellEnd"/>
      <w:r w:rsidR="004D3E13">
        <w:t xml:space="preserve"> revenues in this proceeding. </w:t>
      </w:r>
    </w:p>
    <w:p w:rsidR="00FF1CC6" w:rsidRPr="004D58BD" w:rsidRDefault="009A552A" w:rsidP="002B3D96">
      <w:pPr>
        <w:pStyle w:val="AutoNumBodyCharCharCharChar"/>
        <w:ind w:hanging="720"/>
        <w:rPr>
          <w:b/>
        </w:rPr>
      </w:pPr>
      <w:r w:rsidRPr="009A552A">
        <w:rPr>
          <w:b/>
        </w:rPr>
        <w:t>Q.</w:t>
      </w:r>
      <w:r w:rsidRPr="009A552A">
        <w:rPr>
          <w:b/>
        </w:rPr>
        <w:tab/>
        <w:t xml:space="preserve">Are there any clear limitations on the policy changes implicated by Staff’s and </w:t>
      </w:r>
      <w:proofErr w:type="spellStart"/>
      <w:r w:rsidRPr="009A552A">
        <w:rPr>
          <w:b/>
        </w:rPr>
        <w:t>ICNU</w:t>
      </w:r>
      <w:proofErr w:type="spellEnd"/>
      <w:r w:rsidRPr="009A552A">
        <w:rPr>
          <w:b/>
        </w:rPr>
        <w:t>/</w:t>
      </w:r>
      <w:proofErr w:type="spellStart"/>
      <w:r w:rsidRPr="009A552A">
        <w:rPr>
          <w:b/>
        </w:rPr>
        <w:t>PC’s</w:t>
      </w:r>
      <w:proofErr w:type="spellEnd"/>
      <w:r w:rsidRPr="009A552A">
        <w:rPr>
          <w:b/>
        </w:rPr>
        <w:t xml:space="preserve"> proposals? </w:t>
      </w:r>
    </w:p>
    <w:p w:rsidR="004D58BD" w:rsidRDefault="00FF1CC6" w:rsidP="002B3D96">
      <w:pPr>
        <w:pStyle w:val="AutoNumBodyCharCharCharChar"/>
        <w:ind w:hanging="720"/>
      </w:pPr>
      <w:r>
        <w:t>A.</w:t>
      </w:r>
      <w:r>
        <w:tab/>
        <w:t>No</w:t>
      </w:r>
      <w:r w:rsidR="00C9544D">
        <w:t>, and th</w:t>
      </w:r>
      <w:r w:rsidR="004D58BD">
        <w:t xml:space="preserve">is </w:t>
      </w:r>
      <w:r w:rsidR="00E92496">
        <w:t>raise</w:t>
      </w:r>
      <w:r w:rsidR="004D58BD">
        <w:t>s</w:t>
      </w:r>
      <w:r w:rsidR="004D3E13">
        <w:t xml:space="preserve"> the question</w:t>
      </w:r>
      <w:r w:rsidR="007B37B9">
        <w:t>:</w:t>
      </w:r>
      <w:r w:rsidR="005C7F35">
        <w:t xml:space="preserve"> </w:t>
      </w:r>
      <w:r w:rsidR="004D3E13">
        <w:t xml:space="preserve">If one cost element in a rate case </w:t>
      </w:r>
      <w:r w:rsidR="00690553">
        <w:t>i</w:t>
      </w:r>
      <w:r w:rsidR="00C50E97">
        <w:t>s ultimatel</w:t>
      </w:r>
      <w:r w:rsidR="00690553">
        <w:t>y</w:t>
      </w:r>
      <w:r w:rsidR="004D3E13">
        <w:t xml:space="preserve"> different from the actual cost in the rate effective period, will parties be able to seek to true that up in a future rate case?  There will always be differences in costs and revenues between what was used to set rates and what was actually experienced in the rate effective period.  </w:t>
      </w:r>
    </w:p>
    <w:p w:rsidR="004D58BD" w:rsidRPr="004D58BD" w:rsidRDefault="009A552A" w:rsidP="002B3D96">
      <w:pPr>
        <w:pStyle w:val="AutoNumBodyCharCharCharChar"/>
        <w:ind w:hanging="720"/>
        <w:rPr>
          <w:b/>
        </w:rPr>
      </w:pPr>
      <w:r w:rsidRPr="009A552A">
        <w:rPr>
          <w:b/>
        </w:rPr>
        <w:t>Q.</w:t>
      </w:r>
      <w:r w:rsidRPr="009A552A">
        <w:rPr>
          <w:b/>
        </w:rPr>
        <w:tab/>
        <w:t xml:space="preserve">How should the </w:t>
      </w:r>
      <w:r w:rsidR="00C07BC1" w:rsidRPr="004D58BD">
        <w:rPr>
          <w:b/>
        </w:rPr>
        <w:t>Commission</w:t>
      </w:r>
      <w:r w:rsidRPr="009A552A">
        <w:rPr>
          <w:b/>
        </w:rPr>
        <w:t xml:space="preserve"> address the Company’s </w:t>
      </w:r>
      <w:r w:rsidR="00C07BC1" w:rsidRPr="004D58BD">
        <w:rPr>
          <w:b/>
        </w:rPr>
        <w:t>under forecast</w:t>
      </w:r>
      <w:r w:rsidRPr="009A552A">
        <w:rPr>
          <w:b/>
        </w:rPr>
        <w:t xml:space="preserve"> of </w:t>
      </w:r>
      <w:proofErr w:type="spellStart"/>
      <w:r w:rsidRPr="009A552A">
        <w:rPr>
          <w:b/>
        </w:rPr>
        <w:t>REC</w:t>
      </w:r>
      <w:proofErr w:type="spellEnd"/>
      <w:r w:rsidRPr="009A552A">
        <w:rPr>
          <w:b/>
        </w:rPr>
        <w:t xml:space="preserve"> revenues in 2009 and 2010?</w:t>
      </w:r>
    </w:p>
    <w:p w:rsidR="004D3E13" w:rsidRDefault="004D58BD" w:rsidP="002B3D96">
      <w:pPr>
        <w:pStyle w:val="AutoNumBodyCharCharCharChar"/>
        <w:ind w:hanging="720"/>
      </w:pPr>
      <w:r>
        <w:t>A.</w:t>
      </w:r>
      <w:r>
        <w:tab/>
      </w:r>
      <w:r w:rsidR="001708A8">
        <w:t xml:space="preserve">The question that should be before this Commission is whether these forecast differences unfairly benefitted the Company.  </w:t>
      </w:r>
      <w:r w:rsidR="005C7F35">
        <w:t xml:space="preserve">The Company acknowledges that the forecast of </w:t>
      </w:r>
      <w:proofErr w:type="spellStart"/>
      <w:r w:rsidR="005C7F35">
        <w:t>REC</w:t>
      </w:r>
      <w:proofErr w:type="spellEnd"/>
      <w:r w:rsidR="005C7F35">
        <w:t xml:space="preserve"> revenues in rates for 2009 and 2010 were far different than the actual amount </w:t>
      </w:r>
      <w:r w:rsidR="001708A8">
        <w:t xml:space="preserve">ultimately </w:t>
      </w:r>
      <w:r w:rsidR="005C7F35">
        <w:t>realized.  As discussed later in my testimony, no party challenged these forecasts at the time</w:t>
      </w:r>
      <w:r>
        <w:t xml:space="preserve"> or sought deferred accounting</w:t>
      </w:r>
      <w:r w:rsidR="005C7F35">
        <w:t xml:space="preserve">.  </w:t>
      </w:r>
      <w:r w:rsidR="004D3E13">
        <w:t xml:space="preserve">The Commission can </w:t>
      </w:r>
      <w:r w:rsidR="005C7F35">
        <w:t xml:space="preserve">assess whether these differences were </w:t>
      </w:r>
      <w:r w:rsidR="004D3E13">
        <w:t>out of balance by looking at the Company’s overall return o</w:t>
      </w:r>
      <w:r w:rsidR="005C7F35">
        <w:t xml:space="preserve">n equity for the </w:t>
      </w:r>
      <w:r>
        <w:t>relevant</w:t>
      </w:r>
      <w:r w:rsidR="005C7F35">
        <w:t xml:space="preserve"> </w:t>
      </w:r>
      <w:r w:rsidR="004D3E13">
        <w:t>period, not by evaluating one cost element in isolation.</w:t>
      </w:r>
      <w:r w:rsidR="00E92496">
        <w:t xml:space="preserve">  And, if the Commission concludes that the Company is over-earning, there are established processes and procedures for handling these circumstances on a forward-looking basis.</w:t>
      </w:r>
    </w:p>
    <w:p w:rsidR="00075648" w:rsidRPr="00075648" w:rsidRDefault="00075648" w:rsidP="002B3D96">
      <w:pPr>
        <w:pStyle w:val="AutoNumBodyCharCharCharChar"/>
        <w:ind w:hanging="720"/>
        <w:rPr>
          <w:b/>
        </w:rPr>
      </w:pPr>
      <w:r w:rsidRPr="00075648">
        <w:rPr>
          <w:b/>
        </w:rPr>
        <w:t>Q.</w:t>
      </w:r>
      <w:r w:rsidRPr="00075648">
        <w:rPr>
          <w:b/>
        </w:rPr>
        <w:tab/>
        <w:t xml:space="preserve">If the Commission decides to credit </w:t>
      </w:r>
      <w:r w:rsidR="001708A8">
        <w:rPr>
          <w:b/>
        </w:rPr>
        <w:t xml:space="preserve">the favorable variance in actual vs. forecast </w:t>
      </w:r>
      <w:proofErr w:type="spellStart"/>
      <w:r w:rsidRPr="00075648">
        <w:rPr>
          <w:b/>
        </w:rPr>
        <w:t>REC</w:t>
      </w:r>
      <w:proofErr w:type="spellEnd"/>
      <w:r w:rsidRPr="00075648">
        <w:rPr>
          <w:b/>
        </w:rPr>
        <w:t xml:space="preserve"> revenues from 2009 and 2010 to customers, is there an offsetting </w:t>
      </w:r>
      <w:r w:rsidR="001708A8">
        <w:rPr>
          <w:b/>
        </w:rPr>
        <w:t xml:space="preserve">unfavorable variance in actual vs. forecast </w:t>
      </w:r>
      <w:r w:rsidRPr="00075648">
        <w:rPr>
          <w:b/>
        </w:rPr>
        <w:t>cost</w:t>
      </w:r>
      <w:r w:rsidR="001708A8">
        <w:rPr>
          <w:b/>
        </w:rPr>
        <w:t>s from 2009 and 2010</w:t>
      </w:r>
      <w:r w:rsidRPr="00075648">
        <w:rPr>
          <w:b/>
        </w:rPr>
        <w:t xml:space="preserve"> that should be considered?</w:t>
      </w:r>
    </w:p>
    <w:p w:rsidR="0018617A" w:rsidRDefault="0018617A" w:rsidP="002B3D96">
      <w:pPr>
        <w:pStyle w:val="AutoNumBodyCharCharCharChar"/>
        <w:ind w:hanging="720"/>
        <w:sectPr w:rsidR="0018617A" w:rsidSect="002B3D96">
          <w:headerReference w:type="default" r:id="rId14"/>
          <w:type w:val="continuous"/>
          <w:pgSz w:w="12240" w:h="15840" w:code="1"/>
          <w:pgMar w:top="1440" w:right="1800" w:bottom="1440" w:left="1800" w:header="720" w:footer="720" w:gutter="0"/>
          <w:lnNumType w:countBy="1"/>
          <w:cols w:space="720"/>
          <w:docGrid w:linePitch="360"/>
        </w:sectPr>
      </w:pPr>
      <w:r>
        <w:t>A.</w:t>
      </w:r>
      <w:r>
        <w:tab/>
        <w:t>Yes.  As detailed in my Exhibit No.</w:t>
      </w:r>
      <w:r w:rsidR="00337F17">
        <w:t>__</w:t>
      </w:r>
      <w:proofErr w:type="gramStart"/>
      <w:r w:rsidR="00337F17">
        <w:t>_(</w:t>
      </w:r>
      <w:proofErr w:type="gramEnd"/>
      <w:r w:rsidR="00337F17">
        <w:t>ALK-3), i</w:t>
      </w:r>
      <w:r w:rsidR="00075648">
        <w:t xml:space="preserve">n both 2009 and 2010, </w:t>
      </w:r>
      <w:r w:rsidR="001708A8">
        <w:t>actual</w:t>
      </w:r>
      <w:r w:rsidR="00075648">
        <w:t xml:space="preserve"> hydro conditions were less favorable than the level included in rates.  In 2009, </w:t>
      </w:r>
      <w:r w:rsidR="003F7287">
        <w:t xml:space="preserve">hydro generation was </w:t>
      </w:r>
      <w:r w:rsidR="00B91F9E">
        <w:t xml:space="preserve">approximately </w:t>
      </w:r>
      <w:r w:rsidR="00F3353D">
        <w:t>10</w:t>
      </w:r>
      <w:r w:rsidR="003F7287">
        <w:t>5 a</w:t>
      </w:r>
      <w:r w:rsidR="00B91F9E">
        <w:t>verage megawatts (</w:t>
      </w:r>
      <w:proofErr w:type="spellStart"/>
      <w:r w:rsidR="00B91F9E">
        <w:t>a</w:t>
      </w:r>
      <w:r w:rsidR="003F7287">
        <w:t>MW</w:t>
      </w:r>
      <w:proofErr w:type="spellEnd"/>
      <w:r w:rsidR="00B91F9E">
        <w:t>)</w:t>
      </w:r>
      <w:r w:rsidR="003F7287">
        <w:t xml:space="preserve"> below the</w:t>
      </w:r>
      <w:r w:rsidR="00075648">
        <w:t xml:space="preserve"> hydro generation included in the net power cost study in Docket UE-080220 and in 2010 </w:t>
      </w:r>
      <w:r w:rsidR="003F7287">
        <w:t xml:space="preserve">hydro generation was approximately 23 </w:t>
      </w:r>
      <w:proofErr w:type="spellStart"/>
      <w:r w:rsidR="003F7287">
        <w:t>aMW</w:t>
      </w:r>
      <w:proofErr w:type="spellEnd"/>
      <w:r w:rsidR="003F7287">
        <w:t xml:space="preserve"> below the </w:t>
      </w:r>
      <w:r w:rsidR="00075648">
        <w:t xml:space="preserve">hydro generation included in the net power cost study in Docket UE-090205.  The </w:t>
      </w:r>
      <w:r w:rsidR="001708A8">
        <w:t xml:space="preserve">Washington-allocated </w:t>
      </w:r>
      <w:r w:rsidR="00075648">
        <w:t>cost to the Company of this lower hydro generation</w:t>
      </w:r>
      <w:r w:rsidR="003F7287">
        <w:t>, priced at market,</w:t>
      </w:r>
      <w:r w:rsidR="00075648">
        <w:t xml:space="preserve"> was </w:t>
      </w:r>
      <w:r w:rsidR="003F7287">
        <w:t>$7.</w:t>
      </w:r>
      <w:r w:rsidR="004D69D0">
        <w:t xml:space="preserve">9 million </w:t>
      </w:r>
      <w:r w:rsidR="00075648">
        <w:t xml:space="preserve">in 2009 and </w:t>
      </w:r>
      <w:r w:rsidR="003F7287">
        <w:t>$2.4</w:t>
      </w:r>
      <w:r w:rsidR="004D69D0">
        <w:t xml:space="preserve"> </w:t>
      </w:r>
      <w:r w:rsidR="003F7287">
        <w:t>m</w:t>
      </w:r>
      <w:r w:rsidR="004D69D0">
        <w:t>illion</w:t>
      </w:r>
      <w:r w:rsidR="003F7287">
        <w:t xml:space="preserve"> </w:t>
      </w:r>
      <w:r w:rsidR="00075648">
        <w:t>in 2010</w:t>
      </w:r>
      <w:r w:rsidR="00337F17">
        <w:t xml:space="preserve">.  </w:t>
      </w:r>
      <w:r w:rsidR="00EB0F00">
        <w:t>Recognition of these costs is consistent with Commission precedent as noted in Staff’s testimony related to the Hydro Deferral.</w:t>
      </w:r>
      <w:r w:rsidR="00EB0F00">
        <w:rPr>
          <w:rStyle w:val="FootnoteReference"/>
        </w:rPr>
        <w:footnoteReference w:id="2"/>
      </w:r>
      <w:r w:rsidR="00075648">
        <w:t xml:space="preserve"> </w:t>
      </w:r>
      <w:r w:rsidR="00C07BC1">
        <w:t xml:space="preserve"> It is also consistent with Staff’s testimony in this proceeding </w:t>
      </w:r>
    </w:p>
    <w:p w:rsidR="004D58BD" w:rsidRDefault="0018617A" w:rsidP="002B3D96">
      <w:pPr>
        <w:pStyle w:val="AutoNumBodyCharCharCharChar"/>
        <w:ind w:hanging="720"/>
      </w:pPr>
      <w:r>
        <w:tab/>
      </w:r>
      <w:proofErr w:type="gramStart"/>
      <w:r w:rsidR="00C07BC1">
        <w:t>that</w:t>
      </w:r>
      <w:proofErr w:type="gramEnd"/>
      <w:r w:rsidR="00C07BC1">
        <w:t xml:space="preserve"> an accounting petition is not required for the Commission to deal with </w:t>
      </w:r>
      <w:proofErr w:type="spellStart"/>
      <w:r w:rsidR="00C07BC1">
        <w:t>REC</w:t>
      </w:r>
      <w:proofErr w:type="spellEnd"/>
      <w:r w:rsidR="00C07BC1">
        <w:t xml:space="preserve"> revenues or additional power costs related to the test period.</w:t>
      </w:r>
      <w:r w:rsidR="00C07BC1">
        <w:rPr>
          <w:rStyle w:val="FootnoteReference"/>
        </w:rPr>
        <w:footnoteReference w:id="3"/>
      </w:r>
      <w:r w:rsidR="00C07BC1">
        <w:t xml:space="preserve">    </w:t>
      </w:r>
    </w:p>
    <w:p w:rsidR="00E92496" w:rsidRPr="00E92496" w:rsidRDefault="00E92496" w:rsidP="002B3D96">
      <w:pPr>
        <w:pStyle w:val="AutoNumBodyCharCharCharChar"/>
        <w:ind w:hanging="720"/>
        <w:rPr>
          <w:b/>
        </w:rPr>
      </w:pPr>
      <w:r w:rsidRPr="00E92496">
        <w:rPr>
          <w:b/>
        </w:rPr>
        <w:t>Q.</w:t>
      </w:r>
      <w:r w:rsidRPr="00E92496">
        <w:rPr>
          <w:b/>
        </w:rPr>
        <w:tab/>
        <w:t>Did the Company over-earn in 2009 and 2010?</w:t>
      </w:r>
    </w:p>
    <w:p w:rsidR="00E92496" w:rsidRDefault="00690553" w:rsidP="002B3D96">
      <w:pPr>
        <w:pStyle w:val="AutoNumBodyCharCharCharChar"/>
        <w:ind w:hanging="720"/>
      </w:pPr>
      <w:r>
        <w:t>A.</w:t>
      </w:r>
      <w:r>
        <w:tab/>
        <w:t>No.  As I stated</w:t>
      </w:r>
      <w:r w:rsidR="00E92496">
        <w:t xml:space="preserve"> in my direct testimony, the Company’s overall return on equity during 2009 was </w:t>
      </w:r>
      <w:r w:rsidR="00EB079B">
        <w:t>5.28 percent</w:t>
      </w:r>
      <w:r w:rsidR="00887C6D">
        <w:t xml:space="preserve"> and for 2010 was 6.69</w:t>
      </w:r>
      <w:r w:rsidR="00EB079B">
        <w:t xml:space="preserve"> percent</w:t>
      </w:r>
      <w:r w:rsidR="00E92496">
        <w:t>.  No party has contested these facts.</w:t>
      </w:r>
    </w:p>
    <w:p w:rsidR="00E92496" w:rsidRPr="00E92496" w:rsidRDefault="004D3E13" w:rsidP="002B3D96">
      <w:pPr>
        <w:pStyle w:val="AutoNumBodyCharCharCharChar"/>
        <w:ind w:hanging="720"/>
        <w:rPr>
          <w:b/>
        </w:rPr>
      </w:pPr>
      <w:r w:rsidRPr="00E92496">
        <w:rPr>
          <w:b/>
        </w:rPr>
        <w:t>Q.</w:t>
      </w:r>
      <w:r w:rsidRPr="00E92496">
        <w:rPr>
          <w:b/>
        </w:rPr>
        <w:tab/>
        <w:t xml:space="preserve">Have the parties presented any analysis of the financial consequences to the Company of </w:t>
      </w:r>
      <w:r w:rsidR="00E92496" w:rsidRPr="00E92496">
        <w:rPr>
          <w:b/>
        </w:rPr>
        <w:t xml:space="preserve">retroactively crediting 2009 and 2010 </w:t>
      </w:r>
      <w:proofErr w:type="spellStart"/>
      <w:r w:rsidR="00E92496" w:rsidRPr="00E92496">
        <w:rPr>
          <w:b/>
        </w:rPr>
        <w:t>REC</w:t>
      </w:r>
      <w:proofErr w:type="spellEnd"/>
      <w:r w:rsidR="00E92496" w:rsidRPr="00E92496">
        <w:rPr>
          <w:b/>
        </w:rPr>
        <w:t xml:space="preserve"> revenues to customers in 2011</w:t>
      </w:r>
      <w:r w:rsidR="004D58BD">
        <w:rPr>
          <w:b/>
        </w:rPr>
        <w:t xml:space="preserve">, on top of 2011 forecast </w:t>
      </w:r>
      <w:proofErr w:type="spellStart"/>
      <w:r w:rsidR="004D58BD">
        <w:rPr>
          <w:b/>
        </w:rPr>
        <w:t>REC</w:t>
      </w:r>
      <w:proofErr w:type="spellEnd"/>
      <w:r w:rsidR="004D58BD">
        <w:rPr>
          <w:b/>
        </w:rPr>
        <w:t xml:space="preserve"> revenues</w:t>
      </w:r>
      <w:r w:rsidR="00E92496" w:rsidRPr="00E92496">
        <w:rPr>
          <w:b/>
        </w:rPr>
        <w:t>?</w:t>
      </w:r>
    </w:p>
    <w:p w:rsidR="0080005A" w:rsidRDefault="00E92496" w:rsidP="002B3D96">
      <w:pPr>
        <w:pStyle w:val="AutoNumBodyCharCharCharChar"/>
        <w:ind w:hanging="720"/>
      </w:pPr>
      <w:r>
        <w:t>A.</w:t>
      </w:r>
      <w:r>
        <w:tab/>
        <w:t xml:space="preserve">No.  In fact, Staff’s testimony is dismissive of the need to consider the financial impact of its proposal on the Company.  </w:t>
      </w:r>
      <w:r w:rsidR="002C54C4">
        <w:t>This is troubling g</w:t>
      </w:r>
      <w:r>
        <w:t>iven Staff’s duty to balance the interests of customers and shareholders</w:t>
      </w:r>
      <w:r w:rsidR="002C54C4">
        <w:t>.</w:t>
      </w:r>
      <w:r>
        <w:t xml:space="preserve"> </w:t>
      </w:r>
      <w:r w:rsidR="007B5297">
        <w:t xml:space="preserve">As discussed in the testimony of Mr. Dalley, the proposals of Staff and </w:t>
      </w:r>
      <w:proofErr w:type="spellStart"/>
      <w:r w:rsidR="007B5297">
        <w:t>ICNU</w:t>
      </w:r>
      <w:proofErr w:type="spellEnd"/>
      <w:r w:rsidR="007B5297">
        <w:t xml:space="preserve">/PC would reduce the Company’s earnings in the rate effective period of this proceeding by approximately </w:t>
      </w:r>
      <w:r w:rsidR="00BE0D1A" w:rsidRPr="00BE0D1A">
        <w:rPr>
          <w:highlight w:val="black"/>
        </w:rPr>
        <w:t>___</w:t>
      </w:r>
      <w:r w:rsidR="00491734" w:rsidRPr="00491734">
        <w:rPr>
          <w:highlight w:val="black"/>
        </w:rPr>
        <w:t>____</w:t>
      </w:r>
      <w:r w:rsidR="007B5297">
        <w:t xml:space="preserve"> </w:t>
      </w:r>
      <w:r w:rsidR="00491734" w:rsidRPr="00491734">
        <w:rPr>
          <w:highlight w:val="black"/>
        </w:rPr>
        <w:t>_____</w:t>
      </w:r>
      <w:r w:rsidR="007B5297">
        <w:t xml:space="preserve">.  </w:t>
      </w:r>
      <w:r w:rsidR="002C54C4">
        <w:t>While no</w:t>
      </w:r>
      <w:r w:rsidR="007B5297">
        <w:t xml:space="preserve"> party has considered or analyzed this impact</w:t>
      </w:r>
      <w:r w:rsidR="007B37B9">
        <w:t>, a rate change of the magnitude proposed in this proceeding should not be ordered without full consideration of the Company’s earnings</w:t>
      </w:r>
      <w:r w:rsidR="007B5297">
        <w:t>.</w:t>
      </w:r>
    </w:p>
    <w:p w:rsidR="0080005A" w:rsidRPr="00882954" w:rsidRDefault="00882954" w:rsidP="002B3D96">
      <w:pPr>
        <w:pStyle w:val="AutoNumBodyCharCharCharChar"/>
        <w:ind w:hanging="720"/>
        <w:rPr>
          <w:b/>
        </w:rPr>
      </w:pPr>
      <w:r w:rsidRPr="00882954">
        <w:rPr>
          <w:b/>
        </w:rPr>
        <w:t>Q.</w:t>
      </w:r>
      <w:r w:rsidRPr="00882954">
        <w:rPr>
          <w:b/>
        </w:rPr>
        <w:tab/>
        <w:t>Please discuss your concerns regarding this proceeding</w:t>
      </w:r>
      <w:r w:rsidR="007B37B9">
        <w:rPr>
          <w:b/>
        </w:rPr>
        <w:t>’</w:t>
      </w:r>
      <w:r w:rsidRPr="00882954">
        <w:rPr>
          <w:b/>
        </w:rPr>
        <w:t>s impact on future settlement agreements.</w:t>
      </w:r>
    </w:p>
    <w:p w:rsidR="0018617A" w:rsidRDefault="00882954" w:rsidP="002B3D96">
      <w:pPr>
        <w:pStyle w:val="AutoNumBodyCharCharCharChar"/>
        <w:ind w:hanging="720"/>
        <w:sectPr w:rsidR="0018617A" w:rsidSect="0018617A">
          <w:headerReference w:type="default" r:id="rId15"/>
          <w:type w:val="continuous"/>
          <w:pgSz w:w="12240" w:h="15840" w:code="1"/>
          <w:pgMar w:top="1440" w:right="1800" w:bottom="1440" w:left="1800" w:header="720" w:footer="720" w:gutter="0"/>
          <w:lnNumType w:countBy="1"/>
          <w:cols w:space="720"/>
          <w:docGrid w:linePitch="360"/>
        </w:sectPr>
      </w:pPr>
      <w:r>
        <w:t>A.</w:t>
      </w:r>
      <w:r>
        <w:tab/>
        <w:t>As I stated in my direct testimony, during the course of settlement negotiations in Docket UE</w:t>
      </w:r>
      <w:r w:rsidR="007B37B9">
        <w:t>-</w:t>
      </w:r>
      <w:r>
        <w:t>09</w:t>
      </w:r>
      <w:r w:rsidR="00C50E97">
        <w:t>0205</w:t>
      </w:r>
      <w:r>
        <w:t xml:space="preserve">, the parties proposed and the Company rejected the inclusion of a </w:t>
      </w:r>
      <w:proofErr w:type="spellStart"/>
      <w:r>
        <w:t>REC</w:t>
      </w:r>
      <w:proofErr w:type="spellEnd"/>
      <w:r>
        <w:t xml:space="preserve"> revenue balancing account as part of that settlement.  </w:t>
      </w:r>
      <w:r w:rsidR="00AC6572">
        <w:t>N</w:t>
      </w:r>
      <w:r>
        <w:t xml:space="preserve">o party contests this fact.  Now, two years later, the Company is faced with a retroactive </w:t>
      </w:r>
    </w:p>
    <w:p w:rsidR="00882954" w:rsidRDefault="0018617A" w:rsidP="002B3D96">
      <w:pPr>
        <w:pStyle w:val="AutoNumBodyCharCharCharChar"/>
        <w:ind w:hanging="720"/>
      </w:pPr>
      <w:r>
        <w:tab/>
      </w:r>
      <w:proofErr w:type="gramStart"/>
      <w:r w:rsidR="00882954">
        <w:t>imposition</w:t>
      </w:r>
      <w:proofErr w:type="gramEnd"/>
      <w:r w:rsidR="00882954">
        <w:t xml:space="preserve"> of a </w:t>
      </w:r>
      <w:proofErr w:type="spellStart"/>
      <w:r w:rsidR="00882954">
        <w:t>REC</w:t>
      </w:r>
      <w:proofErr w:type="spellEnd"/>
      <w:r w:rsidR="00882954">
        <w:t xml:space="preserve"> revenue balancing account without the ability to take any actions with respect to the other elements of the Stipulation.  </w:t>
      </w:r>
      <w:r w:rsidR="00AC6572">
        <w:t>To provide perspective, t</w:t>
      </w:r>
      <w:r w:rsidR="00882954">
        <w:t xml:space="preserve">he magnitude of Staff’s and </w:t>
      </w:r>
      <w:proofErr w:type="spellStart"/>
      <w:r w:rsidR="00AC6572">
        <w:t>ICNU</w:t>
      </w:r>
      <w:proofErr w:type="spellEnd"/>
      <w:r w:rsidR="00AC6572">
        <w:t>/</w:t>
      </w:r>
      <w:proofErr w:type="spellStart"/>
      <w:r w:rsidR="00AC6572">
        <w:t>PC’s</w:t>
      </w:r>
      <w:proofErr w:type="spellEnd"/>
      <w:r w:rsidR="00882954">
        <w:t xml:space="preserve"> recommended credit to customers in this proceeding exceeds the entire rate increase that was authorized in the Stipulation in Docket UE</w:t>
      </w:r>
      <w:r w:rsidR="00AC6572">
        <w:t>-</w:t>
      </w:r>
      <w:r w:rsidR="00882954">
        <w:t>09</w:t>
      </w:r>
      <w:r w:rsidR="00C50E97">
        <w:t>0205</w:t>
      </w:r>
      <w:r w:rsidR="00882954">
        <w:t>.</w:t>
      </w:r>
    </w:p>
    <w:p w:rsidR="00882954" w:rsidRPr="00882954" w:rsidRDefault="00882954" w:rsidP="002B3D96">
      <w:pPr>
        <w:pStyle w:val="AutoNumBodyCharCharCharChar"/>
        <w:ind w:hanging="720"/>
        <w:rPr>
          <w:b/>
        </w:rPr>
      </w:pPr>
      <w:r w:rsidRPr="00882954">
        <w:rPr>
          <w:b/>
        </w:rPr>
        <w:t>Q.</w:t>
      </w:r>
      <w:r w:rsidRPr="00882954">
        <w:rPr>
          <w:b/>
        </w:rPr>
        <w:tab/>
        <w:t>Is t</w:t>
      </w:r>
      <w:r>
        <w:rPr>
          <w:b/>
        </w:rPr>
        <w:t>here an additional concern</w:t>
      </w:r>
      <w:r w:rsidRPr="00882954">
        <w:rPr>
          <w:b/>
        </w:rPr>
        <w:t>?</w:t>
      </w:r>
    </w:p>
    <w:p w:rsidR="00882954" w:rsidRDefault="00882954" w:rsidP="002B3D96">
      <w:pPr>
        <w:pStyle w:val="AutoNumBodyCharCharCharChar"/>
        <w:ind w:hanging="720"/>
      </w:pPr>
      <w:r>
        <w:t>A.</w:t>
      </w:r>
      <w:r>
        <w:tab/>
        <w:t>Yes.  Although Staff’s testimony acknowledges that $</w:t>
      </w:r>
      <w:r w:rsidR="00110AA9">
        <w:t xml:space="preserve">576,254 of Washington-allocated </w:t>
      </w:r>
      <w:proofErr w:type="spellStart"/>
      <w:r w:rsidR="00110AA9">
        <w:t>REC</w:t>
      </w:r>
      <w:proofErr w:type="spellEnd"/>
      <w:r w:rsidR="00110AA9">
        <w:t xml:space="preserve"> revenue was included in th</w:t>
      </w:r>
      <w:r w:rsidR="00975025">
        <w:t xml:space="preserve">e Company’s filing in Docket </w:t>
      </w:r>
      <w:proofErr w:type="spellStart"/>
      <w:r w:rsidR="00975025">
        <w:t>UE</w:t>
      </w:r>
      <w:proofErr w:type="spellEnd"/>
      <w:r w:rsidR="00AC6572">
        <w:t>-</w:t>
      </w:r>
      <w:r w:rsidR="00975025">
        <w:t xml:space="preserve"> </w:t>
      </w:r>
      <w:r w:rsidR="00110AA9" w:rsidRPr="00EB079B">
        <w:t>080220</w:t>
      </w:r>
      <w:r w:rsidR="00110AA9">
        <w:t xml:space="preserve"> </w:t>
      </w:r>
      <w:r>
        <w:t xml:space="preserve">for </w:t>
      </w:r>
      <w:r w:rsidR="00110AA9">
        <w:t xml:space="preserve">the 12-months ending June </w:t>
      </w:r>
      <w:r>
        <w:t>200</w:t>
      </w:r>
      <w:r w:rsidR="00110AA9">
        <w:t>8</w:t>
      </w:r>
      <w:r>
        <w:t>, it refuses to recognize this level in its adjustment in this proceeding.  This approach is inconsistent with the credit of $657,</w:t>
      </w:r>
      <w:r w:rsidR="00110AA9">
        <w:t xml:space="preserve">755 </w:t>
      </w:r>
      <w:r>
        <w:t xml:space="preserve">recognized in Staff’s adjustment related to the forecast of 2010 </w:t>
      </w:r>
      <w:r w:rsidR="00975025">
        <w:t xml:space="preserve">Washington-allocated </w:t>
      </w:r>
      <w:proofErr w:type="spellStart"/>
      <w:r>
        <w:t>REC</w:t>
      </w:r>
      <w:proofErr w:type="spellEnd"/>
      <w:r>
        <w:t xml:space="preserve"> revenues included in rates in Docket UE</w:t>
      </w:r>
      <w:r w:rsidR="00AC6572">
        <w:t>-</w:t>
      </w:r>
      <w:r>
        <w:t>09</w:t>
      </w:r>
      <w:r w:rsidR="00C50E97">
        <w:t>0205</w:t>
      </w:r>
      <w:r>
        <w:t>.</w:t>
      </w:r>
    </w:p>
    <w:p w:rsidR="00882954" w:rsidRPr="00882954" w:rsidRDefault="00882954" w:rsidP="002B3D96">
      <w:pPr>
        <w:pStyle w:val="AutoNumBodyCharCharCharChar"/>
        <w:ind w:hanging="720"/>
        <w:rPr>
          <w:b/>
        </w:rPr>
      </w:pPr>
      <w:r w:rsidRPr="00882954">
        <w:rPr>
          <w:b/>
        </w:rPr>
        <w:t>Q.</w:t>
      </w:r>
      <w:r w:rsidRPr="00882954">
        <w:rPr>
          <w:b/>
        </w:rPr>
        <w:tab/>
        <w:t>What is Staff’s justification for this</w:t>
      </w:r>
      <w:r w:rsidR="00AC6572">
        <w:rPr>
          <w:b/>
        </w:rPr>
        <w:t xml:space="preserve"> position</w:t>
      </w:r>
      <w:r w:rsidRPr="00882954">
        <w:rPr>
          <w:b/>
        </w:rPr>
        <w:t>?</w:t>
      </w:r>
    </w:p>
    <w:p w:rsidR="00882954" w:rsidRDefault="00882954" w:rsidP="002B3D96">
      <w:pPr>
        <w:pStyle w:val="AutoNumBodyCharCharCharChar"/>
        <w:ind w:hanging="720"/>
      </w:pPr>
      <w:r>
        <w:t>A.</w:t>
      </w:r>
      <w:r>
        <w:tab/>
        <w:t>Staff justifies this unbalanced approach on the basis that the Stipulation in Docket UE</w:t>
      </w:r>
      <w:r w:rsidR="00AC6572">
        <w:t>-</w:t>
      </w:r>
      <w:r w:rsidR="00EB079B" w:rsidRPr="00EB079B">
        <w:t>080220</w:t>
      </w:r>
      <w:r>
        <w:t xml:space="preserve"> was a black box settlement.  This approach </w:t>
      </w:r>
      <w:r w:rsidR="007B5297">
        <w:t xml:space="preserve">attempts to </w:t>
      </w:r>
      <w:r>
        <w:t>further penalize the Company for reaching settlement in a prior docket.</w:t>
      </w:r>
      <w:r w:rsidR="007B5297">
        <w:t xml:space="preserve">  </w:t>
      </w:r>
    </w:p>
    <w:p w:rsidR="00F913FC" w:rsidRPr="00032395" w:rsidRDefault="00032395" w:rsidP="002B3D96">
      <w:pPr>
        <w:pStyle w:val="AutoNumBodyCharCharCharChar"/>
        <w:ind w:hanging="720"/>
        <w:rPr>
          <w:b/>
        </w:rPr>
      </w:pPr>
      <w:r w:rsidRPr="00032395">
        <w:rPr>
          <w:b/>
        </w:rPr>
        <w:t>Q.</w:t>
      </w:r>
      <w:r w:rsidRPr="00032395">
        <w:rPr>
          <w:b/>
        </w:rPr>
        <w:tab/>
        <w:t xml:space="preserve">Please discuss your concerns with the </w:t>
      </w:r>
      <w:r w:rsidR="00AC6572">
        <w:rPr>
          <w:b/>
        </w:rPr>
        <w:t>ever-changing</w:t>
      </w:r>
      <w:r w:rsidRPr="00032395">
        <w:rPr>
          <w:b/>
        </w:rPr>
        <w:t xml:space="preserve"> nature of Staff’s proposals in this docket.</w:t>
      </w:r>
    </w:p>
    <w:p w:rsidR="00536E4F" w:rsidRDefault="00032395" w:rsidP="002B3D96">
      <w:pPr>
        <w:pStyle w:val="AutoNumBodyCharCharCharChar"/>
        <w:ind w:hanging="720"/>
      </w:pPr>
      <w:r>
        <w:t>A.</w:t>
      </w:r>
      <w:r>
        <w:tab/>
      </w:r>
      <w:r w:rsidR="00536E4F">
        <w:t xml:space="preserve">As </w:t>
      </w:r>
      <w:r>
        <w:t>discussed in detail in the rebuttal testimony of Mr. Dalley</w:t>
      </w:r>
      <w:r w:rsidR="00536E4F">
        <w:t>, Staff’s position in this case has been a moving target</w:t>
      </w:r>
      <w:r>
        <w:t xml:space="preserve">.  In the first phase of this proceeding, Staff accepted the allocation of revenues to </w:t>
      </w:r>
      <w:r w:rsidR="00110AA9">
        <w:t xml:space="preserve">Washington </w:t>
      </w:r>
      <w:r>
        <w:t xml:space="preserve">based on the method that has been used since 2009 for reporting of </w:t>
      </w:r>
      <w:proofErr w:type="spellStart"/>
      <w:r>
        <w:t>REC</w:t>
      </w:r>
      <w:proofErr w:type="spellEnd"/>
      <w:r>
        <w:t xml:space="preserve"> revenues and for setting the </w:t>
      </w:r>
      <w:proofErr w:type="spellStart"/>
      <w:r>
        <w:t>REC</w:t>
      </w:r>
      <w:proofErr w:type="spellEnd"/>
      <w:r>
        <w:t xml:space="preserve"> revenue f</w:t>
      </w:r>
      <w:r w:rsidR="00122A3C">
        <w:t xml:space="preserve">orecast in rates.  </w:t>
      </w:r>
    </w:p>
    <w:p w:rsidR="0018617A" w:rsidRDefault="0018617A" w:rsidP="002B3D96">
      <w:pPr>
        <w:pStyle w:val="AutoNumBodyCharCharCharChar"/>
        <w:ind w:firstLine="720"/>
        <w:sectPr w:rsidR="0018617A" w:rsidSect="0018617A">
          <w:headerReference w:type="default" r:id="rId16"/>
          <w:type w:val="continuous"/>
          <w:pgSz w:w="12240" w:h="15840" w:code="1"/>
          <w:pgMar w:top="1440" w:right="1800" w:bottom="1440" w:left="1800" w:header="720" w:footer="720" w:gutter="0"/>
          <w:lnNumType w:countBy="1"/>
          <w:cols w:space="720"/>
          <w:docGrid w:linePitch="360"/>
        </w:sectPr>
      </w:pPr>
    </w:p>
    <w:p w:rsidR="00A2559F" w:rsidRDefault="00122A3C" w:rsidP="002B3D96">
      <w:pPr>
        <w:pStyle w:val="AutoNumBodyCharCharCharChar"/>
        <w:ind w:firstLine="720"/>
      </w:pPr>
      <w:r>
        <w:t>In its May 24</w:t>
      </w:r>
      <w:r w:rsidR="00032395">
        <w:t xml:space="preserve">, 2011 </w:t>
      </w:r>
      <w:r w:rsidR="00110AA9">
        <w:t>pleading filed with the Commission</w:t>
      </w:r>
      <w:r w:rsidR="00032395">
        <w:t xml:space="preserve">, Staff proposed </w:t>
      </w:r>
      <w:r w:rsidR="00536E4F">
        <w:t xml:space="preserve">a second approach, </w:t>
      </w:r>
      <w:r w:rsidR="00032395">
        <w:t>chang</w:t>
      </w:r>
      <w:r w:rsidR="00536E4F">
        <w:t>ing</w:t>
      </w:r>
      <w:r w:rsidR="00032395">
        <w:t xml:space="preserve"> the allocation methodology </w:t>
      </w:r>
      <w:r w:rsidR="00536E4F">
        <w:t>to apply</w:t>
      </w:r>
      <w:r w:rsidR="00032395">
        <w:t xml:space="preserve"> the methodology that the Company developed in 2011 for a going-forward </w:t>
      </w:r>
      <w:proofErr w:type="spellStart"/>
      <w:r w:rsidR="00032395">
        <w:t>REC</w:t>
      </w:r>
      <w:proofErr w:type="spellEnd"/>
      <w:r w:rsidR="00032395">
        <w:t xml:space="preserve"> tracker mechanism.  This increases the </w:t>
      </w:r>
      <w:r w:rsidR="00110AA9">
        <w:t xml:space="preserve">Washington-allocated </w:t>
      </w:r>
      <w:proofErr w:type="spellStart"/>
      <w:r w:rsidR="00032395">
        <w:t>REC</w:t>
      </w:r>
      <w:proofErr w:type="spellEnd"/>
      <w:r w:rsidR="00032395">
        <w:t xml:space="preserve"> revenues for 2009 by </w:t>
      </w:r>
      <w:r w:rsidR="00110AA9">
        <w:t xml:space="preserve">approximately </w:t>
      </w:r>
      <w:r w:rsidR="00491734" w:rsidRPr="00491734">
        <w:rPr>
          <w:highlight w:val="black"/>
        </w:rPr>
        <w:t>_</w:t>
      </w:r>
      <w:r w:rsidR="00BE0D1A" w:rsidRPr="00491734">
        <w:rPr>
          <w:highlight w:val="black"/>
        </w:rPr>
        <w:t>___</w:t>
      </w:r>
      <w:r w:rsidR="00491734" w:rsidRPr="00491734">
        <w:rPr>
          <w:highlight w:val="black"/>
        </w:rPr>
        <w:t>______</w:t>
      </w:r>
      <w:r w:rsidR="00032395">
        <w:t xml:space="preserve"> and for 2010 by </w:t>
      </w:r>
      <w:r w:rsidR="00FE626B">
        <w:t xml:space="preserve">approximately </w:t>
      </w:r>
      <w:r w:rsidR="00491734" w:rsidRPr="00491734">
        <w:rPr>
          <w:highlight w:val="black"/>
        </w:rPr>
        <w:t>_</w:t>
      </w:r>
      <w:r w:rsidR="00BE0D1A" w:rsidRPr="00491734">
        <w:rPr>
          <w:highlight w:val="black"/>
        </w:rPr>
        <w:t>___</w:t>
      </w:r>
      <w:r w:rsidR="00491734" w:rsidRPr="00491734">
        <w:rPr>
          <w:highlight w:val="black"/>
        </w:rPr>
        <w:t>_______</w:t>
      </w:r>
      <w:r w:rsidR="00110AA9">
        <w:t xml:space="preserve"> </w:t>
      </w:r>
      <w:r w:rsidR="00032395">
        <w:t>as compared to the method originally accepted and used by Staff.</w:t>
      </w:r>
      <w:r w:rsidR="00110AA9">
        <w:rPr>
          <w:rStyle w:val="FootnoteReference"/>
        </w:rPr>
        <w:footnoteReference w:id="4"/>
      </w:r>
      <w:r w:rsidR="00032395">
        <w:t xml:space="preserve">  </w:t>
      </w:r>
    </w:p>
    <w:p w:rsidR="00A2559F" w:rsidRDefault="00536E4F" w:rsidP="002B3D96">
      <w:pPr>
        <w:pStyle w:val="AutoNumBodyCharCharCharChar"/>
        <w:ind w:firstLine="720"/>
      </w:pPr>
      <w:r>
        <w:t>I</w:t>
      </w:r>
      <w:r w:rsidR="00032395">
        <w:t xml:space="preserve">n its </w:t>
      </w:r>
      <w:r w:rsidR="00690553">
        <w:t xml:space="preserve">September 9, 2011 </w:t>
      </w:r>
      <w:r w:rsidR="00032395">
        <w:t>direct testimony, Staff proposes</w:t>
      </w:r>
      <w:r>
        <w:t xml:space="preserve"> a third approach,</w:t>
      </w:r>
      <w:r w:rsidR="00032395">
        <w:t xml:space="preserve"> mix</w:t>
      </w:r>
      <w:r>
        <w:t>ing</w:t>
      </w:r>
      <w:r w:rsidR="00032395">
        <w:t xml:space="preserve"> and match</w:t>
      </w:r>
      <w:r>
        <w:t>ing</w:t>
      </w:r>
      <w:r w:rsidR="00032395">
        <w:t xml:space="preserve"> </w:t>
      </w:r>
      <w:r>
        <w:t>Staff’s first</w:t>
      </w:r>
      <w:r w:rsidR="00032395">
        <w:t xml:space="preserve"> two methods</w:t>
      </w:r>
      <w:r>
        <w:t xml:space="preserve">. Staff’s latest </w:t>
      </w:r>
      <w:r w:rsidR="00032395">
        <w:t xml:space="preserve">approach actually includes </w:t>
      </w:r>
      <w:r w:rsidR="00690553">
        <w:t xml:space="preserve">some </w:t>
      </w:r>
      <w:proofErr w:type="spellStart"/>
      <w:r w:rsidR="00032395">
        <w:t>REC</w:t>
      </w:r>
      <w:proofErr w:type="spellEnd"/>
      <w:r w:rsidR="00032395">
        <w:t xml:space="preserve"> revenues from </w:t>
      </w:r>
      <w:proofErr w:type="spellStart"/>
      <w:r w:rsidR="00BD227A">
        <w:t>RECs</w:t>
      </w:r>
      <w:proofErr w:type="spellEnd"/>
      <w:r w:rsidR="00BD227A">
        <w:t xml:space="preserve"> generated in </w:t>
      </w:r>
      <w:r w:rsidR="00032395">
        <w:t xml:space="preserve">2008. Staff admits that this is intentional and that the exclusion of 2008 </w:t>
      </w:r>
      <w:proofErr w:type="spellStart"/>
      <w:r w:rsidR="00032395">
        <w:t>REC</w:t>
      </w:r>
      <w:proofErr w:type="spellEnd"/>
      <w:r w:rsidR="00032395">
        <w:t xml:space="preserve"> revenues from its proposal in May was “inadvertent”.  Staff’s new proposal </w:t>
      </w:r>
      <w:r w:rsidR="00FE626B">
        <w:t xml:space="preserve">further </w:t>
      </w:r>
      <w:r w:rsidR="00032395">
        <w:t>increase</w:t>
      </w:r>
      <w:r w:rsidR="00FE626B">
        <w:t>s</w:t>
      </w:r>
      <w:r w:rsidR="00032395">
        <w:t xml:space="preserve"> the </w:t>
      </w:r>
      <w:proofErr w:type="spellStart"/>
      <w:r w:rsidR="00032395">
        <w:t>REC</w:t>
      </w:r>
      <w:proofErr w:type="spellEnd"/>
      <w:r w:rsidR="00032395">
        <w:t xml:space="preserve"> revenues for 2009 by </w:t>
      </w:r>
      <w:r w:rsidR="00FE626B">
        <w:t xml:space="preserve">approximately </w:t>
      </w:r>
      <w:r w:rsidR="00491734" w:rsidRPr="00491734">
        <w:rPr>
          <w:highlight w:val="black"/>
        </w:rPr>
        <w:t>_</w:t>
      </w:r>
      <w:r w:rsidR="00BE0D1A" w:rsidRPr="00491734">
        <w:rPr>
          <w:highlight w:val="black"/>
        </w:rPr>
        <w:t>_</w:t>
      </w:r>
      <w:r w:rsidR="00BE0D1A" w:rsidRPr="00BE0D1A">
        <w:rPr>
          <w:highlight w:val="black"/>
        </w:rPr>
        <w:t>______</w:t>
      </w:r>
      <w:r w:rsidR="00FE626B">
        <w:t xml:space="preserve"> </w:t>
      </w:r>
      <w:r w:rsidR="00032395">
        <w:t xml:space="preserve">and for 2010 by </w:t>
      </w:r>
      <w:r w:rsidR="00FE626B">
        <w:t xml:space="preserve">approximately </w:t>
      </w:r>
      <w:r w:rsidR="00491734" w:rsidRPr="00491734">
        <w:rPr>
          <w:highlight w:val="black"/>
        </w:rPr>
        <w:t>_</w:t>
      </w:r>
      <w:r w:rsidR="00BE0D1A" w:rsidRPr="00491734">
        <w:rPr>
          <w:highlight w:val="black"/>
        </w:rPr>
        <w:t>_</w:t>
      </w:r>
      <w:r w:rsidR="00BE0D1A" w:rsidRPr="00BE0D1A">
        <w:rPr>
          <w:highlight w:val="black"/>
        </w:rPr>
        <w:t>______</w:t>
      </w:r>
      <w:r w:rsidR="00032395">
        <w:t>.</w:t>
      </w:r>
      <w:r w:rsidR="00FE626B">
        <w:rPr>
          <w:rStyle w:val="FootnoteReference"/>
        </w:rPr>
        <w:footnoteReference w:id="5"/>
      </w:r>
      <w:r w:rsidR="00032395">
        <w:t xml:space="preserve">  </w:t>
      </w:r>
      <w:r>
        <w:t xml:space="preserve">In contrast, </w:t>
      </w:r>
      <w:proofErr w:type="spellStart"/>
      <w:r>
        <w:t>ICNU</w:t>
      </w:r>
      <w:proofErr w:type="spellEnd"/>
      <w:r>
        <w:t>/</w:t>
      </w:r>
      <w:proofErr w:type="spellStart"/>
      <w:r>
        <w:t>PC’s</w:t>
      </w:r>
      <w:proofErr w:type="spellEnd"/>
      <w:r>
        <w:t xml:space="preserve"> witness acknowledges that </w:t>
      </w:r>
      <w:proofErr w:type="spellStart"/>
      <w:r>
        <w:t>REC</w:t>
      </w:r>
      <w:proofErr w:type="spellEnd"/>
      <w:r>
        <w:t xml:space="preserve"> revenues from 2008 vintage </w:t>
      </w:r>
      <w:proofErr w:type="spellStart"/>
      <w:r>
        <w:t>RECs</w:t>
      </w:r>
      <w:proofErr w:type="spellEnd"/>
      <w:r>
        <w:t xml:space="preserve"> are not appropriately included in 2009 or 2010 </w:t>
      </w:r>
      <w:proofErr w:type="spellStart"/>
      <w:r>
        <w:t>REC</w:t>
      </w:r>
      <w:proofErr w:type="spellEnd"/>
      <w:r>
        <w:t xml:space="preserve"> revenues.  </w:t>
      </w:r>
    </w:p>
    <w:p w:rsidR="00A2559F" w:rsidRDefault="00032395" w:rsidP="002B3D96">
      <w:pPr>
        <w:pStyle w:val="AutoNumBodyCharCharCharChar"/>
        <w:ind w:firstLine="720"/>
      </w:pPr>
      <w:r>
        <w:t xml:space="preserve">Staff offers no rationale for these changes. </w:t>
      </w:r>
      <w:r w:rsidR="0018617A">
        <w:t xml:space="preserve"> </w:t>
      </w:r>
      <w:r w:rsidR="00536E4F">
        <w:t xml:space="preserve">They appear to be designed to produce the largest </w:t>
      </w:r>
      <w:proofErr w:type="spellStart"/>
      <w:r w:rsidR="00536E4F">
        <w:t>REC</w:t>
      </w:r>
      <w:proofErr w:type="spellEnd"/>
      <w:r w:rsidR="00536E4F">
        <w:t xml:space="preserve"> credit possible under the circumstances</w:t>
      </w:r>
      <w:r w:rsidR="00291CD7">
        <w:t>,</w:t>
      </w:r>
      <w:r w:rsidR="00536E4F">
        <w:t xml:space="preserve"> or to punish the Company, or both. </w:t>
      </w:r>
    </w:p>
    <w:p w:rsidR="00135D47" w:rsidRPr="00135D47" w:rsidRDefault="00E2074D" w:rsidP="002B3D96">
      <w:pPr>
        <w:pStyle w:val="AutoNumBodyCharCharCharChar"/>
        <w:ind w:hanging="720"/>
        <w:rPr>
          <w:b/>
        </w:rPr>
      </w:pPr>
      <w:r w:rsidRPr="00135D47">
        <w:rPr>
          <w:b/>
        </w:rPr>
        <w:t>Q.</w:t>
      </w:r>
      <w:r w:rsidRPr="00135D47">
        <w:rPr>
          <w:b/>
        </w:rPr>
        <w:tab/>
        <w:t xml:space="preserve">Is there also a moving target with respect to </w:t>
      </w:r>
      <w:r w:rsidR="00135D47" w:rsidRPr="00135D47">
        <w:rPr>
          <w:b/>
        </w:rPr>
        <w:t>Staff’s position on the tracking mechanism?</w:t>
      </w:r>
    </w:p>
    <w:p w:rsidR="0018617A" w:rsidRDefault="00135D47" w:rsidP="002B3D96">
      <w:pPr>
        <w:pStyle w:val="BodyTextIndent2"/>
        <w:sectPr w:rsidR="0018617A" w:rsidSect="0018617A">
          <w:headerReference w:type="default" r:id="rId17"/>
          <w:type w:val="continuous"/>
          <w:pgSz w:w="12240" w:h="15840" w:code="1"/>
          <w:pgMar w:top="1440" w:right="1800" w:bottom="1440" w:left="1800" w:header="720" w:footer="720" w:gutter="0"/>
          <w:lnNumType w:countBy="1"/>
          <w:cols w:space="720"/>
          <w:docGrid w:linePitch="360"/>
        </w:sectPr>
      </w:pPr>
      <w:r>
        <w:t>A.</w:t>
      </w:r>
      <w:r>
        <w:tab/>
      </w:r>
      <w:r w:rsidR="0018617A">
        <w:t xml:space="preserve">Yes. </w:t>
      </w:r>
      <w:r>
        <w:t xml:space="preserve"> Only through discovery did the Company learn that Staff </w:t>
      </w:r>
      <w:r w:rsidR="00291CD7">
        <w:t xml:space="preserve">now </w:t>
      </w:r>
      <w:r w:rsidR="007B5297">
        <w:t xml:space="preserve">contends </w:t>
      </w:r>
      <w:r>
        <w:t xml:space="preserve">that the $4.8 million currently being returned to customers is related to 2009 </w:t>
      </w:r>
      <w:proofErr w:type="spellStart"/>
      <w:r>
        <w:t>REC</w:t>
      </w:r>
      <w:proofErr w:type="spellEnd"/>
      <w:r>
        <w:t xml:space="preserve"> </w:t>
      </w:r>
    </w:p>
    <w:p w:rsidR="00E2074D" w:rsidRDefault="0018617A" w:rsidP="002B3D96">
      <w:pPr>
        <w:pStyle w:val="BodyTextIndent2"/>
      </w:pPr>
      <w:r>
        <w:tab/>
      </w:r>
      <w:proofErr w:type="gramStart"/>
      <w:r w:rsidR="00135D47">
        <w:t>revenues</w:t>
      </w:r>
      <w:proofErr w:type="gramEnd"/>
      <w:r w:rsidR="00135D47">
        <w:t xml:space="preserve"> rather than related to forecast </w:t>
      </w:r>
      <w:proofErr w:type="spellStart"/>
      <w:r w:rsidR="00135D47">
        <w:t>REC</w:t>
      </w:r>
      <w:proofErr w:type="spellEnd"/>
      <w:r w:rsidR="00135D47">
        <w:t xml:space="preserve"> revenues for the rate effective period beginning April 2011.</w:t>
      </w:r>
      <w:r w:rsidR="00EA7588">
        <w:t xml:space="preserve">  </w:t>
      </w:r>
      <w:r w:rsidR="00887C6D">
        <w:t xml:space="preserve">As noted in my direct testimony, the </w:t>
      </w:r>
      <w:proofErr w:type="spellStart"/>
      <w:r w:rsidR="00887C6D">
        <w:t>REC</w:t>
      </w:r>
      <w:proofErr w:type="spellEnd"/>
      <w:r w:rsidR="00887C6D">
        <w:t xml:space="preserve"> revenue credit in the balancing account is</w:t>
      </w:r>
      <w:r w:rsidR="00887C6D" w:rsidRPr="00445E83">
        <w:t xml:space="preserve"> tied to the forecast of net power costs for the rate effective period – April 3, 2011 through April 2, 2012.  This is also noted in the Order stating: “At the end of the rate year, PacifiCorp will be required to submit a full accounting of </w:t>
      </w:r>
      <w:proofErr w:type="spellStart"/>
      <w:r w:rsidR="00887C6D" w:rsidRPr="00445E83">
        <w:t>REC</w:t>
      </w:r>
      <w:proofErr w:type="spellEnd"/>
      <w:r w:rsidR="00887C6D" w:rsidRPr="00445E83">
        <w:t xml:space="preserve"> proceeds actually received during the preceding 12 months.” (</w:t>
      </w:r>
      <w:proofErr w:type="gramStart"/>
      <w:r w:rsidR="00887C6D" w:rsidRPr="00445E83">
        <w:t>paragraph</w:t>
      </w:r>
      <w:proofErr w:type="gramEnd"/>
      <w:r w:rsidR="00887C6D" w:rsidRPr="00445E83">
        <w:t xml:space="preserve"> 205)  </w:t>
      </w:r>
      <w:r w:rsidR="00887C6D">
        <w:t>Staff does not contest this statement</w:t>
      </w:r>
      <w:r w:rsidR="00EB079B">
        <w:t xml:space="preserve"> in testimony</w:t>
      </w:r>
      <w:r w:rsidR="00887C6D">
        <w:t xml:space="preserve">, yet its response to a Company data request surfaced this new position for the first time.  This new position </w:t>
      </w:r>
      <w:r w:rsidR="00EA7588">
        <w:t xml:space="preserve">is also in conflict with Staff’s own recommendation to “change” the </w:t>
      </w:r>
      <w:proofErr w:type="spellStart"/>
      <w:r w:rsidR="00EA7588">
        <w:t>REC</w:t>
      </w:r>
      <w:proofErr w:type="spellEnd"/>
      <w:r w:rsidR="00EA7588">
        <w:t xml:space="preserve"> tracking mechanism from a forecast with true-up to a historical mechanism.</w:t>
      </w:r>
      <w:r w:rsidR="00291CD7">
        <w:t xml:space="preserve">  The </w:t>
      </w:r>
      <w:r w:rsidR="00C07BC1">
        <w:t>Commission</w:t>
      </w:r>
      <w:r w:rsidR="00291CD7">
        <w:t xml:space="preserve"> should not allow Staff to rely on this new argument for an after-the-fact justification of the retroactive</w:t>
      </w:r>
      <w:r w:rsidR="00F6268F">
        <w:t>,</w:t>
      </w:r>
      <w:r w:rsidR="00291CD7">
        <w:t xml:space="preserve"> triple-counting nature of its proposal. </w:t>
      </w:r>
    </w:p>
    <w:p w:rsidR="007A2C50" w:rsidRPr="00887C6D" w:rsidRDefault="007A2C50" w:rsidP="002B3D96">
      <w:pPr>
        <w:pStyle w:val="AutoNumBodyCharCharCharChar"/>
        <w:ind w:hanging="720"/>
        <w:rPr>
          <w:b/>
        </w:rPr>
      </w:pPr>
      <w:r w:rsidRPr="00887C6D">
        <w:rPr>
          <w:b/>
        </w:rPr>
        <w:t>Q.</w:t>
      </w:r>
      <w:r w:rsidRPr="00887C6D">
        <w:rPr>
          <w:b/>
        </w:rPr>
        <w:tab/>
        <w:t xml:space="preserve">How </w:t>
      </w:r>
      <w:r w:rsidR="00D208F9">
        <w:rPr>
          <w:b/>
        </w:rPr>
        <w:t>did</w:t>
      </w:r>
      <w:r w:rsidRPr="00887C6D">
        <w:rPr>
          <w:b/>
        </w:rPr>
        <w:t xml:space="preserve"> the</w:t>
      </w:r>
      <w:r w:rsidR="00D208F9">
        <w:rPr>
          <w:b/>
        </w:rPr>
        <w:t xml:space="preserve"> Company </w:t>
      </w:r>
      <w:proofErr w:type="gramStart"/>
      <w:r w:rsidR="00D208F9">
        <w:rPr>
          <w:b/>
        </w:rPr>
        <w:t>implement</w:t>
      </w:r>
      <w:proofErr w:type="gramEnd"/>
      <w:r w:rsidR="0037152A">
        <w:rPr>
          <w:b/>
        </w:rPr>
        <w:t xml:space="preserve"> the Commission’s O</w:t>
      </w:r>
      <w:r w:rsidRPr="00887C6D">
        <w:rPr>
          <w:b/>
        </w:rPr>
        <w:t>rder 06?</w:t>
      </w:r>
    </w:p>
    <w:p w:rsidR="007A2C50" w:rsidRDefault="007A2C50" w:rsidP="002B3D96">
      <w:pPr>
        <w:pStyle w:val="AutoNumBodyCharCharCharChar"/>
        <w:ind w:hanging="720"/>
      </w:pPr>
      <w:r>
        <w:t>A.</w:t>
      </w:r>
      <w:r>
        <w:tab/>
      </w:r>
      <w:r w:rsidR="00887C6D">
        <w:t>As noted above, the Company implemented</w:t>
      </w:r>
      <w:r w:rsidR="0037152A">
        <w:t xml:space="preserve"> the Commission’s O</w:t>
      </w:r>
      <w:r>
        <w:t>rder to include $4.8 million in the original tracker related to the rate effective period.</w:t>
      </w:r>
      <w:r w:rsidR="00887C6D">
        <w:t xml:space="preserve">  This is also</w:t>
      </w:r>
      <w:r w:rsidR="0037152A">
        <w:t xml:space="preserve"> how the Company reflected the O</w:t>
      </w:r>
      <w:r w:rsidR="00887C6D">
        <w:t>rder’s requirements on its financial books.</w:t>
      </w:r>
      <w:r>
        <w:t xml:space="preserve">  This interpretation is based on two key factors.  First, as noted in the Company’s testimony and briefs, the $4.8 million was related to the level of forecast </w:t>
      </w:r>
      <w:proofErr w:type="spellStart"/>
      <w:r>
        <w:t>REC</w:t>
      </w:r>
      <w:proofErr w:type="spellEnd"/>
      <w:r>
        <w:t xml:space="preserve"> revenues for the rate effective period beginning April 2011.  Second, the Commission’s ordering paragraph 205 states:</w:t>
      </w:r>
    </w:p>
    <w:p w:rsidR="0021575C" w:rsidRDefault="003508FE" w:rsidP="002B3D96">
      <w:pPr>
        <w:pStyle w:val="AutoNumBodyCharCharCharChar"/>
        <w:spacing w:line="240" w:lineRule="auto"/>
        <w:ind w:left="1440"/>
      </w:pPr>
      <w:r>
        <w:t xml:space="preserve">“At the end of the rate year, PacifiCorp will be required to submit a full accounting of </w:t>
      </w:r>
      <w:proofErr w:type="spellStart"/>
      <w:r>
        <w:t>REC</w:t>
      </w:r>
      <w:proofErr w:type="spellEnd"/>
      <w:r>
        <w:t xml:space="preserve"> proceeds actually received during the preceding 12 months.  This accounting will be considered in light of other information to determine if the amount of credits that should have been returned to customers exceeds or fall short of the estimated $4.8 million upon which the initial bill credits are based.  In other words, the Commission will authorize a true-up of the initial credits that can be reconciled as credits are paid during the following 12 months.”</w:t>
      </w:r>
    </w:p>
    <w:p w:rsidR="0021575C" w:rsidRDefault="0021575C" w:rsidP="002B3D96">
      <w:pPr>
        <w:pStyle w:val="AutoNumBodyCharCharCharChar"/>
        <w:spacing w:line="240" w:lineRule="auto"/>
        <w:ind w:left="1440"/>
      </w:pPr>
    </w:p>
    <w:p w:rsidR="007A2C50" w:rsidRDefault="007A2C50" w:rsidP="002B3D96">
      <w:pPr>
        <w:pStyle w:val="AutoNumBodyCharCharCharChar"/>
        <w:ind w:hanging="720"/>
      </w:pPr>
      <w:r>
        <w:tab/>
        <w:t xml:space="preserve">This indicates that there is to be a true-up from the $4.8 million initial credit to the amount actually received in the rate effective period.  And, </w:t>
      </w:r>
      <w:r w:rsidR="007C0E60">
        <w:t>this forecast and true-up method is</w:t>
      </w:r>
      <w:r>
        <w:t xml:space="preserve"> envisioned to occur for all future periods.  </w:t>
      </w:r>
    </w:p>
    <w:p w:rsidR="007A2C50" w:rsidRPr="007C0E60" w:rsidRDefault="006059FC" w:rsidP="002B3D96">
      <w:pPr>
        <w:pStyle w:val="AutoNumBodyCharCharCharChar"/>
        <w:ind w:hanging="720"/>
        <w:rPr>
          <w:b/>
        </w:rPr>
      </w:pPr>
      <w:r w:rsidRPr="007C0E60">
        <w:rPr>
          <w:b/>
        </w:rPr>
        <w:t>Q.</w:t>
      </w:r>
      <w:r w:rsidRPr="007C0E60">
        <w:rPr>
          <w:b/>
        </w:rPr>
        <w:tab/>
        <w:t>Is there another area of disagreement among the parties as to the scope of this proceeding?</w:t>
      </w:r>
    </w:p>
    <w:p w:rsidR="00887C6D" w:rsidRDefault="006059FC" w:rsidP="002B3D96">
      <w:pPr>
        <w:pStyle w:val="AutoNumBodyCharCharCharChar"/>
        <w:ind w:hanging="720"/>
      </w:pPr>
      <w:r>
        <w:t>A.</w:t>
      </w:r>
      <w:r>
        <w:tab/>
        <w:t xml:space="preserve">Yes.  As noted in my direct testimony, the Company believes the Commission </w:t>
      </w:r>
      <w:r w:rsidR="007A2C50">
        <w:t>limit</w:t>
      </w:r>
      <w:r w:rsidR="007C0E60">
        <w:t>s</w:t>
      </w:r>
      <w:r w:rsidR="007A2C50">
        <w:t xml:space="preserve"> the true-up of revenue to amounts received no earlier than January 1, 2010.  </w:t>
      </w:r>
      <w:r w:rsidR="00887C6D">
        <w:t xml:space="preserve">Paragraph 207 </w:t>
      </w:r>
      <w:r w:rsidR="00291CD7">
        <w:t>s</w:t>
      </w:r>
      <w:r w:rsidR="00887C6D">
        <w:t>tates:</w:t>
      </w:r>
    </w:p>
    <w:p w:rsidR="00887C6D" w:rsidRDefault="00887C6D" w:rsidP="002B3D96">
      <w:pPr>
        <w:pStyle w:val="AutoNumBodyCharCharCharChar"/>
        <w:spacing w:line="240" w:lineRule="auto"/>
        <w:ind w:left="1440"/>
      </w:pPr>
      <w:r w:rsidRPr="00D567F7">
        <w:t xml:space="preserve"> “We require this detailed accounting, in part, considering the disputed question of whether PacifiCorp should be required to include, in what we here describe as a tracker account, </w:t>
      </w:r>
      <w:proofErr w:type="spellStart"/>
      <w:r w:rsidRPr="00D567F7">
        <w:t>REC</w:t>
      </w:r>
      <w:proofErr w:type="spellEnd"/>
      <w:r w:rsidRPr="00D567F7">
        <w:t xml:space="preserve"> proceeds received during the periods after the test year, including those received during the pendency of this proceeding.  Staff proposed that </w:t>
      </w:r>
      <w:proofErr w:type="spellStart"/>
      <w:r w:rsidRPr="00D567F7">
        <w:t>REC</w:t>
      </w:r>
      <w:proofErr w:type="spellEnd"/>
      <w:r w:rsidRPr="00D567F7">
        <w:t xml:space="preserve"> proceeds received after January 1, 2010, be accounted for and established as a regulatory liability on the Company’s books, the rate treatment of which could be determined in a future proceeding.  Another possible starting date for such an account might be the date on which PacifiCorp made its initial filing in this proceeding, which put the rate and accounting treatment of </w:t>
      </w:r>
      <w:proofErr w:type="spellStart"/>
      <w:r w:rsidRPr="00D567F7">
        <w:t>REC</w:t>
      </w:r>
      <w:proofErr w:type="spellEnd"/>
      <w:r w:rsidRPr="00D567F7">
        <w:t xml:space="preserve"> revenues in issue.  Other possible dates are conceivable, including the start of the rate year.  We do not finally resolve these questions in this Order.  We require additional briefing on the subject, and may require additional evidence.  We will establish process and schedule for this by subsequent notice.”</w:t>
      </w:r>
    </w:p>
    <w:p w:rsidR="0018617A" w:rsidRDefault="0018617A" w:rsidP="0018617A">
      <w:pPr>
        <w:pStyle w:val="AutoNumBodyCharCharCharChar"/>
        <w:suppressLineNumbers/>
        <w:spacing w:line="240" w:lineRule="auto"/>
        <w:ind w:left="1440"/>
      </w:pPr>
    </w:p>
    <w:p w:rsidR="00690553" w:rsidRDefault="007A2C50" w:rsidP="002B3D96">
      <w:pPr>
        <w:pStyle w:val="AutoNumBodyCharCharCharChar"/>
      </w:pPr>
      <w:r>
        <w:t>In fact</w:t>
      </w:r>
      <w:r w:rsidR="00887C6D">
        <w:t>, while</w:t>
      </w:r>
      <w:r>
        <w:t xml:space="preserve"> </w:t>
      </w:r>
      <w:r w:rsidR="00887C6D">
        <w:t xml:space="preserve">the </w:t>
      </w:r>
      <w:r w:rsidR="005F5841">
        <w:t>O</w:t>
      </w:r>
      <w:r w:rsidR="007C0E60">
        <w:t>rder</w:t>
      </w:r>
      <w:r w:rsidR="00887C6D">
        <w:t xml:space="preserve"> explicitly states</w:t>
      </w:r>
      <w:r>
        <w:t xml:space="preserve"> that the </w:t>
      </w:r>
      <w:r w:rsidR="00887C6D">
        <w:t xml:space="preserve">starting date of the </w:t>
      </w:r>
      <w:proofErr w:type="spellStart"/>
      <w:r w:rsidR="00887C6D">
        <w:t>REC</w:t>
      </w:r>
      <w:proofErr w:type="spellEnd"/>
      <w:r w:rsidR="00887C6D">
        <w:t xml:space="preserve"> tracker could be later than </w:t>
      </w:r>
      <w:r>
        <w:t>January 1, 2010</w:t>
      </w:r>
      <w:r w:rsidR="00887C6D">
        <w:t>, n</w:t>
      </w:r>
      <w:r w:rsidR="005F5841">
        <w:t>owhere does the Commission’s O</w:t>
      </w:r>
      <w:r>
        <w:t>rder suggest a start date prior to January 1, 2010.</w:t>
      </w:r>
      <w:r w:rsidR="00875950">
        <w:t xml:space="preserve">  </w:t>
      </w:r>
      <w:r w:rsidR="00887C6D">
        <w:t xml:space="preserve">Yet both Staff and </w:t>
      </w:r>
      <w:proofErr w:type="spellStart"/>
      <w:r w:rsidR="004954B0">
        <w:t>ICNU</w:t>
      </w:r>
      <w:proofErr w:type="spellEnd"/>
      <w:r w:rsidR="004954B0">
        <w:t>/PC</w:t>
      </w:r>
      <w:r w:rsidR="00887C6D">
        <w:t xml:space="preserve"> propose to apply the </w:t>
      </w:r>
      <w:proofErr w:type="spellStart"/>
      <w:r w:rsidR="00887C6D">
        <w:t>REC</w:t>
      </w:r>
      <w:proofErr w:type="spellEnd"/>
      <w:r w:rsidR="00887C6D">
        <w:t xml:space="preserve"> tracker to revenues received in 2009.  </w:t>
      </w:r>
    </w:p>
    <w:p w:rsidR="0018617A" w:rsidRDefault="0018617A" w:rsidP="0018617A">
      <w:pPr>
        <w:pStyle w:val="AutoNumBodyCharCharCharChar"/>
        <w:suppressLineNumbers/>
      </w:pPr>
    </w:p>
    <w:p w:rsidR="00D96220" w:rsidRDefault="00D96220" w:rsidP="002B3D96">
      <w:pPr>
        <w:pStyle w:val="AutoNumBodyCharCharCharChar"/>
        <w:ind w:hanging="720"/>
        <w:rPr>
          <w:b/>
        </w:rPr>
        <w:sectPr w:rsidR="00D96220" w:rsidSect="0018617A">
          <w:headerReference w:type="default" r:id="rId18"/>
          <w:type w:val="continuous"/>
          <w:pgSz w:w="12240" w:h="15840" w:code="1"/>
          <w:pgMar w:top="1440" w:right="1800" w:bottom="1440" w:left="1800" w:header="720" w:footer="720" w:gutter="0"/>
          <w:lnNumType w:countBy="1"/>
          <w:cols w:space="720"/>
          <w:docGrid w:linePitch="360"/>
        </w:sectPr>
      </w:pPr>
    </w:p>
    <w:p w:rsidR="00A25780" w:rsidRPr="00480792" w:rsidRDefault="00A25780" w:rsidP="002B3D96">
      <w:pPr>
        <w:pStyle w:val="AutoNumBodyCharCharCharChar"/>
        <w:ind w:hanging="720"/>
        <w:rPr>
          <w:b/>
        </w:rPr>
      </w:pPr>
      <w:r w:rsidRPr="00480792">
        <w:rPr>
          <w:b/>
        </w:rPr>
        <w:t>Q.</w:t>
      </w:r>
      <w:r w:rsidRPr="00480792">
        <w:rPr>
          <w:b/>
        </w:rPr>
        <w:tab/>
        <w:t xml:space="preserve">Does the Company </w:t>
      </w:r>
      <w:proofErr w:type="gramStart"/>
      <w:r w:rsidRPr="00480792">
        <w:rPr>
          <w:b/>
        </w:rPr>
        <w:t>agree</w:t>
      </w:r>
      <w:proofErr w:type="gramEnd"/>
      <w:r w:rsidRPr="00480792">
        <w:rPr>
          <w:b/>
        </w:rPr>
        <w:t xml:space="preserve"> with Staff</w:t>
      </w:r>
      <w:r w:rsidR="001708A8">
        <w:rPr>
          <w:b/>
        </w:rPr>
        <w:t>’s</w:t>
      </w:r>
      <w:r w:rsidRPr="00480792">
        <w:rPr>
          <w:b/>
        </w:rPr>
        <w:t xml:space="preserve"> and </w:t>
      </w:r>
      <w:proofErr w:type="spellStart"/>
      <w:r w:rsidRPr="00480792">
        <w:rPr>
          <w:b/>
        </w:rPr>
        <w:t>ICNU</w:t>
      </w:r>
      <w:proofErr w:type="spellEnd"/>
      <w:r w:rsidRPr="00480792">
        <w:rPr>
          <w:b/>
        </w:rPr>
        <w:t>/</w:t>
      </w:r>
      <w:proofErr w:type="spellStart"/>
      <w:r w:rsidR="004954B0">
        <w:rPr>
          <w:b/>
        </w:rPr>
        <w:t>PC</w:t>
      </w:r>
      <w:r w:rsidR="001708A8">
        <w:rPr>
          <w:b/>
        </w:rPr>
        <w:t>’s</w:t>
      </w:r>
      <w:proofErr w:type="spellEnd"/>
      <w:r w:rsidRPr="00480792">
        <w:rPr>
          <w:b/>
        </w:rPr>
        <w:t xml:space="preserve"> proposal to change the </w:t>
      </w:r>
      <w:proofErr w:type="spellStart"/>
      <w:r w:rsidRPr="00480792">
        <w:rPr>
          <w:b/>
        </w:rPr>
        <w:t>REC</w:t>
      </w:r>
      <w:proofErr w:type="spellEnd"/>
      <w:r w:rsidRPr="00480792">
        <w:rPr>
          <w:b/>
        </w:rPr>
        <w:t xml:space="preserve"> tracking mechanism?</w:t>
      </w:r>
    </w:p>
    <w:p w:rsidR="00A25780" w:rsidRDefault="00A25780" w:rsidP="002B3D96">
      <w:pPr>
        <w:pStyle w:val="AutoNumBodyCharCharCharChar"/>
        <w:ind w:hanging="720"/>
      </w:pPr>
      <w:r>
        <w:t>A.</w:t>
      </w:r>
      <w:r>
        <w:tab/>
        <w:t>No.</w:t>
      </w:r>
      <w:r w:rsidR="007C0E60">
        <w:t xml:space="preserve">  It is important to note that n</w:t>
      </w:r>
      <w:r w:rsidR="00BB00F9">
        <w:t xml:space="preserve">o party ever challenged the Company’s forecasts </w:t>
      </w:r>
      <w:r w:rsidR="007C0E60">
        <w:t xml:space="preserve">in 2009 and 2010 </w:t>
      </w:r>
      <w:r w:rsidR="00BB00F9">
        <w:t>at the time they were reviewed</w:t>
      </w:r>
      <w:r w:rsidR="007C0E60">
        <w:t xml:space="preserve"> in the general rate cases</w:t>
      </w:r>
      <w:r w:rsidR="00BB00F9">
        <w:t>.  Now</w:t>
      </w:r>
      <w:r w:rsidR="007C0E60">
        <w:t xml:space="preserve">, Staff </w:t>
      </w:r>
      <w:r w:rsidR="00BB00F9">
        <w:t>appl</w:t>
      </w:r>
      <w:r w:rsidR="004D69D0">
        <w:t>ies</w:t>
      </w:r>
      <w:r w:rsidR="00BB00F9">
        <w:t xml:space="preserve"> 20/20 hindsight to criticize the Company’s forecast. Notably, no party in this proceeding has taken issue with the Company’s forecast</w:t>
      </w:r>
      <w:r w:rsidR="007C0E60">
        <w:t xml:space="preserve"> for the rate effective period</w:t>
      </w:r>
      <w:r w:rsidR="004954B0">
        <w:t xml:space="preserve"> that was provided to parties on May 24, 2011</w:t>
      </w:r>
      <w:r w:rsidR="007C0E60">
        <w:t xml:space="preserve">.  </w:t>
      </w:r>
      <w:r w:rsidR="004954B0">
        <w:t xml:space="preserve">Neither Staff nor </w:t>
      </w:r>
      <w:proofErr w:type="spellStart"/>
      <w:r w:rsidR="004954B0">
        <w:t>ICNU</w:t>
      </w:r>
      <w:proofErr w:type="spellEnd"/>
      <w:r w:rsidR="004954B0">
        <w:t>/PC discuss how the Company would transition from the current forecast and true-up for the rate effective period to a</w:t>
      </w:r>
      <w:r w:rsidR="00291CD7">
        <w:t>n</w:t>
      </w:r>
      <w:r w:rsidR="004954B0">
        <w:t xml:space="preserve"> historical approach.  </w:t>
      </w:r>
      <w:r w:rsidR="007C0E60">
        <w:t xml:space="preserve">Given the lack of discussion on this proposal in both Staff’s and </w:t>
      </w:r>
      <w:proofErr w:type="spellStart"/>
      <w:r w:rsidR="001708A8">
        <w:t>ICNU</w:t>
      </w:r>
      <w:proofErr w:type="spellEnd"/>
      <w:r w:rsidR="001708A8">
        <w:t>/</w:t>
      </w:r>
      <w:proofErr w:type="spellStart"/>
      <w:r w:rsidR="001708A8">
        <w:t>PC</w:t>
      </w:r>
      <w:r w:rsidR="007C0E60">
        <w:t>’s</w:t>
      </w:r>
      <w:proofErr w:type="spellEnd"/>
      <w:r w:rsidR="007C0E60">
        <w:t xml:space="preserve"> direct testimony, the</w:t>
      </w:r>
      <w:r w:rsidR="00291CD7">
        <w:t xml:space="preserve">re is no </w:t>
      </w:r>
      <w:r w:rsidR="00F45B9F">
        <w:t>basis for</w:t>
      </w:r>
      <w:r w:rsidR="007C0E60">
        <w:t xml:space="preserve"> chang</w:t>
      </w:r>
      <w:r w:rsidR="00F45B9F">
        <w:t>ing</w:t>
      </w:r>
      <w:r w:rsidR="007C0E60">
        <w:t xml:space="preserve"> the </w:t>
      </w:r>
      <w:proofErr w:type="spellStart"/>
      <w:r w:rsidR="007C0E60">
        <w:t>REC</w:t>
      </w:r>
      <w:proofErr w:type="spellEnd"/>
      <w:r w:rsidR="007C0E60">
        <w:t xml:space="preserve"> tracker as establ</w:t>
      </w:r>
      <w:r w:rsidR="00D55346">
        <w:t>ished by the Commission in its O</w:t>
      </w:r>
      <w:r w:rsidR="007C0E60">
        <w:t>rder.</w:t>
      </w:r>
    </w:p>
    <w:p w:rsidR="00A25780" w:rsidRPr="00480792" w:rsidRDefault="00A25780" w:rsidP="002B3D96">
      <w:pPr>
        <w:pStyle w:val="AutoNumBodyCharCharCharChar"/>
        <w:ind w:hanging="720"/>
        <w:rPr>
          <w:b/>
        </w:rPr>
      </w:pPr>
      <w:r w:rsidRPr="00480792">
        <w:rPr>
          <w:b/>
        </w:rPr>
        <w:t>Q.</w:t>
      </w:r>
      <w:r w:rsidRPr="00480792">
        <w:rPr>
          <w:b/>
        </w:rPr>
        <w:tab/>
        <w:t xml:space="preserve">Does the Company </w:t>
      </w:r>
      <w:proofErr w:type="gramStart"/>
      <w:r w:rsidRPr="00480792">
        <w:rPr>
          <w:b/>
        </w:rPr>
        <w:t>agree</w:t>
      </w:r>
      <w:proofErr w:type="gramEnd"/>
      <w:r w:rsidRPr="00480792">
        <w:rPr>
          <w:b/>
        </w:rPr>
        <w:t xml:space="preserve"> with Staff</w:t>
      </w:r>
      <w:r w:rsidR="00F45B9F">
        <w:rPr>
          <w:b/>
        </w:rPr>
        <w:t>’s</w:t>
      </w:r>
      <w:r w:rsidRPr="00480792">
        <w:rPr>
          <w:b/>
        </w:rPr>
        <w:t xml:space="preserve"> and </w:t>
      </w:r>
      <w:proofErr w:type="spellStart"/>
      <w:r w:rsidRPr="00480792">
        <w:rPr>
          <w:b/>
        </w:rPr>
        <w:t>ICNU</w:t>
      </w:r>
      <w:proofErr w:type="spellEnd"/>
      <w:r w:rsidRPr="00480792">
        <w:rPr>
          <w:b/>
        </w:rPr>
        <w:t>/</w:t>
      </w:r>
      <w:proofErr w:type="spellStart"/>
      <w:r w:rsidR="004954B0">
        <w:rPr>
          <w:b/>
        </w:rPr>
        <w:t>PC</w:t>
      </w:r>
      <w:r w:rsidR="00F45B9F">
        <w:rPr>
          <w:b/>
        </w:rPr>
        <w:t>’s</w:t>
      </w:r>
      <w:proofErr w:type="spellEnd"/>
      <w:r w:rsidRPr="00480792">
        <w:rPr>
          <w:b/>
        </w:rPr>
        <w:t xml:space="preserve"> proposal to keep the Schedule 95 rate the same irrespective of </w:t>
      </w:r>
      <w:r w:rsidR="001D167F">
        <w:rPr>
          <w:b/>
        </w:rPr>
        <w:t xml:space="preserve">the </w:t>
      </w:r>
      <w:r w:rsidRPr="00480792">
        <w:rPr>
          <w:b/>
        </w:rPr>
        <w:t>outcome of his proceeding?</w:t>
      </w:r>
    </w:p>
    <w:p w:rsidR="007C0E60" w:rsidRDefault="00A25780" w:rsidP="002B3D96">
      <w:pPr>
        <w:pStyle w:val="AutoNumBodyCharCharCharChar"/>
        <w:ind w:hanging="720"/>
      </w:pPr>
      <w:r>
        <w:t>A.</w:t>
      </w:r>
      <w:r>
        <w:tab/>
        <w:t xml:space="preserve">No.  </w:t>
      </w:r>
      <w:r w:rsidR="007C0E60">
        <w:t xml:space="preserve">Once again, Staff and </w:t>
      </w:r>
      <w:proofErr w:type="spellStart"/>
      <w:r w:rsidR="007C0E60">
        <w:t>ICNU</w:t>
      </w:r>
      <w:proofErr w:type="spellEnd"/>
      <w:r w:rsidR="004954B0">
        <w:t>/PC</w:t>
      </w:r>
      <w:r w:rsidR="007C0E60">
        <w:t xml:space="preserve"> p</w:t>
      </w:r>
      <w:r>
        <w:t xml:space="preserve">resent no analysis or rationale for </w:t>
      </w:r>
      <w:r w:rsidR="007C0E60">
        <w:t xml:space="preserve">this proposal.  If the Commission decides to return </w:t>
      </w:r>
      <w:proofErr w:type="spellStart"/>
      <w:r w:rsidR="007C0E60">
        <w:t>REC</w:t>
      </w:r>
      <w:proofErr w:type="spellEnd"/>
      <w:r w:rsidR="007C0E60">
        <w:t xml:space="preserve"> revenues to customers for prior periods, the Company s</w:t>
      </w:r>
      <w:r>
        <w:t>ee</w:t>
      </w:r>
      <w:r w:rsidR="007C0E60">
        <w:t>s</w:t>
      </w:r>
      <w:r>
        <w:t xml:space="preserve"> no reason to delay </w:t>
      </w:r>
      <w:r w:rsidR="007C0E60">
        <w:t xml:space="preserve">for </w:t>
      </w:r>
      <w:r w:rsidR="00D96220" w:rsidRPr="00D96220">
        <w:rPr>
          <w:highlight w:val="black"/>
        </w:rPr>
        <w:t>_______________</w:t>
      </w:r>
      <w:r w:rsidR="007C0E60">
        <w:t xml:space="preserve"> the </w:t>
      </w:r>
      <w:r>
        <w:t>return of revenues to customers.</w:t>
      </w:r>
      <w:r w:rsidR="007C0E60">
        <w:t xml:space="preserve">  </w:t>
      </w:r>
      <w:r w:rsidR="00F45B9F">
        <w:t>A</w:t>
      </w:r>
      <w:r w:rsidR="007C0E60">
        <w:t>s discussed by Mr. Dalley, the Company is required to record the full amount of any prior period adjustment in the financial year when the liability is created</w:t>
      </w:r>
      <w:r w:rsidR="00F45B9F">
        <w:t>.  S</w:t>
      </w:r>
      <w:r w:rsidR="007C0E60">
        <w:t xml:space="preserve">preading the return of revenues over </w:t>
      </w:r>
      <w:r w:rsidR="00D96220" w:rsidRPr="00D96220">
        <w:rPr>
          <w:highlight w:val="black"/>
        </w:rPr>
        <w:t>_______</w:t>
      </w:r>
      <w:r w:rsidR="007C0E60">
        <w:t xml:space="preserve"> </w:t>
      </w:r>
      <w:r w:rsidR="00D96220" w:rsidRPr="00D96220">
        <w:rPr>
          <w:highlight w:val="black"/>
        </w:rPr>
        <w:t>________</w:t>
      </w:r>
      <w:r w:rsidR="007C0E60">
        <w:t xml:space="preserve"> actually increases the financial burden on the Company.</w:t>
      </w:r>
    </w:p>
    <w:p w:rsidR="0018617A" w:rsidRDefault="0018617A" w:rsidP="0018617A">
      <w:pPr>
        <w:pStyle w:val="AutoNumBodyCharCharCharChar"/>
        <w:suppressLineNumbers/>
        <w:ind w:hanging="720"/>
      </w:pPr>
    </w:p>
    <w:p w:rsidR="0018617A" w:rsidRDefault="0018617A" w:rsidP="0018617A">
      <w:pPr>
        <w:pStyle w:val="AutoNumBodyCharCharCharChar"/>
        <w:suppressLineNumbers/>
        <w:ind w:hanging="720"/>
      </w:pPr>
    </w:p>
    <w:p w:rsidR="00D96220" w:rsidRDefault="00D96220" w:rsidP="002B3D96">
      <w:pPr>
        <w:pStyle w:val="AutoNumBodyCharCharCharChar"/>
        <w:ind w:hanging="720"/>
        <w:rPr>
          <w:b/>
        </w:rPr>
        <w:sectPr w:rsidR="00D96220" w:rsidSect="00D96220">
          <w:headerReference w:type="default" r:id="rId19"/>
          <w:type w:val="continuous"/>
          <w:pgSz w:w="12240" w:h="15840" w:code="1"/>
          <w:pgMar w:top="1440" w:right="1800" w:bottom="1440" w:left="1800" w:header="720" w:footer="720" w:gutter="0"/>
          <w:lnNumType w:countBy="1"/>
          <w:cols w:space="720"/>
          <w:docGrid w:linePitch="360"/>
        </w:sectPr>
      </w:pPr>
    </w:p>
    <w:p w:rsidR="00EA7C59" w:rsidRPr="00690D97" w:rsidRDefault="00EA7C59" w:rsidP="002B3D96">
      <w:pPr>
        <w:pStyle w:val="AutoNumBodyCharCharCharChar"/>
        <w:ind w:hanging="720"/>
        <w:rPr>
          <w:b/>
        </w:rPr>
      </w:pPr>
      <w:r w:rsidRPr="00690D97">
        <w:rPr>
          <w:b/>
        </w:rPr>
        <w:t>Q.</w:t>
      </w:r>
      <w:r w:rsidRPr="00690D97">
        <w:rPr>
          <w:b/>
        </w:rPr>
        <w:tab/>
      </w:r>
      <w:r w:rsidR="00F45B9F">
        <w:rPr>
          <w:b/>
        </w:rPr>
        <w:t xml:space="preserve">Do </w:t>
      </w:r>
      <w:r w:rsidR="007E6C39">
        <w:rPr>
          <w:b/>
        </w:rPr>
        <w:t xml:space="preserve">Staff’s and </w:t>
      </w:r>
      <w:proofErr w:type="spellStart"/>
      <w:r w:rsidR="007E6C39">
        <w:rPr>
          <w:b/>
        </w:rPr>
        <w:t>ICNU</w:t>
      </w:r>
      <w:proofErr w:type="spellEnd"/>
      <w:r w:rsidR="007E6C39">
        <w:rPr>
          <w:b/>
        </w:rPr>
        <w:t>/</w:t>
      </w:r>
      <w:proofErr w:type="spellStart"/>
      <w:r w:rsidR="007E6C39">
        <w:rPr>
          <w:b/>
        </w:rPr>
        <w:t>PC’s</w:t>
      </w:r>
      <w:proofErr w:type="spellEnd"/>
      <w:r w:rsidR="007E6C39">
        <w:rPr>
          <w:b/>
        </w:rPr>
        <w:t xml:space="preserve"> </w:t>
      </w:r>
      <w:r w:rsidR="00F45B9F">
        <w:rPr>
          <w:b/>
        </w:rPr>
        <w:t>proposals threaten to increase</w:t>
      </w:r>
      <w:r w:rsidR="004954B0">
        <w:rPr>
          <w:b/>
        </w:rPr>
        <w:t xml:space="preserve"> the regulatory and business challenges that the Company already faces in Washington</w:t>
      </w:r>
      <w:r w:rsidR="00F45B9F">
        <w:rPr>
          <w:b/>
        </w:rPr>
        <w:t>?</w:t>
      </w:r>
    </w:p>
    <w:p w:rsidR="00EA7C59" w:rsidRDefault="0018617A" w:rsidP="002B3D96">
      <w:pPr>
        <w:pStyle w:val="AutoNumBodyCharCharCharChar"/>
        <w:ind w:hanging="720"/>
      </w:pPr>
      <w:r>
        <w:t>A.</w:t>
      </w:r>
      <w:r>
        <w:tab/>
      </w:r>
      <w:r w:rsidR="00F45B9F">
        <w:t xml:space="preserve">Yes.  </w:t>
      </w:r>
      <w:r w:rsidR="00EA7C59">
        <w:t xml:space="preserve">As compared to PacifiCorp’s five other state regulatory environments, Washington </w:t>
      </w:r>
      <w:r w:rsidR="004324C3">
        <w:t>presents a unique set of</w:t>
      </w:r>
      <w:r w:rsidR="00EA7C59">
        <w:t xml:space="preserve"> challeng</w:t>
      </w:r>
      <w:r w:rsidR="004324C3">
        <w:t>es</w:t>
      </w:r>
      <w:r w:rsidR="00EA7C59">
        <w:t xml:space="preserve"> from the perspective of providing the Company an opportunity to recover its costs and earn its authorized rate of return.  </w:t>
      </w:r>
      <w:r w:rsidR="00F45B9F">
        <w:t>Factors contributing to these challenges include:</w:t>
      </w:r>
    </w:p>
    <w:p w:rsidR="009A552A" w:rsidRDefault="00EA7C59" w:rsidP="00263456">
      <w:pPr>
        <w:pStyle w:val="AutoNumBodyCharCharCharChar"/>
        <w:numPr>
          <w:ilvl w:val="0"/>
          <w:numId w:val="27"/>
        </w:numPr>
        <w:ind w:left="1800"/>
      </w:pPr>
      <w:r>
        <w:t xml:space="preserve">Washington relies on a historic test period for setting </w:t>
      </w:r>
      <w:proofErr w:type="gramStart"/>
      <w:r>
        <w:t>rates,</w:t>
      </w:r>
      <w:proofErr w:type="gramEnd"/>
      <w:r>
        <w:t xml:space="preserve"> while the majority of the Company’s other states utilize some form of a future test period for setting</w:t>
      </w:r>
      <w:r w:rsidR="00263456">
        <w:t xml:space="preserve"> rates.  Washington takes 11</w:t>
      </w:r>
      <w:r>
        <w:t xml:space="preserve"> months to process rate cases, </w:t>
      </w:r>
      <w:r w:rsidR="004324C3">
        <w:t xml:space="preserve">which is one of </w:t>
      </w:r>
      <w:r>
        <w:t>the longest statutory suspension period</w:t>
      </w:r>
      <w:r w:rsidR="004324C3">
        <w:t>s</w:t>
      </w:r>
      <w:r>
        <w:t xml:space="preserve"> among the Company’s jurisdictions.  For this general rate case, the combination of these</w:t>
      </w:r>
      <w:r w:rsidR="00263456">
        <w:t xml:space="preserve"> two practices created a 15</w:t>
      </w:r>
      <w:r>
        <w:t xml:space="preserve"> month lag between the end of the historic test period (2009) and the beginning of the rate effective period (April 2011).  </w:t>
      </w:r>
      <w:r w:rsidR="004324C3">
        <w:t>In addition, t</w:t>
      </w:r>
      <w:r>
        <w:t xml:space="preserve">he use of an average of monthly averages </w:t>
      </w:r>
      <w:r w:rsidR="00D96220">
        <w:t>for rate base</w:t>
      </w:r>
      <w:r w:rsidR="004324C3">
        <w:t xml:space="preserve"> means that the only assets that are reflected in rates for a full year </w:t>
      </w:r>
      <w:r w:rsidR="00D96220">
        <w:t>are those</w:t>
      </w:r>
      <w:r w:rsidR="004324C3">
        <w:t xml:space="preserve"> in rate base by December 2008, further </w:t>
      </w:r>
      <w:r>
        <w:t>increas</w:t>
      </w:r>
      <w:r w:rsidR="004324C3">
        <w:t>ing</w:t>
      </w:r>
      <w:r>
        <w:t xml:space="preserve"> the under-recovery of costs. </w:t>
      </w:r>
    </w:p>
    <w:p w:rsidR="00EA7C59" w:rsidRDefault="00EA7C59" w:rsidP="00263456">
      <w:pPr>
        <w:pStyle w:val="AutoNumBodyCharCharCharChar"/>
        <w:numPr>
          <w:ilvl w:val="0"/>
          <w:numId w:val="25"/>
        </w:numPr>
        <w:ind w:left="1800"/>
      </w:pPr>
      <w:r>
        <w:t xml:space="preserve">Washington is the Company’s only jurisdiction without allocated service territories.  This means that the Company is constantly at risk of losing customers and service territory to other </w:t>
      </w:r>
      <w:r w:rsidR="004324C3">
        <w:t>consumer-</w:t>
      </w:r>
      <w:r>
        <w:t>owned utilities whose policies and practices are not regulated by this Commission.</w:t>
      </w:r>
    </w:p>
    <w:p w:rsidR="00EA7C59" w:rsidRDefault="00EA7C59" w:rsidP="00263456">
      <w:pPr>
        <w:pStyle w:val="AutoNumBodyCharCharCharChar"/>
        <w:numPr>
          <w:ilvl w:val="0"/>
          <w:numId w:val="25"/>
        </w:numPr>
        <w:ind w:left="1800"/>
      </w:pPr>
      <w:r>
        <w:t xml:space="preserve">The Company’s authorized return on </w:t>
      </w:r>
      <w:proofErr w:type="gramStart"/>
      <w:r>
        <w:t>equity,</w:t>
      </w:r>
      <w:proofErr w:type="gramEnd"/>
      <w:r>
        <w:t xml:space="preserve"> equity component and return on rate base in Washington are currently the lowest of the Company’s six jurisdictions.  </w:t>
      </w:r>
    </w:p>
    <w:p w:rsidR="00EA7C59" w:rsidRDefault="00EA7C59" w:rsidP="00263456">
      <w:pPr>
        <w:pStyle w:val="AutoNumBodyCharCharCharChar"/>
        <w:numPr>
          <w:ilvl w:val="0"/>
          <w:numId w:val="25"/>
        </w:numPr>
        <w:ind w:left="1800"/>
      </w:pPr>
      <w:r>
        <w:t xml:space="preserve">The Company’s other five jurisdictions use a common inter-jurisdictional cost allocation methodology, one that </w:t>
      </w:r>
      <w:r w:rsidR="004324C3">
        <w:t>this</w:t>
      </w:r>
      <w:r>
        <w:t xml:space="preserve"> Commission rejected.  This increases the Company’s risk of under-recovery of its overall costs</w:t>
      </w:r>
      <w:r w:rsidR="00F6268F">
        <w:t>,</w:t>
      </w:r>
      <w:r>
        <w:t xml:space="preserve"> creates a cost allocation methodology in Washington </w:t>
      </w:r>
      <w:r w:rsidR="00F6268F">
        <w:t xml:space="preserve">disconnected from </w:t>
      </w:r>
      <w:r>
        <w:t>how the Company actually operates its system on a six-state integrated basis</w:t>
      </w:r>
      <w:r w:rsidR="00F6268F">
        <w:t>, imped</w:t>
      </w:r>
      <w:r w:rsidR="007E6C39">
        <w:t>es</w:t>
      </w:r>
      <w:r w:rsidR="00F6268F">
        <w:t xml:space="preserve"> adoption of a </w:t>
      </w:r>
      <w:proofErr w:type="spellStart"/>
      <w:r w:rsidR="00F6268F">
        <w:t>PCA</w:t>
      </w:r>
      <w:proofErr w:type="spellEnd"/>
      <w:r w:rsidR="004D69D0">
        <w:t>, and impedes inclusion of cash working capital costs in rates</w:t>
      </w:r>
      <w:r>
        <w:t>.</w:t>
      </w:r>
    </w:p>
    <w:p w:rsidR="00EA7C59" w:rsidRDefault="00EA7C59" w:rsidP="002B3D96">
      <w:pPr>
        <w:pStyle w:val="AutoNumBodyCharCharCharChar"/>
      </w:pPr>
      <w:r>
        <w:t xml:space="preserve">While each of these practices and decisions were determined to be reasonable in isolation, collectively they create a business environment in Washington that is </w:t>
      </w:r>
      <w:r w:rsidR="004324C3">
        <w:t>extremely challenging</w:t>
      </w:r>
      <w:r w:rsidR="00F6268F">
        <w:t>, one that has contributed to the Company’s chronic under-earning in Washington</w:t>
      </w:r>
      <w:r>
        <w:t>.</w:t>
      </w:r>
      <w:r w:rsidR="004324C3">
        <w:t xml:space="preserve"> </w:t>
      </w:r>
      <w:r>
        <w:t xml:space="preserve"> This makes the policy implications of this proceeding that much more important.</w:t>
      </w:r>
    </w:p>
    <w:p w:rsidR="007C0E60" w:rsidRPr="007C0E60" w:rsidRDefault="007C0E60" w:rsidP="002B3D96">
      <w:pPr>
        <w:pStyle w:val="AutoNumBodyCharCharCharChar"/>
        <w:ind w:hanging="720"/>
        <w:rPr>
          <w:b/>
        </w:rPr>
      </w:pPr>
      <w:r w:rsidRPr="007C0E60">
        <w:rPr>
          <w:b/>
        </w:rPr>
        <w:t>Q.</w:t>
      </w:r>
      <w:r w:rsidRPr="007C0E60">
        <w:rPr>
          <w:b/>
        </w:rPr>
        <w:tab/>
        <w:t>Does this conclude your rebuttal testimony?</w:t>
      </w:r>
    </w:p>
    <w:p w:rsidR="00390786" w:rsidRPr="007C0E60" w:rsidRDefault="007C0E60" w:rsidP="002B3D96">
      <w:pPr>
        <w:pStyle w:val="AutoNumBodyCharCharCharChar"/>
        <w:ind w:hanging="720"/>
      </w:pPr>
      <w:r>
        <w:t>A.</w:t>
      </w:r>
      <w:r>
        <w:tab/>
        <w:t>Yes.</w:t>
      </w:r>
      <w:r w:rsidR="00A25780">
        <w:t xml:space="preserve">     </w:t>
      </w:r>
    </w:p>
    <w:sectPr w:rsidR="00390786" w:rsidRPr="007C0E60" w:rsidSect="00D96220">
      <w:headerReference w:type="default" r:id="rId20"/>
      <w:type w:val="continuous"/>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8AD" w:rsidRDefault="008708AD">
      <w:r>
        <w:separator/>
      </w:r>
    </w:p>
  </w:endnote>
  <w:endnote w:type="continuationSeparator" w:id="0">
    <w:p w:rsidR="008708AD" w:rsidRDefault="008708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8A8" w:rsidRDefault="00B868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686" w:rsidRDefault="00BE0D1A" w:rsidP="004F1FD8">
    <w:pPr>
      <w:pStyle w:val="Footer"/>
      <w:tabs>
        <w:tab w:val="right" w:pos="4320"/>
      </w:tabs>
      <w:rPr>
        <w:sz w:val="24"/>
        <w:szCs w:val="24"/>
      </w:rPr>
    </w:pPr>
    <w:r>
      <w:rPr>
        <w:sz w:val="24"/>
        <w:szCs w:val="24"/>
      </w:rPr>
      <w:t>Redacted</w:t>
    </w:r>
    <w:r w:rsidR="002B3D96">
      <w:rPr>
        <w:sz w:val="24"/>
        <w:szCs w:val="24"/>
      </w:rPr>
      <w:t xml:space="preserve"> </w:t>
    </w:r>
    <w:r w:rsidR="003508FE">
      <w:rPr>
        <w:sz w:val="24"/>
        <w:szCs w:val="24"/>
      </w:rPr>
      <w:t>Phase II Rebuttal</w:t>
    </w:r>
    <w:r w:rsidR="003508FE" w:rsidRPr="004F1FD8">
      <w:rPr>
        <w:sz w:val="24"/>
        <w:szCs w:val="24"/>
      </w:rPr>
      <w:t xml:space="preserve"> Testimony</w:t>
    </w:r>
    <w:r w:rsidR="009D4686" w:rsidRPr="004F1FD8">
      <w:rPr>
        <w:sz w:val="24"/>
        <w:szCs w:val="24"/>
      </w:rPr>
      <w:t xml:space="preserve"> of </w:t>
    </w:r>
    <w:r w:rsidR="00FE6336">
      <w:rPr>
        <w:sz w:val="24"/>
        <w:szCs w:val="24"/>
      </w:rPr>
      <w:t>Andrea L. Kelly</w:t>
    </w:r>
    <w:r w:rsidR="009D4686">
      <w:rPr>
        <w:sz w:val="24"/>
        <w:szCs w:val="24"/>
      </w:rPr>
      <w:tab/>
      <w:t>Exhibit No.</w:t>
    </w:r>
    <w:r w:rsidR="00B91F9E">
      <w:rPr>
        <w:sz w:val="24"/>
        <w:szCs w:val="24"/>
      </w:rPr>
      <w:t>__</w:t>
    </w:r>
    <w:proofErr w:type="gramStart"/>
    <w:r w:rsidR="00B91F9E">
      <w:rPr>
        <w:sz w:val="24"/>
        <w:szCs w:val="24"/>
      </w:rPr>
      <w:t>_</w:t>
    </w:r>
    <w:r w:rsidR="009D4686">
      <w:rPr>
        <w:sz w:val="24"/>
        <w:szCs w:val="24"/>
      </w:rPr>
      <w:t>(</w:t>
    </w:r>
    <w:proofErr w:type="gramEnd"/>
    <w:r w:rsidR="00FE6336">
      <w:rPr>
        <w:sz w:val="24"/>
        <w:szCs w:val="24"/>
      </w:rPr>
      <w:t>ALK</w:t>
    </w:r>
    <w:r w:rsidR="009D4686">
      <w:rPr>
        <w:sz w:val="24"/>
        <w:szCs w:val="24"/>
      </w:rPr>
      <w:t>-</w:t>
    </w:r>
    <w:r w:rsidR="003508FE">
      <w:rPr>
        <w:sz w:val="24"/>
        <w:szCs w:val="24"/>
      </w:rPr>
      <w:t>2</w:t>
    </w:r>
    <w:r w:rsidR="002B3D96">
      <w:rPr>
        <w:sz w:val="24"/>
        <w:szCs w:val="24"/>
      </w:rPr>
      <w:t>C</w:t>
    </w:r>
    <w:r w:rsidR="009D4686">
      <w:rPr>
        <w:sz w:val="24"/>
        <w:szCs w:val="24"/>
      </w:rPr>
      <w:t>T)</w:t>
    </w:r>
  </w:p>
  <w:p w:rsidR="009D4686" w:rsidRPr="004F1FD8" w:rsidRDefault="009D4686" w:rsidP="004F1FD8">
    <w:pPr>
      <w:pStyle w:val="Footer"/>
      <w:tabs>
        <w:tab w:val="right" w:pos="4320"/>
      </w:tabs>
      <w:jc w:val="right"/>
      <w:rPr>
        <w:sz w:val="24"/>
        <w:szCs w:val="24"/>
      </w:rPr>
    </w:pPr>
    <w:r>
      <w:rPr>
        <w:sz w:val="24"/>
        <w:szCs w:val="24"/>
      </w:rPr>
      <w:t xml:space="preserve">Page </w:t>
    </w:r>
    <w:r w:rsidR="00243982">
      <w:rPr>
        <w:sz w:val="24"/>
        <w:szCs w:val="24"/>
      </w:rPr>
      <w:fldChar w:fldCharType="begin"/>
    </w:r>
    <w:r>
      <w:rPr>
        <w:sz w:val="24"/>
        <w:szCs w:val="24"/>
      </w:rPr>
      <w:instrText xml:space="preserve"> PAGE  \* Arabic  \* MERGEFORMAT </w:instrText>
    </w:r>
    <w:r w:rsidR="00243982">
      <w:rPr>
        <w:sz w:val="24"/>
        <w:szCs w:val="24"/>
      </w:rPr>
      <w:fldChar w:fldCharType="separate"/>
    </w:r>
    <w:r w:rsidR="00B868A8">
      <w:rPr>
        <w:noProof/>
        <w:sz w:val="24"/>
        <w:szCs w:val="24"/>
      </w:rPr>
      <w:t>12</w:t>
    </w:r>
    <w:r w:rsidR="00243982">
      <w:rP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8A8" w:rsidRDefault="00B868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8AD" w:rsidRDefault="008708AD">
      <w:r>
        <w:separator/>
      </w:r>
    </w:p>
  </w:footnote>
  <w:footnote w:type="continuationSeparator" w:id="0">
    <w:p w:rsidR="008708AD" w:rsidRDefault="008708AD">
      <w:r>
        <w:continuationSeparator/>
      </w:r>
    </w:p>
  </w:footnote>
  <w:footnote w:id="1">
    <w:p w:rsidR="00AF0664" w:rsidRDefault="00AF0664">
      <w:pPr>
        <w:pStyle w:val="FootnoteText"/>
      </w:pPr>
      <w:r>
        <w:rPr>
          <w:rStyle w:val="FootnoteReference"/>
        </w:rPr>
        <w:footnoteRef/>
      </w:r>
      <w:r>
        <w:t xml:space="preserve"> </w:t>
      </w:r>
      <w:r w:rsidR="00BD2739" w:rsidRPr="00BF345B">
        <w:rPr>
          <w:i/>
        </w:rPr>
        <w:t>Wash. Util. &amp; Tra</w:t>
      </w:r>
      <w:r w:rsidR="00BD2739">
        <w:rPr>
          <w:i/>
        </w:rPr>
        <w:t>n</w:t>
      </w:r>
      <w:r w:rsidR="00BD2739" w:rsidRPr="00BF345B">
        <w:rPr>
          <w:i/>
        </w:rPr>
        <w:t xml:space="preserve">sp. </w:t>
      </w:r>
      <w:proofErr w:type="spellStart"/>
      <w:r w:rsidR="00BD2739" w:rsidRPr="00BF345B">
        <w:rPr>
          <w:i/>
        </w:rPr>
        <w:t>Comm’n</w:t>
      </w:r>
      <w:proofErr w:type="spellEnd"/>
      <w:r w:rsidR="00BD2739" w:rsidRPr="00BF345B">
        <w:rPr>
          <w:i/>
        </w:rPr>
        <w:t xml:space="preserve"> v. PacifiCorp</w:t>
      </w:r>
      <w:r w:rsidR="00975025">
        <w:t>, Docket UE</w:t>
      </w:r>
      <w:r w:rsidR="007B37B9">
        <w:t>-</w:t>
      </w:r>
      <w:r w:rsidR="002B3D96">
        <w:t>100749, Exhibit No.__</w:t>
      </w:r>
      <w:proofErr w:type="gramStart"/>
      <w:r w:rsidR="002B3D96">
        <w:t>_(</w:t>
      </w:r>
      <w:proofErr w:type="gramEnd"/>
      <w:r w:rsidR="002B3D96">
        <w:t>KHB-7TC</w:t>
      </w:r>
      <w:r w:rsidR="00BD2739">
        <w:t>), page 11, lines 3 and 4.</w:t>
      </w:r>
    </w:p>
  </w:footnote>
  <w:footnote w:id="2">
    <w:p w:rsidR="00EB0F00" w:rsidRDefault="00EB0F00">
      <w:pPr>
        <w:pStyle w:val="FootnoteText"/>
      </w:pPr>
      <w:r>
        <w:rPr>
          <w:rStyle w:val="FootnoteReference"/>
        </w:rPr>
        <w:footnoteRef/>
      </w:r>
      <w:r>
        <w:t xml:space="preserve"> </w:t>
      </w:r>
      <w:r w:rsidRPr="00BF345B">
        <w:rPr>
          <w:i/>
        </w:rPr>
        <w:t>Wash. Util. &amp; Tra</w:t>
      </w:r>
      <w:r>
        <w:rPr>
          <w:i/>
        </w:rPr>
        <w:t>n</w:t>
      </w:r>
      <w:r w:rsidRPr="00BF345B">
        <w:rPr>
          <w:i/>
        </w:rPr>
        <w:t xml:space="preserve">sp. </w:t>
      </w:r>
      <w:proofErr w:type="spellStart"/>
      <w:r w:rsidRPr="00BF345B">
        <w:rPr>
          <w:i/>
        </w:rPr>
        <w:t>Comm’n</w:t>
      </w:r>
      <w:proofErr w:type="spellEnd"/>
      <w:r w:rsidRPr="00BF345B">
        <w:rPr>
          <w:i/>
        </w:rPr>
        <w:t xml:space="preserve"> v. PacifiCorp</w:t>
      </w:r>
      <w:r>
        <w:t xml:space="preserve">, Docket </w:t>
      </w:r>
      <w:proofErr w:type="spellStart"/>
      <w:r>
        <w:t>UE</w:t>
      </w:r>
      <w:proofErr w:type="spellEnd"/>
      <w:r>
        <w:t xml:space="preserve"> 100749, Exhibit No.__</w:t>
      </w:r>
      <w:proofErr w:type="gramStart"/>
      <w:r>
        <w:t>_(</w:t>
      </w:r>
      <w:proofErr w:type="gramEnd"/>
      <w:r>
        <w:t>KHB-7TC), page 4, lines 13-16.</w:t>
      </w:r>
    </w:p>
  </w:footnote>
  <w:footnote w:id="3">
    <w:p w:rsidR="00C07BC1" w:rsidRDefault="00C07BC1">
      <w:pPr>
        <w:pStyle w:val="FootnoteText"/>
      </w:pPr>
      <w:r>
        <w:rPr>
          <w:rStyle w:val="FootnoteReference"/>
        </w:rPr>
        <w:footnoteRef/>
      </w:r>
      <w:r>
        <w:t xml:space="preserve"> </w:t>
      </w:r>
      <w:r w:rsidR="009A552A" w:rsidRPr="009A552A">
        <w:rPr>
          <w:i/>
        </w:rPr>
        <w:t>Id.</w:t>
      </w:r>
      <w:r>
        <w:t xml:space="preserve"> at page 14, lines 19-23. </w:t>
      </w:r>
    </w:p>
  </w:footnote>
  <w:footnote w:id="4">
    <w:p w:rsidR="00110AA9" w:rsidRDefault="00110AA9">
      <w:pPr>
        <w:pStyle w:val="FootnoteText"/>
      </w:pPr>
      <w:r>
        <w:rPr>
          <w:rStyle w:val="FootnoteReference"/>
        </w:rPr>
        <w:footnoteRef/>
      </w:r>
      <w:r>
        <w:t xml:space="preserve"> 2010 amount reflects the </w:t>
      </w:r>
      <w:r w:rsidR="00FE626B">
        <w:t>variance between Washington’s allocated share of 2010 booked revenues and the amount proposed by Staff in its May 24, 2011 filing.</w:t>
      </w:r>
    </w:p>
  </w:footnote>
  <w:footnote w:id="5">
    <w:p w:rsidR="00FE626B" w:rsidRDefault="00FE626B">
      <w:pPr>
        <w:pStyle w:val="FootnoteText"/>
      </w:pPr>
      <w:r>
        <w:rPr>
          <w:rStyle w:val="FootnoteReference"/>
        </w:rPr>
        <w:footnoteRef/>
      </w:r>
      <w:r>
        <w:t xml:space="preserve"> 2010 variance reflects total Washington-allocated </w:t>
      </w:r>
      <w:proofErr w:type="spellStart"/>
      <w:r>
        <w:t>REC</w:t>
      </w:r>
      <w:proofErr w:type="spellEnd"/>
      <w:r>
        <w:t xml:space="preserve"> revenue prior to offset for amount included in rates.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8A8" w:rsidRDefault="00B868A8">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20" w:rsidRPr="002B3D96" w:rsidRDefault="00D96220" w:rsidP="0018617A">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96" w:rsidRDefault="002B3D96" w:rsidP="002B3D96">
    <w:pPr>
      <w:pStyle w:val="Header"/>
      <w:jc w:val="right"/>
    </w:pPr>
    <w:r>
      <w:t xml:space="preserve">Confidential Subject to the Terms </w:t>
    </w:r>
  </w:p>
  <w:p w:rsidR="002B3D96" w:rsidRDefault="002B3D96" w:rsidP="002B3D96">
    <w:pPr>
      <w:pStyle w:val="Header"/>
      <w:jc w:val="right"/>
    </w:pPr>
    <w:proofErr w:type="gramStart"/>
    <w:r>
      <w:t>of</w:t>
    </w:r>
    <w:proofErr w:type="gramEnd"/>
    <w:r>
      <w:t xml:space="preserve"> the Protective Order in </w:t>
    </w:r>
    <w:proofErr w:type="spellStart"/>
    <w:r>
      <w:t>WUTC</w:t>
    </w:r>
    <w:proofErr w:type="spellEnd"/>
    <w:r>
      <w:t xml:space="preserve"> Docket UE-100749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8A8" w:rsidRDefault="00B868A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96" w:rsidRPr="002B3D96" w:rsidRDefault="002B3D96" w:rsidP="002B3D9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7A" w:rsidRDefault="0018617A" w:rsidP="0018617A">
    <w:pPr>
      <w:pStyle w:val="Header"/>
      <w:jc w:val="right"/>
    </w:pPr>
    <w:r>
      <w:t xml:space="preserve">Confidential Subject to the Terms </w:t>
    </w:r>
  </w:p>
  <w:p w:rsidR="0018617A" w:rsidRDefault="0018617A" w:rsidP="0018617A">
    <w:pPr>
      <w:pStyle w:val="Header"/>
      <w:jc w:val="right"/>
    </w:pPr>
    <w:proofErr w:type="gramStart"/>
    <w:r>
      <w:t>of</w:t>
    </w:r>
    <w:proofErr w:type="gramEnd"/>
    <w:r>
      <w:t xml:space="preserve"> the Protective Order in </w:t>
    </w:r>
    <w:proofErr w:type="spellStart"/>
    <w:r>
      <w:t>WUTC</w:t>
    </w:r>
    <w:proofErr w:type="spellEnd"/>
    <w:r>
      <w:t xml:space="preserve"> Docket UE-100749</w:t>
    </w:r>
  </w:p>
  <w:p w:rsidR="0018617A" w:rsidRPr="002B3D96" w:rsidRDefault="0018617A" w:rsidP="0018617A">
    <w:pPr>
      <w:pStyle w:val="Heade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7A" w:rsidRPr="002B3D96" w:rsidRDefault="0018617A" w:rsidP="0018617A">
    <w:pPr>
      <w:pStyle w:val="Header"/>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7A" w:rsidRDefault="0018617A" w:rsidP="0018617A">
    <w:pPr>
      <w:pStyle w:val="Header"/>
      <w:jc w:val="right"/>
    </w:pPr>
    <w:r>
      <w:t xml:space="preserve">Confidential Subject to the Terms </w:t>
    </w:r>
  </w:p>
  <w:p w:rsidR="0018617A" w:rsidRDefault="0018617A" w:rsidP="0018617A">
    <w:pPr>
      <w:pStyle w:val="Header"/>
      <w:jc w:val="right"/>
    </w:pPr>
    <w:proofErr w:type="gramStart"/>
    <w:r>
      <w:t>of</w:t>
    </w:r>
    <w:proofErr w:type="gramEnd"/>
    <w:r>
      <w:t xml:space="preserve"> the Protective Order in </w:t>
    </w:r>
    <w:proofErr w:type="spellStart"/>
    <w:r>
      <w:t>WUTC</w:t>
    </w:r>
    <w:proofErr w:type="spellEnd"/>
    <w:r>
      <w:t xml:space="preserve"> Docket UE-100749</w:t>
    </w:r>
  </w:p>
  <w:p w:rsidR="0018617A" w:rsidRPr="002B3D96" w:rsidRDefault="0018617A" w:rsidP="0018617A">
    <w:pPr>
      <w:pStyle w:val="Header"/>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7A" w:rsidRPr="002B3D96" w:rsidRDefault="0018617A" w:rsidP="0018617A">
    <w:pPr>
      <w:pStyle w:val="Header"/>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20" w:rsidRDefault="00D96220" w:rsidP="00D96220">
    <w:pPr>
      <w:pStyle w:val="Header"/>
      <w:jc w:val="right"/>
    </w:pPr>
    <w:r>
      <w:t xml:space="preserve">Confidential Subject to the Terms </w:t>
    </w:r>
  </w:p>
  <w:p w:rsidR="00D96220" w:rsidRDefault="00D96220" w:rsidP="00D96220">
    <w:pPr>
      <w:pStyle w:val="Header"/>
      <w:jc w:val="right"/>
    </w:pPr>
    <w:proofErr w:type="gramStart"/>
    <w:r>
      <w:t>of</w:t>
    </w:r>
    <w:proofErr w:type="gramEnd"/>
    <w:r>
      <w:t xml:space="preserve"> the Protective Order in </w:t>
    </w:r>
    <w:proofErr w:type="spellStart"/>
    <w:r>
      <w:t>WUTC</w:t>
    </w:r>
    <w:proofErr w:type="spellEnd"/>
    <w:r>
      <w:t xml:space="preserve"> Docket UE-100749</w:t>
    </w:r>
  </w:p>
  <w:p w:rsidR="00D96220" w:rsidRPr="002B3D96" w:rsidRDefault="00D96220" w:rsidP="0018617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0FC"/>
    <w:multiLevelType w:val="hybridMultilevel"/>
    <w:tmpl w:val="D97AAE2C"/>
    <w:lvl w:ilvl="0" w:tplc="6DE8D2E8">
      <w:start w:val="1"/>
      <w:numFmt w:val="bullet"/>
      <w:lvlText w:val=""/>
      <w:lvlJc w:val="left"/>
      <w:pPr>
        <w:tabs>
          <w:tab w:val="num" w:pos="1296"/>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25B0F63"/>
    <w:multiLevelType w:val="hybridMultilevel"/>
    <w:tmpl w:val="B15C8FA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D223A0"/>
    <w:multiLevelType w:val="singleLevel"/>
    <w:tmpl w:val="F71CA934"/>
    <w:lvl w:ilvl="0">
      <w:start w:val="1"/>
      <w:numFmt w:val="upperLetter"/>
      <w:lvlText w:val="%1."/>
      <w:lvlJc w:val="left"/>
      <w:pPr>
        <w:tabs>
          <w:tab w:val="num" w:pos="720"/>
        </w:tabs>
        <w:ind w:left="720" w:hanging="720"/>
      </w:pPr>
      <w:rPr>
        <w:rFonts w:cs="Times New Roman" w:hint="default"/>
        <w:b w:val="0"/>
      </w:rPr>
    </w:lvl>
  </w:abstractNum>
  <w:abstractNum w:abstractNumId="3">
    <w:nsid w:val="0503626B"/>
    <w:multiLevelType w:val="hybridMultilevel"/>
    <w:tmpl w:val="CA802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C63373"/>
    <w:multiLevelType w:val="hybridMultilevel"/>
    <w:tmpl w:val="12161C5A"/>
    <w:lvl w:ilvl="0" w:tplc="6DE8D2E8">
      <w:start w:val="1"/>
      <w:numFmt w:val="bullet"/>
      <w:lvlText w:val=""/>
      <w:lvlJc w:val="left"/>
      <w:pPr>
        <w:tabs>
          <w:tab w:val="num" w:pos="2016"/>
        </w:tabs>
        <w:ind w:left="2160" w:hanging="72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A5C20FA"/>
    <w:multiLevelType w:val="singleLevel"/>
    <w:tmpl w:val="AF387CFA"/>
    <w:lvl w:ilvl="0">
      <w:start w:val="17"/>
      <w:numFmt w:val="upperLetter"/>
      <w:lvlText w:val="%1."/>
      <w:lvlJc w:val="left"/>
      <w:pPr>
        <w:tabs>
          <w:tab w:val="num" w:pos="720"/>
        </w:tabs>
        <w:ind w:left="720" w:hanging="720"/>
      </w:pPr>
      <w:rPr>
        <w:rFonts w:cs="Times New Roman" w:hint="default"/>
      </w:rPr>
    </w:lvl>
  </w:abstractNum>
  <w:abstractNum w:abstractNumId="6">
    <w:nsid w:val="0F2772B9"/>
    <w:multiLevelType w:val="hybridMultilevel"/>
    <w:tmpl w:val="C50281E6"/>
    <w:lvl w:ilvl="0" w:tplc="2E9427D6">
      <w:start w:val="1"/>
      <w:numFmt w:val="upperLetter"/>
      <w:lvlText w:val="%1."/>
      <w:lvlJc w:val="left"/>
      <w:pPr>
        <w:ind w:left="900" w:hanging="54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451B34"/>
    <w:multiLevelType w:val="hybridMultilevel"/>
    <w:tmpl w:val="1FD8E182"/>
    <w:lvl w:ilvl="0" w:tplc="62167EC0">
      <w:start w:val="1"/>
      <w:numFmt w:val="bullet"/>
      <w:lvlText w:val=""/>
      <w:lvlJc w:val="left"/>
      <w:pPr>
        <w:ind w:left="1845" w:hanging="360"/>
      </w:pPr>
      <w:rPr>
        <w:rFonts w:ascii="Wingdings" w:eastAsia="Times New Roman" w:hAnsi="Wingdings" w:hint="default"/>
      </w:rPr>
    </w:lvl>
    <w:lvl w:ilvl="1" w:tplc="04090003" w:tentative="1">
      <w:start w:val="1"/>
      <w:numFmt w:val="bullet"/>
      <w:lvlText w:val="o"/>
      <w:lvlJc w:val="left"/>
      <w:pPr>
        <w:ind w:left="2565" w:hanging="360"/>
      </w:pPr>
      <w:rPr>
        <w:rFonts w:ascii="Courier New" w:hAnsi="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nsid w:val="20DD73AB"/>
    <w:multiLevelType w:val="hybridMultilevel"/>
    <w:tmpl w:val="2EFC040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3774582"/>
    <w:multiLevelType w:val="hybridMultilevel"/>
    <w:tmpl w:val="BE68390E"/>
    <w:lvl w:ilvl="0" w:tplc="1AA69A42">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17E7ABD"/>
    <w:multiLevelType w:val="multilevel"/>
    <w:tmpl w:val="BAC822C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nsid w:val="349E4187"/>
    <w:multiLevelType w:val="hybridMultilevel"/>
    <w:tmpl w:val="785CDB96"/>
    <w:lvl w:ilvl="0" w:tplc="00D8A61E">
      <w:start w:val="1"/>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B2961FA"/>
    <w:multiLevelType w:val="hybridMultilevel"/>
    <w:tmpl w:val="0E38DB00"/>
    <w:lvl w:ilvl="0" w:tplc="3698B128">
      <w:start w:val="1"/>
      <w:numFmt w:val="bullet"/>
      <w:lvlText w:val=""/>
      <w:lvlJc w:val="left"/>
      <w:pPr>
        <w:tabs>
          <w:tab w:val="num" w:pos="720"/>
        </w:tabs>
        <w:ind w:left="720" w:firstLine="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D26DB1"/>
    <w:multiLevelType w:val="hybridMultilevel"/>
    <w:tmpl w:val="5966EEF8"/>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73C0A47"/>
    <w:multiLevelType w:val="hybridMultilevel"/>
    <w:tmpl w:val="E3C00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FD203C5"/>
    <w:multiLevelType w:val="hybridMultilevel"/>
    <w:tmpl w:val="17AA48EA"/>
    <w:lvl w:ilvl="0" w:tplc="04090015">
      <w:start w:val="17"/>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56747138"/>
    <w:multiLevelType w:val="hybridMultilevel"/>
    <w:tmpl w:val="E076AED6"/>
    <w:lvl w:ilvl="0" w:tplc="754084AA">
      <w:start w:val="17"/>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5B405D07"/>
    <w:multiLevelType w:val="singleLevel"/>
    <w:tmpl w:val="4E883D2A"/>
    <w:lvl w:ilvl="0">
      <w:start w:val="17"/>
      <w:numFmt w:val="upperLetter"/>
      <w:lvlText w:val="%1."/>
      <w:lvlJc w:val="left"/>
      <w:pPr>
        <w:tabs>
          <w:tab w:val="num" w:pos="720"/>
        </w:tabs>
        <w:ind w:left="720" w:hanging="720"/>
      </w:pPr>
      <w:rPr>
        <w:rFonts w:cs="Times New Roman" w:hint="default"/>
      </w:rPr>
    </w:lvl>
  </w:abstractNum>
  <w:abstractNum w:abstractNumId="18">
    <w:nsid w:val="5D597461"/>
    <w:multiLevelType w:val="multilevel"/>
    <w:tmpl w:val="785CDB9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nsid w:val="5E07752A"/>
    <w:multiLevelType w:val="hybridMultilevel"/>
    <w:tmpl w:val="2E606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FD81CFF"/>
    <w:multiLevelType w:val="multilevel"/>
    <w:tmpl w:val="7C1EF050"/>
    <w:lvl w:ilvl="0">
      <w:start w:val="1"/>
      <w:numFmt w:val="decimal"/>
      <w:lvlText w:val="%1"/>
      <w:lvlJc w:val="left"/>
      <w:pPr>
        <w:tabs>
          <w:tab w:val="num" w:pos="1440"/>
        </w:tabs>
        <w:ind w:left="0" w:hanging="720"/>
      </w:pPr>
      <w:rPr>
        <w:rFonts w:ascii="Times New Roman" w:hAnsi="Times New Roman" w:hint="default"/>
        <w:b w:val="0"/>
        <w:i/>
        <w:color w:val="auto"/>
        <w:sz w:val="22"/>
        <w:szCs w:val="22"/>
        <w:u w:val="none"/>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1">
    <w:nsid w:val="648E6A59"/>
    <w:multiLevelType w:val="hybridMultilevel"/>
    <w:tmpl w:val="3A40054E"/>
    <w:lvl w:ilvl="0" w:tplc="18E67064">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D6F0038"/>
    <w:multiLevelType w:val="hybridMultilevel"/>
    <w:tmpl w:val="433A7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37F2065"/>
    <w:multiLevelType w:val="hybridMultilevel"/>
    <w:tmpl w:val="564889D4"/>
    <w:lvl w:ilvl="0" w:tplc="84E4B8D4">
      <w:start w:val="1"/>
      <w:numFmt w:val="upperLetter"/>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4">
    <w:nsid w:val="768763E1"/>
    <w:multiLevelType w:val="hybridMultilevel"/>
    <w:tmpl w:val="D8584E7E"/>
    <w:lvl w:ilvl="0" w:tplc="6DE8D2E8">
      <w:start w:val="1"/>
      <w:numFmt w:val="bullet"/>
      <w:lvlText w:val=""/>
      <w:lvlJc w:val="left"/>
      <w:pPr>
        <w:tabs>
          <w:tab w:val="num" w:pos="1296"/>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9602830"/>
    <w:multiLevelType w:val="hybridMultilevel"/>
    <w:tmpl w:val="1AB60598"/>
    <w:lvl w:ilvl="0" w:tplc="04090015">
      <w:start w:val="17"/>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B663E51"/>
    <w:multiLevelType w:val="hybridMultilevel"/>
    <w:tmpl w:val="B3007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
  </w:num>
  <w:num w:numId="3">
    <w:abstractNumId w:val="19"/>
  </w:num>
  <w:num w:numId="4">
    <w:abstractNumId w:val="7"/>
  </w:num>
  <w:num w:numId="5">
    <w:abstractNumId w:val="5"/>
  </w:num>
  <w:num w:numId="6">
    <w:abstractNumId w:val="13"/>
  </w:num>
  <w:num w:numId="7">
    <w:abstractNumId w:val="1"/>
  </w:num>
  <w:num w:numId="8">
    <w:abstractNumId w:val="25"/>
  </w:num>
  <w:num w:numId="9">
    <w:abstractNumId w:val="8"/>
  </w:num>
  <w:num w:numId="10">
    <w:abstractNumId w:val="12"/>
  </w:num>
  <w:num w:numId="11">
    <w:abstractNumId w:val="9"/>
  </w:num>
  <w:num w:numId="12">
    <w:abstractNumId w:val="21"/>
  </w:num>
  <w:num w:numId="13">
    <w:abstractNumId w:val="11"/>
  </w:num>
  <w:num w:numId="14">
    <w:abstractNumId w:val="18"/>
  </w:num>
  <w:num w:numId="15">
    <w:abstractNumId w:val="4"/>
  </w:num>
  <w:num w:numId="16">
    <w:abstractNumId w:val="24"/>
  </w:num>
  <w:num w:numId="17">
    <w:abstractNumId w:val="0"/>
  </w:num>
  <w:num w:numId="18">
    <w:abstractNumId w:val="16"/>
  </w:num>
  <w:num w:numId="19">
    <w:abstractNumId w:val="23"/>
  </w:num>
  <w:num w:numId="20">
    <w:abstractNumId w:val="15"/>
  </w:num>
  <w:num w:numId="21">
    <w:abstractNumId w:val="6"/>
  </w:num>
  <w:num w:numId="22">
    <w:abstractNumId w:val="3"/>
  </w:num>
  <w:num w:numId="23">
    <w:abstractNumId w:val="10"/>
  </w:num>
  <w:num w:numId="24">
    <w:abstractNumId w:val="20"/>
  </w:num>
  <w:num w:numId="25">
    <w:abstractNumId w:val="22"/>
  </w:num>
  <w:num w:numId="26">
    <w:abstractNumId w:val="14"/>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characterSpacingControl w:val="doNotCompress"/>
  <w:hdrShapeDefaults>
    <o:shapedefaults v:ext="edit" spidmax="10241"/>
  </w:hdrShapeDefaults>
  <w:footnotePr>
    <w:footnote w:id="-1"/>
    <w:footnote w:id="0"/>
  </w:footnotePr>
  <w:endnotePr>
    <w:endnote w:id="-1"/>
    <w:endnote w:id="0"/>
  </w:endnotePr>
  <w:compat/>
  <w:rsids>
    <w:rsidRoot w:val="00DA0EAA"/>
    <w:rsid w:val="000008FC"/>
    <w:rsid w:val="000040F7"/>
    <w:rsid w:val="000053FB"/>
    <w:rsid w:val="00005945"/>
    <w:rsid w:val="00006E3E"/>
    <w:rsid w:val="00007A46"/>
    <w:rsid w:val="00007B25"/>
    <w:rsid w:val="00011305"/>
    <w:rsid w:val="000115C1"/>
    <w:rsid w:val="000116D8"/>
    <w:rsid w:val="000127DC"/>
    <w:rsid w:val="00012B0A"/>
    <w:rsid w:val="000130E5"/>
    <w:rsid w:val="0001391E"/>
    <w:rsid w:val="00013E22"/>
    <w:rsid w:val="0001550A"/>
    <w:rsid w:val="00015BA0"/>
    <w:rsid w:val="0001737E"/>
    <w:rsid w:val="00020146"/>
    <w:rsid w:val="00020AF7"/>
    <w:rsid w:val="00020F27"/>
    <w:rsid w:val="00021D40"/>
    <w:rsid w:val="00023395"/>
    <w:rsid w:val="00025F11"/>
    <w:rsid w:val="000274E5"/>
    <w:rsid w:val="00027AB7"/>
    <w:rsid w:val="00030240"/>
    <w:rsid w:val="0003203E"/>
    <w:rsid w:val="00032395"/>
    <w:rsid w:val="0003724A"/>
    <w:rsid w:val="00037C4F"/>
    <w:rsid w:val="00037D3E"/>
    <w:rsid w:val="0004002C"/>
    <w:rsid w:val="00040451"/>
    <w:rsid w:val="00041178"/>
    <w:rsid w:val="00042E85"/>
    <w:rsid w:val="00044774"/>
    <w:rsid w:val="00045A7C"/>
    <w:rsid w:val="0004640E"/>
    <w:rsid w:val="00046510"/>
    <w:rsid w:val="00046560"/>
    <w:rsid w:val="00046A54"/>
    <w:rsid w:val="00047FB8"/>
    <w:rsid w:val="0005091E"/>
    <w:rsid w:val="0005103B"/>
    <w:rsid w:val="000524E7"/>
    <w:rsid w:val="0005253D"/>
    <w:rsid w:val="0005339B"/>
    <w:rsid w:val="000535A6"/>
    <w:rsid w:val="000535BF"/>
    <w:rsid w:val="0005399B"/>
    <w:rsid w:val="00054A0B"/>
    <w:rsid w:val="00054CAD"/>
    <w:rsid w:val="0005730F"/>
    <w:rsid w:val="00061175"/>
    <w:rsid w:val="000620B0"/>
    <w:rsid w:val="000644B7"/>
    <w:rsid w:val="00064B64"/>
    <w:rsid w:val="00065068"/>
    <w:rsid w:val="00067311"/>
    <w:rsid w:val="00067D1E"/>
    <w:rsid w:val="00071680"/>
    <w:rsid w:val="00071E06"/>
    <w:rsid w:val="00072D57"/>
    <w:rsid w:val="00073117"/>
    <w:rsid w:val="00074240"/>
    <w:rsid w:val="000753A1"/>
    <w:rsid w:val="00075648"/>
    <w:rsid w:val="00076D2F"/>
    <w:rsid w:val="000774F8"/>
    <w:rsid w:val="000775F2"/>
    <w:rsid w:val="000816E9"/>
    <w:rsid w:val="00081E44"/>
    <w:rsid w:val="00082A4F"/>
    <w:rsid w:val="00084110"/>
    <w:rsid w:val="000855DB"/>
    <w:rsid w:val="00086084"/>
    <w:rsid w:val="00086CE1"/>
    <w:rsid w:val="00087220"/>
    <w:rsid w:val="00087CB2"/>
    <w:rsid w:val="000903F8"/>
    <w:rsid w:val="00090D69"/>
    <w:rsid w:val="000917C1"/>
    <w:rsid w:val="00092026"/>
    <w:rsid w:val="00092028"/>
    <w:rsid w:val="0009213F"/>
    <w:rsid w:val="00093228"/>
    <w:rsid w:val="00094647"/>
    <w:rsid w:val="000953AC"/>
    <w:rsid w:val="000959FA"/>
    <w:rsid w:val="000A15FD"/>
    <w:rsid w:val="000A2B03"/>
    <w:rsid w:val="000A2BAD"/>
    <w:rsid w:val="000A770A"/>
    <w:rsid w:val="000B04E9"/>
    <w:rsid w:val="000B3757"/>
    <w:rsid w:val="000B43E7"/>
    <w:rsid w:val="000B4AC0"/>
    <w:rsid w:val="000C167F"/>
    <w:rsid w:val="000C25E5"/>
    <w:rsid w:val="000C27BA"/>
    <w:rsid w:val="000C38DF"/>
    <w:rsid w:val="000C5B68"/>
    <w:rsid w:val="000C5FCC"/>
    <w:rsid w:val="000C675E"/>
    <w:rsid w:val="000D1358"/>
    <w:rsid w:val="000D14E6"/>
    <w:rsid w:val="000D347C"/>
    <w:rsid w:val="000D35F0"/>
    <w:rsid w:val="000D5325"/>
    <w:rsid w:val="000D7283"/>
    <w:rsid w:val="000D7E3D"/>
    <w:rsid w:val="000E112C"/>
    <w:rsid w:val="000E1581"/>
    <w:rsid w:val="000E3569"/>
    <w:rsid w:val="000E4398"/>
    <w:rsid w:val="000E4D7C"/>
    <w:rsid w:val="000E532B"/>
    <w:rsid w:val="000E790F"/>
    <w:rsid w:val="000E7CEB"/>
    <w:rsid w:val="000E7CFB"/>
    <w:rsid w:val="000F0CA1"/>
    <w:rsid w:val="000F0F24"/>
    <w:rsid w:val="000F0FE2"/>
    <w:rsid w:val="000F113C"/>
    <w:rsid w:val="000F2E0B"/>
    <w:rsid w:val="000F389A"/>
    <w:rsid w:val="000F4013"/>
    <w:rsid w:val="000F43CD"/>
    <w:rsid w:val="000F71E6"/>
    <w:rsid w:val="001012AE"/>
    <w:rsid w:val="00101E3B"/>
    <w:rsid w:val="00101F9A"/>
    <w:rsid w:val="001031C8"/>
    <w:rsid w:val="001031FF"/>
    <w:rsid w:val="00104375"/>
    <w:rsid w:val="001054E6"/>
    <w:rsid w:val="00107C69"/>
    <w:rsid w:val="00110AA9"/>
    <w:rsid w:val="001111DE"/>
    <w:rsid w:val="00113201"/>
    <w:rsid w:val="001150C3"/>
    <w:rsid w:val="001179FC"/>
    <w:rsid w:val="00117A59"/>
    <w:rsid w:val="0012130D"/>
    <w:rsid w:val="00121E5C"/>
    <w:rsid w:val="00122A3C"/>
    <w:rsid w:val="001238AA"/>
    <w:rsid w:val="00124F73"/>
    <w:rsid w:val="001259B7"/>
    <w:rsid w:val="00125F0A"/>
    <w:rsid w:val="00126381"/>
    <w:rsid w:val="001265AF"/>
    <w:rsid w:val="00126E60"/>
    <w:rsid w:val="00127AAA"/>
    <w:rsid w:val="00127BA4"/>
    <w:rsid w:val="0013053A"/>
    <w:rsid w:val="001327C7"/>
    <w:rsid w:val="00133288"/>
    <w:rsid w:val="001342F6"/>
    <w:rsid w:val="00135D47"/>
    <w:rsid w:val="001363B3"/>
    <w:rsid w:val="00136B59"/>
    <w:rsid w:val="00137763"/>
    <w:rsid w:val="00140C28"/>
    <w:rsid w:val="00143930"/>
    <w:rsid w:val="001461BE"/>
    <w:rsid w:val="001466A8"/>
    <w:rsid w:val="00146E95"/>
    <w:rsid w:val="00147262"/>
    <w:rsid w:val="00147931"/>
    <w:rsid w:val="00147F13"/>
    <w:rsid w:val="0015026D"/>
    <w:rsid w:val="00152C6B"/>
    <w:rsid w:val="00154D16"/>
    <w:rsid w:val="001550AC"/>
    <w:rsid w:val="00155936"/>
    <w:rsid w:val="00155AEB"/>
    <w:rsid w:val="00155D11"/>
    <w:rsid w:val="00157D5D"/>
    <w:rsid w:val="001609B3"/>
    <w:rsid w:val="001618B7"/>
    <w:rsid w:val="001618C2"/>
    <w:rsid w:val="00163029"/>
    <w:rsid w:val="00163B21"/>
    <w:rsid w:val="00166957"/>
    <w:rsid w:val="001670E3"/>
    <w:rsid w:val="00167121"/>
    <w:rsid w:val="0017082E"/>
    <w:rsid w:val="001708A8"/>
    <w:rsid w:val="00170E41"/>
    <w:rsid w:val="0017188F"/>
    <w:rsid w:val="001764DF"/>
    <w:rsid w:val="00177994"/>
    <w:rsid w:val="00180755"/>
    <w:rsid w:val="001829EF"/>
    <w:rsid w:val="00183A8D"/>
    <w:rsid w:val="0018617A"/>
    <w:rsid w:val="00190336"/>
    <w:rsid w:val="00191E49"/>
    <w:rsid w:val="00191E67"/>
    <w:rsid w:val="001939E3"/>
    <w:rsid w:val="00193BA7"/>
    <w:rsid w:val="00193F46"/>
    <w:rsid w:val="001944AA"/>
    <w:rsid w:val="00195625"/>
    <w:rsid w:val="001958A8"/>
    <w:rsid w:val="00197924"/>
    <w:rsid w:val="001A16A1"/>
    <w:rsid w:val="001A2E3C"/>
    <w:rsid w:val="001A2E3F"/>
    <w:rsid w:val="001A2F8D"/>
    <w:rsid w:val="001A33D1"/>
    <w:rsid w:val="001A3957"/>
    <w:rsid w:val="001A482A"/>
    <w:rsid w:val="001A704C"/>
    <w:rsid w:val="001B1415"/>
    <w:rsid w:val="001B2860"/>
    <w:rsid w:val="001B2CD5"/>
    <w:rsid w:val="001B2E34"/>
    <w:rsid w:val="001B469C"/>
    <w:rsid w:val="001B4799"/>
    <w:rsid w:val="001B4AF3"/>
    <w:rsid w:val="001B5948"/>
    <w:rsid w:val="001B706E"/>
    <w:rsid w:val="001B7886"/>
    <w:rsid w:val="001C1EC2"/>
    <w:rsid w:val="001C2B5D"/>
    <w:rsid w:val="001C2C60"/>
    <w:rsid w:val="001C39D0"/>
    <w:rsid w:val="001C39DE"/>
    <w:rsid w:val="001C3CB9"/>
    <w:rsid w:val="001C4CDA"/>
    <w:rsid w:val="001C52DB"/>
    <w:rsid w:val="001C537E"/>
    <w:rsid w:val="001C7B6B"/>
    <w:rsid w:val="001C7C2C"/>
    <w:rsid w:val="001D09F9"/>
    <w:rsid w:val="001D0E2F"/>
    <w:rsid w:val="001D1186"/>
    <w:rsid w:val="001D167F"/>
    <w:rsid w:val="001D1DB6"/>
    <w:rsid w:val="001D201F"/>
    <w:rsid w:val="001D38F5"/>
    <w:rsid w:val="001D3B33"/>
    <w:rsid w:val="001D3B8A"/>
    <w:rsid w:val="001D5C12"/>
    <w:rsid w:val="001D6823"/>
    <w:rsid w:val="001D73CF"/>
    <w:rsid w:val="001D7D59"/>
    <w:rsid w:val="001E075C"/>
    <w:rsid w:val="001E12CE"/>
    <w:rsid w:val="001E2297"/>
    <w:rsid w:val="001E28CD"/>
    <w:rsid w:val="001E3216"/>
    <w:rsid w:val="001E5208"/>
    <w:rsid w:val="001E5CE0"/>
    <w:rsid w:val="001E5D03"/>
    <w:rsid w:val="001E60ED"/>
    <w:rsid w:val="001E6AD2"/>
    <w:rsid w:val="001E6B78"/>
    <w:rsid w:val="001E761A"/>
    <w:rsid w:val="001E7F24"/>
    <w:rsid w:val="001F1B37"/>
    <w:rsid w:val="001F1F85"/>
    <w:rsid w:val="001F5989"/>
    <w:rsid w:val="00200761"/>
    <w:rsid w:val="00200AE3"/>
    <w:rsid w:val="00200C0B"/>
    <w:rsid w:val="00202715"/>
    <w:rsid w:val="0020292A"/>
    <w:rsid w:val="00203788"/>
    <w:rsid w:val="00203B4C"/>
    <w:rsid w:val="002045FF"/>
    <w:rsid w:val="00205E42"/>
    <w:rsid w:val="00210988"/>
    <w:rsid w:val="00210C3A"/>
    <w:rsid w:val="00211CB4"/>
    <w:rsid w:val="0021325A"/>
    <w:rsid w:val="002145EB"/>
    <w:rsid w:val="00214CFA"/>
    <w:rsid w:val="00214F99"/>
    <w:rsid w:val="0021575C"/>
    <w:rsid w:val="00217830"/>
    <w:rsid w:val="00217CB9"/>
    <w:rsid w:val="00220C61"/>
    <w:rsid w:val="00222BC6"/>
    <w:rsid w:val="0022427F"/>
    <w:rsid w:val="00230113"/>
    <w:rsid w:val="00230369"/>
    <w:rsid w:val="00233595"/>
    <w:rsid w:val="002352BD"/>
    <w:rsid w:val="002368B8"/>
    <w:rsid w:val="00237D8D"/>
    <w:rsid w:val="002400FF"/>
    <w:rsid w:val="0024105B"/>
    <w:rsid w:val="00241987"/>
    <w:rsid w:val="00241C77"/>
    <w:rsid w:val="00241E43"/>
    <w:rsid w:val="00242E9E"/>
    <w:rsid w:val="00243982"/>
    <w:rsid w:val="00243C8B"/>
    <w:rsid w:val="00243F60"/>
    <w:rsid w:val="00244054"/>
    <w:rsid w:val="0024446F"/>
    <w:rsid w:val="00250A9B"/>
    <w:rsid w:val="00251D3F"/>
    <w:rsid w:val="0025409E"/>
    <w:rsid w:val="002555C6"/>
    <w:rsid w:val="002564C3"/>
    <w:rsid w:val="00257AC8"/>
    <w:rsid w:val="00260649"/>
    <w:rsid w:val="00260AD2"/>
    <w:rsid w:val="00260D08"/>
    <w:rsid w:val="00260E47"/>
    <w:rsid w:val="00262357"/>
    <w:rsid w:val="00262787"/>
    <w:rsid w:val="00262BF9"/>
    <w:rsid w:val="00262FA8"/>
    <w:rsid w:val="00263456"/>
    <w:rsid w:val="0026375E"/>
    <w:rsid w:val="00264582"/>
    <w:rsid w:val="00266863"/>
    <w:rsid w:val="00266DE0"/>
    <w:rsid w:val="00270710"/>
    <w:rsid w:val="00270B6A"/>
    <w:rsid w:val="00271B57"/>
    <w:rsid w:val="0027367F"/>
    <w:rsid w:val="00275360"/>
    <w:rsid w:val="0027587D"/>
    <w:rsid w:val="00276E3A"/>
    <w:rsid w:val="00277BDA"/>
    <w:rsid w:val="00277D6F"/>
    <w:rsid w:val="0028027B"/>
    <w:rsid w:val="0028373A"/>
    <w:rsid w:val="00283EDB"/>
    <w:rsid w:val="00284471"/>
    <w:rsid w:val="00285023"/>
    <w:rsid w:val="00286518"/>
    <w:rsid w:val="00286BB9"/>
    <w:rsid w:val="0029146F"/>
    <w:rsid w:val="00291796"/>
    <w:rsid w:val="00291CD7"/>
    <w:rsid w:val="00292FD7"/>
    <w:rsid w:val="00293C69"/>
    <w:rsid w:val="00293D0D"/>
    <w:rsid w:val="00294CC0"/>
    <w:rsid w:val="00294FE6"/>
    <w:rsid w:val="00295BFD"/>
    <w:rsid w:val="00297383"/>
    <w:rsid w:val="002A02AD"/>
    <w:rsid w:val="002A02D0"/>
    <w:rsid w:val="002A1335"/>
    <w:rsid w:val="002A16D0"/>
    <w:rsid w:val="002A2576"/>
    <w:rsid w:val="002A34DE"/>
    <w:rsid w:val="002A43FE"/>
    <w:rsid w:val="002A5623"/>
    <w:rsid w:val="002A6A99"/>
    <w:rsid w:val="002A713C"/>
    <w:rsid w:val="002B276D"/>
    <w:rsid w:val="002B3D96"/>
    <w:rsid w:val="002B65A2"/>
    <w:rsid w:val="002B7EA7"/>
    <w:rsid w:val="002C051F"/>
    <w:rsid w:val="002C0B4A"/>
    <w:rsid w:val="002C1C56"/>
    <w:rsid w:val="002C1D21"/>
    <w:rsid w:val="002C1DFC"/>
    <w:rsid w:val="002C2CE3"/>
    <w:rsid w:val="002C3DDD"/>
    <w:rsid w:val="002C4AD7"/>
    <w:rsid w:val="002C53E5"/>
    <w:rsid w:val="002C54C4"/>
    <w:rsid w:val="002C552D"/>
    <w:rsid w:val="002C5733"/>
    <w:rsid w:val="002C689A"/>
    <w:rsid w:val="002C789B"/>
    <w:rsid w:val="002D27A9"/>
    <w:rsid w:val="002D2C0C"/>
    <w:rsid w:val="002D2FE1"/>
    <w:rsid w:val="002D311E"/>
    <w:rsid w:val="002D342E"/>
    <w:rsid w:val="002D34EC"/>
    <w:rsid w:val="002D3AB0"/>
    <w:rsid w:val="002D46C8"/>
    <w:rsid w:val="002D65EA"/>
    <w:rsid w:val="002D6B21"/>
    <w:rsid w:val="002D7A57"/>
    <w:rsid w:val="002E241E"/>
    <w:rsid w:val="002E26EB"/>
    <w:rsid w:val="002E2845"/>
    <w:rsid w:val="002E30A8"/>
    <w:rsid w:val="002E6367"/>
    <w:rsid w:val="002E77DB"/>
    <w:rsid w:val="002F0F26"/>
    <w:rsid w:val="002F1570"/>
    <w:rsid w:val="002F1FA5"/>
    <w:rsid w:val="002F27FA"/>
    <w:rsid w:val="002F2D35"/>
    <w:rsid w:val="002F3622"/>
    <w:rsid w:val="002F509B"/>
    <w:rsid w:val="002F5E10"/>
    <w:rsid w:val="002F703D"/>
    <w:rsid w:val="00301E5F"/>
    <w:rsid w:val="00302341"/>
    <w:rsid w:val="0030276E"/>
    <w:rsid w:val="0030279D"/>
    <w:rsid w:val="00303949"/>
    <w:rsid w:val="003039DF"/>
    <w:rsid w:val="00305EA8"/>
    <w:rsid w:val="00306DE1"/>
    <w:rsid w:val="003072EB"/>
    <w:rsid w:val="00307502"/>
    <w:rsid w:val="00310742"/>
    <w:rsid w:val="00311005"/>
    <w:rsid w:val="00311EF7"/>
    <w:rsid w:val="003121AF"/>
    <w:rsid w:val="0031232D"/>
    <w:rsid w:val="003147BF"/>
    <w:rsid w:val="00315FB8"/>
    <w:rsid w:val="00316E36"/>
    <w:rsid w:val="00316EB7"/>
    <w:rsid w:val="00317450"/>
    <w:rsid w:val="00317FAB"/>
    <w:rsid w:val="00320024"/>
    <w:rsid w:val="003219F9"/>
    <w:rsid w:val="00321EDA"/>
    <w:rsid w:val="003224AD"/>
    <w:rsid w:val="003244D2"/>
    <w:rsid w:val="00324B66"/>
    <w:rsid w:val="0032673C"/>
    <w:rsid w:val="003308DB"/>
    <w:rsid w:val="00332E3E"/>
    <w:rsid w:val="00334F7A"/>
    <w:rsid w:val="00336EF8"/>
    <w:rsid w:val="00337F01"/>
    <w:rsid w:val="00337F17"/>
    <w:rsid w:val="00340DC6"/>
    <w:rsid w:val="0034434B"/>
    <w:rsid w:val="00346550"/>
    <w:rsid w:val="00346553"/>
    <w:rsid w:val="003508FE"/>
    <w:rsid w:val="003528B8"/>
    <w:rsid w:val="00352A41"/>
    <w:rsid w:val="00353CEE"/>
    <w:rsid w:val="003547C4"/>
    <w:rsid w:val="00354A63"/>
    <w:rsid w:val="0035513B"/>
    <w:rsid w:val="003556B1"/>
    <w:rsid w:val="003564F2"/>
    <w:rsid w:val="003566F6"/>
    <w:rsid w:val="00356769"/>
    <w:rsid w:val="00356D13"/>
    <w:rsid w:val="00360BBB"/>
    <w:rsid w:val="00361EAF"/>
    <w:rsid w:val="00361F36"/>
    <w:rsid w:val="00363346"/>
    <w:rsid w:val="003668F5"/>
    <w:rsid w:val="00366EEA"/>
    <w:rsid w:val="0036700B"/>
    <w:rsid w:val="00367AB9"/>
    <w:rsid w:val="0037152A"/>
    <w:rsid w:val="00371A92"/>
    <w:rsid w:val="0037298F"/>
    <w:rsid w:val="00372DA2"/>
    <w:rsid w:val="0037339F"/>
    <w:rsid w:val="003750F1"/>
    <w:rsid w:val="003756DB"/>
    <w:rsid w:val="00375BB7"/>
    <w:rsid w:val="003762A3"/>
    <w:rsid w:val="003766AB"/>
    <w:rsid w:val="00376896"/>
    <w:rsid w:val="00376BDA"/>
    <w:rsid w:val="00377AE5"/>
    <w:rsid w:val="00377B6F"/>
    <w:rsid w:val="00377C65"/>
    <w:rsid w:val="0038024E"/>
    <w:rsid w:val="00381244"/>
    <w:rsid w:val="003823B8"/>
    <w:rsid w:val="0038620F"/>
    <w:rsid w:val="003871E9"/>
    <w:rsid w:val="0038752E"/>
    <w:rsid w:val="00390786"/>
    <w:rsid w:val="0039082D"/>
    <w:rsid w:val="00390AB2"/>
    <w:rsid w:val="00391EE5"/>
    <w:rsid w:val="00391FFB"/>
    <w:rsid w:val="00393192"/>
    <w:rsid w:val="0039383B"/>
    <w:rsid w:val="00393C66"/>
    <w:rsid w:val="00397284"/>
    <w:rsid w:val="003A05CE"/>
    <w:rsid w:val="003A0679"/>
    <w:rsid w:val="003A2231"/>
    <w:rsid w:val="003A422C"/>
    <w:rsid w:val="003A435E"/>
    <w:rsid w:val="003A43E2"/>
    <w:rsid w:val="003A4D22"/>
    <w:rsid w:val="003A5603"/>
    <w:rsid w:val="003A7A39"/>
    <w:rsid w:val="003B3BE7"/>
    <w:rsid w:val="003C034C"/>
    <w:rsid w:val="003C0A22"/>
    <w:rsid w:val="003C0B6C"/>
    <w:rsid w:val="003C11A4"/>
    <w:rsid w:val="003C3B5D"/>
    <w:rsid w:val="003C74B8"/>
    <w:rsid w:val="003C7B53"/>
    <w:rsid w:val="003D0A65"/>
    <w:rsid w:val="003D108B"/>
    <w:rsid w:val="003D161C"/>
    <w:rsid w:val="003D1A85"/>
    <w:rsid w:val="003D20B4"/>
    <w:rsid w:val="003D259F"/>
    <w:rsid w:val="003D312F"/>
    <w:rsid w:val="003D46F5"/>
    <w:rsid w:val="003D4D8E"/>
    <w:rsid w:val="003D56F6"/>
    <w:rsid w:val="003D5809"/>
    <w:rsid w:val="003D6D39"/>
    <w:rsid w:val="003E1027"/>
    <w:rsid w:val="003E162F"/>
    <w:rsid w:val="003E1B35"/>
    <w:rsid w:val="003E26AF"/>
    <w:rsid w:val="003E2F98"/>
    <w:rsid w:val="003E42A4"/>
    <w:rsid w:val="003E45E8"/>
    <w:rsid w:val="003E58BA"/>
    <w:rsid w:val="003E5F65"/>
    <w:rsid w:val="003E708A"/>
    <w:rsid w:val="003E7457"/>
    <w:rsid w:val="003E7FBB"/>
    <w:rsid w:val="003F1800"/>
    <w:rsid w:val="003F1FB1"/>
    <w:rsid w:val="003F2A2A"/>
    <w:rsid w:val="003F2D3C"/>
    <w:rsid w:val="003F316E"/>
    <w:rsid w:val="003F496D"/>
    <w:rsid w:val="003F6703"/>
    <w:rsid w:val="003F678B"/>
    <w:rsid w:val="003F6882"/>
    <w:rsid w:val="003F6995"/>
    <w:rsid w:val="003F7287"/>
    <w:rsid w:val="00400153"/>
    <w:rsid w:val="00401230"/>
    <w:rsid w:val="00402499"/>
    <w:rsid w:val="00402889"/>
    <w:rsid w:val="00403679"/>
    <w:rsid w:val="00403B5F"/>
    <w:rsid w:val="00403D2D"/>
    <w:rsid w:val="00404509"/>
    <w:rsid w:val="00404E58"/>
    <w:rsid w:val="004064EE"/>
    <w:rsid w:val="004066F9"/>
    <w:rsid w:val="00407577"/>
    <w:rsid w:val="00412556"/>
    <w:rsid w:val="00413EBF"/>
    <w:rsid w:val="0041400C"/>
    <w:rsid w:val="0041459D"/>
    <w:rsid w:val="00414E68"/>
    <w:rsid w:val="00417243"/>
    <w:rsid w:val="00420602"/>
    <w:rsid w:val="0042319D"/>
    <w:rsid w:val="00426B04"/>
    <w:rsid w:val="00426BFF"/>
    <w:rsid w:val="00427524"/>
    <w:rsid w:val="0043072A"/>
    <w:rsid w:val="00430FCD"/>
    <w:rsid w:val="00431C92"/>
    <w:rsid w:val="00432138"/>
    <w:rsid w:val="004324C3"/>
    <w:rsid w:val="00432CFF"/>
    <w:rsid w:val="00433FF7"/>
    <w:rsid w:val="004348B9"/>
    <w:rsid w:val="00434FE3"/>
    <w:rsid w:val="00435915"/>
    <w:rsid w:val="00436430"/>
    <w:rsid w:val="00436A0B"/>
    <w:rsid w:val="00436E0D"/>
    <w:rsid w:val="004378B5"/>
    <w:rsid w:val="00437B40"/>
    <w:rsid w:val="00437B47"/>
    <w:rsid w:val="00441A6E"/>
    <w:rsid w:val="00441FEC"/>
    <w:rsid w:val="00443480"/>
    <w:rsid w:val="00444672"/>
    <w:rsid w:val="00445E83"/>
    <w:rsid w:val="00450696"/>
    <w:rsid w:val="004523EC"/>
    <w:rsid w:val="004548A3"/>
    <w:rsid w:val="00455068"/>
    <w:rsid w:val="0045592A"/>
    <w:rsid w:val="00455BEE"/>
    <w:rsid w:val="004579E2"/>
    <w:rsid w:val="004610CD"/>
    <w:rsid w:val="00461D47"/>
    <w:rsid w:val="004637E8"/>
    <w:rsid w:val="00463D43"/>
    <w:rsid w:val="00463E5A"/>
    <w:rsid w:val="0046433C"/>
    <w:rsid w:val="00465584"/>
    <w:rsid w:val="004662B3"/>
    <w:rsid w:val="004666A0"/>
    <w:rsid w:val="00470B58"/>
    <w:rsid w:val="004723C9"/>
    <w:rsid w:val="00472813"/>
    <w:rsid w:val="00475D2F"/>
    <w:rsid w:val="00476EBF"/>
    <w:rsid w:val="0048072E"/>
    <w:rsid w:val="00480792"/>
    <w:rsid w:val="004817FD"/>
    <w:rsid w:val="00482446"/>
    <w:rsid w:val="00482885"/>
    <w:rsid w:val="00483586"/>
    <w:rsid w:val="00484CEA"/>
    <w:rsid w:val="004869CB"/>
    <w:rsid w:val="0048756D"/>
    <w:rsid w:val="00490AE6"/>
    <w:rsid w:val="00491734"/>
    <w:rsid w:val="0049405D"/>
    <w:rsid w:val="00494566"/>
    <w:rsid w:val="00494CF7"/>
    <w:rsid w:val="004954B0"/>
    <w:rsid w:val="0049655C"/>
    <w:rsid w:val="00496812"/>
    <w:rsid w:val="004976E4"/>
    <w:rsid w:val="00497CBE"/>
    <w:rsid w:val="004A0462"/>
    <w:rsid w:val="004A5BB3"/>
    <w:rsid w:val="004A5E0D"/>
    <w:rsid w:val="004A70F4"/>
    <w:rsid w:val="004A73A0"/>
    <w:rsid w:val="004A770B"/>
    <w:rsid w:val="004A773F"/>
    <w:rsid w:val="004B0092"/>
    <w:rsid w:val="004B07D5"/>
    <w:rsid w:val="004B0B0D"/>
    <w:rsid w:val="004B196B"/>
    <w:rsid w:val="004B35A5"/>
    <w:rsid w:val="004B49EB"/>
    <w:rsid w:val="004B61B6"/>
    <w:rsid w:val="004B7982"/>
    <w:rsid w:val="004B7A9C"/>
    <w:rsid w:val="004B7D1F"/>
    <w:rsid w:val="004B7D4D"/>
    <w:rsid w:val="004C0256"/>
    <w:rsid w:val="004C09C8"/>
    <w:rsid w:val="004C1048"/>
    <w:rsid w:val="004C1271"/>
    <w:rsid w:val="004C1735"/>
    <w:rsid w:val="004C3999"/>
    <w:rsid w:val="004C4D10"/>
    <w:rsid w:val="004C5013"/>
    <w:rsid w:val="004C5236"/>
    <w:rsid w:val="004C6803"/>
    <w:rsid w:val="004D17EB"/>
    <w:rsid w:val="004D2CBE"/>
    <w:rsid w:val="004D3E13"/>
    <w:rsid w:val="004D4302"/>
    <w:rsid w:val="004D4908"/>
    <w:rsid w:val="004D4D4E"/>
    <w:rsid w:val="004D58BD"/>
    <w:rsid w:val="004D61E2"/>
    <w:rsid w:val="004D69D0"/>
    <w:rsid w:val="004D7358"/>
    <w:rsid w:val="004E0FF6"/>
    <w:rsid w:val="004E303B"/>
    <w:rsid w:val="004E5F32"/>
    <w:rsid w:val="004E7638"/>
    <w:rsid w:val="004F1169"/>
    <w:rsid w:val="004F1FD8"/>
    <w:rsid w:val="004F2441"/>
    <w:rsid w:val="004F3287"/>
    <w:rsid w:val="004F3B5F"/>
    <w:rsid w:val="004F6425"/>
    <w:rsid w:val="00500AC8"/>
    <w:rsid w:val="0050315C"/>
    <w:rsid w:val="005037C4"/>
    <w:rsid w:val="00504989"/>
    <w:rsid w:val="005123A8"/>
    <w:rsid w:val="005146A8"/>
    <w:rsid w:val="0051481E"/>
    <w:rsid w:val="00515519"/>
    <w:rsid w:val="0052273B"/>
    <w:rsid w:val="00525670"/>
    <w:rsid w:val="0052629E"/>
    <w:rsid w:val="00527FFA"/>
    <w:rsid w:val="005308CE"/>
    <w:rsid w:val="00530C66"/>
    <w:rsid w:val="00530D87"/>
    <w:rsid w:val="005319E0"/>
    <w:rsid w:val="005335BC"/>
    <w:rsid w:val="0053412E"/>
    <w:rsid w:val="00534653"/>
    <w:rsid w:val="00534978"/>
    <w:rsid w:val="00536D09"/>
    <w:rsid w:val="00536E4F"/>
    <w:rsid w:val="005373FC"/>
    <w:rsid w:val="00541055"/>
    <w:rsid w:val="00541383"/>
    <w:rsid w:val="00542BFC"/>
    <w:rsid w:val="00544452"/>
    <w:rsid w:val="00544F54"/>
    <w:rsid w:val="005456B3"/>
    <w:rsid w:val="0055011D"/>
    <w:rsid w:val="00550201"/>
    <w:rsid w:val="005517BB"/>
    <w:rsid w:val="00553833"/>
    <w:rsid w:val="00555481"/>
    <w:rsid w:val="00555BC8"/>
    <w:rsid w:val="005574B2"/>
    <w:rsid w:val="00560F09"/>
    <w:rsid w:val="005612CC"/>
    <w:rsid w:val="00561714"/>
    <w:rsid w:val="00561E7F"/>
    <w:rsid w:val="0056235F"/>
    <w:rsid w:val="00562BAD"/>
    <w:rsid w:val="00563F24"/>
    <w:rsid w:val="00566C5A"/>
    <w:rsid w:val="00566D3C"/>
    <w:rsid w:val="00566FDF"/>
    <w:rsid w:val="005673E5"/>
    <w:rsid w:val="00572E1B"/>
    <w:rsid w:val="005737C7"/>
    <w:rsid w:val="00573C6E"/>
    <w:rsid w:val="00574DEB"/>
    <w:rsid w:val="005750D9"/>
    <w:rsid w:val="005753D5"/>
    <w:rsid w:val="005764A0"/>
    <w:rsid w:val="005776C6"/>
    <w:rsid w:val="00577825"/>
    <w:rsid w:val="00577ECE"/>
    <w:rsid w:val="00581481"/>
    <w:rsid w:val="00581F5E"/>
    <w:rsid w:val="00582319"/>
    <w:rsid w:val="005827EE"/>
    <w:rsid w:val="00582E0B"/>
    <w:rsid w:val="005842F6"/>
    <w:rsid w:val="00584F60"/>
    <w:rsid w:val="005864FC"/>
    <w:rsid w:val="0059127B"/>
    <w:rsid w:val="00591709"/>
    <w:rsid w:val="005925F4"/>
    <w:rsid w:val="0059357E"/>
    <w:rsid w:val="00594410"/>
    <w:rsid w:val="005959B9"/>
    <w:rsid w:val="00597102"/>
    <w:rsid w:val="00597E2D"/>
    <w:rsid w:val="005A21D2"/>
    <w:rsid w:val="005A272C"/>
    <w:rsid w:val="005A3506"/>
    <w:rsid w:val="005A5017"/>
    <w:rsid w:val="005A6385"/>
    <w:rsid w:val="005A69C9"/>
    <w:rsid w:val="005A7284"/>
    <w:rsid w:val="005A789C"/>
    <w:rsid w:val="005B22F0"/>
    <w:rsid w:val="005B2C57"/>
    <w:rsid w:val="005B3B39"/>
    <w:rsid w:val="005B3FCE"/>
    <w:rsid w:val="005B4596"/>
    <w:rsid w:val="005B467E"/>
    <w:rsid w:val="005B68AD"/>
    <w:rsid w:val="005B762C"/>
    <w:rsid w:val="005C0FD8"/>
    <w:rsid w:val="005C26A1"/>
    <w:rsid w:val="005C2D1B"/>
    <w:rsid w:val="005C3492"/>
    <w:rsid w:val="005C3542"/>
    <w:rsid w:val="005C3D29"/>
    <w:rsid w:val="005C4613"/>
    <w:rsid w:val="005C68C9"/>
    <w:rsid w:val="005C6A96"/>
    <w:rsid w:val="005C7D7A"/>
    <w:rsid w:val="005C7D80"/>
    <w:rsid w:val="005C7F35"/>
    <w:rsid w:val="005D6A2C"/>
    <w:rsid w:val="005D6A31"/>
    <w:rsid w:val="005E055B"/>
    <w:rsid w:val="005E0E8B"/>
    <w:rsid w:val="005E1098"/>
    <w:rsid w:val="005E1D2B"/>
    <w:rsid w:val="005E23A0"/>
    <w:rsid w:val="005E4022"/>
    <w:rsid w:val="005E4187"/>
    <w:rsid w:val="005E5337"/>
    <w:rsid w:val="005E5488"/>
    <w:rsid w:val="005E5C40"/>
    <w:rsid w:val="005F15BB"/>
    <w:rsid w:val="005F1915"/>
    <w:rsid w:val="005F3B2D"/>
    <w:rsid w:val="005F448C"/>
    <w:rsid w:val="005F5718"/>
    <w:rsid w:val="005F5841"/>
    <w:rsid w:val="005F7484"/>
    <w:rsid w:val="0060079D"/>
    <w:rsid w:val="006040B9"/>
    <w:rsid w:val="00604291"/>
    <w:rsid w:val="006059FC"/>
    <w:rsid w:val="00605E8A"/>
    <w:rsid w:val="00606AA3"/>
    <w:rsid w:val="0060773A"/>
    <w:rsid w:val="00607E23"/>
    <w:rsid w:val="00610442"/>
    <w:rsid w:val="00611B54"/>
    <w:rsid w:val="00611FFE"/>
    <w:rsid w:val="00612E7E"/>
    <w:rsid w:val="00613C42"/>
    <w:rsid w:val="00614153"/>
    <w:rsid w:val="006167E2"/>
    <w:rsid w:val="00621253"/>
    <w:rsid w:val="00621EE7"/>
    <w:rsid w:val="00623280"/>
    <w:rsid w:val="00623F9E"/>
    <w:rsid w:val="00624C1A"/>
    <w:rsid w:val="00625E81"/>
    <w:rsid w:val="00626571"/>
    <w:rsid w:val="0062684C"/>
    <w:rsid w:val="006278E5"/>
    <w:rsid w:val="0063009B"/>
    <w:rsid w:val="006303CD"/>
    <w:rsid w:val="00630F6A"/>
    <w:rsid w:val="00631653"/>
    <w:rsid w:val="00631717"/>
    <w:rsid w:val="006326C0"/>
    <w:rsid w:val="00632935"/>
    <w:rsid w:val="0063467E"/>
    <w:rsid w:val="0063513D"/>
    <w:rsid w:val="006373CC"/>
    <w:rsid w:val="00640D29"/>
    <w:rsid w:val="00641194"/>
    <w:rsid w:val="00643367"/>
    <w:rsid w:val="00643528"/>
    <w:rsid w:val="006437BC"/>
    <w:rsid w:val="00644209"/>
    <w:rsid w:val="0064420E"/>
    <w:rsid w:val="00644BB9"/>
    <w:rsid w:val="00644D41"/>
    <w:rsid w:val="006455F4"/>
    <w:rsid w:val="006466D3"/>
    <w:rsid w:val="0064773A"/>
    <w:rsid w:val="006505EF"/>
    <w:rsid w:val="006510B6"/>
    <w:rsid w:val="00651660"/>
    <w:rsid w:val="00652E4E"/>
    <w:rsid w:val="006535DE"/>
    <w:rsid w:val="00653678"/>
    <w:rsid w:val="006539DB"/>
    <w:rsid w:val="006548F3"/>
    <w:rsid w:val="00656477"/>
    <w:rsid w:val="0065715B"/>
    <w:rsid w:val="00661E62"/>
    <w:rsid w:val="00663235"/>
    <w:rsid w:val="00663AE5"/>
    <w:rsid w:val="00665EA9"/>
    <w:rsid w:val="00667CD5"/>
    <w:rsid w:val="0067107C"/>
    <w:rsid w:val="00671CEC"/>
    <w:rsid w:val="00673C4E"/>
    <w:rsid w:val="006766D1"/>
    <w:rsid w:val="00676824"/>
    <w:rsid w:val="00681115"/>
    <w:rsid w:val="00681C68"/>
    <w:rsid w:val="00681E48"/>
    <w:rsid w:val="00682323"/>
    <w:rsid w:val="00682707"/>
    <w:rsid w:val="006827ED"/>
    <w:rsid w:val="00682D76"/>
    <w:rsid w:val="00682F71"/>
    <w:rsid w:val="0068398E"/>
    <w:rsid w:val="00683E4D"/>
    <w:rsid w:val="006840B8"/>
    <w:rsid w:val="006843AD"/>
    <w:rsid w:val="00684CE5"/>
    <w:rsid w:val="00685C10"/>
    <w:rsid w:val="00686375"/>
    <w:rsid w:val="00686501"/>
    <w:rsid w:val="006867BF"/>
    <w:rsid w:val="0068684C"/>
    <w:rsid w:val="00687FC5"/>
    <w:rsid w:val="00690553"/>
    <w:rsid w:val="00690D97"/>
    <w:rsid w:val="006912CE"/>
    <w:rsid w:val="00691459"/>
    <w:rsid w:val="00691FFD"/>
    <w:rsid w:val="00695599"/>
    <w:rsid w:val="00695836"/>
    <w:rsid w:val="00696CAB"/>
    <w:rsid w:val="006A027C"/>
    <w:rsid w:val="006A22EF"/>
    <w:rsid w:val="006A27A3"/>
    <w:rsid w:val="006A41E8"/>
    <w:rsid w:val="006A54AE"/>
    <w:rsid w:val="006A5966"/>
    <w:rsid w:val="006A633A"/>
    <w:rsid w:val="006A69BB"/>
    <w:rsid w:val="006A7E0D"/>
    <w:rsid w:val="006B09B1"/>
    <w:rsid w:val="006B0EA2"/>
    <w:rsid w:val="006B2291"/>
    <w:rsid w:val="006B24AD"/>
    <w:rsid w:val="006B26A5"/>
    <w:rsid w:val="006B46B6"/>
    <w:rsid w:val="006B5172"/>
    <w:rsid w:val="006B5B5A"/>
    <w:rsid w:val="006B6C93"/>
    <w:rsid w:val="006B76B6"/>
    <w:rsid w:val="006C3071"/>
    <w:rsid w:val="006C39B1"/>
    <w:rsid w:val="006C48BE"/>
    <w:rsid w:val="006C530B"/>
    <w:rsid w:val="006C53A4"/>
    <w:rsid w:val="006C6AB3"/>
    <w:rsid w:val="006C6B12"/>
    <w:rsid w:val="006D1C85"/>
    <w:rsid w:val="006D1CDD"/>
    <w:rsid w:val="006D1F21"/>
    <w:rsid w:val="006D2204"/>
    <w:rsid w:val="006D293B"/>
    <w:rsid w:val="006D328D"/>
    <w:rsid w:val="006D6F87"/>
    <w:rsid w:val="006E07AE"/>
    <w:rsid w:val="006E2560"/>
    <w:rsid w:val="006E3860"/>
    <w:rsid w:val="006E4802"/>
    <w:rsid w:val="006E624C"/>
    <w:rsid w:val="006E674E"/>
    <w:rsid w:val="006E77B6"/>
    <w:rsid w:val="006F0448"/>
    <w:rsid w:val="006F25BA"/>
    <w:rsid w:val="006F29FB"/>
    <w:rsid w:val="006F2E16"/>
    <w:rsid w:val="006F3336"/>
    <w:rsid w:val="006F4940"/>
    <w:rsid w:val="006F5FFC"/>
    <w:rsid w:val="006F6717"/>
    <w:rsid w:val="006F67B2"/>
    <w:rsid w:val="006F6DC0"/>
    <w:rsid w:val="006F73FA"/>
    <w:rsid w:val="006F74B9"/>
    <w:rsid w:val="006F786E"/>
    <w:rsid w:val="006F78E3"/>
    <w:rsid w:val="006F7A35"/>
    <w:rsid w:val="006F7D78"/>
    <w:rsid w:val="006F7DF2"/>
    <w:rsid w:val="00701260"/>
    <w:rsid w:val="007013C2"/>
    <w:rsid w:val="00702199"/>
    <w:rsid w:val="0070530A"/>
    <w:rsid w:val="00706881"/>
    <w:rsid w:val="00706990"/>
    <w:rsid w:val="00711149"/>
    <w:rsid w:val="0071161A"/>
    <w:rsid w:val="007116D8"/>
    <w:rsid w:val="00711736"/>
    <w:rsid w:val="00715A90"/>
    <w:rsid w:val="00716BCD"/>
    <w:rsid w:val="00720A1E"/>
    <w:rsid w:val="00720C29"/>
    <w:rsid w:val="00721B72"/>
    <w:rsid w:val="00721BC0"/>
    <w:rsid w:val="00721C08"/>
    <w:rsid w:val="00721F80"/>
    <w:rsid w:val="00722233"/>
    <w:rsid w:val="00724293"/>
    <w:rsid w:val="00725118"/>
    <w:rsid w:val="00726E0C"/>
    <w:rsid w:val="00726F5C"/>
    <w:rsid w:val="00727B01"/>
    <w:rsid w:val="007318CD"/>
    <w:rsid w:val="00732406"/>
    <w:rsid w:val="0073340F"/>
    <w:rsid w:val="007349E0"/>
    <w:rsid w:val="00734E2E"/>
    <w:rsid w:val="007355F0"/>
    <w:rsid w:val="00743DB9"/>
    <w:rsid w:val="00743F1E"/>
    <w:rsid w:val="0074447A"/>
    <w:rsid w:val="00744EBF"/>
    <w:rsid w:val="0074543B"/>
    <w:rsid w:val="0074611F"/>
    <w:rsid w:val="00746888"/>
    <w:rsid w:val="00746A69"/>
    <w:rsid w:val="007505D6"/>
    <w:rsid w:val="00750D78"/>
    <w:rsid w:val="00753B5A"/>
    <w:rsid w:val="00754412"/>
    <w:rsid w:val="00757315"/>
    <w:rsid w:val="00757EC9"/>
    <w:rsid w:val="00757FFC"/>
    <w:rsid w:val="007603B8"/>
    <w:rsid w:val="00760954"/>
    <w:rsid w:val="00760B68"/>
    <w:rsid w:val="00761014"/>
    <w:rsid w:val="00762648"/>
    <w:rsid w:val="007638D9"/>
    <w:rsid w:val="007667A8"/>
    <w:rsid w:val="00767F14"/>
    <w:rsid w:val="00771003"/>
    <w:rsid w:val="00771760"/>
    <w:rsid w:val="00772D97"/>
    <w:rsid w:val="00772DE4"/>
    <w:rsid w:val="00773754"/>
    <w:rsid w:val="00773E6F"/>
    <w:rsid w:val="00774E58"/>
    <w:rsid w:val="0077520E"/>
    <w:rsid w:val="00776355"/>
    <w:rsid w:val="007765B7"/>
    <w:rsid w:val="007807A5"/>
    <w:rsid w:val="00780E9D"/>
    <w:rsid w:val="00781389"/>
    <w:rsid w:val="00782C6F"/>
    <w:rsid w:val="0078423F"/>
    <w:rsid w:val="007861A2"/>
    <w:rsid w:val="00786C1F"/>
    <w:rsid w:val="00787AB5"/>
    <w:rsid w:val="007904E9"/>
    <w:rsid w:val="00791D8A"/>
    <w:rsid w:val="0079339F"/>
    <w:rsid w:val="00793587"/>
    <w:rsid w:val="007949C7"/>
    <w:rsid w:val="007974D4"/>
    <w:rsid w:val="007A08A1"/>
    <w:rsid w:val="007A0DC9"/>
    <w:rsid w:val="007A1734"/>
    <w:rsid w:val="007A229D"/>
    <w:rsid w:val="007A2C50"/>
    <w:rsid w:val="007A2F2B"/>
    <w:rsid w:val="007A3A99"/>
    <w:rsid w:val="007A44D9"/>
    <w:rsid w:val="007A45CA"/>
    <w:rsid w:val="007B1DEB"/>
    <w:rsid w:val="007B241C"/>
    <w:rsid w:val="007B37B9"/>
    <w:rsid w:val="007B38DE"/>
    <w:rsid w:val="007B3943"/>
    <w:rsid w:val="007B3EC5"/>
    <w:rsid w:val="007B5297"/>
    <w:rsid w:val="007C045F"/>
    <w:rsid w:val="007C0D79"/>
    <w:rsid w:val="007C0E60"/>
    <w:rsid w:val="007C202E"/>
    <w:rsid w:val="007C2087"/>
    <w:rsid w:val="007C2258"/>
    <w:rsid w:val="007C55DC"/>
    <w:rsid w:val="007C6BBA"/>
    <w:rsid w:val="007C784B"/>
    <w:rsid w:val="007D021E"/>
    <w:rsid w:val="007D03C1"/>
    <w:rsid w:val="007D12AB"/>
    <w:rsid w:val="007D2BD7"/>
    <w:rsid w:val="007D4951"/>
    <w:rsid w:val="007D502D"/>
    <w:rsid w:val="007D52C0"/>
    <w:rsid w:val="007D6398"/>
    <w:rsid w:val="007D6E59"/>
    <w:rsid w:val="007D7539"/>
    <w:rsid w:val="007D7E08"/>
    <w:rsid w:val="007E0625"/>
    <w:rsid w:val="007E0C48"/>
    <w:rsid w:val="007E1CF5"/>
    <w:rsid w:val="007E20A8"/>
    <w:rsid w:val="007E2226"/>
    <w:rsid w:val="007E2730"/>
    <w:rsid w:val="007E4E08"/>
    <w:rsid w:val="007E59EA"/>
    <w:rsid w:val="007E5F4D"/>
    <w:rsid w:val="007E6C39"/>
    <w:rsid w:val="007E70C6"/>
    <w:rsid w:val="007E7EF0"/>
    <w:rsid w:val="007F1176"/>
    <w:rsid w:val="007F1A84"/>
    <w:rsid w:val="007F3A4D"/>
    <w:rsid w:val="007F6684"/>
    <w:rsid w:val="007F68B4"/>
    <w:rsid w:val="007F6974"/>
    <w:rsid w:val="007F71F5"/>
    <w:rsid w:val="0080005A"/>
    <w:rsid w:val="008000EC"/>
    <w:rsid w:val="00800588"/>
    <w:rsid w:val="00801146"/>
    <w:rsid w:val="0080405F"/>
    <w:rsid w:val="00804B48"/>
    <w:rsid w:val="008061EC"/>
    <w:rsid w:val="008071CE"/>
    <w:rsid w:val="00807269"/>
    <w:rsid w:val="00807800"/>
    <w:rsid w:val="0081018A"/>
    <w:rsid w:val="008107B5"/>
    <w:rsid w:val="008110B1"/>
    <w:rsid w:val="00811733"/>
    <w:rsid w:val="00813C91"/>
    <w:rsid w:val="0081451B"/>
    <w:rsid w:val="00814CCE"/>
    <w:rsid w:val="00814E09"/>
    <w:rsid w:val="00815729"/>
    <w:rsid w:val="00815EB8"/>
    <w:rsid w:val="00817479"/>
    <w:rsid w:val="00821814"/>
    <w:rsid w:val="00822DC8"/>
    <w:rsid w:val="00824D72"/>
    <w:rsid w:val="008253B7"/>
    <w:rsid w:val="00826AE8"/>
    <w:rsid w:val="00826F21"/>
    <w:rsid w:val="00827055"/>
    <w:rsid w:val="00827361"/>
    <w:rsid w:val="00827614"/>
    <w:rsid w:val="00831966"/>
    <w:rsid w:val="0083221B"/>
    <w:rsid w:val="00832D48"/>
    <w:rsid w:val="00833163"/>
    <w:rsid w:val="008333C9"/>
    <w:rsid w:val="0083409F"/>
    <w:rsid w:val="008342F4"/>
    <w:rsid w:val="008349D8"/>
    <w:rsid w:val="008368D7"/>
    <w:rsid w:val="00837CC0"/>
    <w:rsid w:val="00840875"/>
    <w:rsid w:val="00841B31"/>
    <w:rsid w:val="00842DFF"/>
    <w:rsid w:val="0084401C"/>
    <w:rsid w:val="0084430C"/>
    <w:rsid w:val="00844508"/>
    <w:rsid w:val="008449B5"/>
    <w:rsid w:val="008469A1"/>
    <w:rsid w:val="00846EFB"/>
    <w:rsid w:val="00847E74"/>
    <w:rsid w:val="00850705"/>
    <w:rsid w:val="008515F0"/>
    <w:rsid w:val="00852246"/>
    <w:rsid w:val="0085261D"/>
    <w:rsid w:val="0085262D"/>
    <w:rsid w:val="00852BB1"/>
    <w:rsid w:val="008531F4"/>
    <w:rsid w:val="00853219"/>
    <w:rsid w:val="00853464"/>
    <w:rsid w:val="00853BFF"/>
    <w:rsid w:val="00854AE5"/>
    <w:rsid w:val="00854D46"/>
    <w:rsid w:val="00854DEB"/>
    <w:rsid w:val="00855CFE"/>
    <w:rsid w:val="00855F74"/>
    <w:rsid w:val="0085601F"/>
    <w:rsid w:val="00856284"/>
    <w:rsid w:val="00857008"/>
    <w:rsid w:val="00857908"/>
    <w:rsid w:val="00860824"/>
    <w:rsid w:val="00861862"/>
    <w:rsid w:val="008618AC"/>
    <w:rsid w:val="0086295C"/>
    <w:rsid w:val="00863D2F"/>
    <w:rsid w:val="00863E83"/>
    <w:rsid w:val="008645D2"/>
    <w:rsid w:val="00864699"/>
    <w:rsid w:val="00865FE0"/>
    <w:rsid w:val="008664D7"/>
    <w:rsid w:val="008669C4"/>
    <w:rsid w:val="00867D4F"/>
    <w:rsid w:val="008708AD"/>
    <w:rsid w:val="00870EAC"/>
    <w:rsid w:val="00870FF1"/>
    <w:rsid w:val="00871D82"/>
    <w:rsid w:val="00872102"/>
    <w:rsid w:val="008723B7"/>
    <w:rsid w:val="008729F8"/>
    <w:rsid w:val="00872CF8"/>
    <w:rsid w:val="00873CA5"/>
    <w:rsid w:val="00875950"/>
    <w:rsid w:val="00875A57"/>
    <w:rsid w:val="00875F5F"/>
    <w:rsid w:val="0087637A"/>
    <w:rsid w:val="00876417"/>
    <w:rsid w:val="0088233A"/>
    <w:rsid w:val="00882455"/>
    <w:rsid w:val="0088276B"/>
    <w:rsid w:val="00882954"/>
    <w:rsid w:val="00883415"/>
    <w:rsid w:val="00883883"/>
    <w:rsid w:val="0088434F"/>
    <w:rsid w:val="0088520B"/>
    <w:rsid w:val="00885B1D"/>
    <w:rsid w:val="0088693D"/>
    <w:rsid w:val="00886E94"/>
    <w:rsid w:val="00887C6D"/>
    <w:rsid w:val="00890106"/>
    <w:rsid w:val="00891B26"/>
    <w:rsid w:val="00891DB0"/>
    <w:rsid w:val="00892501"/>
    <w:rsid w:val="00892A11"/>
    <w:rsid w:val="00892D9F"/>
    <w:rsid w:val="00893E5E"/>
    <w:rsid w:val="00894700"/>
    <w:rsid w:val="00894A0A"/>
    <w:rsid w:val="0089749C"/>
    <w:rsid w:val="00897C21"/>
    <w:rsid w:val="008A0198"/>
    <w:rsid w:val="008A20E9"/>
    <w:rsid w:val="008A20FA"/>
    <w:rsid w:val="008A588D"/>
    <w:rsid w:val="008A6211"/>
    <w:rsid w:val="008A70F1"/>
    <w:rsid w:val="008B0101"/>
    <w:rsid w:val="008B2CA9"/>
    <w:rsid w:val="008B3267"/>
    <w:rsid w:val="008B3478"/>
    <w:rsid w:val="008B3610"/>
    <w:rsid w:val="008B380A"/>
    <w:rsid w:val="008B718A"/>
    <w:rsid w:val="008C21B8"/>
    <w:rsid w:val="008C2908"/>
    <w:rsid w:val="008C4A30"/>
    <w:rsid w:val="008C4EFF"/>
    <w:rsid w:val="008C4F30"/>
    <w:rsid w:val="008C5E55"/>
    <w:rsid w:val="008C6689"/>
    <w:rsid w:val="008C69C0"/>
    <w:rsid w:val="008C7799"/>
    <w:rsid w:val="008D00C3"/>
    <w:rsid w:val="008D0A09"/>
    <w:rsid w:val="008D19CB"/>
    <w:rsid w:val="008D1A52"/>
    <w:rsid w:val="008D29E3"/>
    <w:rsid w:val="008D3410"/>
    <w:rsid w:val="008D356C"/>
    <w:rsid w:val="008D404C"/>
    <w:rsid w:val="008D43C4"/>
    <w:rsid w:val="008D4C07"/>
    <w:rsid w:val="008D51F9"/>
    <w:rsid w:val="008D5CF1"/>
    <w:rsid w:val="008D5D11"/>
    <w:rsid w:val="008D68DB"/>
    <w:rsid w:val="008D7335"/>
    <w:rsid w:val="008D7D4E"/>
    <w:rsid w:val="008E0A27"/>
    <w:rsid w:val="008E0C49"/>
    <w:rsid w:val="008E1084"/>
    <w:rsid w:val="008E2605"/>
    <w:rsid w:val="008E4322"/>
    <w:rsid w:val="008F08CB"/>
    <w:rsid w:val="008F0C3F"/>
    <w:rsid w:val="008F1A2A"/>
    <w:rsid w:val="008F2922"/>
    <w:rsid w:val="008F2DCB"/>
    <w:rsid w:val="008F3AAD"/>
    <w:rsid w:val="008F5B77"/>
    <w:rsid w:val="008F7294"/>
    <w:rsid w:val="008F760E"/>
    <w:rsid w:val="009004DD"/>
    <w:rsid w:val="00900DD2"/>
    <w:rsid w:val="00901107"/>
    <w:rsid w:val="00901415"/>
    <w:rsid w:val="00902C9B"/>
    <w:rsid w:val="009042DD"/>
    <w:rsid w:val="00904BEA"/>
    <w:rsid w:val="00904C11"/>
    <w:rsid w:val="00905948"/>
    <w:rsid w:val="00905C78"/>
    <w:rsid w:val="00906466"/>
    <w:rsid w:val="00915639"/>
    <w:rsid w:val="009160A5"/>
    <w:rsid w:val="00916E0B"/>
    <w:rsid w:val="00916F6E"/>
    <w:rsid w:val="0091773B"/>
    <w:rsid w:val="00920427"/>
    <w:rsid w:val="009220A1"/>
    <w:rsid w:val="00922625"/>
    <w:rsid w:val="0092267B"/>
    <w:rsid w:val="00922A30"/>
    <w:rsid w:val="00922DF7"/>
    <w:rsid w:val="009232A7"/>
    <w:rsid w:val="0092498F"/>
    <w:rsid w:val="00925873"/>
    <w:rsid w:val="0092652A"/>
    <w:rsid w:val="00927F4F"/>
    <w:rsid w:val="00931123"/>
    <w:rsid w:val="00936FC6"/>
    <w:rsid w:val="009378FE"/>
    <w:rsid w:val="00941AC6"/>
    <w:rsid w:val="00942051"/>
    <w:rsid w:val="009453F6"/>
    <w:rsid w:val="00946711"/>
    <w:rsid w:val="00946806"/>
    <w:rsid w:val="00946B20"/>
    <w:rsid w:val="00947F95"/>
    <w:rsid w:val="0095114E"/>
    <w:rsid w:val="00952EDE"/>
    <w:rsid w:val="009542B8"/>
    <w:rsid w:val="00955E24"/>
    <w:rsid w:val="009569A0"/>
    <w:rsid w:val="009569DE"/>
    <w:rsid w:val="00956FE9"/>
    <w:rsid w:val="0095720B"/>
    <w:rsid w:val="00957DF4"/>
    <w:rsid w:val="009609C0"/>
    <w:rsid w:val="00961EB1"/>
    <w:rsid w:val="00962CE3"/>
    <w:rsid w:val="009654CF"/>
    <w:rsid w:val="00970292"/>
    <w:rsid w:val="00971083"/>
    <w:rsid w:val="009717D8"/>
    <w:rsid w:val="00971837"/>
    <w:rsid w:val="00971C3A"/>
    <w:rsid w:val="00972747"/>
    <w:rsid w:val="00973164"/>
    <w:rsid w:val="0097468A"/>
    <w:rsid w:val="00975025"/>
    <w:rsid w:val="00980592"/>
    <w:rsid w:val="009809DE"/>
    <w:rsid w:val="00982723"/>
    <w:rsid w:val="009837D9"/>
    <w:rsid w:val="00985A2F"/>
    <w:rsid w:val="009904C7"/>
    <w:rsid w:val="009920C3"/>
    <w:rsid w:val="00992FE3"/>
    <w:rsid w:val="009970AF"/>
    <w:rsid w:val="009A0E0B"/>
    <w:rsid w:val="009A10DE"/>
    <w:rsid w:val="009A1552"/>
    <w:rsid w:val="009A33CA"/>
    <w:rsid w:val="009A4902"/>
    <w:rsid w:val="009A4A58"/>
    <w:rsid w:val="009A526A"/>
    <w:rsid w:val="009A552A"/>
    <w:rsid w:val="009A6007"/>
    <w:rsid w:val="009A6F74"/>
    <w:rsid w:val="009A7434"/>
    <w:rsid w:val="009A79C1"/>
    <w:rsid w:val="009B225E"/>
    <w:rsid w:val="009B311A"/>
    <w:rsid w:val="009B4CDC"/>
    <w:rsid w:val="009B4DB9"/>
    <w:rsid w:val="009B4F71"/>
    <w:rsid w:val="009B55A2"/>
    <w:rsid w:val="009B5D2E"/>
    <w:rsid w:val="009B6FFF"/>
    <w:rsid w:val="009C1A11"/>
    <w:rsid w:val="009C209E"/>
    <w:rsid w:val="009C2217"/>
    <w:rsid w:val="009C3C59"/>
    <w:rsid w:val="009C5114"/>
    <w:rsid w:val="009C58D4"/>
    <w:rsid w:val="009C77F8"/>
    <w:rsid w:val="009D040E"/>
    <w:rsid w:val="009D0B3E"/>
    <w:rsid w:val="009D0EAF"/>
    <w:rsid w:val="009D0FEF"/>
    <w:rsid w:val="009D1892"/>
    <w:rsid w:val="009D2059"/>
    <w:rsid w:val="009D4686"/>
    <w:rsid w:val="009D51C3"/>
    <w:rsid w:val="009D58B5"/>
    <w:rsid w:val="009D6262"/>
    <w:rsid w:val="009D7204"/>
    <w:rsid w:val="009E0361"/>
    <w:rsid w:val="009E04B2"/>
    <w:rsid w:val="009E0DF4"/>
    <w:rsid w:val="009E0F02"/>
    <w:rsid w:val="009E2116"/>
    <w:rsid w:val="009E3191"/>
    <w:rsid w:val="009E50DC"/>
    <w:rsid w:val="009E5126"/>
    <w:rsid w:val="009E5D12"/>
    <w:rsid w:val="009E6267"/>
    <w:rsid w:val="009E6D94"/>
    <w:rsid w:val="009E7027"/>
    <w:rsid w:val="009E79CF"/>
    <w:rsid w:val="009E7BC2"/>
    <w:rsid w:val="009F00FF"/>
    <w:rsid w:val="009F074A"/>
    <w:rsid w:val="009F0E2B"/>
    <w:rsid w:val="009F148C"/>
    <w:rsid w:val="009F212B"/>
    <w:rsid w:val="009F25B3"/>
    <w:rsid w:val="009F2F25"/>
    <w:rsid w:val="009F3272"/>
    <w:rsid w:val="009F5CC7"/>
    <w:rsid w:val="009F60DB"/>
    <w:rsid w:val="00A0076C"/>
    <w:rsid w:val="00A00E82"/>
    <w:rsid w:val="00A046E0"/>
    <w:rsid w:val="00A05637"/>
    <w:rsid w:val="00A07F26"/>
    <w:rsid w:val="00A1045C"/>
    <w:rsid w:val="00A11146"/>
    <w:rsid w:val="00A1316C"/>
    <w:rsid w:val="00A14756"/>
    <w:rsid w:val="00A150C4"/>
    <w:rsid w:val="00A154A2"/>
    <w:rsid w:val="00A16BBA"/>
    <w:rsid w:val="00A16C54"/>
    <w:rsid w:val="00A23583"/>
    <w:rsid w:val="00A24759"/>
    <w:rsid w:val="00A24C27"/>
    <w:rsid w:val="00A24FE9"/>
    <w:rsid w:val="00A252F4"/>
    <w:rsid w:val="00A2559F"/>
    <w:rsid w:val="00A255D3"/>
    <w:rsid w:val="00A25780"/>
    <w:rsid w:val="00A26833"/>
    <w:rsid w:val="00A27D15"/>
    <w:rsid w:val="00A27E4F"/>
    <w:rsid w:val="00A30663"/>
    <w:rsid w:val="00A31361"/>
    <w:rsid w:val="00A32AE2"/>
    <w:rsid w:val="00A32B5C"/>
    <w:rsid w:val="00A330DC"/>
    <w:rsid w:val="00A355A2"/>
    <w:rsid w:val="00A35E19"/>
    <w:rsid w:val="00A369D4"/>
    <w:rsid w:val="00A374EA"/>
    <w:rsid w:val="00A37A76"/>
    <w:rsid w:val="00A406CA"/>
    <w:rsid w:val="00A42B9E"/>
    <w:rsid w:val="00A433E5"/>
    <w:rsid w:val="00A43547"/>
    <w:rsid w:val="00A4371E"/>
    <w:rsid w:val="00A44D0E"/>
    <w:rsid w:val="00A46352"/>
    <w:rsid w:val="00A47005"/>
    <w:rsid w:val="00A47215"/>
    <w:rsid w:val="00A47EB2"/>
    <w:rsid w:val="00A501B5"/>
    <w:rsid w:val="00A50DDF"/>
    <w:rsid w:val="00A50DED"/>
    <w:rsid w:val="00A5409A"/>
    <w:rsid w:val="00A54382"/>
    <w:rsid w:val="00A54854"/>
    <w:rsid w:val="00A55578"/>
    <w:rsid w:val="00A56A73"/>
    <w:rsid w:val="00A56C44"/>
    <w:rsid w:val="00A57C83"/>
    <w:rsid w:val="00A60E00"/>
    <w:rsid w:val="00A61641"/>
    <w:rsid w:val="00A63F5D"/>
    <w:rsid w:val="00A64F84"/>
    <w:rsid w:val="00A65B47"/>
    <w:rsid w:val="00A66DC1"/>
    <w:rsid w:val="00A716A3"/>
    <w:rsid w:val="00A71FF0"/>
    <w:rsid w:val="00A73D6C"/>
    <w:rsid w:val="00A73F1E"/>
    <w:rsid w:val="00A77989"/>
    <w:rsid w:val="00A77F77"/>
    <w:rsid w:val="00A8027F"/>
    <w:rsid w:val="00A80C82"/>
    <w:rsid w:val="00A83C7F"/>
    <w:rsid w:val="00A86892"/>
    <w:rsid w:val="00A86FC5"/>
    <w:rsid w:val="00A8705A"/>
    <w:rsid w:val="00A92CA5"/>
    <w:rsid w:val="00A9465D"/>
    <w:rsid w:val="00A94777"/>
    <w:rsid w:val="00A949FB"/>
    <w:rsid w:val="00A97150"/>
    <w:rsid w:val="00A979A5"/>
    <w:rsid w:val="00A97A60"/>
    <w:rsid w:val="00AA222D"/>
    <w:rsid w:val="00AA25F1"/>
    <w:rsid w:val="00AA2B8A"/>
    <w:rsid w:val="00AA31BE"/>
    <w:rsid w:val="00AA365A"/>
    <w:rsid w:val="00AA5705"/>
    <w:rsid w:val="00AA6FF0"/>
    <w:rsid w:val="00AA727F"/>
    <w:rsid w:val="00AA7980"/>
    <w:rsid w:val="00AB0122"/>
    <w:rsid w:val="00AB06F9"/>
    <w:rsid w:val="00AB0845"/>
    <w:rsid w:val="00AB17D6"/>
    <w:rsid w:val="00AB2A84"/>
    <w:rsid w:val="00AB3214"/>
    <w:rsid w:val="00AB3AD1"/>
    <w:rsid w:val="00AB3C36"/>
    <w:rsid w:val="00AB3E8F"/>
    <w:rsid w:val="00AB6CF0"/>
    <w:rsid w:val="00AB6F89"/>
    <w:rsid w:val="00AB76B7"/>
    <w:rsid w:val="00AC0691"/>
    <w:rsid w:val="00AC16CA"/>
    <w:rsid w:val="00AC17F0"/>
    <w:rsid w:val="00AC2ADF"/>
    <w:rsid w:val="00AC5990"/>
    <w:rsid w:val="00AC6068"/>
    <w:rsid w:val="00AC6572"/>
    <w:rsid w:val="00AC70B2"/>
    <w:rsid w:val="00AD1095"/>
    <w:rsid w:val="00AD1F9D"/>
    <w:rsid w:val="00AD2139"/>
    <w:rsid w:val="00AD2669"/>
    <w:rsid w:val="00AD2CE6"/>
    <w:rsid w:val="00AD3011"/>
    <w:rsid w:val="00AD3EEB"/>
    <w:rsid w:val="00AD4172"/>
    <w:rsid w:val="00AD4A32"/>
    <w:rsid w:val="00AD4E09"/>
    <w:rsid w:val="00AD5D0B"/>
    <w:rsid w:val="00AE0CCF"/>
    <w:rsid w:val="00AE20F1"/>
    <w:rsid w:val="00AE2320"/>
    <w:rsid w:val="00AE2709"/>
    <w:rsid w:val="00AE389A"/>
    <w:rsid w:val="00AE3E7F"/>
    <w:rsid w:val="00AE530C"/>
    <w:rsid w:val="00AE5515"/>
    <w:rsid w:val="00AE7322"/>
    <w:rsid w:val="00AE734D"/>
    <w:rsid w:val="00AE7CA8"/>
    <w:rsid w:val="00AE7DD3"/>
    <w:rsid w:val="00AF0664"/>
    <w:rsid w:val="00AF0B28"/>
    <w:rsid w:val="00AF2C24"/>
    <w:rsid w:val="00AF36B7"/>
    <w:rsid w:val="00AF3F07"/>
    <w:rsid w:val="00AF4C77"/>
    <w:rsid w:val="00AF4CB0"/>
    <w:rsid w:val="00AF4E32"/>
    <w:rsid w:val="00AF77FC"/>
    <w:rsid w:val="00B00465"/>
    <w:rsid w:val="00B00D92"/>
    <w:rsid w:val="00B01987"/>
    <w:rsid w:val="00B01CBF"/>
    <w:rsid w:val="00B02197"/>
    <w:rsid w:val="00B027CE"/>
    <w:rsid w:val="00B02820"/>
    <w:rsid w:val="00B03D87"/>
    <w:rsid w:val="00B04DF4"/>
    <w:rsid w:val="00B05D95"/>
    <w:rsid w:val="00B06BAA"/>
    <w:rsid w:val="00B06D53"/>
    <w:rsid w:val="00B06E02"/>
    <w:rsid w:val="00B07711"/>
    <w:rsid w:val="00B07D7C"/>
    <w:rsid w:val="00B07E5C"/>
    <w:rsid w:val="00B07F3B"/>
    <w:rsid w:val="00B10009"/>
    <w:rsid w:val="00B11177"/>
    <w:rsid w:val="00B13507"/>
    <w:rsid w:val="00B15B0D"/>
    <w:rsid w:val="00B1622E"/>
    <w:rsid w:val="00B16468"/>
    <w:rsid w:val="00B16EA5"/>
    <w:rsid w:val="00B17048"/>
    <w:rsid w:val="00B2048F"/>
    <w:rsid w:val="00B207B8"/>
    <w:rsid w:val="00B21C93"/>
    <w:rsid w:val="00B230C6"/>
    <w:rsid w:val="00B2463A"/>
    <w:rsid w:val="00B24FE4"/>
    <w:rsid w:val="00B269DF"/>
    <w:rsid w:val="00B26E9D"/>
    <w:rsid w:val="00B27550"/>
    <w:rsid w:val="00B30AF9"/>
    <w:rsid w:val="00B30D62"/>
    <w:rsid w:val="00B3153E"/>
    <w:rsid w:val="00B33B6B"/>
    <w:rsid w:val="00B33EFE"/>
    <w:rsid w:val="00B341C1"/>
    <w:rsid w:val="00B34E51"/>
    <w:rsid w:val="00B3504A"/>
    <w:rsid w:val="00B35AD5"/>
    <w:rsid w:val="00B36E8B"/>
    <w:rsid w:val="00B372F0"/>
    <w:rsid w:val="00B40A02"/>
    <w:rsid w:val="00B41732"/>
    <w:rsid w:val="00B424C1"/>
    <w:rsid w:val="00B444ED"/>
    <w:rsid w:val="00B44CA9"/>
    <w:rsid w:val="00B44FEC"/>
    <w:rsid w:val="00B4504F"/>
    <w:rsid w:val="00B47387"/>
    <w:rsid w:val="00B47B00"/>
    <w:rsid w:val="00B524C7"/>
    <w:rsid w:val="00B53DC0"/>
    <w:rsid w:val="00B55334"/>
    <w:rsid w:val="00B61739"/>
    <w:rsid w:val="00B6371A"/>
    <w:rsid w:val="00B64F4F"/>
    <w:rsid w:val="00B64F6A"/>
    <w:rsid w:val="00B655A3"/>
    <w:rsid w:val="00B6583B"/>
    <w:rsid w:val="00B663F3"/>
    <w:rsid w:val="00B66F3A"/>
    <w:rsid w:val="00B70A7C"/>
    <w:rsid w:val="00B70C12"/>
    <w:rsid w:val="00B71BEA"/>
    <w:rsid w:val="00B72A5A"/>
    <w:rsid w:val="00B73152"/>
    <w:rsid w:val="00B73986"/>
    <w:rsid w:val="00B74DE5"/>
    <w:rsid w:val="00B76819"/>
    <w:rsid w:val="00B7788D"/>
    <w:rsid w:val="00B77D61"/>
    <w:rsid w:val="00B77E6A"/>
    <w:rsid w:val="00B80196"/>
    <w:rsid w:val="00B812DE"/>
    <w:rsid w:val="00B8152B"/>
    <w:rsid w:val="00B82258"/>
    <w:rsid w:val="00B82461"/>
    <w:rsid w:val="00B82523"/>
    <w:rsid w:val="00B82DAF"/>
    <w:rsid w:val="00B84411"/>
    <w:rsid w:val="00B860B2"/>
    <w:rsid w:val="00B868A8"/>
    <w:rsid w:val="00B87464"/>
    <w:rsid w:val="00B90EE1"/>
    <w:rsid w:val="00B912E6"/>
    <w:rsid w:val="00B91F9E"/>
    <w:rsid w:val="00B95D18"/>
    <w:rsid w:val="00B96895"/>
    <w:rsid w:val="00B971C2"/>
    <w:rsid w:val="00BA01E1"/>
    <w:rsid w:val="00BA1473"/>
    <w:rsid w:val="00BA3C52"/>
    <w:rsid w:val="00BA4588"/>
    <w:rsid w:val="00BA548E"/>
    <w:rsid w:val="00BA5B1E"/>
    <w:rsid w:val="00BA5BC4"/>
    <w:rsid w:val="00BB00F9"/>
    <w:rsid w:val="00BB04C7"/>
    <w:rsid w:val="00BB075D"/>
    <w:rsid w:val="00BB0871"/>
    <w:rsid w:val="00BB18E9"/>
    <w:rsid w:val="00BB1B84"/>
    <w:rsid w:val="00BB3793"/>
    <w:rsid w:val="00BB38B1"/>
    <w:rsid w:val="00BB3E54"/>
    <w:rsid w:val="00BB5AED"/>
    <w:rsid w:val="00BB5CC4"/>
    <w:rsid w:val="00BB75AB"/>
    <w:rsid w:val="00BC1430"/>
    <w:rsid w:val="00BC3810"/>
    <w:rsid w:val="00BC3B16"/>
    <w:rsid w:val="00BC79EE"/>
    <w:rsid w:val="00BD003F"/>
    <w:rsid w:val="00BD02C6"/>
    <w:rsid w:val="00BD1DE6"/>
    <w:rsid w:val="00BD227A"/>
    <w:rsid w:val="00BD2739"/>
    <w:rsid w:val="00BD37DA"/>
    <w:rsid w:val="00BD3858"/>
    <w:rsid w:val="00BD4911"/>
    <w:rsid w:val="00BD6CC2"/>
    <w:rsid w:val="00BD7FBB"/>
    <w:rsid w:val="00BE06C7"/>
    <w:rsid w:val="00BE08F9"/>
    <w:rsid w:val="00BE0D1A"/>
    <w:rsid w:val="00BE1B0E"/>
    <w:rsid w:val="00BE2741"/>
    <w:rsid w:val="00BE398A"/>
    <w:rsid w:val="00BE632A"/>
    <w:rsid w:val="00BE68CA"/>
    <w:rsid w:val="00BE78BC"/>
    <w:rsid w:val="00BE7B45"/>
    <w:rsid w:val="00BE7E74"/>
    <w:rsid w:val="00BF08EC"/>
    <w:rsid w:val="00BF3EE1"/>
    <w:rsid w:val="00BF4D17"/>
    <w:rsid w:val="00BF4EBA"/>
    <w:rsid w:val="00BF5F98"/>
    <w:rsid w:val="00BF6089"/>
    <w:rsid w:val="00BF60B6"/>
    <w:rsid w:val="00BF7936"/>
    <w:rsid w:val="00C00303"/>
    <w:rsid w:val="00C00BD8"/>
    <w:rsid w:val="00C02031"/>
    <w:rsid w:val="00C02343"/>
    <w:rsid w:val="00C02901"/>
    <w:rsid w:val="00C02E2A"/>
    <w:rsid w:val="00C02E2F"/>
    <w:rsid w:val="00C02E5B"/>
    <w:rsid w:val="00C02E76"/>
    <w:rsid w:val="00C049A7"/>
    <w:rsid w:val="00C054D2"/>
    <w:rsid w:val="00C06213"/>
    <w:rsid w:val="00C07BC1"/>
    <w:rsid w:val="00C07D5C"/>
    <w:rsid w:val="00C10539"/>
    <w:rsid w:val="00C1156E"/>
    <w:rsid w:val="00C124EA"/>
    <w:rsid w:val="00C13BCD"/>
    <w:rsid w:val="00C146F3"/>
    <w:rsid w:val="00C17675"/>
    <w:rsid w:val="00C17E0D"/>
    <w:rsid w:val="00C20175"/>
    <w:rsid w:val="00C20F7D"/>
    <w:rsid w:val="00C211D4"/>
    <w:rsid w:val="00C21FC4"/>
    <w:rsid w:val="00C237CB"/>
    <w:rsid w:val="00C23A58"/>
    <w:rsid w:val="00C2474B"/>
    <w:rsid w:val="00C2517F"/>
    <w:rsid w:val="00C3034B"/>
    <w:rsid w:val="00C30F01"/>
    <w:rsid w:val="00C31497"/>
    <w:rsid w:val="00C31745"/>
    <w:rsid w:val="00C3202A"/>
    <w:rsid w:val="00C32EFD"/>
    <w:rsid w:val="00C33852"/>
    <w:rsid w:val="00C34202"/>
    <w:rsid w:val="00C35749"/>
    <w:rsid w:val="00C35C32"/>
    <w:rsid w:val="00C35C45"/>
    <w:rsid w:val="00C35D16"/>
    <w:rsid w:val="00C37019"/>
    <w:rsid w:val="00C3774D"/>
    <w:rsid w:val="00C379F6"/>
    <w:rsid w:val="00C41443"/>
    <w:rsid w:val="00C44D38"/>
    <w:rsid w:val="00C4654D"/>
    <w:rsid w:val="00C46D6B"/>
    <w:rsid w:val="00C50212"/>
    <w:rsid w:val="00C50E97"/>
    <w:rsid w:val="00C510AD"/>
    <w:rsid w:val="00C52ED6"/>
    <w:rsid w:val="00C54073"/>
    <w:rsid w:val="00C54532"/>
    <w:rsid w:val="00C548F1"/>
    <w:rsid w:val="00C54C35"/>
    <w:rsid w:val="00C54D49"/>
    <w:rsid w:val="00C55F1B"/>
    <w:rsid w:val="00C56E3C"/>
    <w:rsid w:val="00C60FC9"/>
    <w:rsid w:val="00C622B4"/>
    <w:rsid w:val="00C6395C"/>
    <w:rsid w:val="00C63B52"/>
    <w:rsid w:val="00C63C34"/>
    <w:rsid w:val="00C64291"/>
    <w:rsid w:val="00C643E4"/>
    <w:rsid w:val="00C64782"/>
    <w:rsid w:val="00C655D0"/>
    <w:rsid w:val="00C65E15"/>
    <w:rsid w:val="00C662A7"/>
    <w:rsid w:val="00C6681F"/>
    <w:rsid w:val="00C66B52"/>
    <w:rsid w:val="00C66D01"/>
    <w:rsid w:val="00C679C0"/>
    <w:rsid w:val="00C679D0"/>
    <w:rsid w:val="00C710F5"/>
    <w:rsid w:val="00C744C0"/>
    <w:rsid w:val="00C75AE5"/>
    <w:rsid w:val="00C7660B"/>
    <w:rsid w:val="00C7699C"/>
    <w:rsid w:val="00C76FBC"/>
    <w:rsid w:val="00C775A0"/>
    <w:rsid w:val="00C77B5C"/>
    <w:rsid w:val="00C77C5A"/>
    <w:rsid w:val="00C8085E"/>
    <w:rsid w:val="00C808B3"/>
    <w:rsid w:val="00C8143D"/>
    <w:rsid w:val="00C829AE"/>
    <w:rsid w:val="00C84498"/>
    <w:rsid w:val="00C848CE"/>
    <w:rsid w:val="00C86C25"/>
    <w:rsid w:val="00C87496"/>
    <w:rsid w:val="00C90047"/>
    <w:rsid w:val="00C9285C"/>
    <w:rsid w:val="00C92943"/>
    <w:rsid w:val="00C92A85"/>
    <w:rsid w:val="00C92C24"/>
    <w:rsid w:val="00C92C26"/>
    <w:rsid w:val="00C938B6"/>
    <w:rsid w:val="00C9472A"/>
    <w:rsid w:val="00C94BEF"/>
    <w:rsid w:val="00C94E39"/>
    <w:rsid w:val="00C9544D"/>
    <w:rsid w:val="00C960EB"/>
    <w:rsid w:val="00C96301"/>
    <w:rsid w:val="00C966BB"/>
    <w:rsid w:val="00C97926"/>
    <w:rsid w:val="00CA0247"/>
    <w:rsid w:val="00CA0A24"/>
    <w:rsid w:val="00CA0EAE"/>
    <w:rsid w:val="00CA18E3"/>
    <w:rsid w:val="00CA34BA"/>
    <w:rsid w:val="00CA3ADB"/>
    <w:rsid w:val="00CA4971"/>
    <w:rsid w:val="00CA6B40"/>
    <w:rsid w:val="00CA795C"/>
    <w:rsid w:val="00CB1195"/>
    <w:rsid w:val="00CB4084"/>
    <w:rsid w:val="00CB467D"/>
    <w:rsid w:val="00CB49E3"/>
    <w:rsid w:val="00CB4FA7"/>
    <w:rsid w:val="00CB50F1"/>
    <w:rsid w:val="00CB549A"/>
    <w:rsid w:val="00CB7379"/>
    <w:rsid w:val="00CB7E10"/>
    <w:rsid w:val="00CC06BE"/>
    <w:rsid w:val="00CC06C0"/>
    <w:rsid w:val="00CC0F5A"/>
    <w:rsid w:val="00CC1CB9"/>
    <w:rsid w:val="00CC31A7"/>
    <w:rsid w:val="00CC3848"/>
    <w:rsid w:val="00CC4436"/>
    <w:rsid w:val="00CC4651"/>
    <w:rsid w:val="00CC4B49"/>
    <w:rsid w:val="00CC4F5B"/>
    <w:rsid w:val="00CC5185"/>
    <w:rsid w:val="00CC57B2"/>
    <w:rsid w:val="00CC6598"/>
    <w:rsid w:val="00CD0411"/>
    <w:rsid w:val="00CD077B"/>
    <w:rsid w:val="00CD10FE"/>
    <w:rsid w:val="00CD1C1E"/>
    <w:rsid w:val="00CD276F"/>
    <w:rsid w:val="00CD2F55"/>
    <w:rsid w:val="00CD345B"/>
    <w:rsid w:val="00CD47C5"/>
    <w:rsid w:val="00CD4CA6"/>
    <w:rsid w:val="00CD6E40"/>
    <w:rsid w:val="00CD7396"/>
    <w:rsid w:val="00CD74BB"/>
    <w:rsid w:val="00CD765D"/>
    <w:rsid w:val="00CD788E"/>
    <w:rsid w:val="00CE03D4"/>
    <w:rsid w:val="00CE0738"/>
    <w:rsid w:val="00CE11AF"/>
    <w:rsid w:val="00CE13B6"/>
    <w:rsid w:val="00CE22C0"/>
    <w:rsid w:val="00CE3400"/>
    <w:rsid w:val="00CE38CF"/>
    <w:rsid w:val="00CE38D3"/>
    <w:rsid w:val="00CE53D1"/>
    <w:rsid w:val="00CE53DB"/>
    <w:rsid w:val="00CE6BDB"/>
    <w:rsid w:val="00CF169E"/>
    <w:rsid w:val="00CF20AF"/>
    <w:rsid w:val="00CF2ED1"/>
    <w:rsid w:val="00CF457B"/>
    <w:rsid w:val="00CF56C4"/>
    <w:rsid w:val="00CF5909"/>
    <w:rsid w:val="00CF6AC6"/>
    <w:rsid w:val="00D006F9"/>
    <w:rsid w:val="00D0071B"/>
    <w:rsid w:val="00D01D5C"/>
    <w:rsid w:val="00D033F2"/>
    <w:rsid w:val="00D0417C"/>
    <w:rsid w:val="00D04376"/>
    <w:rsid w:val="00D045FB"/>
    <w:rsid w:val="00D047E6"/>
    <w:rsid w:val="00D06477"/>
    <w:rsid w:val="00D0668F"/>
    <w:rsid w:val="00D06ED7"/>
    <w:rsid w:val="00D12CBB"/>
    <w:rsid w:val="00D13027"/>
    <w:rsid w:val="00D14075"/>
    <w:rsid w:val="00D14790"/>
    <w:rsid w:val="00D16A8E"/>
    <w:rsid w:val="00D16FFB"/>
    <w:rsid w:val="00D208F9"/>
    <w:rsid w:val="00D21BC9"/>
    <w:rsid w:val="00D22F74"/>
    <w:rsid w:val="00D236CD"/>
    <w:rsid w:val="00D24367"/>
    <w:rsid w:val="00D247B1"/>
    <w:rsid w:val="00D2531A"/>
    <w:rsid w:val="00D25B7F"/>
    <w:rsid w:val="00D26917"/>
    <w:rsid w:val="00D31180"/>
    <w:rsid w:val="00D3133D"/>
    <w:rsid w:val="00D3142D"/>
    <w:rsid w:val="00D31E83"/>
    <w:rsid w:val="00D33F85"/>
    <w:rsid w:val="00D352B1"/>
    <w:rsid w:val="00D3545D"/>
    <w:rsid w:val="00D35DFF"/>
    <w:rsid w:val="00D36B84"/>
    <w:rsid w:val="00D40989"/>
    <w:rsid w:val="00D4160D"/>
    <w:rsid w:val="00D41870"/>
    <w:rsid w:val="00D418CC"/>
    <w:rsid w:val="00D41E63"/>
    <w:rsid w:val="00D42D32"/>
    <w:rsid w:val="00D44831"/>
    <w:rsid w:val="00D44CAD"/>
    <w:rsid w:val="00D450B0"/>
    <w:rsid w:val="00D46C06"/>
    <w:rsid w:val="00D46FDC"/>
    <w:rsid w:val="00D47324"/>
    <w:rsid w:val="00D50544"/>
    <w:rsid w:val="00D51983"/>
    <w:rsid w:val="00D51AEF"/>
    <w:rsid w:val="00D530CB"/>
    <w:rsid w:val="00D539D3"/>
    <w:rsid w:val="00D55346"/>
    <w:rsid w:val="00D567F7"/>
    <w:rsid w:val="00D5745F"/>
    <w:rsid w:val="00D577A6"/>
    <w:rsid w:val="00D57F70"/>
    <w:rsid w:val="00D601FE"/>
    <w:rsid w:val="00D60C78"/>
    <w:rsid w:val="00D61FAB"/>
    <w:rsid w:val="00D61FB2"/>
    <w:rsid w:val="00D636A8"/>
    <w:rsid w:val="00D63782"/>
    <w:rsid w:val="00D63C5D"/>
    <w:rsid w:val="00D64A43"/>
    <w:rsid w:val="00D66357"/>
    <w:rsid w:val="00D7052A"/>
    <w:rsid w:val="00D70964"/>
    <w:rsid w:val="00D7123D"/>
    <w:rsid w:val="00D745C0"/>
    <w:rsid w:val="00D766AF"/>
    <w:rsid w:val="00D76FF3"/>
    <w:rsid w:val="00D778DF"/>
    <w:rsid w:val="00D81602"/>
    <w:rsid w:val="00D830D8"/>
    <w:rsid w:val="00D834BC"/>
    <w:rsid w:val="00D8394E"/>
    <w:rsid w:val="00D84483"/>
    <w:rsid w:val="00D84B47"/>
    <w:rsid w:val="00D8506E"/>
    <w:rsid w:val="00D850AA"/>
    <w:rsid w:val="00D86238"/>
    <w:rsid w:val="00D90E04"/>
    <w:rsid w:val="00D91F30"/>
    <w:rsid w:val="00D927BB"/>
    <w:rsid w:val="00D94163"/>
    <w:rsid w:val="00D95350"/>
    <w:rsid w:val="00D95BA0"/>
    <w:rsid w:val="00D95EFB"/>
    <w:rsid w:val="00D96220"/>
    <w:rsid w:val="00D97F36"/>
    <w:rsid w:val="00DA0EAA"/>
    <w:rsid w:val="00DA1BD6"/>
    <w:rsid w:val="00DA3649"/>
    <w:rsid w:val="00DA3655"/>
    <w:rsid w:val="00DA470B"/>
    <w:rsid w:val="00DA60D0"/>
    <w:rsid w:val="00DA76F0"/>
    <w:rsid w:val="00DB014B"/>
    <w:rsid w:val="00DB0644"/>
    <w:rsid w:val="00DB1008"/>
    <w:rsid w:val="00DB371C"/>
    <w:rsid w:val="00DB525D"/>
    <w:rsid w:val="00DB5956"/>
    <w:rsid w:val="00DB60A8"/>
    <w:rsid w:val="00DB6402"/>
    <w:rsid w:val="00DB651B"/>
    <w:rsid w:val="00DB7D11"/>
    <w:rsid w:val="00DC0529"/>
    <w:rsid w:val="00DC1290"/>
    <w:rsid w:val="00DC1BFA"/>
    <w:rsid w:val="00DC2893"/>
    <w:rsid w:val="00DC2936"/>
    <w:rsid w:val="00DC3FD8"/>
    <w:rsid w:val="00DC4DC8"/>
    <w:rsid w:val="00DC745B"/>
    <w:rsid w:val="00DC7C52"/>
    <w:rsid w:val="00DC7E6D"/>
    <w:rsid w:val="00DD1B21"/>
    <w:rsid w:val="00DD26E1"/>
    <w:rsid w:val="00DD3241"/>
    <w:rsid w:val="00DD3D3E"/>
    <w:rsid w:val="00DD3D56"/>
    <w:rsid w:val="00DD4237"/>
    <w:rsid w:val="00DD4DA6"/>
    <w:rsid w:val="00DD57E8"/>
    <w:rsid w:val="00DD6C85"/>
    <w:rsid w:val="00DD7F1F"/>
    <w:rsid w:val="00DE0CFB"/>
    <w:rsid w:val="00DE1292"/>
    <w:rsid w:val="00DE17EA"/>
    <w:rsid w:val="00DE2D44"/>
    <w:rsid w:val="00DE37F7"/>
    <w:rsid w:val="00DE41B9"/>
    <w:rsid w:val="00DE4F23"/>
    <w:rsid w:val="00DE5203"/>
    <w:rsid w:val="00DE5916"/>
    <w:rsid w:val="00DE620B"/>
    <w:rsid w:val="00DF0DA4"/>
    <w:rsid w:val="00DF1121"/>
    <w:rsid w:val="00DF1873"/>
    <w:rsid w:val="00DF1930"/>
    <w:rsid w:val="00DF3C0A"/>
    <w:rsid w:val="00DF48DC"/>
    <w:rsid w:val="00DF4D93"/>
    <w:rsid w:val="00DF57A2"/>
    <w:rsid w:val="00DF7E88"/>
    <w:rsid w:val="00E01649"/>
    <w:rsid w:val="00E036ED"/>
    <w:rsid w:val="00E05DF9"/>
    <w:rsid w:val="00E06726"/>
    <w:rsid w:val="00E078F3"/>
    <w:rsid w:val="00E07C71"/>
    <w:rsid w:val="00E10A4E"/>
    <w:rsid w:val="00E10E28"/>
    <w:rsid w:val="00E10ED4"/>
    <w:rsid w:val="00E1109B"/>
    <w:rsid w:val="00E134EF"/>
    <w:rsid w:val="00E13E76"/>
    <w:rsid w:val="00E13F4C"/>
    <w:rsid w:val="00E14447"/>
    <w:rsid w:val="00E14DAD"/>
    <w:rsid w:val="00E15AF5"/>
    <w:rsid w:val="00E16C0D"/>
    <w:rsid w:val="00E17247"/>
    <w:rsid w:val="00E2074D"/>
    <w:rsid w:val="00E21DB1"/>
    <w:rsid w:val="00E21E5F"/>
    <w:rsid w:val="00E22625"/>
    <w:rsid w:val="00E24540"/>
    <w:rsid w:val="00E25146"/>
    <w:rsid w:val="00E269DD"/>
    <w:rsid w:val="00E3046F"/>
    <w:rsid w:val="00E322B2"/>
    <w:rsid w:val="00E32F69"/>
    <w:rsid w:val="00E33195"/>
    <w:rsid w:val="00E375CF"/>
    <w:rsid w:val="00E37DF0"/>
    <w:rsid w:val="00E37F0D"/>
    <w:rsid w:val="00E37F81"/>
    <w:rsid w:val="00E403AF"/>
    <w:rsid w:val="00E4165F"/>
    <w:rsid w:val="00E42B56"/>
    <w:rsid w:val="00E4317C"/>
    <w:rsid w:val="00E44C09"/>
    <w:rsid w:val="00E453C8"/>
    <w:rsid w:val="00E46ECF"/>
    <w:rsid w:val="00E4727B"/>
    <w:rsid w:val="00E47447"/>
    <w:rsid w:val="00E47971"/>
    <w:rsid w:val="00E50FB5"/>
    <w:rsid w:val="00E5237E"/>
    <w:rsid w:val="00E524A7"/>
    <w:rsid w:val="00E53FCA"/>
    <w:rsid w:val="00E5478D"/>
    <w:rsid w:val="00E556D6"/>
    <w:rsid w:val="00E55907"/>
    <w:rsid w:val="00E55E00"/>
    <w:rsid w:val="00E56663"/>
    <w:rsid w:val="00E56726"/>
    <w:rsid w:val="00E57D63"/>
    <w:rsid w:val="00E61392"/>
    <w:rsid w:val="00E621E6"/>
    <w:rsid w:val="00E63476"/>
    <w:rsid w:val="00E6460C"/>
    <w:rsid w:val="00E66415"/>
    <w:rsid w:val="00E67624"/>
    <w:rsid w:val="00E67941"/>
    <w:rsid w:val="00E6799E"/>
    <w:rsid w:val="00E704E7"/>
    <w:rsid w:val="00E7086A"/>
    <w:rsid w:val="00E711EB"/>
    <w:rsid w:val="00E7134A"/>
    <w:rsid w:val="00E71880"/>
    <w:rsid w:val="00E73289"/>
    <w:rsid w:val="00E7432E"/>
    <w:rsid w:val="00E75879"/>
    <w:rsid w:val="00E7675E"/>
    <w:rsid w:val="00E76B47"/>
    <w:rsid w:val="00E76D3B"/>
    <w:rsid w:val="00E77918"/>
    <w:rsid w:val="00E80513"/>
    <w:rsid w:val="00E8145B"/>
    <w:rsid w:val="00E82EDC"/>
    <w:rsid w:val="00E83106"/>
    <w:rsid w:val="00E84C9E"/>
    <w:rsid w:val="00E8573D"/>
    <w:rsid w:val="00E86186"/>
    <w:rsid w:val="00E86F02"/>
    <w:rsid w:val="00E879BF"/>
    <w:rsid w:val="00E87BE6"/>
    <w:rsid w:val="00E90204"/>
    <w:rsid w:val="00E91E9C"/>
    <w:rsid w:val="00E92496"/>
    <w:rsid w:val="00E92921"/>
    <w:rsid w:val="00E92CAE"/>
    <w:rsid w:val="00E950ED"/>
    <w:rsid w:val="00E96084"/>
    <w:rsid w:val="00E96748"/>
    <w:rsid w:val="00E967AB"/>
    <w:rsid w:val="00E97323"/>
    <w:rsid w:val="00E9743D"/>
    <w:rsid w:val="00EA0723"/>
    <w:rsid w:val="00EA151C"/>
    <w:rsid w:val="00EA15B5"/>
    <w:rsid w:val="00EA3177"/>
    <w:rsid w:val="00EA444D"/>
    <w:rsid w:val="00EA46DD"/>
    <w:rsid w:val="00EA4E3C"/>
    <w:rsid w:val="00EA5A30"/>
    <w:rsid w:val="00EA6958"/>
    <w:rsid w:val="00EA7588"/>
    <w:rsid w:val="00EA7C59"/>
    <w:rsid w:val="00EB079B"/>
    <w:rsid w:val="00EB0F00"/>
    <w:rsid w:val="00EB106B"/>
    <w:rsid w:val="00EB2C16"/>
    <w:rsid w:val="00EB3098"/>
    <w:rsid w:val="00EB34D7"/>
    <w:rsid w:val="00EB4105"/>
    <w:rsid w:val="00EB5D24"/>
    <w:rsid w:val="00EB61E6"/>
    <w:rsid w:val="00EB68B3"/>
    <w:rsid w:val="00EC0968"/>
    <w:rsid w:val="00EC0B72"/>
    <w:rsid w:val="00EC0D4E"/>
    <w:rsid w:val="00EC2B42"/>
    <w:rsid w:val="00EC30AD"/>
    <w:rsid w:val="00EC3C96"/>
    <w:rsid w:val="00EC5A5E"/>
    <w:rsid w:val="00ED0E35"/>
    <w:rsid w:val="00ED255D"/>
    <w:rsid w:val="00ED2694"/>
    <w:rsid w:val="00ED2CCA"/>
    <w:rsid w:val="00ED78C4"/>
    <w:rsid w:val="00EE0B76"/>
    <w:rsid w:val="00EE1640"/>
    <w:rsid w:val="00EE1DC7"/>
    <w:rsid w:val="00EE1E73"/>
    <w:rsid w:val="00EE1FE4"/>
    <w:rsid w:val="00EE3BA4"/>
    <w:rsid w:val="00EE5177"/>
    <w:rsid w:val="00EE562F"/>
    <w:rsid w:val="00EE5FA8"/>
    <w:rsid w:val="00EE6C1F"/>
    <w:rsid w:val="00EE7174"/>
    <w:rsid w:val="00EF0FA9"/>
    <w:rsid w:val="00EF332D"/>
    <w:rsid w:val="00EF4290"/>
    <w:rsid w:val="00EF4642"/>
    <w:rsid w:val="00EF6D78"/>
    <w:rsid w:val="00EF7F78"/>
    <w:rsid w:val="00F01AFF"/>
    <w:rsid w:val="00F0261D"/>
    <w:rsid w:val="00F0341D"/>
    <w:rsid w:val="00F03BCC"/>
    <w:rsid w:val="00F04505"/>
    <w:rsid w:val="00F04D7C"/>
    <w:rsid w:val="00F051CE"/>
    <w:rsid w:val="00F06FA2"/>
    <w:rsid w:val="00F11671"/>
    <w:rsid w:val="00F13CA1"/>
    <w:rsid w:val="00F13D10"/>
    <w:rsid w:val="00F1458F"/>
    <w:rsid w:val="00F14FCA"/>
    <w:rsid w:val="00F152EF"/>
    <w:rsid w:val="00F1593A"/>
    <w:rsid w:val="00F1650F"/>
    <w:rsid w:val="00F166EA"/>
    <w:rsid w:val="00F16DD9"/>
    <w:rsid w:val="00F17A7C"/>
    <w:rsid w:val="00F2213A"/>
    <w:rsid w:val="00F22671"/>
    <w:rsid w:val="00F25B40"/>
    <w:rsid w:val="00F25BD1"/>
    <w:rsid w:val="00F260AE"/>
    <w:rsid w:val="00F2688B"/>
    <w:rsid w:val="00F271C9"/>
    <w:rsid w:val="00F2720E"/>
    <w:rsid w:val="00F2725F"/>
    <w:rsid w:val="00F2798F"/>
    <w:rsid w:val="00F323BC"/>
    <w:rsid w:val="00F329EC"/>
    <w:rsid w:val="00F3353D"/>
    <w:rsid w:val="00F33EE1"/>
    <w:rsid w:val="00F3428F"/>
    <w:rsid w:val="00F34484"/>
    <w:rsid w:val="00F34C99"/>
    <w:rsid w:val="00F3595B"/>
    <w:rsid w:val="00F4003E"/>
    <w:rsid w:val="00F419F7"/>
    <w:rsid w:val="00F42044"/>
    <w:rsid w:val="00F42A16"/>
    <w:rsid w:val="00F442CD"/>
    <w:rsid w:val="00F45B9F"/>
    <w:rsid w:val="00F46C32"/>
    <w:rsid w:val="00F4771E"/>
    <w:rsid w:val="00F47BD3"/>
    <w:rsid w:val="00F524D5"/>
    <w:rsid w:val="00F52695"/>
    <w:rsid w:val="00F527D6"/>
    <w:rsid w:val="00F5315C"/>
    <w:rsid w:val="00F537FD"/>
    <w:rsid w:val="00F53BE5"/>
    <w:rsid w:val="00F54D4F"/>
    <w:rsid w:val="00F6050A"/>
    <w:rsid w:val="00F6268F"/>
    <w:rsid w:val="00F64622"/>
    <w:rsid w:val="00F64829"/>
    <w:rsid w:val="00F648A4"/>
    <w:rsid w:val="00F64F60"/>
    <w:rsid w:val="00F661E7"/>
    <w:rsid w:val="00F6688E"/>
    <w:rsid w:val="00F66BF4"/>
    <w:rsid w:val="00F67E61"/>
    <w:rsid w:val="00F709F7"/>
    <w:rsid w:val="00F70F2D"/>
    <w:rsid w:val="00F7136B"/>
    <w:rsid w:val="00F71915"/>
    <w:rsid w:val="00F71BF1"/>
    <w:rsid w:val="00F71CAD"/>
    <w:rsid w:val="00F73169"/>
    <w:rsid w:val="00F73277"/>
    <w:rsid w:val="00F73508"/>
    <w:rsid w:val="00F7523B"/>
    <w:rsid w:val="00F7535F"/>
    <w:rsid w:val="00F75473"/>
    <w:rsid w:val="00F75971"/>
    <w:rsid w:val="00F76651"/>
    <w:rsid w:val="00F77275"/>
    <w:rsid w:val="00F77B26"/>
    <w:rsid w:val="00F83199"/>
    <w:rsid w:val="00F83225"/>
    <w:rsid w:val="00F84D32"/>
    <w:rsid w:val="00F85173"/>
    <w:rsid w:val="00F877CC"/>
    <w:rsid w:val="00F87825"/>
    <w:rsid w:val="00F87F40"/>
    <w:rsid w:val="00F90804"/>
    <w:rsid w:val="00F90CC9"/>
    <w:rsid w:val="00F91116"/>
    <w:rsid w:val="00F913FC"/>
    <w:rsid w:val="00F931E0"/>
    <w:rsid w:val="00FA0AF2"/>
    <w:rsid w:val="00FA0FB3"/>
    <w:rsid w:val="00FA2706"/>
    <w:rsid w:val="00FA32D9"/>
    <w:rsid w:val="00FA3861"/>
    <w:rsid w:val="00FA465C"/>
    <w:rsid w:val="00FA59AD"/>
    <w:rsid w:val="00FA5E49"/>
    <w:rsid w:val="00FA67BC"/>
    <w:rsid w:val="00FA6F28"/>
    <w:rsid w:val="00FA7A0C"/>
    <w:rsid w:val="00FB0E38"/>
    <w:rsid w:val="00FB1083"/>
    <w:rsid w:val="00FB1FFC"/>
    <w:rsid w:val="00FB2C8F"/>
    <w:rsid w:val="00FB32FE"/>
    <w:rsid w:val="00FB748E"/>
    <w:rsid w:val="00FC4B25"/>
    <w:rsid w:val="00FC501B"/>
    <w:rsid w:val="00FC6327"/>
    <w:rsid w:val="00FC7D7F"/>
    <w:rsid w:val="00FD011C"/>
    <w:rsid w:val="00FD0B45"/>
    <w:rsid w:val="00FD3D51"/>
    <w:rsid w:val="00FD5851"/>
    <w:rsid w:val="00FE08E9"/>
    <w:rsid w:val="00FE2AC4"/>
    <w:rsid w:val="00FE30C1"/>
    <w:rsid w:val="00FE3184"/>
    <w:rsid w:val="00FE319A"/>
    <w:rsid w:val="00FE400F"/>
    <w:rsid w:val="00FE626B"/>
    <w:rsid w:val="00FE6336"/>
    <w:rsid w:val="00FE79C1"/>
    <w:rsid w:val="00FF100A"/>
    <w:rsid w:val="00FF11D2"/>
    <w:rsid w:val="00FF1CC6"/>
    <w:rsid w:val="00FF347E"/>
    <w:rsid w:val="00FF639C"/>
    <w:rsid w:val="00FF6502"/>
    <w:rsid w:val="00FF6AD8"/>
    <w:rsid w:val="00FF7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uiPriority="0"/>
    <w:lsdException w:name="caption" w:locked="1" w:uiPriority="0" w:qFormat="1"/>
    <w:lsdException w:name="footnote reference" w:locked="1" w:semiHidden="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AA"/>
  </w:style>
  <w:style w:type="paragraph" w:styleId="Heading2">
    <w:name w:val="heading 2"/>
    <w:basedOn w:val="Normal"/>
    <w:next w:val="Normal"/>
    <w:link w:val="Heading2Char"/>
    <w:uiPriority w:val="99"/>
    <w:qFormat/>
    <w:rsid w:val="00DA0EAA"/>
    <w:pPr>
      <w:keepNext/>
      <w:tabs>
        <w:tab w:val="left" w:pos="72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E1027"/>
    <w:rPr>
      <w:rFonts w:ascii="Cambria" w:hAnsi="Cambria" w:cs="Times New Roman"/>
      <w:b/>
      <w:bCs/>
      <w:i/>
      <w:iCs/>
      <w:sz w:val="28"/>
      <w:szCs w:val="28"/>
    </w:rPr>
  </w:style>
  <w:style w:type="paragraph" w:styleId="BalloonText">
    <w:name w:val="Balloon Text"/>
    <w:basedOn w:val="Normal"/>
    <w:link w:val="BalloonTextChar"/>
    <w:uiPriority w:val="99"/>
    <w:semiHidden/>
    <w:rsid w:val="00074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027"/>
    <w:rPr>
      <w:rFonts w:ascii="Tahoma" w:hAnsi="Tahoma" w:cs="Tahoma"/>
      <w:sz w:val="16"/>
      <w:szCs w:val="16"/>
    </w:rPr>
  </w:style>
  <w:style w:type="character" w:styleId="LineNumber">
    <w:name w:val="line number"/>
    <w:basedOn w:val="DefaultParagraphFont"/>
    <w:uiPriority w:val="99"/>
    <w:rsid w:val="00DA0EAA"/>
    <w:rPr>
      <w:rFonts w:ascii="Times New Roman" w:hAnsi="Times New Roman" w:cs="Times New Roman"/>
      <w:sz w:val="24"/>
    </w:rPr>
  </w:style>
  <w:style w:type="paragraph" w:styleId="BodyTextIndent">
    <w:name w:val="Body Text Indent"/>
    <w:basedOn w:val="Normal"/>
    <w:link w:val="BodyTextIndentChar"/>
    <w:uiPriority w:val="99"/>
    <w:rsid w:val="00DA0EAA"/>
    <w:pPr>
      <w:tabs>
        <w:tab w:val="left" w:pos="720"/>
      </w:tabs>
      <w:spacing w:line="480" w:lineRule="auto"/>
      <w:ind w:left="720" w:hanging="720"/>
      <w:jc w:val="both"/>
    </w:pPr>
    <w:rPr>
      <w:sz w:val="24"/>
    </w:rPr>
  </w:style>
  <w:style w:type="character" w:customStyle="1" w:styleId="BodyTextIndentChar">
    <w:name w:val="Body Text Indent Char"/>
    <w:basedOn w:val="DefaultParagraphFont"/>
    <w:link w:val="BodyTextIndent"/>
    <w:uiPriority w:val="99"/>
    <w:semiHidden/>
    <w:locked/>
    <w:rsid w:val="003E1027"/>
    <w:rPr>
      <w:rFonts w:cs="Times New Roman"/>
      <w:sz w:val="20"/>
      <w:szCs w:val="20"/>
    </w:rPr>
  </w:style>
  <w:style w:type="paragraph" w:styleId="BodyTextIndent2">
    <w:name w:val="Body Text Indent 2"/>
    <w:basedOn w:val="Normal"/>
    <w:link w:val="BodyTextIndent2Char"/>
    <w:uiPriority w:val="99"/>
    <w:rsid w:val="00DA0EAA"/>
    <w:pPr>
      <w:tabs>
        <w:tab w:val="left" w:pos="720"/>
      </w:tabs>
      <w:spacing w:line="480" w:lineRule="auto"/>
      <w:ind w:left="720" w:hanging="720"/>
    </w:pPr>
    <w:rPr>
      <w:sz w:val="24"/>
    </w:rPr>
  </w:style>
  <w:style w:type="character" w:customStyle="1" w:styleId="BodyTextIndent2Char">
    <w:name w:val="Body Text Indent 2 Char"/>
    <w:basedOn w:val="DefaultParagraphFont"/>
    <w:link w:val="BodyTextIndent2"/>
    <w:uiPriority w:val="99"/>
    <w:locked/>
    <w:rsid w:val="003E1027"/>
    <w:rPr>
      <w:rFonts w:cs="Times New Roman"/>
      <w:sz w:val="20"/>
      <w:szCs w:val="20"/>
    </w:rPr>
  </w:style>
  <w:style w:type="paragraph" w:styleId="DocumentMap">
    <w:name w:val="Document Map"/>
    <w:basedOn w:val="Normal"/>
    <w:link w:val="DocumentMapChar"/>
    <w:uiPriority w:val="99"/>
    <w:semiHidden/>
    <w:rsid w:val="00A77F7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E1027"/>
    <w:rPr>
      <w:rFonts w:ascii="Tahoma" w:hAnsi="Tahoma" w:cs="Tahoma"/>
      <w:sz w:val="16"/>
      <w:szCs w:val="16"/>
    </w:rPr>
  </w:style>
  <w:style w:type="paragraph" w:styleId="Closing">
    <w:name w:val="Closing"/>
    <w:basedOn w:val="Normal"/>
    <w:link w:val="ClosingChar"/>
    <w:uiPriority w:val="99"/>
    <w:rsid w:val="001944AA"/>
    <w:pPr>
      <w:ind w:left="4320"/>
    </w:pPr>
  </w:style>
  <w:style w:type="character" w:customStyle="1" w:styleId="ClosingChar">
    <w:name w:val="Closing Char"/>
    <w:basedOn w:val="DefaultParagraphFont"/>
    <w:link w:val="Closing"/>
    <w:uiPriority w:val="99"/>
    <w:semiHidden/>
    <w:locked/>
    <w:rsid w:val="003E1027"/>
    <w:rPr>
      <w:rFonts w:cs="Times New Roman"/>
      <w:sz w:val="20"/>
      <w:szCs w:val="20"/>
    </w:rPr>
  </w:style>
  <w:style w:type="paragraph" w:styleId="BodyText3">
    <w:name w:val="Body Text 3"/>
    <w:basedOn w:val="Normal"/>
    <w:link w:val="BodyText3Char"/>
    <w:uiPriority w:val="99"/>
    <w:rsid w:val="003D161C"/>
    <w:pPr>
      <w:spacing w:after="120"/>
    </w:pPr>
    <w:rPr>
      <w:sz w:val="16"/>
      <w:szCs w:val="16"/>
    </w:rPr>
  </w:style>
  <w:style w:type="character" w:customStyle="1" w:styleId="BodyText3Char">
    <w:name w:val="Body Text 3 Char"/>
    <w:basedOn w:val="DefaultParagraphFont"/>
    <w:link w:val="BodyText3"/>
    <w:uiPriority w:val="99"/>
    <w:semiHidden/>
    <w:locked/>
    <w:rsid w:val="003E1027"/>
    <w:rPr>
      <w:rFonts w:cs="Times New Roman"/>
      <w:sz w:val="16"/>
      <w:szCs w:val="16"/>
    </w:rPr>
  </w:style>
  <w:style w:type="character" w:styleId="CommentReference">
    <w:name w:val="annotation reference"/>
    <w:basedOn w:val="DefaultParagraphFont"/>
    <w:uiPriority w:val="99"/>
    <w:semiHidden/>
    <w:rsid w:val="00074240"/>
    <w:rPr>
      <w:rFonts w:cs="Times New Roman"/>
      <w:sz w:val="16"/>
      <w:szCs w:val="16"/>
    </w:rPr>
  </w:style>
  <w:style w:type="paragraph" w:styleId="CommentText">
    <w:name w:val="annotation text"/>
    <w:basedOn w:val="Normal"/>
    <w:link w:val="CommentTextChar"/>
    <w:uiPriority w:val="99"/>
    <w:rsid w:val="00074240"/>
  </w:style>
  <w:style w:type="character" w:customStyle="1" w:styleId="CommentTextChar">
    <w:name w:val="Comment Text Char"/>
    <w:basedOn w:val="DefaultParagraphFont"/>
    <w:link w:val="CommentText"/>
    <w:uiPriority w:val="99"/>
    <w:locked/>
    <w:rsid w:val="00072D57"/>
    <w:rPr>
      <w:rFonts w:cs="Times New Roman"/>
      <w:lang w:val="en-US" w:eastAsia="en-US" w:bidi="ar-SA"/>
    </w:rPr>
  </w:style>
  <w:style w:type="paragraph" w:styleId="CommentSubject">
    <w:name w:val="annotation subject"/>
    <w:basedOn w:val="CommentText"/>
    <w:next w:val="CommentText"/>
    <w:link w:val="CommentSubjectChar"/>
    <w:uiPriority w:val="99"/>
    <w:semiHidden/>
    <w:rsid w:val="00074240"/>
    <w:rPr>
      <w:b/>
      <w:bCs/>
    </w:rPr>
  </w:style>
  <w:style w:type="character" w:customStyle="1" w:styleId="CommentSubjectChar">
    <w:name w:val="Comment Subject Char"/>
    <w:basedOn w:val="CommentTextChar"/>
    <w:link w:val="CommentSubject"/>
    <w:uiPriority w:val="99"/>
    <w:semiHidden/>
    <w:locked/>
    <w:rsid w:val="003E1027"/>
    <w:rPr>
      <w:b/>
      <w:bCs/>
      <w:sz w:val="20"/>
      <w:szCs w:val="20"/>
    </w:rPr>
  </w:style>
  <w:style w:type="paragraph" w:styleId="Header">
    <w:name w:val="header"/>
    <w:basedOn w:val="Normal"/>
    <w:link w:val="HeaderChar"/>
    <w:rsid w:val="001C1EC2"/>
    <w:pPr>
      <w:tabs>
        <w:tab w:val="center" w:pos="4320"/>
        <w:tab w:val="right" w:pos="8640"/>
      </w:tabs>
    </w:pPr>
  </w:style>
  <w:style w:type="character" w:customStyle="1" w:styleId="HeaderChar">
    <w:name w:val="Header Char"/>
    <w:basedOn w:val="DefaultParagraphFont"/>
    <w:link w:val="Header"/>
    <w:locked/>
    <w:rsid w:val="003E1027"/>
    <w:rPr>
      <w:rFonts w:cs="Times New Roman"/>
      <w:sz w:val="20"/>
      <w:szCs w:val="20"/>
    </w:rPr>
  </w:style>
  <w:style w:type="paragraph" w:styleId="Footer">
    <w:name w:val="footer"/>
    <w:basedOn w:val="Normal"/>
    <w:link w:val="FooterChar"/>
    <w:uiPriority w:val="99"/>
    <w:rsid w:val="001C1EC2"/>
    <w:pPr>
      <w:tabs>
        <w:tab w:val="center" w:pos="4320"/>
        <w:tab w:val="right" w:pos="8640"/>
      </w:tabs>
    </w:pPr>
  </w:style>
  <w:style w:type="character" w:customStyle="1" w:styleId="FooterChar">
    <w:name w:val="Footer Char"/>
    <w:basedOn w:val="DefaultParagraphFont"/>
    <w:link w:val="Footer"/>
    <w:uiPriority w:val="99"/>
    <w:semiHidden/>
    <w:locked/>
    <w:rsid w:val="003E1027"/>
    <w:rPr>
      <w:rFonts w:cs="Times New Roman"/>
      <w:sz w:val="20"/>
      <w:szCs w:val="20"/>
    </w:rPr>
  </w:style>
  <w:style w:type="character" w:styleId="PageNumber">
    <w:name w:val="page number"/>
    <w:basedOn w:val="DefaultParagraphFont"/>
    <w:uiPriority w:val="99"/>
    <w:rsid w:val="001C1EC2"/>
    <w:rPr>
      <w:rFonts w:cs="Times New Roman"/>
    </w:rPr>
  </w:style>
  <w:style w:type="table" w:styleId="TableGrid">
    <w:name w:val="Table Grid"/>
    <w:basedOn w:val="TableNormal"/>
    <w:uiPriority w:val="99"/>
    <w:rsid w:val="0017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EE7174"/>
    <w:pPr>
      <w:spacing w:after="160" w:line="240" w:lineRule="exact"/>
    </w:pPr>
    <w:rPr>
      <w:rFonts w:ascii="Verdana" w:hAnsi="Verdana"/>
    </w:rPr>
  </w:style>
  <w:style w:type="paragraph" w:styleId="BodyTextIndent3">
    <w:name w:val="Body Text Indent 3"/>
    <w:basedOn w:val="Normal"/>
    <w:link w:val="BodyTextIndent3Char"/>
    <w:uiPriority w:val="99"/>
    <w:rsid w:val="00BD003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E1027"/>
    <w:rPr>
      <w:rFonts w:cs="Times New Roman"/>
      <w:sz w:val="16"/>
      <w:szCs w:val="16"/>
    </w:rPr>
  </w:style>
  <w:style w:type="paragraph" w:customStyle="1" w:styleId="CharCharCharCharCharChar">
    <w:name w:val="Char Char Char Char Char Char"/>
    <w:basedOn w:val="Normal"/>
    <w:uiPriority w:val="99"/>
    <w:rsid w:val="0028373A"/>
    <w:pPr>
      <w:widowControl w:val="0"/>
      <w:adjustRightInd w:val="0"/>
      <w:spacing w:after="160" w:line="240" w:lineRule="exact"/>
      <w:jc w:val="both"/>
      <w:textAlignment w:val="baseline"/>
    </w:pPr>
    <w:rPr>
      <w:rFonts w:ascii="Verdana" w:hAnsi="Verdana"/>
    </w:rPr>
  </w:style>
  <w:style w:type="paragraph" w:customStyle="1" w:styleId="CharChar">
    <w:name w:val="Char Char"/>
    <w:basedOn w:val="Normal"/>
    <w:uiPriority w:val="99"/>
    <w:rsid w:val="007D7539"/>
    <w:pPr>
      <w:widowControl w:val="0"/>
      <w:adjustRightInd w:val="0"/>
      <w:spacing w:after="160" w:line="240" w:lineRule="exact"/>
      <w:jc w:val="both"/>
      <w:textAlignment w:val="baseline"/>
    </w:pPr>
    <w:rPr>
      <w:rFonts w:ascii="Verdana" w:hAnsi="Verdana"/>
    </w:rPr>
  </w:style>
  <w:style w:type="paragraph" w:styleId="FootnoteText">
    <w:name w:val="footnote text"/>
    <w:aliases w:val="Footnote Text Char1,ALTS FOOTNOTE Char,ALTS FOOTNOTE,fn,Footnote Text 2,Footnote text,FOOTNOTE,fn Char Char,Footnote Text Char Char1,ft Char Char,Footnote Text Char3 Char Char,Footnote Text Char2 Char Char Char"/>
    <w:basedOn w:val="Normal"/>
    <w:link w:val="FootnoteTextChar"/>
    <w:uiPriority w:val="99"/>
    <w:rsid w:val="0024446F"/>
  </w:style>
  <w:style w:type="character" w:customStyle="1" w:styleId="FootnoteTextChar">
    <w:name w:val="Footnote Text Char"/>
    <w:aliases w:val="Footnote Text Char1 Char1,ALTS FOOTNOTE Char Char1,ALTS FOOTNOTE Char2,fn Char1,Footnote Text 2 Char1,Footnote text Char1,FOOTNOTE Char1,fn Char Char Char1,Footnote Text Char Char1 Char1,ft Char Char Char1"/>
    <w:basedOn w:val="DefaultParagraphFont"/>
    <w:link w:val="FootnoteText"/>
    <w:uiPriority w:val="99"/>
    <w:locked/>
    <w:rsid w:val="003E1027"/>
    <w:rPr>
      <w:rFonts w:cs="Times New Roman"/>
      <w:sz w:val="20"/>
      <w:szCs w:val="20"/>
    </w:rPr>
  </w:style>
  <w:style w:type="character" w:styleId="FootnoteReference">
    <w:name w:val="footnote reference"/>
    <w:basedOn w:val="DefaultParagraphFont"/>
    <w:uiPriority w:val="99"/>
    <w:rsid w:val="0024446F"/>
    <w:rPr>
      <w:rFonts w:cs="Times New Roman"/>
      <w:vertAlign w:val="superscript"/>
    </w:rPr>
  </w:style>
  <w:style w:type="paragraph" w:styleId="ListParagraph">
    <w:name w:val="List Paragraph"/>
    <w:basedOn w:val="Normal"/>
    <w:uiPriority w:val="99"/>
    <w:qFormat/>
    <w:rsid w:val="00632935"/>
    <w:pPr>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rsid w:val="00632935"/>
    <w:pPr>
      <w:spacing w:after="120" w:line="480" w:lineRule="auto"/>
    </w:pPr>
    <w:rPr>
      <w:rFonts w:ascii="Calibri" w:hAnsi="Calibri"/>
      <w:sz w:val="22"/>
      <w:szCs w:val="22"/>
    </w:rPr>
  </w:style>
  <w:style w:type="character" w:customStyle="1" w:styleId="BodyText2Char">
    <w:name w:val="Body Text 2 Char"/>
    <w:basedOn w:val="DefaultParagraphFont"/>
    <w:link w:val="BodyText2"/>
    <w:uiPriority w:val="99"/>
    <w:locked/>
    <w:rsid w:val="00632935"/>
    <w:rPr>
      <w:rFonts w:ascii="Calibri" w:eastAsia="Times New Roman" w:hAnsi="Calibri" w:cs="Times New Roman"/>
      <w:sz w:val="22"/>
      <w:szCs w:val="22"/>
    </w:rPr>
  </w:style>
  <w:style w:type="table" w:customStyle="1" w:styleId="LightList1">
    <w:name w:val="Light List1"/>
    <w:basedOn w:val="TableNormal"/>
    <w:uiPriority w:val="99"/>
    <w:rsid w:val="00632935"/>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Char10">
    <w:name w:val="Char Char10"/>
    <w:basedOn w:val="DefaultParagraphFont"/>
    <w:uiPriority w:val="99"/>
    <w:semiHidden/>
    <w:rsid w:val="00C02901"/>
    <w:rPr>
      <w:rFonts w:cs="Times New Roman"/>
      <w:sz w:val="20"/>
      <w:szCs w:val="20"/>
    </w:rPr>
  </w:style>
  <w:style w:type="paragraph" w:styleId="Revision">
    <w:name w:val="Revision"/>
    <w:hidden/>
    <w:uiPriority w:val="99"/>
    <w:semiHidden/>
    <w:rsid w:val="00EA46DD"/>
  </w:style>
  <w:style w:type="paragraph" w:customStyle="1" w:styleId="AutoNumBodyCharCharCharChar">
    <w:name w:val="AutoNum Body Char Char Char Char"/>
    <w:basedOn w:val="Normal"/>
    <w:link w:val="AutoNumBodyCharCharCharCharChar"/>
    <w:autoRedefine/>
    <w:qFormat/>
    <w:rsid w:val="00D567F7"/>
    <w:pPr>
      <w:widowControl w:val="0"/>
      <w:spacing w:line="480" w:lineRule="auto"/>
      <w:ind w:left="720"/>
    </w:pPr>
    <w:rPr>
      <w:color w:val="000000"/>
      <w:sz w:val="24"/>
      <w:szCs w:val="24"/>
    </w:rPr>
  </w:style>
  <w:style w:type="character" w:customStyle="1" w:styleId="AutoNumBodyCharCharCharCharChar">
    <w:name w:val="AutoNum Body Char Char Char Char Char"/>
    <w:basedOn w:val="DefaultParagraphFont"/>
    <w:link w:val="AutoNumBodyCharCharCharChar"/>
    <w:rsid w:val="00D567F7"/>
    <w:rPr>
      <w:color w:val="000000"/>
      <w:sz w:val="24"/>
      <w:szCs w:val="24"/>
    </w:rPr>
  </w:style>
  <w:style w:type="character" w:customStyle="1" w:styleId="FootnoteTextChar2">
    <w:name w:val="Footnote Text Char2"/>
    <w:aliases w:val="Footnote Text Char1 Char,ALTS FOOTNOTE Char Char,ALTS FOOTNOTE Char1,fn Char,Footnote Text 2 Char,Footnote text Char,FOOTNOTE Char,fn Char Char Char,Footnote Text Char Char1 Char,ft Char Char Char,Footnote Text Char3 Char Char Char"/>
    <w:basedOn w:val="DefaultParagraphFont"/>
    <w:uiPriority w:val="99"/>
    <w:rsid w:val="004579E2"/>
    <w:rPr>
      <w:lang w:val="en-US" w:eastAsia="en-US" w:bidi="ar-SA"/>
    </w:rPr>
  </w:style>
  <w:style w:type="paragraph" w:styleId="EndnoteText">
    <w:name w:val="endnote text"/>
    <w:basedOn w:val="Normal"/>
    <w:link w:val="EndnoteTextChar"/>
    <w:uiPriority w:val="99"/>
    <w:semiHidden/>
    <w:unhideWhenUsed/>
    <w:rsid w:val="00AF0664"/>
  </w:style>
  <w:style w:type="character" w:customStyle="1" w:styleId="EndnoteTextChar">
    <w:name w:val="Endnote Text Char"/>
    <w:basedOn w:val="DefaultParagraphFont"/>
    <w:link w:val="EndnoteText"/>
    <w:uiPriority w:val="99"/>
    <w:semiHidden/>
    <w:rsid w:val="00AF0664"/>
  </w:style>
  <w:style w:type="character" w:styleId="EndnoteReference">
    <w:name w:val="endnote reference"/>
    <w:basedOn w:val="DefaultParagraphFont"/>
    <w:uiPriority w:val="99"/>
    <w:semiHidden/>
    <w:unhideWhenUsed/>
    <w:rsid w:val="00AF0664"/>
    <w:rPr>
      <w:vertAlign w:val="superscript"/>
    </w:rPr>
  </w:style>
  <w:style w:type="character" w:customStyle="1" w:styleId="DeltaViewInsertion">
    <w:name w:val="DeltaView Insertion"/>
    <w:uiPriority w:val="99"/>
    <w:rsid w:val="002B3D96"/>
    <w:rPr>
      <w:color w:val="0000FF"/>
      <w:u w:val="double"/>
    </w:rPr>
  </w:style>
  <w:style w:type="paragraph" w:customStyle="1" w:styleId="Question">
    <w:name w:val="Question"/>
    <w:basedOn w:val="Normal"/>
    <w:link w:val="QuestionChar"/>
    <w:rsid w:val="00BB18E9"/>
    <w:pPr>
      <w:spacing w:line="480" w:lineRule="auto"/>
      <w:ind w:left="720" w:hanging="720"/>
      <w:jc w:val="both"/>
    </w:pPr>
    <w:rPr>
      <w:b/>
      <w:bCs/>
      <w:sz w:val="24"/>
    </w:rPr>
  </w:style>
  <w:style w:type="character" w:customStyle="1" w:styleId="QuestionChar">
    <w:name w:val="Question Char"/>
    <w:basedOn w:val="DefaultParagraphFont"/>
    <w:link w:val="Question"/>
    <w:rsid w:val="00BB18E9"/>
    <w:rPr>
      <w:b/>
      <w:bCs/>
      <w:sz w:val="24"/>
    </w:rPr>
  </w:style>
</w:styles>
</file>

<file path=word/webSettings.xml><?xml version="1.0" encoding="utf-8"?>
<w:webSettings xmlns:r="http://schemas.openxmlformats.org/officeDocument/2006/relationships" xmlns:w="http://schemas.openxmlformats.org/wordprocessingml/2006/main">
  <w:divs>
    <w:div w:id="865559003">
      <w:bodyDiv w:val="1"/>
      <w:marLeft w:val="0"/>
      <w:marRight w:val="0"/>
      <w:marTop w:val="0"/>
      <w:marBottom w:val="0"/>
      <w:divBdr>
        <w:top w:val="none" w:sz="0" w:space="0" w:color="auto"/>
        <w:left w:val="none" w:sz="0" w:space="0" w:color="auto"/>
        <w:bottom w:val="none" w:sz="0" w:space="0" w:color="auto"/>
        <w:right w:val="none" w:sz="0" w:space="0" w:color="auto"/>
      </w:divBdr>
    </w:div>
    <w:div w:id="1453860086">
      <w:bodyDiv w:val="1"/>
      <w:marLeft w:val="0"/>
      <w:marRight w:val="0"/>
      <w:marTop w:val="0"/>
      <w:marBottom w:val="0"/>
      <w:divBdr>
        <w:top w:val="none" w:sz="0" w:space="0" w:color="auto"/>
        <w:left w:val="none" w:sz="0" w:space="0" w:color="auto"/>
        <w:bottom w:val="none" w:sz="0" w:space="0" w:color="auto"/>
        <w:right w:val="none" w:sz="0" w:space="0" w:color="auto"/>
      </w:divBdr>
    </w:div>
    <w:div w:id="1453934818">
      <w:marLeft w:val="0"/>
      <w:marRight w:val="0"/>
      <w:marTop w:val="0"/>
      <w:marBottom w:val="0"/>
      <w:divBdr>
        <w:top w:val="none" w:sz="0" w:space="0" w:color="auto"/>
        <w:left w:val="none" w:sz="0" w:space="0" w:color="auto"/>
        <w:bottom w:val="none" w:sz="0" w:space="0" w:color="auto"/>
        <w:right w:val="none" w:sz="0" w:space="0" w:color="auto"/>
      </w:divBdr>
    </w:div>
    <w:div w:id="1453934819">
      <w:marLeft w:val="0"/>
      <w:marRight w:val="0"/>
      <w:marTop w:val="0"/>
      <w:marBottom w:val="0"/>
      <w:divBdr>
        <w:top w:val="none" w:sz="0" w:space="0" w:color="auto"/>
        <w:left w:val="none" w:sz="0" w:space="0" w:color="auto"/>
        <w:bottom w:val="none" w:sz="0" w:space="0" w:color="auto"/>
        <w:right w:val="none" w:sz="0" w:space="0" w:color="auto"/>
      </w:divBdr>
    </w:div>
    <w:div w:id="1453934822">
      <w:marLeft w:val="0"/>
      <w:marRight w:val="0"/>
      <w:marTop w:val="0"/>
      <w:marBottom w:val="0"/>
      <w:divBdr>
        <w:top w:val="none" w:sz="0" w:space="0" w:color="auto"/>
        <w:left w:val="none" w:sz="0" w:space="0" w:color="auto"/>
        <w:bottom w:val="none" w:sz="0" w:space="0" w:color="auto"/>
        <w:right w:val="none" w:sz="0" w:space="0" w:color="auto"/>
      </w:divBdr>
      <w:divsChild>
        <w:div w:id="1453934820">
          <w:marLeft w:val="0"/>
          <w:marRight w:val="0"/>
          <w:marTop w:val="0"/>
          <w:marBottom w:val="0"/>
          <w:divBdr>
            <w:top w:val="none" w:sz="0" w:space="0" w:color="auto"/>
            <w:left w:val="none" w:sz="0" w:space="0" w:color="auto"/>
            <w:bottom w:val="none" w:sz="0" w:space="0" w:color="auto"/>
            <w:right w:val="none" w:sz="0" w:space="0" w:color="auto"/>
          </w:divBdr>
        </w:div>
        <w:div w:id="1453934821">
          <w:marLeft w:val="0"/>
          <w:marRight w:val="0"/>
          <w:marTop w:val="0"/>
          <w:marBottom w:val="0"/>
          <w:divBdr>
            <w:top w:val="none" w:sz="0" w:space="0" w:color="auto"/>
            <w:left w:val="none" w:sz="0" w:space="0" w:color="auto"/>
            <w:bottom w:val="none" w:sz="0" w:space="0" w:color="auto"/>
            <w:right w:val="none" w:sz="0" w:space="0" w:color="auto"/>
          </w:divBdr>
        </w:div>
      </w:divsChild>
    </w:div>
    <w:div w:id="1453934823">
      <w:marLeft w:val="0"/>
      <w:marRight w:val="0"/>
      <w:marTop w:val="0"/>
      <w:marBottom w:val="0"/>
      <w:divBdr>
        <w:top w:val="none" w:sz="0" w:space="0" w:color="auto"/>
        <w:left w:val="none" w:sz="0" w:space="0" w:color="auto"/>
        <w:bottom w:val="none" w:sz="0" w:space="0" w:color="auto"/>
        <w:right w:val="none" w:sz="0" w:space="0" w:color="auto"/>
      </w:divBdr>
    </w:div>
    <w:div w:id="1772820848">
      <w:bodyDiv w:val="1"/>
      <w:marLeft w:val="0"/>
      <w:marRight w:val="0"/>
      <w:marTop w:val="0"/>
      <w:marBottom w:val="0"/>
      <w:divBdr>
        <w:top w:val="none" w:sz="0" w:space="0" w:color="auto"/>
        <w:left w:val="none" w:sz="0" w:space="0" w:color="auto"/>
        <w:bottom w:val="none" w:sz="0" w:space="0" w:color="auto"/>
        <w:right w:val="none" w:sz="0" w:space="0" w:color="auto"/>
      </w:divBdr>
    </w:div>
    <w:div w:id="20566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2011-09-30T07:00:00+00:00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50BEA6-79A3-40A1-A177-13C182EE681B}"/>
</file>

<file path=customXml/itemProps2.xml><?xml version="1.0" encoding="utf-8"?>
<ds:datastoreItem xmlns:ds="http://schemas.openxmlformats.org/officeDocument/2006/customXml" ds:itemID="{C8F727EF-C4C7-411F-B5F2-3FE79B25AA50}"/>
</file>

<file path=customXml/itemProps3.xml><?xml version="1.0" encoding="utf-8"?>
<ds:datastoreItem xmlns:ds="http://schemas.openxmlformats.org/officeDocument/2006/customXml" ds:itemID="{D451DBCD-8CDD-4565-8BA9-1005912FB02A}"/>
</file>

<file path=customXml/itemProps4.xml><?xml version="1.0" encoding="utf-8"?>
<ds:datastoreItem xmlns:ds="http://schemas.openxmlformats.org/officeDocument/2006/customXml" ds:itemID="{B3EDC6F6-BC34-4172-8D4C-619517F785C2}"/>
</file>

<file path=customXml/itemProps5.xml><?xml version="1.0" encoding="utf-8"?>
<ds:datastoreItem xmlns:ds="http://schemas.openxmlformats.org/officeDocument/2006/customXml" ds:itemID="{D5440542-86EE-455C-9C8B-8822A9FBCDD3}"/>
</file>

<file path=docProps/app.xml><?xml version="1.0" encoding="utf-8"?>
<Properties xmlns="http://schemas.openxmlformats.org/officeDocument/2006/extended-properties" xmlns:vt="http://schemas.openxmlformats.org/officeDocument/2006/docPropsVTypes">
  <Template>Normal.dotm</Template>
  <TotalTime>0</TotalTime>
  <Pages>13</Pages>
  <Words>3244</Words>
  <Characters>17307</Characters>
  <Application>Microsoft Office Word</Application>
  <DocSecurity>0</DocSecurity>
  <Lines>144</Lines>
  <Paragraphs>41</Paragraphs>
  <ScaleCrop>false</ScaleCrop>
  <Company/>
  <LinksUpToDate>false</LinksUpToDate>
  <CharactersWithSpaces>20510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2011-09-30T18:44:00Z</dcterms:created>
  <dcterms:modified xsi:type="dcterms:W3CDTF">2011-09-30T18:44:00Z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