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E2072" w14:textId="77777777" w:rsidR="003B422D" w:rsidRDefault="003B422D" w:rsidP="003B422D">
      <w:pPr>
        <w:pStyle w:val="NoSpacing"/>
        <w:jc w:val="center"/>
        <w:rPr>
          <w:sz w:val="14"/>
        </w:rPr>
      </w:pPr>
      <w:r>
        <w:rPr>
          <w:noProof/>
        </w:rPr>
        <w:drawing>
          <wp:inline distT="0" distB="0" distL="0" distR="0" wp14:anchorId="42EE1704" wp14:editId="42F5C51D">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F5FA129" w14:textId="77777777" w:rsidR="003B422D" w:rsidRDefault="003B422D" w:rsidP="003B422D">
      <w:pPr>
        <w:pStyle w:val="NoSpacing"/>
        <w:jc w:val="center"/>
        <w:rPr>
          <w:rFonts w:ascii="Arial" w:hAnsi="Arial"/>
          <w:b/>
          <w:color w:val="008000"/>
          <w:sz w:val="18"/>
        </w:rPr>
      </w:pPr>
    </w:p>
    <w:p w14:paraId="52B68386" w14:textId="77777777" w:rsidR="003B422D" w:rsidRDefault="003B422D" w:rsidP="003B422D">
      <w:pPr>
        <w:pStyle w:val="NoSpacing"/>
        <w:spacing w:after="80"/>
        <w:jc w:val="center"/>
        <w:rPr>
          <w:rFonts w:ascii="Arial" w:hAnsi="Arial"/>
          <w:b/>
          <w:color w:val="008000"/>
          <w:sz w:val="18"/>
        </w:rPr>
      </w:pPr>
      <w:r>
        <w:rPr>
          <w:rFonts w:ascii="Arial" w:hAnsi="Arial"/>
          <w:b/>
          <w:color w:val="008000"/>
          <w:sz w:val="18"/>
        </w:rPr>
        <w:t>STATE OF WASHINGTON</w:t>
      </w:r>
    </w:p>
    <w:p w14:paraId="3EE09F85" w14:textId="77777777" w:rsidR="003B422D" w:rsidRDefault="003B422D" w:rsidP="003B422D">
      <w:pPr>
        <w:pStyle w:val="NoSpacing"/>
        <w:spacing w:after="80"/>
        <w:jc w:val="center"/>
        <w:rPr>
          <w:rFonts w:ascii="Arial" w:hAnsi="Arial"/>
          <w:color w:val="008000"/>
          <w:sz w:val="28"/>
        </w:rPr>
      </w:pPr>
      <w:r>
        <w:rPr>
          <w:rFonts w:ascii="Arial" w:hAnsi="Arial"/>
          <w:color w:val="008000"/>
          <w:sz w:val="28"/>
        </w:rPr>
        <w:t>UTILITIES AND TRANSPORTATION COMMISSION</w:t>
      </w:r>
    </w:p>
    <w:p w14:paraId="4A54841D" w14:textId="77777777" w:rsidR="003B422D" w:rsidRDefault="003B422D" w:rsidP="003B422D">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275D1B5D" w14:textId="77777777" w:rsidR="003B422D" w:rsidRDefault="003B422D" w:rsidP="003B422D">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9EF758F" w14:textId="77777777" w:rsidR="002A66F0" w:rsidRPr="00435C9F" w:rsidRDefault="002A66F0" w:rsidP="00435C9F">
      <w:pPr>
        <w:tabs>
          <w:tab w:val="center" w:pos="4507"/>
          <w:tab w:val="right" w:pos="9000"/>
        </w:tabs>
        <w:spacing w:line="264" w:lineRule="auto"/>
        <w:ind w:right="115"/>
        <w:jc w:val="center"/>
        <w:rPr>
          <w:sz w:val="24"/>
          <w:lang w:eastAsia="zh-CN"/>
        </w:rPr>
      </w:pPr>
      <w:r w:rsidRPr="00435C9F">
        <w:rPr>
          <w:sz w:val="24"/>
          <w:lang w:eastAsia="zh-CN"/>
        </w:rPr>
        <w:t>March 11, 2016</w:t>
      </w:r>
    </w:p>
    <w:p w14:paraId="1D47EDAC" w14:textId="77777777" w:rsidR="00435C9F" w:rsidRPr="00435C9F" w:rsidRDefault="00435C9F" w:rsidP="00435C9F">
      <w:pPr>
        <w:tabs>
          <w:tab w:val="center" w:pos="4507"/>
          <w:tab w:val="right" w:pos="9000"/>
        </w:tabs>
        <w:spacing w:line="264" w:lineRule="auto"/>
        <w:ind w:right="115"/>
        <w:jc w:val="center"/>
        <w:rPr>
          <w:sz w:val="24"/>
          <w:lang w:eastAsia="zh-CN"/>
        </w:rPr>
      </w:pPr>
      <w:bookmarkStart w:id="0" w:name="_GoBack"/>
      <w:bookmarkEnd w:id="0"/>
    </w:p>
    <w:p w14:paraId="6B7597D4" w14:textId="77777777" w:rsidR="002A66F0" w:rsidRPr="00435C9F" w:rsidRDefault="002A66F0" w:rsidP="00435C9F">
      <w:pPr>
        <w:tabs>
          <w:tab w:val="center" w:pos="4507"/>
          <w:tab w:val="right" w:pos="9000"/>
        </w:tabs>
        <w:spacing w:line="264" w:lineRule="auto"/>
        <w:ind w:right="115"/>
        <w:jc w:val="center"/>
        <w:rPr>
          <w:b/>
          <w:sz w:val="24"/>
          <w:lang w:eastAsia="zh-CN"/>
        </w:rPr>
      </w:pPr>
      <w:r w:rsidRPr="00435C9F">
        <w:rPr>
          <w:b/>
          <w:sz w:val="24"/>
          <w:lang w:eastAsia="zh-CN"/>
        </w:rPr>
        <w:t>NOTICE OF HEARING</w:t>
      </w:r>
    </w:p>
    <w:p w14:paraId="194E90A3" w14:textId="77777777" w:rsidR="00025E0E" w:rsidRPr="00435C9F" w:rsidRDefault="00B85350" w:rsidP="00435C9F">
      <w:pPr>
        <w:tabs>
          <w:tab w:val="center" w:pos="4507"/>
          <w:tab w:val="right" w:pos="9000"/>
        </w:tabs>
        <w:spacing w:line="264" w:lineRule="auto"/>
        <w:ind w:right="115"/>
        <w:jc w:val="center"/>
        <w:rPr>
          <w:b/>
          <w:sz w:val="24"/>
          <w:lang w:eastAsia="zh-CN"/>
        </w:rPr>
      </w:pPr>
      <w:r w:rsidRPr="00435C9F">
        <w:rPr>
          <w:b/>
          <w:sz w:val="24"/>
          <w:lang w:eastAsia="zh-CN"/>
        </w:rPr>
        <w:t>(Set for Thursday, March 17</w:t>
      </w:r>
      <w:r w:rsidR="003B422D" w:rsidRPr="00435C9F">
        <w:rPr>
          <w:b/>
          <w:sz w:val="24"/>
          <w:lang w:eastAsia="zh-CN"/>
        </w:rPr>
        <w:t>, 2016,</w:t>
      </w:r>
      <w:r w:rsidRPr="00435C9F">
        <w:rPr>
          <w:b/>
          <w:sz w:val="24"/>
          <w:lang w:eastAsia="zh-CN"/>
        </w:rPr>
        <w:t xml:space="preserve"> at </w:t>
      </w:r>
      <w:r w:rsidR="00025E0E" w:rsidRPr="00435C9F">
        <w:rPr>
          <w:b/>
          <w:sz w:val="24"/>
          <w:lang w:eastAsia="zh-CN"/>
        </w:rPr>
        <w:t>9</w:t>
      </w:r>
      <w:r w:rsidRPr="00435C9F">
        <w:rPr>
          <w:b/>
          <w:sz w:val="24"/>
          <w:lang w:eastAsia="zh-CN"/>
        </w:rPr>
        <w:t xml:space="preserve">:30 </w:t>
      </w:r>
      <w:r w:rsidR="00025E0E" w:rsidRPr="00435C9F">
        <w:rPr>
          <w:b/>
          <w:sz w:val="24"/>
          <w:lang w:eastAsia="zh-CN"/>
        </w:rPr>
        <w:t>a</w:t>
      </w:r>
      <w:r w:rsidRPr="00435C9F">
        <w:rPr>
          <w:b/>
          <w:sz w:val="24"/>
          <w:lang w:eastAsia="zh-CN"/>
        </w:rPr>
        <w:t>.m.</w:t>
      </w:r>
      <w:r w:rsidR="003B422D" w:rsidRPr="00435C9F">
        <w:rPr>
          <w:b/>
          <w:sz w:val="24"/>
          <w:lang w:eastAsia="zh-CN"/>
        </w:rPr>
        <w:t>)</w:t>
      </w:r>
    </w:p>
    <w:p w14:paraId="760F70FD" w14:textId="77777777" w:rsidR="002A66F0" w:rsidRDefault="002A66F0" w:rsidP="00435C9F">
      <w:pPr>
        <w:tabs>
          <w:tab w:val="center" w:pos="4507"/>
          <w:tab w:val="right" w:pos="9000"/>
        </w:tabs>
        <w:spacing w:line="264" w:lineRule="auto"/>
        <w:ind w:right="115"/>
        <w:rPr>
          <w:sz w:val="24"/>
          <w:lang w:eastAsia="zh-CN"/>
        </w:rPr>
      </w:pPr>
    </w:p>
    <w:p w14:paraId="496E8775" w14:textId="77777777" w:rsidR="00435C9F" w:rsidRPr="00435C9F" w:rsidRDefault="00435C9F" w:rsidP="00435C9F">
      <w:pPr>
        <w:tabs>
          <w:tab w:val="center" w:pos="4507"/>
          <w:tab w:val="right" w:pos="9000"/>
        </w:tabs>
        <w:spacing w:line="264" w:lineRule="auto"/>
        <w:ind w:right="115"/>
        <w:rPr>
          <w:sz w:val="24"/>
          <w:lang w:eastAsia="zh-CN"/>
        </w:rPr>
      </w:pPr>
    </w:p>
    <w:p w14:paraId="304F5C8F" w14:textId="77777777" w:rsidR="00435C9F" w:rsidRPr="00435C9F" w:rsidRDefault="002A66F0" w:rsidP="00435C9F">
      <w:pPr>
        <w:spacing w:line="264" w:lineRule="auto"/>
        <w:ind w:left="720" w:hanging="720"/>
        <w:rPr>
          <w:rFonts w:eastAsia="Calibri"/>
          <w:sz w:val="24"/>
        </w:rPr>
      </w:pPr>
      <w:r w:rsidRPr="00435C9F">
        <w:rPr>
          <w:sz w:val="24"/>
          <w:lang w:eastAsia="zh-CN"/>
        </w:rPr>
        <w:t>RE:</w:t>
      </w:r>
      <w:r w:rsidRPr="00435C9F">
        <w:rPr>
          <w:sz w:val="24"/>
          <w:lang w:eastAsia="zh-CN"/>
        </w:rPr>
        <w:tab/>
      </w:r>
      <w:r w:rsidR="00435C9F" w:rsidRPr="00435C9F">
        <w:rPr>
          <w:rFonts w:eastAsia="Calibri"/>
          <w:i/>
          <w:sz w:val="24"/>
        </w:rPr>
        <w:t>In the Matter of the Petition of Puget Sound Energy and NW Energy Coalition For an Order Authorizing PSE to Implement Electric and Natural Gas Decoupling Mechanisms and to Record Accounting Entries Associated with the Mechanisms</w:t>
      </w:r>
      <w:r w:rsidR="00435C9F" w:rsidRPr="00435C9F">
        <w:rPr>
          <w:rFonts w:eastAsia="Calibri"/>
          <w:sz w:val="24"/>
        </w:rPr>
        <w:t xml:space="preserve">, Dockets UE-121697 and UG-121705 </w:t>
      </w:r>
      <w:r w:rsidR="00435C9F" w:rsidRPr="00435C9F">
        <w:rPr>
          <w:rFonts w:eastAsia="Calibri"/>
          <w:i/>
          <w:sz w:val="24"/>
        </w:rPr>
        <w:t>(Consolidated)</w:t>
      </w:r>
    </w:p>
    <w:p w14:paraId="6F9EB79B" w14:textId="77777777" w:rsidR="00435C9F" w:rsidRPr="00435C9F" w:rsidRDefault="00435C9F" w:rsidP="00435C9F">
      <w:pPr>
        <w:spacing w:line="264" w:lineRule="auto"/>
        <w:ind w:left="720" w:hanging="720"/>
        <w:rPr>
          <w:rFonts w:eastAsia="Calibri"/>
          <w:sz w:val="24"/>
        </w:rPr>
      </w:pPr>
    </w:p>
    <w:p w14:paraId="36F6B776" w14:textId="77777777" w:rsidR="00435C9F" w:rsidRPr="00435C9F" w:rsidRDefault="00435C9F" w:rsidP="00435C9F">
      <w:pPr>
        <w:spacing w:line="264" w:lineRule="auto"/>
        <w:ind w:left="720"/>
        <w:rPr>
          <w:sz w:val="24"/>
        </w:rPr>
      </w:pPr>
      <w:r w:rsidRPr="00435C9F">
        <w:rPr>
          <w:rFonts w:eastAsia="Calibri"/>
          <w:i/>
          <w:sz w:val="24"/>
        </w:rPr>
        <w:t>Washington Utilities and Transportation Commission v. Puget Sound Energy,</w:t>
      </w:r>
      <w:r w:rsidRPr="00435C9F">
        <w:rPr>
          <w:rFonts w:eastAsia="Calibri"/>
          <w:sz w:val="24"/>
        </w:rPr>
        <w:t xml:space="preserve"> Dockets UE-130137 and UG-130138 </w:t>
      </w:r>
      <w:r w:rsidRPr="00435C9F">
        <w:rPr>
          <w:rFonts w:eastAsia="Calibri"/>
          <w:i/>
          <w:sz w:val="24"/>
        </w:rPr>
        <w:t>(Consolidated)</w:t>
      </w:r>
    </w:p>
    <w:p w14:paraId="31E8F0FA" w14:textId="77777777" w:rsidR="008E0E80" w:rsidRPr="00435C9F" w:rsidRDefault="008E0E80" w:rsidP="00435C9F">
      <w:pPr>
        <w:spacing w:line="264" w:lineRule="auto"/>
        <w:rPr>
          <w:sz w:val="24"/>
        </w:rPr>
      </w:pPr>
    </w:p>
    <w:p w14:paraId="507168C2" w14:textId="119C2890" w:rsidR="00B85350" w:rsidRPr="00435C9F" w:rsidRDefault="00B85350" w:rsidP="00435C9F">
      <w:pPr>
        <w:spacing w:line="264" w:lineRule="auto"/>
        <w:rPr>
          <w:sz w:val="24"/>
        </w:rPr>
      </w:pPr>
      <w:r w:rsidRPr="00435C9F">
        <w:rPr>
          <w:sz w:val="24"/>
        </w:rPr>
        <w:t>TO ALL PARTIES:</w:t>
      </w:r>
    </w:p>
    <w:p w14:paraId="29CCAE53" w14:textId="77777777" w:rsidR="00B85350" w:rsidRPr="00435C9F" w:rsidRDefault="00B85350" w:rsidP="00435C9F">
      <w:pPr>
        <w:spacing w:line="264" w:lineRule="auto"/>
        <w:rPr>
          <w:sz w:val="24"/>
        </w:rPr>
      </w:pPr>
    </w:p>
    <w:p w14:paraId="2C486372" w14:textId="77777777" w:rsidR="002A66F0" w:rsidRPr="00435C9F" w:rsidRDefault="002A66F0" w:rsidP="00435C9F">
      <w:pPr>
        <w:spacing w:line="264" w:lineRule="auto"/>
        <w:rPr>
          <w:color w:val="000000"/>
          <w:sz w:val="24"/>
        </w:rPr>
      </w:pPr>
      <w:r w:rsidRPr="00435C9F">
        <w:rPr>
          <w:color w:val="000000"/>
          <w:sz w:val="24"/>
        </w:rPr>
        <w:t>In Order 07 in these dockets, the Washington Utilities and Transportation Commission (Commission) authorized, for Puget Sound Energy (PSE), a multi-year rate plan with an annual escalation factor, also referred to as the K-factor. The Commission also “approve[d] the NWEC/PSE Amended Decoupling Petition and allow[ed] the proposed electric and natural gas decoupling mechanisms to become effective as filed.”</w:t>
      </w:r>
      <w:r w:rsidRPr="00435C9F">
        <w:rPr>
          <w:rStyle w:val="FootnoteReference"/>
          <w:color w:val="000000"/>
          <w:sz w:val="24"/>
        </w:rPr>
        <w:footnoteReference w:id="1"/>
      </w:r>
      <w:r w:rsidRPr="00435C9F">
        <w:rPr>
          <w:color w:val="000000"/>
          <w:sz w:val="24"/>
        </w:rPr>
        <w:t xml:space="preserve"> The Amended Decoupling Mechanisms included a rate case stay out period providing that:  </w:t>
      </w:r>
    </w:p>
    <w:p w14:paraId="701BD637" w14:textId="77777777" w:rsidR="002A66F0" w:rsidRPr="00435C9F" w:rsidRDefault="002A66F0" w:rsidP="00435C9F">
      <w:pPr>
        <w:spacing w:line="264" w:lineRule="auto"/>
        <w:rPr>
          <w:color w:val="000000"/>
          <w:sz w:val="24"/>
        </w:rPr>
      </w:pPr>
    </w:p>
    <w:p w14:paraId="76F5F8F5" w14:textId="77777777" w:rsidR="008E0E80" w:rsidRPr="00435C9F" w:rsidRDefault="002A66F0" w:rsidP="00435C9F">
      <w:pPr>
        <w:spacing w:line="264" w:lineRule="auto"/>
        <w:ind w:left="720" w:right="720"/>
        <w:rPr>
          <w:color w:val="000000"/>
          <w:sz w:val="24"/>
        </w:rPr>
      </w:pPr>
      <w:r w:rsidRPr="00435C9F">
        <w:rPr>
          <w:color w:val="000000"/>
          <w:sz w:val="24"/>
        </w:rPr>
        <w:t>The mechanism will remain in place, at a minimum, until the effective date of new rates set in PSE’s next general rate case. PSE will file a general rate case no sooner than April 1, 2015, and no later than April 1, 2016, unless otherwise agreed to by the parties to PSE’s last general rate case.”</w:t>
      </w:r>
      <w:r w:rsidRPr="00435C9F">
        <w:rPr>
          <w:rStyle w:val="FootnoteReference"/>
          <w:color w:val="000000"/>
          <w:sz w:val="24"/>
        </w:rPr>
        <w:footnoteReference w:id="2"/>
      </w:r>
      <w:r w:rsidRPr="00435C9F">
        <w:rPr>
          <w:color w:val="000000"/>
          <w:sz w:val="24"/>
        </w:rPr>
        <w:t xml:space="preserve"> </w:t>
      </w:r>
    </w:p>
    <w:p w14:paraId="555CCE4E" w14:textId="77777777" w:rsidR="002A66F0" w:rsidRPr="00435C9F" w:rsidRDefault="002A66F0" w:rsidP="00435C9F">
      <w:pPr>
        <w:spacing w:line="264" w:lineRule="auto"/>
        <w:ind w:left="720" w:right="720"/>
        <w:rPr>
          <w:color w:val="000000"/>
          <w:sz w:val="24"/>
        </w:rPr>
      </w:pPr>
    </w:p>
    <w:p w14:paraId="6463778D" w14:textId="77777777" w:rsidR="002A66F0" w:rsidRPr="00435C9F" w:rsidRDefault="002A66F0" w:rsidP="00435C9F">
      <w:pPr>
        <w:spacing w:line="264" w:lineRule="auto"/>
        <w:rPr>
          <w:color w:val="000000"/>
          <w:sz w:val="24"/>
        </w:rPr>
      </w:pPr>
      <w:r w:rsidRPr="00435C9F">
        <w:rPr>
          <w:sz w:val="24"/>
        </w:rPr>
        <w:t xml:space="preserve">On March 9, 2016, </w:t>
      </w:r>
      <w:r w:rsidR="00B85350" w:rsidRPr="00435C9F">
        <w:rPr>
          <w:sz w:val="24"/>
        </w:rPr>
        <w:t xml:space="preserve">PSE, </w:t>
      </w:r>
      <w:r w:rsidR="00B85350" w:rsidRPr="00435C9F">
        <w:rPr>
          <w:color w:val="000000"/>
          <w:sz w:val="24"/>
        </w:rPr>
        <w:t>Commission</w:t>
      </w:r>
      <w:r w:rsidR="00B85350" w:rsidRPr="00435C9F">
        <w:rPr>
          <w:iCs/>
          <w:color w:val="000000"/>
          <w:sz w:val="24"/>
        </w:rPr>
        <w:t xml:space="preserve"> Regulatory</w:t>
      </w:r>
      <w:r w:rsidR="00B85350" w:rsidRPr="00435C9F">
        <w:rPr>
          <w:color w:val="000000"/>
          <w:sz w:val="24"/>
        </w:rPr>
        <w:t xml:space="preserve"> Staff</w:t>
      </w:r>
      <w:r w:rsidR="00B85350" w:rsidRPr="00435C9F">
        <w:rPr>
          <w:iCs/>
          <w:color w:val="000000"/>
          <w:sz w:val="24"/>
        </w:rPr>
        <w:t xml:space="preserve"> (Staff)</w:t>
      </w:r>
      <w:r w:rsidR="00B85350" w:rsidRPr="00435C9F">
        <w:rPr>
          <w:color w:val="000000"/>
          <w:sz w:val="24"/>
        </w:rPr>
        <w:t xml:space="preserve">, </w:t>
      </w:r>
      <w:r w:rsidR="00B85350" w:rsidRPr="00435C9F">
        <w:rPr>
          <w:iCs/>
          <w:color w:val="000000"/>
          <w:sz w:val="24"/>
        </w:rPr>
        <w:t xml:space="preserve">the </w:t>
      </w:r>
      <w:r w:rsidR="00B85350" w:rsidRPr="00435C9F">
        <w:rPr>
          <w:color w:val="000000"/>
          <w:sz w:val="24"/>
        </w:rPr>
        <w:t>Public Counsel</w:t>
      </w:r>
      <w:r w:rsidR="00B85350" w:rsidRPr="00435C9F">
        <w:rPr>
          <w:iCs/>
          <w:color w:val="000000"/>
          <w:sz w:val="24"/>
        </w:rPr>
        <w:t xml:space="preserve"> Unit of the Office of Attorney General (Public Counsel)</w:t>
      </w:r>
      <w:r w:rsidR="00B85350" w:rsidRPr="00435C9F">
        <w:rPr>
          <w:color w:val="000000"/>
          <w:sz w:val="24"/>
        </w:rPr>
        <w:t>, Industrial Customers of Northwest Utilities, Northwest Industrial Gas Users, The Energy Project, NW Energy Coalition</w:t>
      </w:r>
      <w:r w:rsidR="00B85350" w:rsidRPr="00435C9F">
        <w:rPr>
          <w:iCs/>
          <w:color w:val="000000"/>
          <w:sz w:val="24"/>
        </w:rPr>
        <w:t xml:space="preserve"> (NWEC)</w:t>
      </w:r>
      <w:r w:rsidR="00B85350" w:rsidRPr="00435C9F">
        <w:rPr>
          <w:color w:val="000000"/>
          <w:sz w:val="24"/>
        </w:rPr>
        <w:t>, Federal Executive Agencies</w:t>
      </w:r>
      <w:r w:rsidR="00B85350" w:rsidRPr="00435C9F">
        <w:rPr>
          <w:iCs/>
          <w:color w:val="000000"/>
          <w:sz w:val="24"/>
        </w:rPr>
        <w:t xml:space="preserve"> </w:t>
      </w:r>
      <w:r w:rsidR="00B85350" w:rsidRPr="00435C9F">
        <w:rPr>
          <w:color w:val="000000"/>
          <w:sz w:val="24"/>
        </w:rPr>
        <w:t>and the Sierra Club</w:t>
      </w:r>
      <w:r w:rsidR="00B85350" w:rsidRPr="00435C9F">
        <w:rPr>
          <w:iCs/>
          <w:color w:val="000000"/>
          <w:sz w:val="24"/>
        </w:rPr>
        <w:t xml:space="preserve"> (collectively Joint Petitioners), filed their “Joint Petition </w:t>
      </w:r>
      <w:r w:rsidR="00B85350" w:rsidRPr="00435C9F">
        <w:rPr>
          <w:iCs/>
          <w:color w:val="000000"/>
          <w:sz w:val="24"/>
        </w:rPr>
        <w:lastRenderedPageBreak/>
        <w:t xml:space="preserve">to Modify 0rder 07” by extending the date by which PSE must file a general rate case until no later than January 17, 2017. The remaining parties in these dockets, </w:t>
      </w:r>
      <w:r w:rsidR="00B85350" w:rsidRPr="00435C9F">
        <w:rPr>
          <w:color w:val="000000"/>
          <w:sz w:val="24"/>
        </w:rPr>
        <w:t>Nucor Steel, Kroger, and Cost Management Services</w:t>
      </w:r>
      <w:r w:rsidR="00B85350" w:rsidRPr="00435C9F">
        <w:rPr>
          <w:iCs/>
          <w:color w:val="000000"/>
          <w:sz w:val="24"/>
        </w:rPr>
        <w:t xml:space="preserve"> do not oppose the relief requested, according to the Joint Petition</w:t>
      </w:r>
      <w:r w:rsidR="00B85350" w:rsidRPr="00435C9F">
        <w:rPr>
          <w:color w:val="000000"/>
          <w:sz w:val="24"/>
        </w:rPr>
        <w:t>.</w:t>
      </w:r>
      <w:r w:rsidR="00B85350" w:rsidRPr="00435C9F">
        <w:rPr>
          <w:rStyle w:val="FootnoteReference"/>
          <w:iCs/>
          <w:color w:val="000000"/>
          <w:sz w:val="24"/>
        </w:rPr>
        <w:footnoteReference w:id="3"/>
      </w:r>
    </w:p>
    <w:p w14:paraId="56EE47AB" w14:textId="77777777" w:rsidR="00025E0E" w:rsidRPr="00435C9F" w:rsidRDefault="00025E0E" w:rsidP="00435C9F">
      <w:pPr>
        <w:spacing w:line="264" w:lineRule="auto"/>
        <w:rPr>
          <w:color w:val="000000"/>
          <w:sz w:val="24"/>
        </w:rPr>
      </w:pPr>
    </w:p>
    <w:p w14:paraId="0E405719" w14:textId="77777777" w:rsidR="00025E0E" w:rsidRPr="00435C9F" w:rsidRDefault="00025E0E" w:rsidP="00435C9F">
      <w:pPr>
        <w:spacing w:line="264" w:lineRule="auto"/>
        <w:rPr>
          <w:color w:val="000000"/>
          <w:sz w:val="24"/>
        </w:rPr>
      </w:pPr>
      <w:r w:rsidRPr="00435C9F">
        <w:rPr>
          <w:color w:val="000000"/>
          <w:sz w:val="24"/>
        </w:rPr>
        <w:t>The Joint Petition states the relief requested is in the public interest for several reasons, including that:</w:t>
      </w:r>
    </w:p>
    <w:p w14:paraId="555A03BE" w14:textId="77777777" w:rsidR="00025E0E" w:rsidRPr="00435C9F" w:rsidRDefault="00025E0E" w:rsidP="00435C9F">
      <w:pPr>
        <w:spacing w:line="264" w:lineRule="auto"/>
        <w:rPr>
          <w:color w:val="000000"/>
          <w:sz w:val="24"/>
        </w:rPr>
      </w:pPr>
    </w:p>
    <w:p w14:paraId="794E698F" w14:textId="77777777" w:rsidR="00025E0E" w:rsidRPr="00435C9F" w:rsidRDefault="00025E0E" w:rsidP="00435C9F">
      <w:pPr>
        <w:spacing w:line="264" w:lineRule="auto"/>
        <w:ind w:left="1166" w:right="720" w:hanging="446"/>
        <w:rPr>
          <w:sz w:val="24"/>
        </w:rPr>
      </w:pPr>
      <w:r w:rsidRPr="00435C9F">
        <w:rPr>
          <w:sz w:val="24"/>
        </w:rPr>
        <w:t>•</w:t>
      </w:r>
      <w:r w:rsidRPr="00435C9F">
        <w:rPr>
          <w:sz w:val="24"/>
        </w:rPr>
        <w:tab/>
        <w:t>PSE is continuing to work towards developing a plan to address the future of Colstrip Units 1 and 2 and the additional nine months will provide time for PSE to work with stakeholders and prepare a proposal to include in its 2017 general rate case filing to address the future of these coal fired generation plants.</w:t>
      </w:r>
    </w:p>
    <w:p w14:paraId="50349579" w14:textId="77777777" w:rsidR="00025E0E" w:rsidRPr="00435C9F" w:rsidRDefault="00025E0E" w:rsidP="00435C9F">
      <w:pPr>
        <w:spacing w:line="264" w:lineRule="auto"/>
        <w:rPr>
          <w:sz w:val="24"/>
        </w:rPr>
      </w:pPr>
    </w:p>
    <w:p w14:paraId="0C572CFC" w14:textId="77777777" w:rsidR="00025E0E" w:rsidRPr="00435C9F" w:rsidRDefault="00025E0E" w:rsidP="00435C9F">
      <w:pPr>
        <w:spacing w:line="264" w:lineRule="auto"/>
        <w:ind w:left="1170" w:right="720" w:hanging="450"/>
        <w:rPr>
          <w:sz w:val="24"/>
        </w:rPr>
      </w:pPr>
      <w:r w:rsidRPr="00435C9F">
        <w:rPr>
          <w:sz w:val="24"/>
        </w:rPr>
        <w:t>•</w:t>
      </w:r>
      <w:r w:rsidRPr="00435C9F">
        <w:rPr>
          <w:sz w:val="24"/>
        </w:rPr>
        <w:tab/>
        <w:t>A filing in January 2017 will alleviate some of the workload pressures Staff, Public Counsel, and other intervenors face considering the several other rate cases and other significant filings that are currently pending with the Commission.</w:t>
      </w:r>
    </w:p>
    <w:p w14:paraId="076573DA" w14:textId="77777777" w:rsidR="009C381F" w:rsidRPr="00435C9F" w:rsidRDefault="009C381F" w:rsidP="00435C9F">
      <w:pPr>
        <w:spacing w:line="264" w:lineRule="auto"/>
        <w:rPr>
          <w:sz w:val="24"/>
        </w:rPr>
      </w:pPr>
    </w:p>
    <w:p w14:paraId="5A1A1D6D" w14:textId="77777777" w:rsidR="00084DF7" w:rsidRPr="00435C9F" w:rsidRDefault="009C381F" w:rsidP="00435C9F">
      <w:pPr>
        <w:spacing w:line="264" w:lineRule="auto"/>
        <w:rPr>
          <w:sz w:val="24"/>
        </w:rPr>
      </w:pPr>
      <w:r w:rsidRPr="00435C9F">
        <w:rPr>
          <w:sz w:val="24"/>
        </w:rPr>
        <w:t xml:space="preserve">Accomplishment of these purposes may be in the public interest. </w:t>
      </w:r>
      <w:r w:rsidR="003B422D" w:rsidRPr="00435C9F">
        <w:rPr>
          <w:sz w:val="24"/>
        </w:rPr>
        <w:t xml:space="preserve">However, the Commission seeks clarity </w:t>
      </w:r>
      <w:r w:rsidR="00045475">
        <w:rPr>
          <w:sz w:val="24"/>
        </w:rPr>
        <w:t>about</w:t>
      </w:r>
      <w:r w:rsidR="003B422D" w:rsidRPr="00435C9F">
        <w:rPr>
          <w:sz w:val="24"/>
        </w:rPr>
        <w:t xml:space="preserve"> certain statements contained in the petition.</w:t>
      </w:r>
    </w:p>
    <w:p w14:paraId="36E7D762" w14:textId="77777777" w:rsidR="00084DF7" w:rsidRPr="00435C9F" w:rsidRDefault="00084DF7" w:rsidP="00435C9F">
      <w:pPr>
        <w:spacing w:line="264" w:lineRule="auto"/>
        <w:rPr>
          <w:sz w:val="24"/>
        </w:rPr>
      </w:pPr>
    </w:p>
    <w:p w14:paraId="773E9CF2" w14:textId="77777777" w:rsidR="009C381F" w:rsidRPr="00435C9F" w:rsidRDefault="009C381F" w:rsidP="00435C9F">
      <w:pPr>
        <w:spacing w:line="264" w:lineRule="auto"/>
        <w:rPr>
          <w:sz w:val="24"/>
        </w:rPr>
      </w:pPr>
      <w:r w:rsidRPr="00435C9F">
        <w:rPr>
          <w:sz w:val="24"/>
        </w:rPr>
        <w:t>Among other things, we observe that while paragraph 8 subsection d of the Joint Petition states that “</w:t>
      </w:r>
      <w:r w:rsidRPr="00435C9F">
        <w:rPr>
          <w:color w:val="000000"/>
          <w:sz w:val="24"/>
        </w:rPr>
        <w:t>[t]he Joint Petitioners agree that there will be no extension of the rate plan beyond what the Commission has previously authorized</w:t>
      </w:r>
      <w:r w:rsidR="00784DE4" w:rsidRPr="00435C9F">
        <w:rPr>
          <w:color w:val="000000"/>
          <w:sz w:val="24"/>
        </w:rPr>
        <w:t>.</w:t>
      </w:r>
      <w:r w:rsidRPr="00435C9F">
        <w:rPr>
          <w:sz w:val="24"/>
        </w:rPr>
        <w:t xml:space="preserve">” </w:t>
      </w:r>
      <w:r w:rsidR="00784DE4" w:rsidRPr="00435C9F">
        <w:rPr>
          <w:sz w:val="24"/>
        </w:rPr>
        <w:t>This assertion appears to be at odds with the facts that r</w:t>
      </w:r>
      <w:r w:rsidR="00084DF7" w:rsidRPr="00435C9F">
        <w:rPr>
          <w:sz w:val="24"/>
        </w:rPr>
        <w:t>ates under the</w:t>
      </w:r>
      <w:r w:rsidR="00784DE4" w:rsidRPr="00435C9F">
        <w:rPr>
          <w:sz w:val="24"/>
        </w:rPr>
        <w:t xml:space="preserve"> “previously</w:t>
      </w:r>
      <w:r w:rsidR="00084DF7" w:rsidRPr="00435C9F">
        <w:rPr>
          <w:sz w:val="24"/>
        </w:rPr>
        <w:t xml:space="preserve"> authorized</w:t>
      </w:r>
      <w:r w:rsidR="00784DE4" w:rsidRPr="00435C9F">
        <w:rPr>
          <w:sz w:val="24"/>
        </w:rPr>
        <w:t>”</w:t>
      </w:r>
      <w:r w:rsidR="00084DF7" w:rsidRPr="00435C9F">
        <w:rPr>
          <w:sz w:val="24"/>
        </w:rPr>
        <w:t xml:space="preserve"> rate plan would be effective </w:t>
      </w:r>
      <w:r w:rsidR="00784DE4" w:rsidRPr="00435C9F">
        <w:rPr>
          <w:sz w:val="24"/>
        </w:rPr>
        <w:t>through early 2016 at the latest (</w:t>
      </w:r>
      <w:r w:rsidR="00784DE4" w:rsidRPr="00435C9F">
        <w:rPr>
          <w:i/>
          <w:sz w:val="24"/>
        </w:rPr>
        <w:t>i.e.,</w:t>
      </w:r>
      <w:r w:rsidR="00784DE4" w:rsidRPr="00435C9F">
        <w:rPr>
          <w:sz w:val="24"/>
        </w:rPr>
        <w:t xml:space="preserve"> during the pendency of the general rate case proceeding PSE is required under Order 07 to file no later than April 1, 2016), but the Joint Petition explains that “</w:t>
      </w:r>
      <w:r w:rsidR="00784DE4" w:rsidRPr="00435C9F">
        <w:rPr>
          <w:color w:val="000000"/>
          <w:sz w:val="24"/>
        </w:rPr>
        <w:t>the filings in this docket include monthly allowed revenue per customer values through December 2017.</w:t>
      </w:r>
      <w:r w:rsidR="00784DE4" w:rsidRPr="00435C9F">
        <w:rPr>
          <w:sz w:val="24"/>
        </w:rPr>
        <w:t xml:space="preserve">” </w:t>
      </w:r>
      <w:r w:rsidRPr="00435C9F">
        <w:rPr>
          <w:sz w:val="24"/>
        </w:rPr>
        <w:t>It appears that this continuation of the rate plan</w:t>
      </w:r>
      <w:r w:rsidR="00784DE4" w:rsidRPr="00435C9F">
        <w:rPr>
          <w:sz w:val="24"/>
        </w:rPr>
        <w:t xml:space="preserve"> through 2017</w:t>
      </w:r>
      <w:r w:rsidRPr="00435C9F">
        <w:rPr>
          <w:sz w:val="24"/>
        </w:rPr>
        <w:t xml:space="preserve"> will include further escalation of rates </w:t>
      </w:r>
      <w:r w:rsidR="00084DF7" w:rsidRPr="00435C9F">
        <w:rPr>
          <w:sz w:val="24"/>
        </w:rPr>
        <w:t>as discussed in paragraph 8</w:t>
      </w:r>
      <w:r w:rsidR="00784DE4" w:rsidRPr="00435C9F">
        <w:rPr>
          <w:sz w:val="24"/>
        </w:rPr>
        <w:t>,</w:t>
      </w:r>
      <w:r w:rsidR="00084DF7" w:rsidRPr="00435C9F">
        <w:rPr>
          <w:sz w:val="24"/>
        </w:rPr>
        <w:t xml:space="preserve"> subsection d</w:t>
      </w:r>
      <w:r w:rsidR="00784DE4" w:rsidRPr="00435C9F">
        <w:rPr>
          <w:sz w:val="24"/>
        </w:rPr>
        <w:t>,</w:t>
      </w:r>
      <w:r w:rsidR="00084DF7" w:rsidRPr="00435C9F">
        <w:rPr>
          <w:sz w:val="24"/>
        </w:rPr>
        <w:t xml:space="preserve"> and as set out in Attachment A to the Joint Petition. It is unclear from the face of the Joint Petition and Attachment A how the values in these updated Revenue Per Customer tables for gas and electric rates were determined. Nor is there any explanation of what rationale supports the </w:t>
      </w:r>
      <w:r w:rsidR="00784DE4" w:rsidRPr="00435C9F">
        <w:rPr>
          <w:sz w:val="24"/>
        </w:rPr>
        <w:t xml:space="preserve">Joint Petitioners </w:t>
      </w:r>
      <w:r w:rsidR="00084DF7" w:rsidRPr="00435C9F">
        <w:rPr>
          <w:sz w:val="24"/>
        </w:rPr>
        <w:t xml:space="preserve">proposal to increase rates </w:t>
      </w:r>
      <w:r w:rsidR="00784DE4" w:rsidRPr="00435C9F">
        <w:rPr>
          <w:sz w:val="24"/>
        </w:rPr>
        <w:t>each month during 2017</w:t>
      </w:r>
      <w:r w:rsidR="00084DF7" w:rsidRPr="00435C9F">
        <w:rPr>
          <w:sz w:val="24"/>
        </w:rPr>
        <w:t>.</w:t>
      </w:r>
    </w:p>
    <w:p w14:paraId="3817E1A8" w14:textId="77777777" w:rsidR="00784DE4" w:rsidRPr="00435C9F" w:rsidRDefault="00784DE4" w:rsidP="00435C9F">
      <w:pPr>
        <w:spacing w:line="264" w:lineRule="auto"/>
        <w:rPr>
          <w:sz w:val="24"/>
        </w:rPr>
      </w:pPr>
    </w:p>
    <w:p w14:paraId="0738B9AF" w14:textId="77777777" w:rsidR="00784DE4" w:rsidRPr="00435C9F" w:rsidRDefault="003B422D" w:rsidP="00435C9F">
      <w:pPr>
        <w:spacing w:line="264" w:lineRule="auto"/>
        <w:rPr>
          <w:sz w:val="24"/>
        </w:rPr>
      </w:pPr>
      <w:r w:rsidRPr="00435C9F">
        <w:rPr>
          <w:sz w:val="24"/>
        </w:rPr>
        <w:t>T</w:t>
      </w:r>
      <w:r w:rsidR="00772DAD" w:rsidRPr="00435C9F">
        <w:rPr>
          <w:sz w:val="24"/>
        </w:rPr>
        <w:t xml:space="preserve">he Commission </w:t>
      </w:r>
      <w:r w:rsidRPr="00435C9F">
        <w:rPr>
          <w:sz w:val="24"/>
        </w:rPr>
        <w:t>seeks clarity on these provisions, and co</w:t>
      </w:r>
      <w:r w:rsidR="00772DAD" w:rsidRPr="00435C9F">
        <w:rPr>
          <w:sz w:val="24"/>
        </w:rPr>
        <w:t>ncludes it is necessary to conduct a hearing at an early date to allow an opportunity for colloquy between the Commissioner and the parties prior to the Commission acting on the Joint Petition.</w:t>
      </w:r>
    </w:p>
    <w:p w14:paraId="26382546" w14:textId="77777777" w:rsidR="00435C9F" w:rsidRDefault="00435C9F">
      <w:pPr>
        <w:spacing w:after="120"/>
        <w:rPr>
          <w:sz w:val="24"/>
        </w:rPr>
      </w:pPr>
      <w:r>
        <w:rPr>
          <w:sz w:val="24"/>
        </w:rPr>
        <w:br w:type="page"/>
      </w:r>
    </w:p>
    <w:p w14:paraId="52FAB8D5" w14:textId="77777777" w:rsidR="00772DAD" w:rsidRPr="00435C9F" w:rsidRDefault="00772DAD" w:rsidP="00435C9F">
      <w:pPr>
        <w:spacing w:line="264" w:lineRule="auto"/>
        <w:rPr>
          <w:sz w:val="24"/>
        </w:rPr>
      </w:pPr>
    </w:p>
    <w:p w14:paraId="7791AB60" w14:textId="77777777" w:rsidR="00772DAD" w:rsidRPr="00435C9F" w:rsidRDefault="00772DAD" w:rsidP="00435C9F">
      <w:pPr>
        <w:spacing w:line="264" w:lineRule="auto"/>
        <w:rPr>
          <w:b/>
          <w:sz w:val="24"/>
        </w:rPr>
      </w:pPr>
      <w:r w:rsidRPr="00435C9F">
        <w:rPr>
          <w:b/>
          <w:sz w:val="24"/>
        </w:rPr>
        <w:t>THE COMMISSION GIVES NOTICE That it will conduct a hearing on the parties’ Joint Petition To Modify Order 07 on Thursday, March 17, 2016, beginning at 9:30 a.m. in the Commission’s hearing room, Room 206</w:t>
      </w:r>
      <w:r w:rsidR="00435C9F" w:rsidRPr="00435C9F">
        <w:rPr>
          <w:b/>
          <w:sz w:val="24"/>
        </w:rPr>
        <w:t>, Richard Hemstad Building, 1300 S. Evergreen Park Drive S.W., Olympia, Washington.</w:t>
      </w:r>
    </w:p>
    <w:p w14:paraId="2A688693" w14:textId="77777777" w:rsidR="00435C9F" w:rsidRPr="00435C9F" w:rsidRDefault="00435C9F" w:rsidP="00435C9F">
      <w:pPr>
        <w:tabs>
          <w:tab w:val="left" w:pos="5340"/>
        </w:tabs>
        <w:spacing w:line="264" w:lineRule="auto"/>
        <w:rPr>
          <w:sz w:val="24"/>
        </w:rPr>
      </w:pPr>
      <w:r>
        <w:rPr>
          <w:sz w:val="24"/>
        </w:rPr>
        <w:tab/>
      </w:r>
    </w:p>
    <w:p w14:paraId="06FF8342" w14:textId="77777777" w:rsidR="00435C9F" w:rsidRPr="00435C9F" w:rsidRDefault="00435C9F" w:rsidP="00435C9F">
      <w:pPr>
        <w:spacing w:line="264" w:lineRule="auto"/>
        <w:rPr>
          <w:sz w:val="24"/>
        </w:rPr>
      </w:pPr>
    </w:p>
    <w:p w14:paraId="135B23E4" w14:textId="77777777" w:rsidR="00435C9F" w:rsidRPr="00435C9F" w:rsidRDefault="00435C9F" w:rsidP="00435C9F">
      <w:pPr>
        <w:spacing w:line="264" w:lineRule="auto"/>
        <w:rPr>
          <w:sz w:val="24"/>
        </w:rPr>
      </w:pPr>
    </w:p>
    <w:p w14:paraId="2A7C9C0D" w14:textId="77777777" w:rsidR="00435C9F" w:rsidRPr="00435C9F" w:rsidRDefault="00435C9F" w:rsidP="00435C9F">
      <w:pPr>
        <w:spacing w:line="264" w:lineRule="auto"/>
        <w:rPr>
          <w:sz w:val="24"/>
        </w:rPr>
      </w:pPr>
    </w:p>
    <w:p w14:paraId="097B575F" w14:textId="77777777" w:rsidR="00435C9F" w:rsidRPr="00435C9F" w:rsidRDefault="00435C9F" w:rsidP="00435C9F">
      <w:pPr>
        <w:spacing w:line="264" w:lineRule="auto"/>
        <w:rPr>
          <w:sz w:val="24"/>
        </w:rPr>
      </w:pPr>
      <w:r w:rsidRPr="00435C9F">
        <w:rPr>
          <w:sz w:val="24"/>
        </w:rPr>
        <w:t>DENNIS J. MOSS</w:t>
      </w:r>
    </w:p>
    <w:p w14:paraId="5BD39746" w14:textId="77777777" w:rsidR="00435C9F" w:rsidRPr="00435C9F" w:rsidRDefault="00435C9F" w:rsidP="00435C9F">
      <w:pPr>
        <w:spacing w:line="264" w:lineRule="auto"/>
        <w:rPr>
          <w:sz w:val="24"/>
        </w:rPr>
      </w:pPr>
      <w:r w:rsidRPr="00435C9F">
        <w:rPr>
          <w:sz w:val="24"/>
        </w:rPr>
        <w:t>Administrative Law Judge</w:t>
      </w:r>
    </w:p>
    <w:sectPr w:rsidR="00435C9F" w:rsidRPr="00435C9F" w:rsidSect="00435C9F">
      <w:headerReference w:type="default" r:id="rId8"/>
      <w:headerReference w:type="first" r:id="rId9"/>
      <w:footerReference w:type="firs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66C15" w14:textId="77777777" w:rsidR="006B3930" w:rsidRDefault="006B3930" w:rsidP="002A66F0">
      <w:r>
        <w:separator/>
      </w:r>
    </w:p>
  </w:endnote>
  <w:endnote w:type="continuationSeparator" w:id="0">
    <w:p w14:paraId="6DCD5FA1" w14:textId="77777777" w:rsidR="006B3930" w:rsidRDefault="006B3930" w:rsidP="002A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91B89" w14:textId="77777777" w:rsidR="00435C9F" w:rsidRDefault="00435C9F" w:rsidP="00435C9F">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7C4CC" w14:textId="77777777" w:rsidR="006B3930" w:rsidRDefault="006B3930" w:rsidP="002A66F0">
      <w:r>
        <w:separator/>
      </w:r>
    </w:p>
  </w:footnote>
  <w:footnote w:type="continuationSeparator" w:id="0">
    <w:p w14:paraId="1D14AF2D" w14:textId="77777777" w:rsidR="006B3930" w:rsidRDefault="006B3930" w:rsidP="002A66F0">
      <w:r>
        <w:continuationSeparator/>
      </w:r>
    </w:p>
  </w:footnote>
  <w:footnote w:id="1">
    <w:p w14:paraId="785B530C" w14:textId="77777777" w:rsidR="002A66F0" w:rsidRPr="003B422D" w:rsidRDefault="002A66F0">
      <w:pPr>
        <w:pStyle w:val="FootnoteText"/>
        <w:rPr>
          <w:szCs w:val="22"/>
        </w:rPr>
      </w:pPr>
      <w:r w:rsidRPr="003B422D">
        <w:rPr>
          <w:rStyle w:val="FootnoteReference"/>
          <w:szCs w:val="22"/>
        </w:rPr>
        <w:footnoteRef/>
      </w:r>
      <w:r w:rsidRPr="003B422D">
        <w:rPr>
          <w:szCs w:val="22"/>
        </w:rPr>
        <w:t xml:space="preserve"> Order 07 ¶ 136.  </w:t>
      </w:r>
    </w:p>
  </w:footnote>
  <w:footnote w:id="2">
    <w:p w14:paraId="628DDE0E" w14:textId="77777777" w:rsidR="002A66F0" w:rsidRDefault="002A66F0">
      <w:pPr>
        <w:pStyle w:val="FootnoteText"/>
      </w:pPr>
      <w:r w:rsidRPr="003B422D">
        <w:rPr>
          <w:rStyle w:val="FootnoteReference"/>
          <w:szCs w:val="22"/>
        </w:rPr>
        <w:footnoteRef/>
      </w:r>
      <w:r w:rsidRPr="003B422D">
        <w:rPr>
          <w:szCs w:val="22"/>
        </w:rPr>
        <w:t xml:space="preserve"> </w:t>
      </w:r>
      <w:r w:rsidRPr="003B422D">
        <w:rPr>
          <w:color w:val="000000"/>
          <w:szCs w:val="22"/>
        </w:rPr>
        <w:t>Order 07 ¶ 9, fn. 9 (citing Amended Decoupling Petition ¶ 20).</w:t>
      </w:r>
    </w:p>
  </w:footnote>
  <w:footnote w:id="3">
    <w:p w14:paraId="778CB219" w14:textId="77777777" w:rsidR="00B85350" w:rsidRDefault="00B85350" w:rsidP="00B85350">
      <w:pPr>
        <w:pStyle w:val="FootnoteText"/>
      </w:pPr>
      <w:r>
        <w:rPr>
          <w:rStyle w:val="FootnoteReference"/>
        </w:rPr>
        <w:footnoteRef/>
      </w:r>
      <w:r>
        <w:t xml:space="preserve"> Joint Petition ¶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11BDA" w14:textId="77777777" w:rsidR="00435C9F" w:rsidRPr="00100F6E" w:rsidRDefault="00435C9F" w:rsidP="00435C9F">
    <w:pPr>
      <w:pStyle w:val="Header"/>
      <w:tabs>
        <w:tab w:val="clear" w:pos="9360"/>
        <w:tab w:val="right" w:pos="8550"/>
      </w:tabs>
      <w:rPr>
        <w:b/>
        <w:noProof/>
        <w:sz w:val="20"/>
        <w:szCs w:val="20"/>
      </w:rPr>
    </w:pPr>
    <w:r w:rsidRPr="00100F6E">
      <w:rPr>
        <w:b/>
        <w:sz w:val="20"/>
        <w:szCs w:val="20"/>
      </w:rPr>
      <w:t>DOCKET</w:t>
    </w:r>
    <w:r>
      <w:rPr>
        <w:b/>
        <w:sz w:val="20"/>
        <w:szCs w:val="20"/>
      </w:rPr>
      <w:t xml:space="preserve">S UE-121697 and UG-121705 </w:t>
    </w:r>
    <w:r w:rsidRPr="00047D86">
      <w:rPr>
        <w:b/>
        <w:i/>
        <w:sz w:val="20"/>
        <w:szCs w:val="20"/>
      </w:rPr>
      <w:t>(Consolidated</w:t>
    </w:r>
    <w:r>
      <w:rPr>
        <w:b/>
        <w:sz w:val="20"/>
        <w:szCs w:val="20"/>
      </w:rPr>
      <w:t>)</w:t>
    </w:r>
    <w:r w:rsidRPr="00100F6E">
      <w:rPr>
        <w:b/>
        <w:sz w:val="20"/>
        <w:szCs w:val="20"/>
      </w:rPr>
      <w:tab/>
    </w:r>
    <w:r w:rsidRPr="00100F6E">
      <w:rPr>
        <w:b/>
        <w:sz w:val="20"/>
        <w:szCs w:val="20"/>
      </w:rPr>
      <w:tab/>
      <w:t xml:space="preserve">PAGE </w:t>
    </w:r>
    <w:r w:rsidRPr="00100F6E">
      <w:rPr>
        <w:b/>
        <w:sz w:val="20"/>
        <w:szCs w:val="20"/>
      </w:rPr>
      <w:fldChar w:fldCharType="begin"/>
    </w:r>
    <w:r w:rsidRPr="00100F6E">
      <w:rPr>
        <w:b/>
        <w:sz w:val="20"/>
        <w:szCs w:val="20"/>
      </w:rPr>
      <w:instrText xml:space="preserve"> PAGE   \* MERGEFORMAT </w:instrText>
    </w:r>
    <w:r w:rsidRPr="00100F6E">
      <w:rPr>
        <w:b/>
        <w:sz w:val="20"/>
        <w:szCs w:val="20"/>
      </w:rPr>
      <w:fldChar w:fldCharType="separate"/>
    </w:r>
    <w:r w:rsidR="00903602">
      <w:rPr>
        <w:b/>
        <w:noProof/>
        <w:sz w:val="20"/>
        <w:szCs w:val="20"/>
      </w:rPr>
      <w:t>3</w:t>
    </w:r>
    <w:r w:rsidRPr="00100F6E">
      <w:rPr>
        <w:b/>
        <w:noProof/>
        <w:sz w:val="20"/>
        <w:szCs w:val="20"/>
      </w:rPr>
      <w:fldChar w:fldCharType="end"/>
    </w:r>
  </w:p>
  <w:p w14:paraId="52F637DC" w14:textId="77777777" w:rsidR="00435C9F" w:rsidRDefault="00435C9F" w:rsidP="00435C9F">
    <w:pPr>
      <w:pStyle w:val="Header"/>
      <w:tabs>
        <w:tab w:val="clear" w:pos="9360"/>
        <w:tab w:val="right" w:pos="8550"/>
      </w:tabs>
      <w:rPr>
        <w:b/>
        <w:sz w:val="20"/>
        <w:szCs w:val="20"/>
      </w:rPr>
    </w:pPr>
    <w:r>
      <w:rPr>
        <w:b/>
        <w:sz w:val="20"/>
        <w:szCs w:val="20"/>
      </w:rPr>
      <w:t xml:space="preserve">DOCKETS UE-130137 and UG-130138 </w:t>
    </w:r>
    <w:r w:rsidRPr="00047D86">
      <w:rPr>
        <w:b/>
        <w:i/>
        <w:sz w:val="20"/>
        <w:szCs w:val="20"/>
      </w:rPr>
      <w:t>(Consolidated)</w:t>
    </w:r>
  </w:p>
  <w:p w14:paraId="4AC9DF91" w14:textId="77777777" w:rsidR="00435C9F" w:rsidRDefault="00435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60992" w14:textId="355173DF" w:rsidR="009A5855" w:rsidRPr="009A5855" w:rsidRDefault="009A5855" w:rsidP="009A5855">
    <w:pPr>
      <w:pStyle w:val="Header"/>
      <w:tabs>
        <w:tab w:val="clear" w:pos="4680"/>
      </w:tabs>
      <w:rPr>
        <w:b/>
        <w:sz w:val="20"/>
        <w:szCs w:val="20"/>
      </w:rPr>
    </w:pPr>
    <w:r>
      <w:tab/>
    </w:r>
    <w:r w:rsidRPr="009A5855">
      <w:rPr>
        <w:b/>
        <w:sz w:val="20"/>
        <w:szCs w:val="20"/>
      </w:rPr>
      <w:t>[Service Date March 11,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E6811"/>
    <w:multiLevelType w:val="hybridMultilevel"/>
    <w:tmpl w:val="246491AE"/>
    <w:lvl w:ilvl="0" w:tplc="09E4E49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EB7F02"/>
    <w:multiLevelType w:val="multilevel"/>
    <w:tmpl w:val="9ECC83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3C2E30"/>
    <w:multiLevelType w:val="hybridMultilevel"/>
    <w:tmpl w:val="55006098"/>
    <w:lvl w:ilvl="0" w:tplc="43A6AB58">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29"/>
    <w:rsid w:val="00025E0E"/>
    <w:rsid w:val="00045475"/>
    <w:rsid w:val="00084DF7"/>
    <w:rsid w:val="000D161E"/>
    <w:rsid w:val="002A66F0"/>
    <w:rsid w:val="003B422D"/>
    <w:rsid w:val="00435C9F"/>
    <w:rsid w:val="00663875"/>
    <w:rsid w:val="006B3930"/>
    <w:rsid w:val="00772DAD"/>
    <w:rsid w:val="00784DE4"/>
    <w:rsid w:val="00785A3A"/>
    <w:rsid w:val="00797235"/>
    <w:rsid w:val="008E0E80"/>
    <w:rsid w:val="00903602"/>
    <w:rsid w:val="009A5855"/>
    <w:rsid w:val="009C381F"/>
    <w:rsid w:val="00A56322"/>
    <w:rsid w:val="00AC6C68"/>
    <w:rsid w:val="00B72B13"/>
    <w:rsid w:val="00B831C6"/>
    <w:rsid w:val="00B85350"/>
    <w:rsid w:val="00CA0B8B"/>
    <w:rsid w:val="00D30031"/>
    <w:rsid w:val="00E40CBE"/>
    <w:rsid w:val="00F37229"/>
    <w:rsid w:val="00FB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FFD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C68"/>
    <w:pPr>
      <w:spacing w:after="0"/>
    </w:pPr>
    <w:rPr>
      <w:rFonts w:ascii="Times New Roman" w:hAnsi="Times New Roman" w:cs="Times New Roman"/>
      <w:sz w:val="25"/>
      <w:szCs w:val="24"/>
    </w:rPr>
  </w:style>
  <w:style w:type="paragraph" w:styleId="Heading1">
    <w:name w:val="heading 1"/>
    <w:basedOn w:val="Normal"/>
    <w:next w:val="Normal"/>
    <w:link w:val="Heading1Char"/>
    <w:qFormat/>
    <w:rsid w:val="00FB6C1A"/>
    <w:pPr>
      <w:keepNext/>
      <w:widowControl w:val="0"/>
      <w:autoSpaceDE w:val="0"/>
      <w:autoSpaceDN w:val="0"/>
      <w:adjustRightInd w:val="0"/>
      <w:jc w:val="center"/>
      <w:outlineLvl w:val="0"/>
    </w:pPr>
    <w:rPr>
      <w:rFonts w:cs="Arial"/>
      <w:b/>
      <w:sz w:val="24"/>
      <w:u w:val="single"/>
    </w:rPr>
  </w:style>
  <w:style w:type="paragraph" w:styleId="Heading2">
    <w:name w:val="heading 2"/>
    <w:basedOn w:val="Normal"/>
    <w:next w:val="Normal"/>
    <w:link w:val="Heading2Char"/>
    <w:qFormat/>
    <w:rsid w:val="00FB6C1A"/>
    <w:pPr>
      <w:keepNext/>
      <w:numPr>
        <w:numId w:val="1"/>
      </w:numPr>
      <w:outlineLvl w:val="1"/>
    </w:pPr>
    <w:rPr>
      <w:b/>
      <w:bCs/>
      <w:sz w:val="24"/>
    </w:rPr>
  </w:style>
  <w:style w:type="paragraph" w:styleId="Heading3">
    <w:name w:val="heading 3"/>
    <w:basedOn w:val="Normal"/>
    <w:next w:val="Normal"/>
    <w:link w:val="Heading3Char"/>
    <w:qFormat/>
    <w:rsid w:val="00785A3A"/>
    <w:pPr>
      <w:keepNext/>
      <w:jc w:val="center"/>
      <w:outlineLvl w:val="2"/>
    </w:pPr>
    <w:rPr>
      <w:rFonts w:asciiTheme="minorHAnsi" w:hAnsiTheme="minorHAnsi" w:cstheme="min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Normal"/>
    <w:link w:val="FootnoteTextChar1"/>
    <w:qFormat/>
    <w:rsid w:val="00B831C6"/>
    <w:pPr>
      <w:spacing w:after="120"/>
    </w:pPr>
    <w:rPr>
      <w:sz w:val="22"/>
    </w:rPr>
  </w:style>
  <w:style w:type="character" w:customStyle="1" w:styleId="FootnoteTextChar">
    <w:name w:val="Footnote Text Char"/>
    <w:basedOn w:val="DefaultParagraphFont"/>
    <w:uiPriority w:val="99"/>
    <w:rsid w:val="00663875"/>
    <w:rPr>
      <w:rFonts w:ascii="Times New Roman" w:hAnsi="Times New Roman"/>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locked/>
    <w:rsid w:val="00B831C6"/>
    <w:rPr>
      <w:rFonts w:ascii="Times New Roman" w:hAnsi="Times New Roman" w:cs="Times New Roman"/>
      <w:szCs w:val="24"/>
    </w:rPr>
  </w:style>
  <w:style w:type="character" w:customStyle="1" w:styleId="Heading1Char">
    <w:name w:val="Heading 1 Char"/>
    <w:basedOn w:val="DefaultParagraphFont"/>
    <w:link w:val="Heading1"/>
    <w:rsid w:val="00FB6C1A"/>
    <w:rPr>
      <w:rFonts w:ascii="Times New Roman" w:hAnsi="Times New Roman" w:cs="Arial"/>
      <w:b/>
      <w:sz w:val="24"/>
      <w:szCs w:val="24"/>
      <w:u w:val="single"/>
    </w:rPr>
  </w:style>
  <w:style w:type="character" w:customStyle="1" w:styleId="Heading2Char">
    <w:name w:val="Heading 2 Char"/>
    <w:basedOn w:val="DefaultParagraphFont"/>
    <w:link w:val="Heading2"/>
    <w:rsid w:val="00FB6C1A"/>
    <w:rPr>
      <w:rFonts w:ascii="Times New Roman" w:hAnsi="Times New Roman" w:cs="Times New Roman"/>
      <w:b/>
      <w:bCs/>
      <w:sz w:val="24"/>
      <w:szCs w:val="24"/>
    </w:rPr>
  </w:style>
  <w:style w:type="character" w:customStyle="1" w:styleId="Heading3Char">
    <w:name w:val="Heading 3 Char"/>
    <w:link w:val="Heading3"/>
    <w:rsid w:val="00785A3A"/>
    <w:rPr>
      <w:b/>
      <w:bCs/>
      <w:sz w:val="24"/>
      <w:szCs w:val="24"/>
    </w:rPr>
  </w:style>
  <w:style w:type="character" w:styleId="FootnoteReference">
    <w:name w:val="footnote reference"/>
    <w:basedOn w:val="DefaultParagraphFont"/>
    <w:semiHidden/>
    <w:unhideWhenUsed/>
    <w:rsid w:val="002A66F0"/>
    <w:rPr>
      <w:vertAlign w:val="superscript"/>
    </w:rPr>
  </w:style>
  <w:style w:type="paragraph" w:styleId="NoSpacing">
    <w:name w:val="No Spacing"/>
    <w:uiPriority w:val="1"/>
    <w:qFormat/>
    <w:rsid w:val="003B422D"/>
    <w:pPr>
      <w:spacing w:after="0"/>
    </w:pPr>
    <w:rPr>
      <w:rFonts w:ascii="Calibri" w:eastAsia="Calibri" w:hAnsi="Calibri" w:cs="Times New Roman"/>
    </w:rPr>
  </w:style>
  <w:style w:type="paragraph" w:styleId="Header">
    <w:name w:val="header"/>
    <w:basedOn w:val="Normal"/>
    <w:link w:val="HeaderChar"/>
    <w:uiPriority w:val="99"/>
    <w:unhideWhenUsed/>
    <w:rsid w:val="003B422D"/>
    <w:pPr>
      <w:tabs>
        <w:tab w:val="center" w:pos="4680"/>
        <w:tab w:val="right" w:pos="9360"/>
      </w:tabs>
    </w:pPr>
  </w:style>
  <w:style w:type="character" w:customStyle="1" w:styleId="HeaderChar">
    <w:name w:val="Header Char"/>
    <w:basedOn w:val="DefaultParagraphFont"/>
    <w:link w:val="Header"/>
    <w:uiPriority w:val="99"/>
    <w:rsid w:val="003B422D"/>
    <w:rPr>
      <w:rFonts w:ascii="Times New Roman" w:hAnsi="Times New Roman" w:cs="Times New Roman"/>
      <w:sz w:val="25"/>
      <w:szCs w:val="24"/>
    </w:rPr>
  </w:style>
  <w:style w:type="paragraph" w:styleId="Footer">
    <w:name w:val="footer"/>
    <w:basedOn w:val="Normal"/>
    <w:link w:val="FooterChar"/>
    <w:uiPriority w:val="99"/>
    <w:unhideWhenUsed/>
    <w:rsid w:val="003B422D"/>
    <w:pPr>
      <w:tabs>
        <w:tab w:val="center" w:pos="4680"/>
        <w:tab w:val="right" w:pos="9360"/>
      </w:tabs>
    </w:pPr>
  </w:style>
  <w:style w:type="character" w:customStyle="1" w:styleId="FooterChar">
    <w:name w:val="Footer Char"/>
    <w:basedOn w:val="DefaultParagraphFont"/>
    <w:link w:val="Footer"/>
    <w:uiPriority w:val="99"/>
    <w:rsid w:val="003B422D"/>
    <w:rPr>
      <w:rFonts w:ascii="Times New Roman" w:hAnsi="Times New Roman" w:cs="Times New Roman"/>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 of Hearing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2016-03-11T19:05:52+00:00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0CEAC-3B9F-49F0-8564-C8EF554D332D}"/>
</file>

<file path=customXml/itemProps2.xml><?xml version="1.0" encoding="utf-8"?>
<ds:datastoreItem xmlns:ds="http://schemas.openxmlformats.org/officeDocument/2006/customXml" ds:itemID="{5DF3E07C-297D-4FE4-A245-772509EDC237}"/>
</file>

<file path=customXml/itemProps3.xml><?xml version="1.0" encoding="utf-8"?>
<ds:datastoreItem xmlns:ds="http://schemas.openxmlformats.org/officeDocument/2006/customXml" ds:itemID="{2F1823CE-6873-4D2A-9FC0-60C3279D2E75}"/>
</file>

<file path=customXml/itemProps4.xml><?xml version="1.0" encoding="utf-8"?>
<ds:datastoreItem xmlns:ds="http://schemas.openxmlformats.org/officeDocument/2006/customXml" ds:itemID="{B7359AF3-E081-448F-BB6B-B6C90C88C95A}"/>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2016-03-11T18:46:00Z</dcterms:created>
  <dcterms:modified xsi:type="dcterms:W3CDTF">2016-03-11T18:46:00Z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