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2D" w:rsidRDefault="00A0242D" w:rsidP="00C86949">
      <w:pPr>
        <w:pStyle w:val="Question"/>
        <w:jc w:val="left"/>
      </w:pPr>
      <w:r>
        <w:t>Q.</w:t>
      </w:r>
      <w:r>
        <w:tab/>
        <w:t>Are you the same R. Bryce Dalley that previously provided testimony in this docket?</w:t>
      </w:r>
    </w:p>
    <w:p w:rsidR="00A0242D" w:rsidRDefault="00A0242D" w:rsidP="00C86949">
      <w:pPr>
        <w:pStyle w:val="Answer"/>
        <w:tabs>
          <w:tab w:val="num" w:pos="720"/>
        </w:tabs>
        <w:autoSpaceDE w:val="0"/>
        <w:autoSpaceDN w:val="0"/>
        <w:jc w:val="left"/>
      </w:pPr>
      <w:r>
        <w:t>A.</w:t>
      </w:r>
      <w:r>
        <w:tab/>
        <w:t>Yes.</w:t>
      </w:r>
    </w:p>
    <w:p w:rsidR="00A0242D" w:rsidRPr="007568B0" w:rsidRDefault="00A0242D" w:rsidP="00C86949">
      <w:pPr>
        <w:tabs>
          <w:tab w:val="left" w:pos="720"/>
        </w:tabs>
        <w:spacing w:line="480" w:lineRule="auto"/>
        <w:jc w:val="left"/>
        <w:rPr>
          <w:b/>
          <w:caps/>
        </w:rPr>
      </w:pPr>
      <w:r w:rsidRPr="007568B0">
        <w:rPr>
          <w:b/>
        </w:rPr>
        <w:t>Purpose</w:t>
      </w:r>
      <w:r>
        <w:rPr>
          <w:b/>
        </w:rPr>
        <w:t xml:space="preserve"> and Summary o</w:t>
      </w:r>
      <w:r w:rsidRPr="007568B0">
        <w:rPr>
          <w:b/>
        </w:rPr>
        <w:t>f Testimony</w:t>
      </w:r>
    </w:p>
    <w:p w:rsidR="00967BCF" w:rsidRDefault="00967BCF" w:rsidP="00C86949">
      <w:pPr>
        <w:numPr>
          <w:ilvl w:val="0"/>
          <w:numId w:val="5"/>
        </w:numPr>
        <w:spacing w:line="480" w:lineRule="auto"/>
        <w:jc w:val="left"/>
        <w:rPr>
          <w:b/>
        </w:rPr>
      </w:pPr>
      <w:r w:rsidRPr="00E661F7">
        <w:rPr>
          <w:b/>
        </w:rPr>
        <w:t>What is the purpose of your r</w:t>
      </w:r>
      <w:r>
        <w:rPr>
          <w:b/>
        </w:rPr>
        <w:t>ebuttal</w:t>
      </w:r>
      <w:r w:rsidRPr="00E661F7">
        <w:rPr>
          <w:b/>
        </w:rPr>
        <w:t xml:space="preserve"> testimony?</w:t>
      </w:r>
    </w:p>
    <w:p w:rsidR="00847AB0" w:rsidRPr="00847AB0" w:rsidRDefault="00847AB0" w:rsidP="00C86949">
      <w:pPr>
        <w:pStyle w:val="BodyTextIndent2"/>
        <w:spacing w:after="0"/>
        <w:ind w:left="720" w:hanging="720"/>
        <w:jc w:val="left"/>
      </w:pPr>
      <w:r w:rsidRPr="00847AB0">
        <w:t>A.</w:t>
      </w:r>
      <w:r w:rsidRPr="00847AB0">
        <w:tab/>
      </w:r>
      <w:r w:rsidRPr="00E661F7">
        <w:t xml:space="preserve">The purpose of my testimony is to respond to </w:t>
      </w:r>
      <w:r>
        <w:t xml:space="preserve">the Renewable Energy Credit (REC) revenue calculations and proposals sponsored by Kathryn H. Breda for the staff of the Washington Utilities and Transportation Commission (Staff), and Donald W. Schoenbeck for the Industrial Customers of Northwest Utilities and the Public Counsel Section of the Washington State Attorney General’s Office </w:t>
      </w:r>
      <w:r w:rsidR="00DC1608">
        <w:t>(</w:t>
      </w:r>
      <w:r w:rsidR="00F9595E">
        <w:t>ICNU/</w:t>
      </w:r>
      <w:r w:rsidR="006352EA">
        <w:t>PC</w:t>
      </w:r>
      <w:r w:rsidR="00DC1608">
        <w:t>)</w:t>
      </w:r>
      <w:r w:rsidR="00F9595E">
        <w:t>.</w:t>
      </w:r>
    </w:p>
    <w:p w:rsidR="00967BCF" w:rsidRPr="00E661F7" w:rsidRDefault="00967BCF" w:rsidP="00C86949">
      <w:pPr>
        <w:pStyle w:val="BodyTextIndent2"/>
        <w:spacing w:after="0"/>
        <w:ind w:left="0"/>
        <w:jc w:val="left"/>
        <w:rPr>
          <w:b/>
        </w:rPr>
      </w:pPr>
      <w:r w:rsidRPr="00E661F7">
        <w:rPr>
          <w:b/>
        </w:rPr>
        <w:t>Q.</w:t>
      </w:r>
      <w:r w:rsidRPr="00E661F7">
        <w:rPr>
          <w:b/>
        </w:rPr>
        <w:tab/>
        <w:t>Please summarize your testimony.</w:t>
      </w:r>
    </w:p>
    <w:p w:rsidR="00EC4FA5" w:rsidRDefault="00967BCF" w:rsidP="00C86949">
      <w:pPr>
        <w:pStyle w:val="Answer"/>
        <w:jc w:val="left"/>
      </w:pPr>
      <w:r w:rsidRPr="00E661F7">
        <w:t>A.</w:t>
      </w:r>
      <w:r w:rsidRPr="00E661F7">
        <w:tab/>
      </w:r>
      <w:r w:rsidR="00F9595E">
        <w:t xml:space="preserve">My testimony first addresses the </w:t>
      </w:r>
      <w:r w:rsidR="00EC4FA5">
        <w:t xml:space="preserve">significant earnings impact and accounting entries that would </w:t>
      </w:r>
      <w:r w:rsidR="009672CF">
        <w:t>be necessary</w:t>
      </w:r>
      <w:r w:rsidR="00EC4FA5">
        <w:t xml:space="preserve"> </w:t>
      </w:r>
      <w:r w:rsidR="00CA59D1">
        <w:t xml:space="preserve">under </w:t>
      </w:r>
      <w:r w:rsidR="00C86949">
        <w:t xml:space="preserve">Staff’s and </w:t>
      </w:r>
      <w:proofErr w:type="spellStart"/>
      <w:r w:rsidR="00C86949">
        <w:t>ICNU</w:t>
      </w:r>
      <w:proofErr w:type="spellEnd"/>
      <w:r w:rsidR="00C86949">
        <w:t>/</w:t>
      </w:r>
      <w:proofErr w:type="spellStart"/>
      <w:r w:rsidR="00C86949">
        <w:t>PC’s</w:t>
      </w:r>
      <w:proofErr w:type="spellEnd"/>
      <w:r w:rsidR="00C86949">
        <w:t xml:space="preserve"> proposals</w:t>
      </w:r>
      <w:r w:rsidR="00EC4FA5">
        <w:t xml:space="preserve"> to</w:t>
      </w:r>
      <w:r w:rsidR="000A126D">
        <w:t xml:space="preserve"> refund</w:t>
      </w:r>
      <w:r w:rsidR="00EC4FA5">
        <w:t xml:space="preserve"> </w:t>
      </w:r>
      <w:r w:rsidR="000A126D">
        <w:t xml:space="preserve">prior period REC revenues </w:t>
      </w:r>
      <w:r w:rsidR="00EC4FA5">
        <w:t xml:space="preserve">to customers.  </w:t>
      </w:r>
      <w:r w:rsidR="002A2C0B">
        <w:t>In addition, m</w:t>
      </w:r>
      <w:r w:rsidR="008B637C">
        <w:t>y testimony provides the following:</w:t>
      </w:r>
    </w:p>
    <w:p w:rsidR="00162C3E" w:rsidRDefault="001A54C4" w:rsidP="00C86949">
      <w:pPr>
        <w:pStyle w:val="Answer"/>
        <w:numPr>
          <w:ilvl w:val="0"/>
          <w:numId w:val="8"/>
        </w:numPr>
        <w:jc w:val="left"/>
      </w:pPr>
      <w:r>
        <w:t xml:space="preserve">A discussion of </w:t>
      </w:r>
      <w:r w:rsidR="00CA59D1">
        <w:t>the fact that</w:t>
      </w:r>
      <w:r>
        <w:t xml:space="preserve"> Staff and ICNU/PC now </w:t>
      </w:r>
      <w:r w:rsidR="007A059D">
        <w:t xml:space="preserve">propose to </w:t>
      </w:r>
      <w:r>
        <w:t>include REC revenues for 2009</w:t>
      </w:r>
      <w:r w:rsidR="007A059D">
        <w:t xml:space="preserve"> in addi</w:t>
      </w:r>
      <w:r w:rsidR="00236B76">
        <w:t>tion to 2010 in the REC tracker</w:t>
      </w:r>
      <w:r w:rsidR="007A059D">
        <w:t xml:space="preserve"> account, </w:t>
      </w:r>
      <w:r w:rsidR="00CA59D1">
        <w:t xml:space="preserve">even though </w:t>
      </w:r>
      <w:r w:rsidR="007A059D">
        <w:t xml:space="preserve">the Commission’s order </w:t>
      </w:r>
      <w:r w:rsidR="00CA59D1">
        <w:t xml:space="preserve">does not consider time periods </w:t>
      </w:r>
      <w:r w:rsidR="007A059D">
        <w:t xml:space="preserve">prior to 2010. </w:t>
      </w:r>
    </w:p>
    <w:p w:rsidR="00162C3E" w:rsidRDefault="00EC4FA5" w:rsidP="00C86949">
      <w:pPr>
        <w:pStyle w:val="Answer"/>
        <w:numPr>
          <w:ilvl w:val="0"/>
          <w:numId w:val="8"/>
        </w:numPr>
        <w:jc w:val="left"/>
      </w:pPr>
      <w:r>
        <w:t xml:space="preserve">A summary of the Company’s method </w:t>
      </w:r>
      <w:r w:rsidR="00CA59D1">
        <w:t>for</w:t>
      </w:r>
      <w:r>
        <w:t xml:space="preserve"> determining Washington’s allocation of </w:t>
      </w:r>
      <w:r w:rsidR="00B25505">
        <w:t>historic</w:t>
      </w:r>
      <w:r>
        <w:t xml:space="preserve"> REC revenues</w:t>
      </w:r>
      <w:r w:rsidR="00CA59D1">
        <w:t>,</w:t>
      </w:r>
      <w:r>
        <w:t xml:space="preserve"> a method uncontested by Staff and ICNU/PC prior to this phase of the proceeding.</w:t>
      </w:r>
    </w:p>
    <w:p w:rsidR="00C86949" w:rsidRDefault="00C86949" w:rsidP="00C86949">
      <w:pPr>
        <w:pStyle w:val="Answer"/>
        <w:numPr>
          <w:ilvl w:val="0"/>
          <w:numId w:val="8"/>
        </w:numPr>
        <w:jc w:val="left"/>
        <w:sectPr w:rsidR="00C86949" w:rsidSect="00C8694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800" w:bottom="1440" w:left="1800" w:header="720" w:footer="720" w:gutter="0"/>
          <w:lnNumType w:countBy="1"/>
          <w:cols w:space="720"/>
          <w:docGrid w:linePitch="360"/>
        </w:sectPr>
      </w:pPr>
    </w:p>
    <w:p w:rsidR="00162C3E" w:rsidRDefault="009672CF" w:rsidP="00C86949">
      <w:pPr>
        <w:pStyle w:val="Answer"/>
        <w:numPr>
          <w:ilvl w:val="0"/>
          <w:numId w:val="8"/>
        </w:numPr>
        <w:jc w:val="left"/>
      </w:pPr>
      <w:r>
        <w:lastRenderedPageBreak/>
        <w:t xml:space="preserve">An explanation of the allocation methodology proposed by the Company for the rate-effective period, which was developed in 2011 in consultation with Staff and </w:t>
      </w:r>
      <w:r w:rsidR="000A126D">
        <w:t>ICNU/PC</w:t>
      </w:r>
      <w:r>
        <w:t>.</w:t>
      </w:r>
    </w:p>
    <w:p w:rsidR="00162C3E" w:rsidRDefault="009672CF" w:rsidP="00C86949">
      <w:pPr>
        <w:pStyle w:val="Answer"/>
        <w:numPr>
          <w:ilvl w:val="0"/>
          <w:numId w:val="8"/>
        </w:numPr>
        <w:jc w:val="left"/>
      </w:pPr>
      <w:r>
        <w:t>A summary of how Staff’s calculations of Washington’s historic REC revenue ha</w:t>
      </w:r>
      <w:r w:rsidR="00CA59D1">
        <w:t>ve</w:t>
      </w:r>
      <w:r>
        <w:t xml:space="preserve"> changed three times in the course of this proceeding, each time further increasing Washington’s share of allocated revenue.</w:t>
      </w:r>
    </w:p>
    <w:p w:rsidR="00162C3E" w:rsidRDefault="00EC4FA5" w:rsidP="00C86949">
      <w:pPr>
        <w:pStyle w:val="Answer"/>
        <w:numPr>
          <w:ilvl w:val="0"/>
          <w:numId w:val="8"/>
        </w:numPr>
        <w:jc w:val="left"/>
      </w:pPr>
      <w:r>
        <w:t xml:space="preserve">A discussion of </w:t>
      </w:r>
      <w:r w:rsidR="000A126D">
        <w:t xml:space="preserve">the </w:t>
      </w:r>
      <w:r w:rsidR="00F806AF">
        <w:t xml:space="preserve">errors in the </w:t>
      </w:r>
      <w:r w:rsidR="000A126D">
        <w:t>calculations</w:t>
      </w:r>
      <w:r w:rsidR="009672CF">
        <w:t xml:space="preserve"> outlined by </w:t>
      </w:r>
      <w:r w:rsidR="000A126D">
        <w:t xml:space="preserve">Staff and ICNU/PC in determining </w:t>
      </w:r>
      <w:r>
        <w:t>Washington’s allocation of REC revenues</w:t>
      </w:r>
      <w:r w:rsidR="000A126D">
        <w:t>,</w:t>
      </w:r>
      <w:r>
        <w:t xml:space="preserve"> </w:t>
      </w:r>
      <w:r w:rsidR="009672CF">
        <w:t>along with the various corrections required to properly calculate Washington’s share of these revenues.</w:t>
      </w:r>
    </w:p>
    <w:p w:rsidR="00162C3E" w:rsidRDefault="00B304EA" w:rsidP="00C86949">
      <w:pPr>
        <w:pStyle w:val="Answer"/>
        <w:ind w:left="0" w:firstLine="0"/>
        <w:jc w:val="left"/>
        <w:rPr>
          <w:b/>
        </w:rPr>
      </w:pPr>
      <w:r w:rsidRPr="00334E51">
        <w:rPr>
          <w:b/>
        </w:rPr>
        <w:t>Earnings Impact and Associated Accounting Entries</w:t>
      </w:r>
      <w:r>
        <w:rPr>
          <w:b/>
        </w:rPr>
        <w:t xml:space="preserve"> </w:t>
      </w:r>
      <w:r w:rsidR="006B1BC3">
        <w:rPr>
          <w:b/>
        </w:rPr>
        <w:t>N</w:t>
      </w:r>
      <w:r>
        <w:rPr>
          <w:b/>
        </w:rPr>
        <w:t xml:space="preserve">ecessary for </w:t>
      </w:r>
      <w:r w:rsidR="00CA59D1">
        <w:rPr>
          <w:b/>
        </w:rPr>
        <w:t>Prior Period</w:t>
      </w:r>
      <w:r>
        <w:rPr>
          <w:b/>
        </w:rPr>
        <w:t xml:space="preserve"> REC Revenue Refund to Customers</w:t>
      </w:r>
    </w:p>
    <w:p w:rsidR="00162C3E" w:rsidRDefault="00B304EA" w:rsidP="00C86949">
      <w:pPr>
        <w:pStyle w:val="Answer"/>
        <w:jc w:val="left"/>
        <w:rPr>
          <w:b/>
        </w:rPr>
      </w:pPr>
      <w:r>
        <w:rPr>
          <w:b/>
        </w:rPr>
        <w:t>Q.</w:t>
      </w:r>
      <w:r>
        <w:rPr>
          <w:b/>
        </w:rPr>
        <w:tab/>
        <w:t xml:space="preserve">If the Commission determines </w:t>
      </w:r>
      <w:r w:rsidR="00F806AF">
        <w:rPr>
          <w:b/>
        </w:rPr>
        <w:t xml:space="preserve">that </w:t>
      </w:r>
      <w:r w:rsidR="006B1BC3">
        <w:rPr>
          <w:b/>
        </w:rPr>
        <w:t>Washington</w:t>
      </w:r>
      <w:r>
        <w:rPr>
          <w:b/>
        </w:rPr>
        <w:t xml:space="preserve">-allocated REC revenues </w:t>
      </w:r>
      <w:r w:rsidR="00F806AF">
        <w:rPr>
          <w:b/>
        </w:rPr>
        <w:t xml:space="preserve">from prior periods </w:t>
      </w:r>
      <w:r>
        <w:rPr>
          <w:b/>
        </w:rPr>
        <w:t xml:space="preserve">should be returned to Washington customers, what would </w:t>
      </w:r>
      <w:r w:rsidR="00B914C8">
        <w:rPr>
          <w:b/>
        </w:rPr>
        <w:t xml:space="preserve">be </w:t>
      </w:r>
      <w:r>
        <w:rPr>
          <w:b/>
        </w:rPr>
        <w:t>the earnings impact to the Company?</w:t>
      </w:r>
    </w:p>
    <w:p w:rsidR="00C86949" w:rsidRDefault="00B304EA" w:rsidP="00C86949">
      <w:pPr>
        <w:pStyle w:val="Answer"/>
        <w:jc w:val="left"/>
        <w:sectPr w:rsidR="00C86949" w:rsidSect="00C86949">
          <w:headerReference w:type="default" r:id="rId14"/>
          <w:type w:val="continuous"/>
          <w:pgSz w:w="12240" w:h="15840" w:code="1"/>
          <w:pgMar w:top="1440" w:right="1800" w:bottom="1440" w:left="1800" w:header="720" w:footer="720" w:gutter="0"/>
          <w:lnNumType w:countBy="1"/>
          <w:cols w:space="720"/>
          <w:docGrid w:linePitch="360"/>
        </w:sectPr>
      </w:pPr>
      <w:r w:rsidRPr="001B27C5">
        <w:t>A.</w:t>
      </w:r>
      <w:r w:rsidRPr="001B27C5">
        <w:tab/>
      </w:r>
      <w:r>
        <w:t xml:space="preserve">In the event the Commission decides to return additional REC revenues to customers </w:t>
      </w:r>
      <w:r w:rsidR="00F806AF">
        <w:t>from prior periods</w:t>
      </w:r>
      <w:r>
        <w:t xml:space="preserve">, the financial impact on the Company’s Washington earnings would be significant.  Currently, 100 basis points on equity in Washington </w:t>
      </w:r>
      <w:proofErr w:type="gramStart"/>
      <w:r>
        <w:t>is</w:t>
      </w:r>
      <w:proofErr w:type="gramEnd"/>
      <w:r>
        <w:t xml:space="preserve"> approximately $5.7 million.</w:t>
      </w:r>
      <w:r>
        <w:rPr>
          <w:rStyle w:val="FootnoteReference"/>
        </w:rPr>
        <w:footnoteReference w:id="1"/>
      </w:r>
      <w:r>
        <w:t xml:space="preserve">  This means that for every $5.7 million of Washington-allocated REC revenue returned to customers, the Company’s Washington return on eq</w:t>
      </w:r>
      <w:r w:rsidR="00C86949">
        <w:t>uity (ROE) would be reduced by one</w:t>
      </w:r>
      <w:r>
        <w:t xml:space="preserve"> percent.  </w:t>
      </w:r>
    </w:p>
    <w:p w:rsidR="00162C3E" w:rsidRDefault="00C86949" w:rsidP="00C86949">
      <w:pPr>
        <w:pStyle w:val="Answer"/>
        <w:jc w:val="left"/>
      </w:pPr>
      <w:r>
        <w:lastRenderedPageBreak/>
        <w:tab/>
      </w:r>
      <w:r w:rsidR="00B304EA">
        <w:t>Staff</w:t>
      </w:r>
      <w:r w:rsidR="00CA59D1">
        <w:t>’s</w:t>
      </w:r>
      <w:r w:rsidR="00B304EA">
        <w:t xml:space="preserve"> and </w:t>
      </w:r>
      <w:proofErr w:type="spellStart"/>
      <w:r w:rsidR="00B304EA">
        <w:t>ICNU</w:t>
      </w:r>
      <w:proofErr w:type="spellEnd"/>
      <w:r w:rsidR="00B304EA">
        <w:t>/</w:t>
      </w:r>
      <w:proofErr w:type="spellStart"/>
      <w:r w:rsidR="00B304EA">
        <w:t>PC’s</w:t>
      </w:r>
      <w:proofErr w:type="spellEnd"/>
      <w:r w:rsidR="00B304EA">
        <w:t xml:space="preserve"> proposals would have the impact of reducing the Company’s Washington ROE by </w:t>
      </w:r>
      <w:r w:rsidR="004A1703" w:rsidRPr="004A1703">
        <w:rPr>
          <w:highlight w:val="black"/>
        </w:rPr>
        <w:t>_____________________________________</w:t>
      </w:r>
      <w:r w:rsidR="00B304EA">
        <w:t>.</w:t>
      </w:r>
    </w:p>
    <w:p w:rsidR="00162C3E" w:rsidRDefault="00B304EA" w:rsidP="00C86949">
      <w:pPr>
        <w:pStyle w:val="Answer"/>
        <w:jc w:val="left"/>
        <w:rPr>
          <w:b/>
        </w:rPr>
      </w:pPr>
      <w:r w:rsidRPr="009B532E">
        <w:rPr>
          <w:b/>
        </w:rPr>
        <w:t>Q.</w:t>
      </w:r>
      <w:r w:rsidRPr="009B532E">
        <w:rPr>
          <w:b/>
        </w:rPr>
        <w:tab/>
        <w:t>When would this earnings reduction be reflected on the Company’s financial re</w:t>
      </w:r>
      <w:r w:rsidR="00B914C8">
        <w:rPr>
          <w:b/>
        </w:rPr>
        <w:t>cords</w:t>
      </w:r>
      <w:r w:rsidRPr="009B532E">
        <w:rPr>
          <w:b/>
        </w:rPr>
        <w:t>?</w:t>
      </w:r>
    </w:p>
    <w:p w:rsidR="00503156" w:rsidRDefault="00B304EA" w:rsidP="00C86949">
      <w:pPr>
        <w:pStyle w:val="Answer"/>
        <w:jc w:val="left"/>
      </w:pPr>
      <w:r>
        <w:t>A.</w:t>
      </w:r>
      <w:r>
        <w:tab/>
        <w:t>Since these revenues are associated with prior fiscal period</w:t>
      </w:r>
      <w:r w:rsidR="00B914C8">
        <w:t>s</w:t>
      </w:r>
      <w:r>
        <w:t xml:space="preserve">, the Company would be required to book the associated accounting entries immediately per Financial Accounting Standards Board (FASB) Accounting Standards Codification (ASC) Topic 980 Regulated Operations.  As a result, any refund of these revenues to customers would impact the Company’s 2011 Washington earnings. </w:t>
      </w:r>
      <w:r w:rsidR="00503156">
        <w:t xml:space="preserve"> </w:t>
      </w:r>
      <w:r w:rsidR="00386A12">
        <w:t xml:space="preserve">This potential reduction to 2011 earnings would be in addition to the $5.4 million unexpected </w:t>
      </w:r>
      <w:r w:rsidR="00970AE4">
        <w:t>reduction in</w:t>
      </w:r>
      <w:r w:rsidR="00386A12">
        <w:t xml:space="preserve"> 2011 earnings the Company </w:t>
      </w:r>
      <w:r w:rsidR="00F806AF">
        <w:t xml:space="preserve">was required to </w:t>
      </w:r>
      <w:r w:rsidR="00386A12">
        <w:t>recognize as a result of the Commission ordered change in tax treatment related to the Chehalis regulatory assets earlier in this proceeding.</w:t>
      </w:r>
      <w:r w:rsidR="00386A12">
        <w:rPr>
          <w:rStyle w:val="FootnoteReference"/>
        </w:rPr>
        <w:footnoteReference w:id="2"/>
      </w:r>
    </w:p>
    <w:p w:rsidR="00162C3E" w:rsidRDefault="00012C06" w:rsidP="00C86949">
      <w:pPr>
        <w:pStyle w:val="Answer"/>
        <w:jc w:val="left"/>
        <w:rPr>
          <w:b/>
        </w:rPr>
      </w:pPr>
      <w:proofErr w:type="gramStart"/>
      <w:r w:rsidRPr="00012C06">
        <w:rPr>
          <w:b/>
        </w:rPr>
        <w:t>Q.</w:t>
      </w:r>
      <w:r w:rsidRPr="00012C06">
        <w:rPr>
          <w:b/>
        </w:rPr>
        <w:tab/>
      </w:r>
      <w:r w:rsidR="003D2EC1">
        <w:rPr>
          <w:b/>
        </w:rPr>
        <w:t xml:space="preserve">Would a refund of REC revenues </w:t>
      </w:r>
      <w:r w:rsidR="00F806AF">
        <w:rPr>
          <w:b/>
        </w:rPr>
        <w:t xml:space="preserve">from prior periods </w:t>
      </w:r>
      <w:r w:rsidR="003D2EC1">
        <w:rPr>
          <w:b/>
        </w:rPr>
        <w:t xml:space="preserve">allow the Company to earn its authorized rate of return during the </w:t>
      </w:r>
      <w:r w:rsidR="0054297B">
        <w:rPr>
          <w:b/>
        </w:rPr>
        <w:t>rate-effective</w:t>
      </w:r>
      <w:r w:rsidR="003D2EC1">
        <w:rPr>
          <w:b/>
        </w:rPr>
        <w:t xml:space="preserve"> period in this proceeding?</w:t>
      </w:r>
      <w:proofErr w:type="gramEnd"/>
    </w:p>
    <w:p w:rsidR="00162C3E" w:rsidRDefault="003D2EC1" w:rsidP="00C86949">
      <w:pPr>
        <w:pStyle w:val="Answer"/>
        <w:jc w:val="left"/>
      </w:pPr>
      <w:r>
        <w:t>A.</w:t>
      </w:r>
      <w:r>
        <w:tab/>
        <w:t xml:space="preserve">No.  Since </w:t>
      </w:r>
      <w:r w:rsidR="00BF7A47">
        <w:t xml:space="preserve">a refund of REC revenues </w:t>
      </w:r>
      <w:r w:rsidR="00F806AF">
        <w:t xml:space="preserve">from prior periods </w:t>
      </w:r>
      <w:r w:rsidR="00BF7A47">
        <w:t>would need to be booked</w:t>
      </w:r>
      <w:r w:rsidR="005B3B32">
        <w:t xml:space="preserve"> for accounting </w:t>
      </w:r>
      <w:r w:rsidR="006B1BC3">
        <w:t>purposes</w:t>
      </w:r>
      <w:r w:rsidR="00BF7A47">
        <w:t xml:space="preserve"> in 2011, and given </w:t>
      </w:r>
      <w:r>
        <w:t xml:space="preserve">the </w:t>
      </w:r>
      <w:r w:rsidR="0054297B">
        <w:t>rate-effective</w:t>
      </w:r>
      <w:r>
        <w:t xml:space="preserve"> period in this proceeding began in early 2011, any refund of REC revenues </w:t>
      </w:r>
      <w:r w:rsidR="00E46535">
        <w:t xml:space="preserve">from prior periods </w:t>
      </w:r>
      <w:r>
        <w:t xml:space="preserve">would </w:t>
      </w:r>
      <w:r w:rsidR="00E46535">
        <w:t>deny</w:t>
      </w:r>
      <w:r>
        <w:t xml:space="preserve"> the Company</w:t>
      </w:r>
      <w:r w:rsidR="00B914C8">
        <w:t xml:space="preserve"> a reasonable</w:t>
      </w:r>
      <w:r>
        <w:t xml:space="preserve"> opportunity to earn its authorized</w:t>
      </w:r>
      <w:r w:rsidR="00BF7A47">
        <w:t xml:space="preserve"> rate of return during the </w:t>
      </w:r>
      <w:r w:rsidR="0054297B">
        <w:t>rate-effective</w:t>
      </w:r>
      <w:r w:rsidR="00BF7A47">
        <w:t xml:space="preserve"> period</w:t>
      </w:r>
      <w:r>
        <w:t xml:space="preserve">.  </w:t>
      </w:r>
    </w:p>
    <w:p w:rsidR="00C86949" w:rsidRDefault="00C86949" w:rsidP="00C86949">
      <w:pPr>
        <w:pStyle w:val="Answer"/>
        <w:ind w:firstLine="720"/>
        <w:jc w:val="left"/>
        <w:sectPr w:rsidR="00C86949" w:rsidSect="00C86949">
          <w:headerReference w:type="default" r:id="rId15"/>
          <w:type w:val="continuous"/>
          <w:pgSz w:w="12240" w:h="15840" w:code="1"/>
          <w:pgMar w:top="1440" w:right="1800" w:bottom="1440" w:left="1800" w:header="720" w:footer="720" w:gutter="0"/>
          <w:lnNumType w:countBy="1"/>
          <w:cols w:space="720"/>
          <w:docGrid w:linePitch="360"/>
        </w:sectPr>
      </w:pPr>
    </w:p>
    <w:p w:rsidR="00162C3E" w:rsidRDefault="003D2EC1" w:rsidP="00C86949">
      <w:pPr>
        <w:pStyle w:val="Answer"/>
        <w:ind w:firstLine="720"/>
        <w:jc w:val="left"/>
      </w:pPr>
      <w:r>
        <w:t xml:space="preserve">As part of this case, the Commission has already </w:t>
      </w:r>
      <w:r w:rsidR="00970AE4">
        <w:t>ordered the</w:t>
      </w:r>
      <w:r w:rsidR="00C86949">
        <w:t xml:space="preserve"> Company to return to customers</w:t>
      </w:r>
      <w:r>
        <w:t xml:space="preserve"> </w:t>
      </w:r>
      <w:r w:rsidR="00BF7A47">
        <w:t xml:space="preserve">an annual level of </w:t>
      </w:r>
      <w:proofErr w:type="spellStart"/>
      <w:r w:rsidR="00C86949">
        <w:t>REC</w:t>
      </w:r>
      <w:proofErr w:type="spellEnd"/>
      <w:r w:rsidR="00C86949">
        <w:t xml:space="preserve"> revenues</w:t>
      </w:r>
      <w:r>
        <w:t xml:space="preserve"> on a prospective basis for the rate</w:t>
      </w:r>
      <w:r w:rsidR="00783F06">
        <w:t>-</w:t>
      </w:r>
      <w:r>
        <w:t>effective period.</w:t>
      </w:r>
      <w:r w:rsidR="00BF7A47">
        <w:t xml:space="preserve">  The original credit to customers established by the Commission for this period is $4.8 million.  If the Commission were to order a refund of additional REC revenues </w:t>
      </w:r>
      <w:r w:rsidR="00E46535">
        <w:t>from prior periods</w:t>
      </w:r>
      <w:r w:rsidR="00BF7A47">
        <w:t xml:space="preserve">, it would </w:t>
      </w:r>
      <w:r w:rsidR="00783F06">
        <w:t>effectively mean that</w:t>
      </w:r>
      <w:r w:rsidR="00BF7A47">
        <w:t xml:space="preserve"> more than an annual </w:t>
      </w:r>
      <w:r w:rsidR="005B3B32">
        <w:t>level</w:t>
      </w:r>
      <w:r w:rsidR="00BF7A47">
        <w:t xml:space="preserve"> of revenues</w:t>
      </w:r>
      <w:r w:rsidR="00783F06" w:rsidRPr="00783F06">
        <w:t xml:space="preserve"> </w:t>
      </w:r>
      <w:r w:rsidR="00783F06">
        <w:t>is reflected</w:t>
      </w:r>
      <w:r w:rsidR="00BF7A47">
        <w:t xml:space="preserve"> in a single test year.  In fact, under Staff and ICNU/PC’s proposals, three years of REC revenues would be captured </w:t>
      </w:r>
      <w:r w:rsidR="00783F06">
        <w:t>in one</w:t>
      </w:r>
      <w:r w:rsidR="00B914C8">
        <w:t xml:space="preserve"> test </w:t>
      </w:r>
      <w:r w:rsidR="009A4E69">
        <w:t>year</w:t>
      </w:r>
      <w:r w:rsidR="00B914C8">
        <w:t>, while no other revenue requirement component of the case is reflected at more than an annual level.</w:t>
      </w:r>
    </w:p>
    <w:p w:rsidR="00162C3E" w:rsidRDefault="00B304EA" w:rsidP="00C86949">
      <w:pPr>
        <w:pStyle w:val="Answer"/>
        <w:jc w:val="left"/>
        <w:rPr>
          <w:b/>
        </w:rPr>
      </w:pPr>
      <w:r w:rsidRPr="00511D0A">
        <w:rPr>
          <w:b/>
        </w:rPr>
        <w:t>Q.</w:t>
      </w:r>
      <w:r w:rsidRPr="00511D0A">
        <w:rPr>
          <w:b/>
        </w:rPr>
        <w:tab/>
        <w:t xml:space="preserve">What accounting entries would </w:t>
      </w:r>
      <w:r w:rsidR="00970AE4">
        <w:rPr>
          <w:b/>
        </w:rPr>
        <w:t xml:space="preserve">have to </w:t>
      </w:r>
      <w:r w:rsidRPr="00511D0A">
        <w:rPr>
          <w:b/>
        </w:rPr>
        <w:t xml:space="preserve">be booked should the Commission rule that REC revenues </w:t>
      </w:r>
      <w:r w:rsidR="00E46535">
        <w:rPr>
          <w:b/>
        </w:rPr>
        <w:t xml:space="preserve">from prior periods </w:t>
      </w:r>
      <w:r w:rsidRPr="00511D0A">
        <w:rPr>
          <w:b/>
        </w:rPr>
        <w:t>be returned to customers?</w:t>
      </w:r>
    </w:p>
    <w:p w:rsidR="00162C3E" w:rsidRDefault="00B304EA" w:rsidP="00C86949">
      <w:pPr>
        <w:pStyle w:val="Answer"/>
        <w:jc w:val="left"/>
      </w:pPr>
      <w:r>
        <w:t>A.</w:t>
      </w:r>
      <w:r>
        <w:tab/>
        <w:t>According to ASC Topic 980, the Company would be required to credit a regulatory liability in Federal Energy Regulatory Commission (FERC) account 254 – Other Regulatory Liabilities.  The offsetting entry would be a debit (reduction) to general business revenues.</w:t>
      </w:r>
    </w:p>
    <w:p w:rsidR="00162C3E" w:rsidRDefault="00E46535" w:rsidP="00C86949">
      <w:pPr>
        <w:pStyle w:val="Answer"/>
        <w:ind w:left="0" w:firstLine="0"/>
        <w:rPr>
          <w:b/>
        </w:rPr>
      </w:pPr>
      <w:r>
        <w:rPr>
          <w:b/>
        </w:rPr>
        <w:t>Inclusion of</w:t>
      </w:r>
      <w:r w:rsidR="00012C06" w:rsidRPr="00012C06">
        <w:rPr>
          <w:b/>
        </w:rPr>
        <w:t xml:space="preserve"> 2009 REC Revenues in the</w:t>
      </w:r>
      <w:r w:rsidR="007A059D">
        <w:rPr>
          <w:b/>
        </w:rPr>
        <w:t xml:space="preserve"> REC Track</w:t>
      </w:r>
      <w:r w:rsidR="00261DA1">
        <w:rPr>
          <w:b/>
        </w:rPr>
        <w:t>er</w:t>
      </w:r>
    </w:p>
    <w:p w:rsidR="00162C3E" w:rsidRDefault="007A059D" w:rsidP="00C86949">
      <w:pPr>
        <w:pStyle w:val="Answer"/>
        <w:rPr>
          <w:b/>
        </w:rPr>
      </w:pPr>
      <w:r>
        <w:rPr>
          <w:b/>
        </w:rPr>
        <w:t>Q.</w:t>
      </w:r>
      <w:r>
        <w:rPr>
          <w:b/>
        </w:rPr>
        <w:tab/>
        <w:t>Please describe Staff</w:t>
      </w:r>
      <w:r w:rsidR="00970AE4">
        <w:rPr>
          <w:b/>
        </w:rPr>
        <w:t>’s</w:t>
      </w:r>
      <w:r>
        <w:rPr>
          <w:b/>
        </w:rPr>
        <w:t xml:space="preserve"> and I</w:t>
      </w:r>
      <w:r w:rsidR="00970AE4">
        <w:rPr>
          <w:b/>
        </w:rPr>
        <w:t>CNU</w:t>
      </w:r>
      <w:r>
        <w:rPr>
          <w:b/>
        </w:rPr>
        <w:t>/PC</w:t>
      </w:r>
      <w:r w:rsidR="00970AE4">
        <w:rPr>
          <w:b/>
        </w:rPr>
        <w:t>’</w:t>
      </w:r>
      <w:r>
        <w:rPr>
          <w:b/>
        </w:rPr>
        <w:t>s proposals with respect to 2009 REC revenues.</w:t>
      </w:r>
    </w:p>
    <w:p w:rsidR="00162C3E" w:rsidRDefault="00012C06" w:rsidP="00C86949">
      <w:pPr>
        <w:pStyle w:val="Answer"/>
      </w:pPr>
      <w:r w:rsidRPr="00012C06">
        <w:t>A.</w:t>
      </w:r>
      <w:r w:rsidRPr="00012C06">
        <w:tab/>
        <w:t>Staff and ICNU/PC both propose including 2009 REC revenues in the Company’s</w:t>
      </w:r>
      <w:r w:rsidR="00EA347C">
        <w:t xml:space="preserve"> REC track</w:t>
      </w:r>
      <w:r w:rsidR="00261DA1">
        <w:t>er</w:t>
      </w:r>
      <w:r w:rsidR="00EA347C">
        <w:t xml:space="preserve"> account in addition </w:t>
      </w:r>
      <w:r w:rsidRPr="00012C06">
        <w:t xml:space="preserve">to </w:t>
      </w:r>
      <w:r w:rsidR="00970AE4">
        <w:t>both</w:t>
      </w:r>
      <w:r w:rsidRPr="00012C06">
        <w:t xml:space="preserve"> 2010 revenues and revenues for the </w:t>
      </w:r>
      <w:r w:rsidR="0054297B">
        <w:t>rate-effective</w:t>
      </w:r>
      <w:r w:rsidRPr="00012C06">
        <w:t xml:space="preserve"> period.</w:t>
      </w:r>
    </w:p>
    <w:p w:rsidR="00C86949" w:rsidRDefault="00C86949" w:rsidP="00C86949">
      <w:pPr>
        <w:pStyle w:val="Answer"/>
        <w:suppressLineNumbers/>
      </w:pPr>
    </w:p>
    <w:p w:rsidR="00162C3E" w:rsidRDefault="00EA347C" w:rsidP="00C86949">
      <w:pPr>
        <w:pStyle w:val="Answer"/>
        <w:rPr>
          <w:b/>
        </w:rPr>
      </w:pPr>
      <w:r>
        <w:rPr>
          <w:b/>
        </w:rPr>
        <w:t>Q.</w:t>
      </w:r>
      <w:r>
        <w:rPr>
          <w:b/>
        </w:rPr>
        <w:tab/>
        <w:t xml:space="preserve">Does </w:t>
      </w:r>
      <w:r w:rsidR="00970AE4">
        <w:rPr>
          <w:b/>
        </w:rPr>
        <w:t>O</w:t>
      </w:r>
      <w:r>
        <w:rPr>
          <w:b/>
        </w:rPr>
        <w:t xml:space="preserve">rder 06 issued by the Commission in this proceeding </w:t>
      </w:r>
      <w:r w:rsidR="00A8798A">
        <w:rPr>
          <w:b/>
        </w:rPr>
        <w:t>direct</w:t>
      </w:r>
      <w:r>
        <w:rPr>
          <w:b/>
        </w:rPr>
        <w:t xml:space="preserve"> a starting date </w:t>
      </w:r>
      <w:r w:rsidR="00A8798A">
        <w:rPr>
          <w:b/>
        </w:rPr>
        <w:t>for</w:t>
      </w:r>
      <w:r>
        <w:rPr>
          <w:b/>
        </w:rPr>
        <w:t xml:space="preserve"> the REC revenue track</w:t>
      </w:r>
      <w:r w:rsidR="009A4E69">
        <w:rPr>
          <w:b/>
        </w:rPr>
        <w:t>er</w:t>
      </w:r>
      <w:r>
        <w:rPr>
          <w:b/>
        </w:rPr>
        <w:t xml:space="preserve"> account prior to 2010?</w:t>
      </w:r>
    </w:p>
    <w:p w:rsidR="00162C3E" w:rsidRDefault="00261DA1" w:rsidP="00C86949">
      <w:pPr>
        <w:pStyle w:val="Answer"/>
      </w:pPr>
      <w:r>
        <w:t>A.</w:t>
      </w:r>
      <w:r>
        <w:tab/>
        <w:t>No.</w:t>
      </w:r>
      <w:r w:rsidR="00012C06" w:rsidRPr="00012C06">
        <w:t xml:space="preserve">  </w:t>
      </w:r>
      <w:r>
        <w:t>Both Staff</w:t>
      </w:r>
      <w:r w:rsidR="00A8798A">
        <w:t>’s</w:t>
      </w:r>
      <w:r>
        <w:t xml:space="preserve"> and ICNU/PC</w:t>
      </w:r>
      <w:r w:rsidR="00A8798A">
        <w:t>’</w:t>
      </w:r>
      <w:r>
        <w:t xml:space="preserve">s proposals deviate from the potential starting dates outlined by the Commission.  </w:t>
      </w:r>
      <w:r w:rsidR="00EA347C">
        <w:t>P</w:t>
      </w:r>
      <w:r w:rsidR="00012C06" w:rsidRPr="00012C06">
        <w:t xml:space="preserve">aragraph 207 of that order </w:t>
      </w:r>
      <w:r w:rsidR="00EA347C">
        <w:t>states:</w:t>
      </w:r>
    </w:p>
    <w:p w:rsidR="00162C3E" w:rsidRDefault="00A962B8" w:rsidP="00C86949">
      <w:pPr>
        <w:pStyle w:val="AutoNumBodyCharCharCharChar"/>
      </w:pPr>
      <w:r w:rsidRPr="00D567F7">
        <w:t>“We require this detailed accounting, in part, considering the disputed question of whether PacifiCorp should be required to include, in what we here describe as a tracker account, REC proceeds received during the periods after the test year, including those received during the pendency of this proceeding.  Staff proposed that REC proceeds received after January 1, 2010, be accounted for and established as a regulatory liability on the Company’s books, the rate treatment of which could be determined in a future proceeding.  Another possible starting date for such an account might be the date on which PacifiCorp made its initial filing in this proceeding, which put the rate and accounting treatment of REC revenues in issue.  Other possible dates are conceivable, including the start of the rate year.  We do not finally resolve these questions in this Order.  We require additional briefing on the subject, and may require additional evidence.  We will establish process and schedule for this by subsequent notice.”</w:t>
      </w:r>
    </w:p>
    <w:p w:rsidR="00162C3E" w:rsidRDefault="00162C3E" w:rsidP="00C86949">
      <w:pPr>
        <w:pStyle w:val="AutoNumBodyCharCharCharChar"/>
        <w:suppressLineNumbers/>
      </w:pPr>
    </w:p>
    <w:p w:rsidR="00162C3E" w:rsidRDefault="00012C06" w:rsidP="00C86949">
      <w:pPr>
        <w:pStyle w:val="Answer"/>
        <w:jc w:val="left"/>
        <w:rPr>
          <w:b/>
        </w:rPr>
      </w:pPr>
      <w:r w:rsidRPr="00012C06">
        <w:rPr>
          <w:b/>
        </w:rPr>
        <w:t>Q.</w:t>
      </w:r>
      <w:r w:rsidRPr="00012C06">
        <w:rPr>
          <w:b/>
        </w:rPr>
        <w:tab/>
      </w:r>
      <w:r w:rsidR="00E46535">
        <w:rPr>
          <w:b/>
        </w:rPr>
        <w:t xml:space="preserve">What </w:t>
      </w:r>
      <w:r w:rsidR="00BB1C29">
        <w:rPr>
          <w:b/>
        </w:rPr>
        <w:t xml:space="preserve">does the Company </w:t>
      </w:r>
      <w:proofErr w:type="gramStart"/>
      <w:r w:rsidR="00BB1C29">
        <w:rPr>
          <w:b/>
        </w:rPr>
        <w:t>propose</w:t>
      </w:r>
      <w:proofErr w:type="gramEnd"/>
      <w:r w:rsidR="00BB1C29">
        <w:rPr>
          <w:b/>
        </w:rPr>
        <w:t xml:space="preserve"> </w:t>
      </w:r>
      <w:r w:rsidR="00E46535">
        <w:rPr>
          <w:b/>
        </w:rPr>
        <w:t xml:space="preserve">as the starting date for </w:t>
      </w:r>
      <w:r w:rsidR="00BB1C29">
        <w:rPr>
          <w:b/>
        </w:rPr>
        <w:t>the REC tracker account?</w:t>
      </w:r>
    </w:p>
    <w:p w:rsidR="00162C3E" w:rsidRDefault="00012C06" w:rsidP="00C86949">
      <w:pPr>
        <w:pStyle w:val="Answer"/>
        <w:jc w:val="left"/>
      </w:pPr>
      <w:r w:rsidRPr="00012C06">
        <w:t>A.</w:t>
      </w:r>
      <w:r w:rsidRPr="00012C06">
        <w:tab/>
        <w:t xml:space="preserve">As discussed in the </w:t>
      </w:r>
      <w:r w:rsidR="00A8798A">
        <w:t>P</w:t>
      </w:r>
      <w:r w:rsidRPr="00012C06">
        <w:t>hase II direct testimony of Company witness Andrea L. Kelly, the Company recommends the REC track</w:t>
      </w:r>
      <w:r w:rsidR="009A4E69">
        <w:t>er</w:t>
      </w:r>
      <w:r w:rsidRPr="00012C06">
        <w:t xml:space="preserve"> </w:t>
      </w:r>
      <w:proofErr w:type="gramStart"/>
      <w:r w:rsidRPr="00012C06">
        <w:t>account operate</w:t>
      </w:r>
      <w:proofErr w:type="gramEnd"/>
      <w:r w:rsidRPr="00012C06">
        <w:t xml:space="preserve"> on a forward-looking basis </w:t>
      </w:r>
      <w:r w:rsidR="00BB1C29">
        <w:t>beginning at the start of the rate</w:t>
      </w:r>
      <w:r w:rsidR="00783F06">
        <w:t>-</w:t>
      </w:r>
      <w:r w:rsidR="00BB1C29">
        <w:t>effective period.</w:t>
      </w:r>
      <w:r w:rsidR="00B708CA">
        <w:t xml:space="preserve">  U</w:t>
      </w:r>
      <w:r w:rsidR="00A8798A">
        <w:t>nder</w:t>
      </w:r>
      <w:r w:rsidR="00B708CA">
        <w:t xml:space="preserve"> the Company’s proposal, REC revenues for 2009 or 2010 would not be included in the </w:t>
      </w:r>
      <w:proofErr w:type="spellStart"/>
      <w:r w:rsidR="00B708CA">
        <w:t>REC</w:t>
      </w:r>
      <w:proofErr w:type="spellEnd"/>
      <w:r w:rsidR="00B708CA">
        <w:t xml:space="preserve"> tracker account.</w:t>
      </w:r>
    </w:p>
    <w:p w:rsidR="00C86949" w:rsidRDefault="00C86949" w:rsidP="00C86949">
      <w:pPr>
        <w:pStyle w:val="Answer"/>
        <w:suppressLineNumbers/>
        <w:jc w:val="left"/>
      </w:pPr>
    </w:p>
    <w:p w:rsidR="00C86949" w:rsidRDefault="00C86949" w:rsidP="00C86949">
      <w:pPr>
        <w:pStyle w:val="Answer"/>
        <w:suppressLineNumbers/>
        <w:jc w:val="left"/>
      </w:pPr>
    </w:p>
    <w:p w:rsidR="00C86949" w:rsidRDefault="00C86949" w:rsidP="00C86949">
      <w:pPr>
        <w:pStyle w:val="Answer"/>
        <w:suppressLineNumbers/>
        <w:jc w:val="left"/>
      </w:pPr>
    </w:p>
    <w:p w:rsidR="00C86949" w:rsidRDefault="00C86949" w:rsidP="00C86949">
      <w:pPr>
        <w:pStyle w:val="Answer"/>
        <w:jc w:val="left"/>
        <w:rPr>
          <w:b/>
        </w:rPr>
        <w:sectPr w:rsidR="00C86949" w:rsidSect="00C86949">
          <w:headerReference w:type="default" r:id="rId16"/>
          <w:type w:val="continuous"/>
          <w:pgSz w:w="12240" w:h="15840" w:code="1"/>
          <w:pgMar w:top="1440" w:right="1800" w:bottom="1440" w:left="1800" w:header="720" w:footer="720" w:gutter="0"/>
          <w:lnNumType w:countBy="1"/>
          <w:cols w:space="720"/>
          <w:docGrid w:linePitch="360"/>
        </w:sectPr>
      </w:pPr>
    </w:p>
    <w:p w:rsidR="00162C3E" w:rsidRDefault="00012C06" w:rsidP="00C86949">
      <w:pPr>
        <w:pStyle w:val="Answer"/>
        <w:jc w:val="left"/>
        <w:rPr>
          <w:b/>
        </w:rPr>
      </w:pPr>
      <w:r w:rsidRPr="00012C06">
        <w:rPr>
          <w:b/>
        </w:rPr>
        <w:t>Q.</w:t>
      </w:r>
      <w:r w:rsidRPr="00012C06">
        <w:rPr>
          <w:b/>
        </w:rPr>
        <w:tab/>
        <w:t xml:space="preserve">If the Commission determines that the Company’s filing date </w:t>
      </w:r>
      <w:r w:rsidR="00B708CA">
        <w:rPr>
          <w:b/>
        </w:rPr>
        <w:t xml:space="preserve">in this proceeding </w:t>
      </w:r>
      <w:r w:rsidRPr="00012C06">
        <w:rPr>
          <w:b/>
        </w:rPr>
        <w:t>should be used as the starting date for the REC tracker account, what amount of Washington-allocated REC revenue would be reflected for 2010?</w:t>
      </w:r>
    </w:p>
    <w:p w:rsidR="00162C3E" w:rsidRDefault="00BB1C29" w:rsidP="00C86949">
      <w:pPr>
        <w:pStyle w:val="Answer"/>
        <w:jc w:val="left"/>
      </w:pPr>
      <w:r>
        <w:t>A.</w:t>
      </w:r>
      <w:r w:rsidR="00B708CA">
        <w:tab/>
        <w:t xml:space="preserve">Using the Company’s filing date of May 4, 2010 as the start date for the REC tracker account, approximately </w:t>
      </w:r>
      <w:r w:rsidR="004A1703" w:rsidRPr="004A1703">
        <w:rPr>
          <w:highlight w:val="black"/>
        </w:rPr>
        <w:t>___________</w:t>
      </w:r>
      <w:r w:rsidR="00B708CA">
        <w:t xml:space="preserve"> of Washington-allocated </w:t>
      </w:r>
      <w:proofErr w:type="spellStart"/>
      <w:r w:rsidR="00B708CA">
        <w:t>REC</w:t>
      </w:r>
      <w:proofErr w:type="spellEnd"/>
      <w:r w:rsidR="00B708CA">
        <w:t xml:space="preserve"> revenue would be reflected in the account for 2010.  This amount can be calculated by summing Washington’s allocation of revenues for the months of May through December 2010</w:t>
      </w:r>
      <w:r w:rsidR="009A4E69">
        <w:t>,</w:t>
      </w:r>
      <w:r w:rsidR="00B708CA">
        <w:t xml:space="preserve"> found in </w:t>
      </w:r>
      <w:r w:rsidR="00783F06">
        <w:t xml:space="preserve">Company witness Stacey J. Kusters’ </w:t>
      </w:r>
      <w:r w:rsidR="00B708CA">
        <w:t>Confidential Exhibit No.__</w:t>
      </w:r>
      <w:proofErr w:type="gramStart"/>
      <w:r w:rsidR="00B708CA">
        <w:t>_(</w:t>
      </w:r>
      <w:proofErr w:type="gramEnd"/>
      <w:r w:rsidR="00B708CA">
        <w:t>SJK-6C) and subtracting the amount of REC revenues previously reflected in rates in 2010 of $657,755.  Ms. Kusters’ exhibit and the amount previously established in rates are discussed in greater detail later in my testimony.</w:t>
      </w:r>
      <w:r>
        <w:t xml:space="preserve"> </w:t>
      </w:r>
    </w:p>
    <w:p w:rsidR="00B5469C" w:rsidRPr="00150CF3" w:rsidRDefault="00150CF3" w:rsidP="00C86949">
      <w:pPr>
        <w:pStyle w:val="Answer"/>
        <w:jc w:val="left"/>
        <w:rPr>
          <w:b/>
        </w:rPr>
      </w:pPr>
      <w:r w:rsidRPr="00150CF3">
        <w:rPr>
          <w:b/>
        </w:rPr>
        <w:t xml:space="preserve">PacifiCorp’s Proposed Allocation Methodology </w:t>
      </w:r>
      <w:r w:rsidR="00DE58DE">
        <w:rPr>
          <w:b/>
        </w:rPr>
        <w:t>for Prior Period</w:t>
      </w:r>
      <w:r w:rsidR="000A126D">
        <w:rPr>
          <w:b/>
        </w:rPr>
        <w:t xml:space="preserve"> REC Revenues</w:t>
      </w:r>
    </w:p>
    <w:p w:rsidR="00B5469C" w:rsidRDefault="00B5469C" w:rsidP="00C86949">
      <w:pPr>
        <w:pStyle w:val="Answer"/>
        <w:jc w:val="left"/>
        <w:rPr>
          <w:b/>
        </w:rPr>
      </w:pPr>
      <w:r>
        <w:rPr>
          <w:b/>
        </w:rPr>
        <w:t>Q.</w:t>
      </w:r>
      <w:r>
        <w:rPr>
          <w:b/>
        </w:rPr>
        <w:tab/>
        <w:t xml:space="preserve">Please describe the allocation methodology proposed by the Company </w:t>
      </w:r>
      <w:r w:rsidR="006352EA">
        <w:rPr>
          <w:b/>
        </w:rPr>
        <w:t>to determine</w:t>
      </w:r>
      <w:r>
        <w:rPr>
          <w:b/>
        </w:rPr>
        <w:t xml:space="preserve"> Washington’s share of REC revenue</w:t>
      </w:r>
      <w:r w:rsidR="00E46535">
        <w:rPr>
          <w:b/>
        </w:rPr>
        <w:t xml:space="preserve"> for 2009 and 2010</w:t>
      </w:r>
      <w:r>
        <w:rPr>
          <w:b/>
        </w:rPr>
        <w:t>.</w:t>
      </w:r>
    </w:p>
    <w:p w:rsidR="00B5469C" w:rsidRDefault="00B5469C" w:rsidP="00C86949">
      <w:pPr>
        <w:pStyle w:val="Answer"/>
        <w:jc w:val="left"/>
      </w:pPr>
      <w:r w:rsidRPr="00B5469C">
        <w:t>A.</w:t>
      </w:r>
      <w:r w:rsidRPr="00B5469C">
        <w:tab/>
      </w:r>
      <w:r>
        <w:t>As described in my Phase II direct testimony, for purposes of determining Washington share of REC revenues</w:t>
      </w:r>
      <w:r w:rsidR="00E46535">
        <w:t xml:space="preserve"> for 2009 and 2010</w:t>
      </w:r>
      <w:r>
        <w:t>, the Company applied Washington’s Control Area Generation West (CAGW) allocation percentage to the REC revenues booked from the sale of RECs from west control area resources.</w:t>
      </w:r>
    </w:p>
    <w:p w:rsidR="000902F5" w:rsidRDefault="000902F5" w:rsidP="000902F5">
      <w:pPr>
        <w:pStyle w:val="Answer"/>
        <w:suppressLineNumbers/>
        <w:jc w:val="left"/>
      </w:pPr>
    </w:p>
    <w:p w:rsidR="000902F5" w:rsidRDefault="000902F5" w:rsidP="00C86949">
      <w:pPr>
        <w:pStyle w:val="Answer"/>
        <w:jc w:val="left"/>
        <w:rPr>
          <w:b/>
        </w:rPr>
        <w:sectPr w:rsidR="000902F5" w:rsidSect="00C86949">
          <w:headerReference w:type="default" r:id="rId17"/>
          <w:type w:val="continuous"/>
          <w:pgSz w:w="12240" w:h="15840" w:code="1"/>
          <w:pgMar w:top="1440" w:right="1800" w:bottom="1440" w:left="1800" w:header="720" w:footer="720" w:gutter="0"/>
          <w:lnNumType w:countBy="1"/>
          <w:cols w:space="720"/>
          <w:docGrid w:linePitch="360"/>
        </w:sectPr>
      </w:pPr>
    </w:p>
    <w:p w:rsidR="00B5469C" w:rsidRDefault="00B5469C" w:rsidP="00C86949">
      <w:pPr>
        <w:pStyle w:val="Answer"/>
        <w:jc w:val="left"/>
        <w:rPr>
          <w:b/>
        </w:rPr>
      </w:pPr>
      <w:r w:rsidRPr="00B5469C">
        <w:rPr>
          <w:b/>
        </w:rPr>
        <w:t>Q.</w:t>
      </w:r>
      <w:r w:rsidRPr="00B5469C">
        <w:rPr>
          <w:b/>
        </w:rPr>
        <w:tab/>
        <w:t>Using this methodology, what are the total Washington-allocated REC revenues for 2010?</w:t>
      </w:r>
    </w:p>
    <w:p w:rsidR="003C3360" w:rsidRDefault="00B5469C" w:rsidP="00C86949">
      <w:pPr>
        <w:pStyle w:val="Answer"/>
        <w:jc w:val="left"/>
      </w:pPr>
      <w:r w:rsidRPr="00F97283">
        <w:t>A.</w:t>
      </w:r>
      <w:r w:rsidRPr="00F97283">
        <w:tab/>
        <w:t xml:space="preserve">As reflected </w:t>
      </w:r>
      <w:r w:rsidR="00F97283">
        <w:t>in</w:t>
      </w:r>
      <w:r w:rsidRPr="00F97283">
        <w:t xml:space="preserve"> </w:t>
      </w:r>
      <w:r w:rsidR="009A4E69">
        <w:t>Ms.</w:t>
      </w:r>
      <w:r w:rsidR="00A51257">
        <w:t xml:space="preserve"> Kuster</w:t>
      </w:r>
      <w:r w:rsidR="00F97283">
        <w:t>s</w:t>
      </w:r>
      <w:r w:rsidR="00A51257">
        <w:t>’</w:t>
      </w:r>
      <w:r w:rsidR="00F97283">
        <w:t xml:space="preserve"> Confidential Exhibit</w:t>
      </w:r>
      <w:r w:rsidRPr="00F97283">
        <w:t xml:space="preserve"> No.</w:t>
      </w:r>
      <w:r w:rsidR="000A126D">
        <w:t>___</w:t>
      </w:r>
      <w:r w:rsidRPr="00F97283">
        <w:t>(SJK-</w:t>
      </w:r>
      <w:r w:rsidR="000A126D">
        <w:t>3</w:t>
      </w:r>
      <w:r w:rsidRPr="00F97283">
        <w:t>C)</w:t>
      </w:r>
      <w:r w:rsidR="000A126D">
        <w:t>,</w:t>
      </w:r>
      <w:r w:rsidRPr="00F97283">
        <w:t xml:space="preserve"> </w:t>
      </w:r>
      <w:r w:rsidR="00F97283">
        <w:t>the total Washington-</w:t>
      </w:r>
      <w:r w:rsidRPr="00F97283">
        <w:t xml:space="preserve">allocated REC revenue is </w:t>
      </w:r>
      <w:r w:rsidR="00E0771B">
        <w:t>$7,663,079</w:t>
      </w:r>
      <w:r w:rsidR="00F97283" w:rsidRPr="00F97283">
        <w:t xml:space="preserve"> for 2010</w:t>
      </w:r>
      <w:r w:rsidR="000A126D">
        <w:t xml:space="preserve">.  </w:t>
      </w:r>
    </w:p>
    <w:p w:rsidR="003C3360" w:rsidRDefault="00012C06" w:rsidP="00C86949">
      <w:pPr>
        <w:pStyle w:val="Answer"/>
        <w:jc w:val="left"/>
        <w:rPr>
          <w:b/>
        </w:rPr>
      </w:pPr>
      <w:r w:rsidRPr="00012C06">
        <w:rPr>
          <w:b/>
        </w:rPr>
        <w:t>Q</w:t>
      </w:r>
      <w:r w:rsidRPr="00012C06">
        <w:rPr>
          <w:b/>
        </w:rPr>
        <w:tab/>
        <w:t xml:space="preserve">Does this </w:t>
      </w:r>
      <w:r w:rsidR="003C3360">
        <w:rPr>
          <w:b/>
        </w:rPr>
        <w:t>total</w:t>
      </w:r>
      <w:r w:rsidRPr="00012C06">
        <w:rPr>
          <w:b/>
        </w:rPr>
        <w:t xml:space="preserve"> reflect any reduction for REC revenues reflected in rates during 2010 as part of prior rate case filings?</w:t>
      </w:r>
    </w:p>
    <w:p w:rsidR="003C3360" w:rsidRPr="003C3360" w:rsidRDefault="00012C06" w:rsidP="00C86949">
      <w:pPr>
        <w:pStyle w:val="Answer"/>
        <w:jc w:val="left"/>
        <w:rPr>
          <w:b/>
        </w:rPr>
      </w:pPr>
      <w:r w:rsidRPr="00012C06">
        <w:t>A.</w:t>
      </w:r>
      <w:r w:rsidRPr="00012C06">
        <w:tab/>
        <w:t>No.  However, as outlined in Ms. Breda’s testimony,</w:t>
      </w:r>
      <w:r w:rsidR="003C3360">
        <w:rPr>
          <w:b/>
        </w:rPr>
        <w:t xml:space="preserve"> </w:t>
      </w:r>
      <w:r w:rsidRPr="00012C06">
        <w:t>i</w:t>
      </w:r>
      <w:r w:rsidR="003C3360">
        <w:t xml:space="preserve">n the Company’s 2009 rate case, Docket </w:t>
      </w:r>
      <w:r w:rsidR="00E46535">
        <w:t>UE-</w:t>
      </w:r>
      <w:r w:rsidR="003C3360">
        <w:t xml:space="preserve">090205, $657,755 of Washington-allocated REC revenues were established in rates on a </w:t>
      </w:r>
      <w:r w:rsidR="00E46535">
        <w:t>forecast</w:t>
      </w:r>
      <w:r w:rsidR="003C3360">
        <w:t xml:space="preserve"> basis for the calendar ye</w:t>
      </w:r>
      <w:r w:rsidR="00261DA1">
        <w:t>ar 2010 rate</w:t>
      </w:r>
      <w:r w:rsidR="00783F06">
        <w:t>-</w:t>
      </w:r>
      <w:r w:rsidR="00261DA1">
        <w:t>effective period in</w:t>
      </w:r>
      <w:r w:rsidR="003C3360">
        <w:t xml:space="preserve"> that proceeding. </w:t>
      </w:r>
      <w:r w:rsidR="009C1516">
        <w:t xml:space="preserve"> Any REC revenue credit for 2010 should be reduced by this amount.</w:t>
      </w:r>
    </w:p>
    <w:p w:rsidR="009C1516" w:rsidRPr="00F1323C" w:rsidRDefault="009C1516" w:rsidP="00C86949">
      <w:pPr>
        <w:pStyle w:val="Answer"/>
        <w:jc w:val="left"/>
        <w:rPr>
          <w:b/>
        </w:rPr>
      </w:pPr>
      <w:r w:rsidRPr="00F1323C">
        <w:rPr>
          <w:b/>
        </w:rPr>
        <w:t>Q.</w:t>
      </w:r>
      <w:r w:rsidRPr="00F1323C">
        <w:rPr>
          <w:b/>
        </w:rPr>
        <w:tab/>
        <w:t xml:space="preserve">Is the Company’s allocation </w:t>
      </w:r>
      <w:r>
        <w:rPr>
          <w:b/>
        </w:rPr>
        <w:t>of historic REC revenues</w:t>
      </w:r>
      <w:r w:rsidRPr="00F1323C">
        <w:rPr>
          <w:b/>
        </w:rPr>
        <w:t xml:space="preserve"> consistent with prior reports provided to </w:t>
      </w:r>
      <w:r>
        <w:rPr>
          <w:b/>
        </w:rPr>
        <w:t xml:space="preserve">the Commission and </w:t>
      </w:r>
      <w:r w:rsidRPr="00F1323C">
        <w:rPr>
          <w:b/>
        </w:rPr>
        <w:t>other parties?</w:t>
      </w:r>
    </w:p>
    <w:p w:rsidR="009C1516" w:rsidRDefault="009C1516" w:rsidP="00C86949">
      <w:pPr>
        <w:pStyle w:val="Answer"/>
        <w:jc w:val="left"/>
      </w:pPr>
      <w:r>
        <w:t>A.</w:t>
      </w:r>
      <w:r>
        <w:tab/>
        <w:t>Yes.  As described in my Phase II direct testimony, the allocation method described above is consistent with each of the Quarterly REC Revenue Reports provided to Staff and ICNU/PC (five separate filings).</w:t>
      </w:r>
      <w:r>
        <w:rPr>
          <w:rStyle w:val="FootnoteReference"/>
        </w:rPr>
        <w:footnoteReference w:id="3"/>
      </w:r>
      <w:r>
        <w:t xml:space="preserve"> In addition, the same methodology was applied in the 2009 and 2010 Commission Basis Reports and the Company’s rebuttal revenue requirement filing in this docket.</w:t>
      </w:r>
    </w:p>
    <w:p w:rsidR="009C1516" w:rsidRPr="00F1323C" w:rsidRDefault="009C1516" w:rsidP="00C86949">
      <w:pPr>
        <w:pStyle w:val="Answer"/>
        <w:jc w:val="left"/>
        <w:rPr>
          <w:b/>
        </w:rPr>
      </w:pPr>
      <w:r w:rsidRPr="00F1323C">
        <w:rPr>
          <w:b/>
        </w:rPr>
        <w:t>Q.</w:t>
      </w:r>
      <w:r w:rsidRPr="00F1323C">
        <w:rPr>
          <w:b/>
        </w:rPr>
        <w:tab/>
        <w:t>Has any party ever taken issue with this allocation method?</w:t>
      </w:r>
    </w:p>
    <w:p w:rsidR="009C1516" w:rsidRDefault="009C1516" w:rsidP="00C86949">
      <w:pPr>
        <w:pStyle w:val="Answer"/>
        <w:jc w:val="left"/>
      </w:pPr>
      <w:r>
        <w:t>A.</w:t>
      </w:r>
      <w:r>
        <w:tab/>
        <w:t xml:space="preserve">No.  Parties have not challenged this allocation methodology until </w:t>
      </w:r>
      <w:r w:rsidR="00DE58DE">
        <w:t>P</w:t>
      </w:r>
      <w:r>
        <w:t>hase II of this proceeding.  In fact, Staff supported this methodology earlier in this docket.  In its initial post-hearing brief filed with the Commission on February 11, 2011, Staff supported the Company’s rebuttal calculation of REC revenues, which</w:t>
      </w:r>
      <w:r w:rsidR="005A0E9D">
        <w:t>,</w:t>
      </w:r>
      <w:r>
        <w:t xml:space="preserve"> as I discuss above, was calculated using this same methodology as a proxy for the forecast for the </w:t>
      </w:r>
      <w:r w:rsidR="0054297B">
        <w:t>rate-effective</w:t>
      </w:r>
      <w:r>
        <w:t xml:space="preserve"> period.</w:t>
      </w:r>
      <w:r>
        <w:rPr>
          <w:rStyle w:val="FootnoteReference"/>
        </w:rPr>
        <w:footnoteReference w:id="4"/>
      </w:r>
      <w:r>
        <w:t xml:space="preserve">  In the Company’s rebuttal filing, the Company </w:t>
      </w:r>
      <w:r w:rsidR="005A0E9D">
        <w:t xml:space="preserve">explained that it </w:t>
      </w:r>
      <w:r>
        <w:t>used 2009 revenues allocated in this manner as the basis for the revenues the Company expected to receive during the rate</w:t>
      </w:r>
      <w:r w:rsidR="005A0E9D">
        <w:t>-</w:t>
      </w:r>
      <w:r>
        <w:t>effective period, the 12 months ending March 2013.</w:t>
      </w:r>
      <w:r>
        <w:rPr>
          <w:rStyle w:val="FootnoteReference"/>
        </w:rPr>
        <w:footnoteReference w:id="5"/>
      </w:r>
      <w:r>
        <w:t xml:space="preserve">   </w:t>
      </w:r>
    </w:p>
    <w:p w:rsidR="009C1516" w:rsidRPr="005924EB" w:rsidRDefault="009C1516" w:rsidP="00C86949">
      <w:pPr>
        <w:pStyle w:val="Answer"/>
        <w:jc w:val="left"/>
        <w:rPr>
          <w:b/>
        </w:rPr>
      </w:pPr>
      <w:r w:rsidRPr="00162C3E">
        <w:rPr>
          <w:b/>
        </w:rPr>
        <w:t>Q.</w:t>
      </w:r>
      <w:r w:rsidRPr="00162C3E">
        <w:rPr>
          <w:b/>
        </w:rPr>
        <w:tab/>
        <w:t>Were Staff and other parties aware that the Company was holding RECs for compliance with renewable portfolio standards in Oregon and California?</w:t>
      </w:r>
    </w:p>
    <w:p w:rsidR="00211180" w:rsidRDefault="009C1516" w:rsidP="00C86949">
      <w:pPr>
        <w:pStyle w:val="Answer"/>
        <w:jc w:val="left"/>
        <w:rPr>
          <w:bCs/>
        </w:rPr>
      </w:pPr>
      <w:r>
        <w:t>A.</w:t>
      </w:r>
      <w:r>
        <w:tab/>
        <w:t xml:space="preserve">Yes.  This is not a new discovery as implied in Staff’s testimony.  As referenced in my direct testimony, the Company provided an </w:t>
      </w:r>
      <w:r>
        <w:rPr>
          <w:bCs/>
        </w:rPr>
        <w:t>explanation of the d</w:t>
      </w:r>
      <w:r w:rsidRPr="00162C3E">
        <w:rPr>
          <w:bCs/>
        </w:rPr>
        <w:t xml:space="preserve">isposition of </w:t>
      </w:r>
      <w:r>
        <w:rPr>
          <w:bCs/>
        </w:rPr>
        <w:t>RECs on a state-by-state basis in a report to Staff, PC and ICNU nearly three years ago, on December 31, 2009.  The report stated:</w:t>
      </w:r>
    </w:p>
    <w:p w:rsidR="00211180" w:rsidRDefault="009C1516" w:rsidP="00C86949">
      <w:pPr>
        <w:pStyle w:val="Answer"/>
        <w:spacing w:line="240" w:lineRule="auto"/>
        <w:ind w:left="1440" w:firstLine="0"/>
        <w:jc w:val="left"/>
      </w:pPr>
      <w:r>
        <w:t>“</w:t>
      </w:r>
      <w:r w:rsidRPr="005924EB">
        <w:t xml:space="preserve">PacifiCorp does not sell Oregon’s REC share allocation because that state’s RPS permits unlimited REC banking for RECs generated after January 1, 2007 and the first RPS target is near-term (2011).  PacifiCorp does not sell </w:t>
      </w:r>
      <w:smartTag w:uri="urn:schemas-microsoft-com:office:smarttags" w:element="date">
        <w:smartTagPr>
          <w:attr w:name="Year" w:val="2013"/>
          <w:attr w:name="Day" w:val="1"/>
          <w:attr w:name="Month" w:val="1"/>
        </w:smartTagPr>
        <w:r w:rsidRPr="005924EB">
          <w:t>California</w:t>
        </w:r>
      </w:smartTag>
      <w:r w:rsidRPr="005924EB">
        <w:t>’s REC share allocation because the RPS targets for that state are already applicable.  Beginning January 1, 2011, under current laws and rules, PacifiCorp will not sell Washington’s REC share allocation because the first RPS target will become applicable; however, Washington RECs may be sold in the future if not needed for meeting the target and if the RECs cannot be banked.</w:t>
      </w:r>
      <w:r>
        <w:t>” p. 3</w:t>
      </w:r>
    </w:p>
    <w:p w:rsidR="00EA5D2E" w:rsidRDefault="00EA5D2E" w:rsidP="00EA5D2E">
      <w:pPr>
        <w:pStyle w:val="Answer"/>
        <w:suppressLineNumbers/>
        <w:spacing w:line="240" w:lineRule="auto"/>
        <w:ind w:left="1440" w:firstLine="0"/>
        <w:jc w:val="left"/>
      </w:pPr>
    </w:p>
    <w:p w:rsidR="00F97283" w:rsidRPr="00F97283" w:rsidRDefault="00F97283" w:rsidP="00C86949">
      <w:pPr>
        <w:pStyle w:val="Answer"/>
        <w:jc w:val="left"/>
        <w:rPr>
          <w:b/>
        </w:rPr>
      </w:pPr>
      <w:r w:rsidRPr="00F97283">
        <w:rPr>
          <w:b/>
        </w:rPr>
        <w:t>Q.</w:t>
      </w:r>
      <w:r w:rsidRPr="00F97283">
        <w:rPr>
          <w:b/>
        </w:rPr>
        <w:tab/>
        <w:t xml:space="preserve">Has the Company made any </w:t>
      </w:r>
      <w:r w:rsidR="007638E7">
        <w:rPr>
          <w:b/>
        </w:rPr>
        <w:t>revisions</w:t>
      </w:r>
      <w:r w:rsidRPr="00F97283">
        <w:rPr>
          <w:b/>
        </w:rPr>
        <w:t xml:space="preserve"> to the</w:t>
      </w:r>
      <w:r w:rsidR="003C3360">
        <w:rPr>
          <w:b/>
        </w:rPr>
        <w:t xml:space="preserve"> </w:t>
      </w:r>
      <w:r w:rsidR="00BB1C29">
        <w:rPr>
          <w:b/>
        </w:rPr>
        <w:t>calculation</w:t>
      </w:r>
      <w:r w:rsidR="003C3360">
        <w:rPr>
          <w:b/>
        </w:rPr>
        <w:t xml:space="preserve"> of 2010 </w:t>
      </w:r>
      <w:r w:rsidR="00261DA1">
        <w:rPr>
          <w:b/>
        </w:rPr>
        <w:t xml:space="preserve">Washington-allocated </w:t>
      </w:r>
      <w:r w:rsidR="003C3360">
        <w:rPr>
          <w:b/>
        </w:rPr>
        <w:t>revenues</w:t>
      </w:r>
      <w:r w:rsidRPr="00F97283">
        <w:rPr>
          <w:b/>
        </w:rPr>
        <w:t xml:space="preserve"> as part of its rebuttal filing?</w:t>
      </w:r>
    </w:p>
    <w:p w:rsidR="00F97283" w:rsidRDefault="00F97283" w:rsidP="00C86949">
      <w:pPr>
        <w:pStyle w:val="Answer"/>
        <w:jc w:val="left"/>
      </w:pPr>
      <w:r>
        <w:t>A.</w:t>
      </w:r>
      <w:r>
        <w:tab/>
        <w:t xml:space="preserve">Yes.  The Company has </w:t>
      </w:r>
      <w:r w:rsidR="00BF345B">
        <w:t xml:space="preserve">made a minor revision to </w:t>
      </w:r>
      <w:r>
        <w:t>Washington</w:t>
      </w:r>
      <w:r w:rsidR="007638E7">
        <w:t>’s</w:t>
      </w:r>
      <w:r>
        <w:t xml:space="preserve"> CAGW percentage for 2010 to match the allocation percentage used in the Company’s 2011 general rate case</w:t>
      </w:r>
      <w:r w:rsidR="007638E7">
        <w:t xml:space="preserve"> (2010 historic test period)</w:t>
      </w:r>
      <w:r>
        <w:t xml:space="preserve">, Docket </w:t>
      </w:r>
      <w:r w:rsidR="00E46535">
        <w:t>UE-</w:t>
      </w:r>
      <w:r w:rsidR="00940B74">
        <w:t>111190</w:t>
      </w:r>
      <w:r w:rsidR="003C3360">
        <w:t>.</w:t>
      </w:r>
      <w:r w:rsidR="002B3095">
        <w:rPr>
          <w:rStyle w:val="FootnoteReference"/>
        </w:rPr>
        <w:footnoteReference w:id="6"/>
      </w:r>
      <w:r>
        <w:t xml:space="preserve">  The </w:t>
      </w:r>
      <w:r w:rsidR="00BF345B">
        <w:t xml:space="preserve">2010 </w:t>
      </w:r>
      <w:r>
        <w:t xml:space="preserve">Washington allocation percentage used by the Company in its </w:t>
      </w:r>
      <w:r w:rsidR="009C1516">
        <w:t>P</w:t>
      </w:r>
      <w:r w:rsidR="007638E7">
        <w:t>hase II direct filing</w:t>
      </w:r>
      <w:r>
        <w:t xml:space="preserve"> </w:t>
      </w:r>
      <w:r w:rsidR="007638E7">
        <w:t>is</w:t>
      </w:r>
      <w:r>
        <w:t xml:space="preserve"> </w:t>
      </w:r>
      <w:r w:rsidR="00BF345B">
        <w:t>consistent with the</w:t>
      </w:r>
      <w:r>
        <w:t xml:space="preserve"> percentage reported in the Company’s 2010 Commission Basis Report.  However, due to the timing of that filing with the Commission, the Company was not able to incorporate a revision to the calculation of </w:t>
      </w:r>
      <w:r w:rsidR="007638E7">
        <w:t xml:space="preserve">jurisdictional </w:t>
      </w:r>
      <w:r>
        <w:t xml:space="preserve">allocation factors as outlined by the Commission in </w:t>
      </w:r>
      <w:r w:rsidR="009C1516">
        <w:t>O</w:t>
      </w:r>
      <w:r>
        <w:t>rder 06</w:t>
      </w:r>
      <w:r w:rsidR="00BF345B">
        <w:t xml:space="preserve"> of this </w:t>
      </w:r>
      <w:r w:rsidR="007638E7">
        <w:t xml:space="preserve">docket.  In that </w:t>
      </w:r>
      <w:r w:rsidR="009C1516">
        <w:t>O</w:t>
      </w:r>
      <w:r w:rsidR="007638E7">
        <w:t>rder</w:t>
      </w:r>
      <w:r w:rsidR="009C1516">
        <w:t>,</w:t>
      </w:r>
      <w:r w:rsidR="007638E7">
        <w:t xml:space="preserve"> the Commission</w:t>
      </w:r>
      <w:r>
        <w:t xml:space="preserve"> required the Company to remove temperature normalization from the </w:t>
      </w:r>
      <w:r w:rsidR="0089232C">
        <w:t xml:space="preserve">commercial </w:t>
      </w:r>
      <w:r w:rsidR="007638E7">
        <w:t>customer class</w:t>
      </w:r>
      <w:r w:rsidR="003C3360">
        <w:t>.</w:t>
      </w:r>
      <w:r w:rsidR="00BF345B">
        <w:rPr>
          <w:rStyle w:val="FootnoteReference"/>
        </w:rPr>
        <w:footnoteReference w:id="7"/>
      </w:r>
      <w:r>
        <w:t xml:space="preserve"> </w:t>
      </w:r>
      <w:r w:rsidR="0089232C">
        <w:t xml:space="preserve">Applying this ordered treatment to the 2010 jurisdictional loads increases </w:t>
      </w:r>
      <w:r w:rsidR="007638E7">
        <w:t xml:space="preserve">Washington’s 2010 </w:t>
      </w:r>
      <w:proofErr w:type="spellStart"/>
      <w:r w:rsidR="007638E7">
        <w:t>CAGW</w:t>
      </w:r>
      <w:proofErr w:type="spellEnd"/>
      <w:r w:rsidR="007638E7">
        <w:t xml:space="preserve"> allocation from 22.2111</w:t>
      </w:r>
      <w:r w:rsidR="005D7830">
        <w:t xml:space="preserve">% </w:t>
      </w:r>
      <w:r w:rsidR="007638E7">
        <w:t>to 22.4742</w:t>
      </w:r>
      <w:r w:rsidR="005D7830">
        <w:t>%</w:t>
      </w:r>
      <w:r w:rsidR="007638E7">
        <w:t>.</w:t>
      </w:r>
    </w:p>
    <w:p w:rsidR="0089232C" w:rsidRPr="0089232C" w:rsidRDefault="0089232C" w:rsidP="00C86949">
      <w:pPr>
        <w:pStyle w:val="Answer"/>
        <w:jc w:val="left"/>
        <w:rPr>
          <w:b/>
        </w:rPr>
      </w:pPr>
      <w:r w:rsidRPr="0089232C">
        <w:rPr>
          <w:b/>
        </w:rPr>
        <w:t>Q.</w:t>
      </w:r>
      <w:r w:rsidRPr="0089232C">
        <w:rPr>
          <w:b/>
        </w:rPr>
        <w:tab/>
        <w:t xml:space="preserve">What is the impact on the Washington allocation of 2010 REC revenues due to </w:t>
      </w:r>
      <w:r w:rsidR="00F24F81">
        <w:rPr>
          <w:b/>
        </w:rPr>
        <w:t>the update</w:t>
      </w:r>
      <w:r w:rsidRPr="0089232C">
        <w:rPr>
          <w:b/>
        </w:rPr>
        <w:t xml:space="preserve"> of Washington’s 2010 CAGW percentage?</w:t>
      </w:r>
    </w:p>
    <w:p w:rsidR="002232C7" w:rsidRDefault="0089232C" w:rsidP="00C86949">
      <w:pPr>
        <w:pStyle w:val="Answer"/>
        <w:jc w:val="left"/>
      </w:pPr>
      <w:r>
        <w:t>A.</w:t>
      </w:r>
      <w:r>
        <w:tab/>
      </w:r>
      <w:r w:rsidR="00E24FC3">
        <w:t xml:space="preserve">2010 </w:t>
      </w:r>
      <w:r w:rsidR="002B3095">
        <w:t>Washington-</w:t>
      </w:r>
      <w:r>
        <w:t xml:space="preserve">allocated REC revenue </w:t>
      </w:r>
      <w:r w:rsidR="00360161">
        <w:t>increases</w:t>
      </w:r>
      <w:r>
        <w:t xml:space="preserve"> by $90,7</w:t>
      </w:r>
      <w:r w:rsidR="00A51257">
        <w:t>72</w:t>
      </w:r>
      <w:r>
        <w:t xml:space="preserve"> from</w:t>
      </w:r>
      <w:r w:rsidR="00E24FC3">
        <w:t xml:space="preserve"> the </w:t>
      </w:r>
      <w:r w:rsidR="00E24FC3" w:rsidRPr="00F97283">
        <w:t xml:space="preserve">$7,663,079 </w:t>
      </w:r>
      <w:r w:rsidR="00E24FC3">
        <w:t>reported in Exhibit No.___(SJK-3C).  The updated Washington-allocated total for 2010 is $7,753,851.  This revised amount</w:t>
      </w:r>
      <w:r w:rsidR="00A51257">
        <w:t xml:space="preserve"> and allocation percentage is reflected in</w:t>
      </w:r>
      <w:r w:rsidR="00F1323C">
        <w:t xml:space="preserve"> Ms. Kuster</w:t>
      </w:r>
      <w:r w:rsidR="00E24FC3">
        <w:t>s</w:t>
      </w:r>
      <w:r w:rsidR="00F1323C">
        <w:t>’</w:t>
      </w:r>
      <w:r w:rsidR="00E24FC3">
        <w:t xml:space="preserve"> </w:t>
      </w:r>
      <w:r w:rsidR="003845F5">
        <w:t xml:space="preserve">Confidential </w:t>
      </w:r>
      <w:r w:rsidR="00E24FC3">
        <w:t>Exhibit No.__</w:t>
      </w:r>
      <w:proofErr w:type="gramStart"/>
      <w:r w:rsidR="00E24FC3">
        <w:t>_(</w:t>
      </w:r>
      <w:proofErr w:type="gramEnd"/>
      <w:r w:rsidR="00E24FC3">
        <w:t>SJK-6C).</w:t>
      </w:r>
      <w:r w:rsidR="008B2F2C">
        <w:t xml:space="preserve">  </w:t>
      </w:r>
      <w:r w:rsidR="002232C7">
        <w:t>T</w:t>
      </w:r>
      <w:r w:rsidR="008B2F2C">
        <w:t xml:space="preserve">his total does not reflect a reduction for the amount reflected in rates during </w:t>
      </w:r>
      <w:r w:rsidR="002232C7">
        <w:t>2010 discussed above.</w:t>
      </w:r>
      <w:r w:rsidR="008B2F2C">
        <w:t xml:space="preserve">  </w:t>
      </w:r>
    </w:p>
    <w:p w:rsidR="00940B74" w:rsidRDefault="00940B74" w:rsidP="00940B74">
      <w:pPr>
        <w:pStyle w:val="Answer"/>
        <w:suppressLineNumbers/>
        <w:jc w:val="left"/>
      </w:pPr>
    </w:p>
    <w:p w:rsidR="00940B74" w:rsidRDefault="00940B74" w:rsidP="00940B74">
      <w:pPr>
        <w:pStyle w:val="Answer"/>
        <w:suppressLineNumbers/>
        <w:jc w:val="left"/>
      </w:pPr>
    </w:p>
    <w:p w:rsidR="00940B74" w:rsidRDefault="00940B74" w:rsidP="00940B74">
      <w:pPr>
        <w:pStyle w:val="Answer"/>
        <w:suppressLineNumbers/>
        <w:jc w:val="left"/>
        <w:rPr>
          <w:b/>
        </w:rPr>
      </w:pPr>
    </w:p>
    <w:p w:rsidR="00150CF3" w:rsidRPr="00150CF3" w:rsidRDefault="00150CF3" w:rsidP="00C86949">
      <w:pPr>
        <w:pStyle w:val="Answer"/>
        <w:ind w:left="0" w:firstLine="0"/>
        <w:jc w:val="left"/>
        <w:rPr>
          <w:b/>
        </w:rPr>
      </w:pPr>
      <w:r w:rsidRPr="00150CF3">
        <w:rPr>
          <w:b/>
        </w:rPr>
        <w:t xml:space="preserve">PacifiCorp’s Proposed Allocation Methodology for the </w:t>
      </w:r>
      <w:r w:rsidR="0054297B">
        <w:rPr>
          <w:b/>
        </w:rPr>
        <w:t>Rate-Effective</w:t>
      </w:r>
      <w:r w:rsidR="003411D9">
        <w:rPr>
          <w:b/>
        </w:rPr>
        <w:t xml:space="preserve"> </w:t>
      </w:r>
      <w:r w:rsidR="006352EA">
        <w:rPr>
          <w:b/>
        </w:rPr>
        <w:t>Year (Forward-</w:t>
      </w:r>
      <w:r w:rsidR="0068054F">
        <w:rPr>
          <w:b/>
        </w:rPr>
        <w:t>Looking Methodology)</w:t>
      </w:r>
    </w:p>
    <w:p w:rsidR="00150CF3" w:rsidRDefault="00150CF3" w:rsidP="00C86949">
      <w:pPr>
        <w:pStyle w:val="Answer"/>
        <w:jc w:val="left"/>
        <w:rPr>
          <w:b/>
        </w:rPr>
      </w:pPr>
      <w:r>
        <w:rPr>
          <w:b/>
        </w:rPr>
        <w:t>Q.</w:t>
      </w:r>
      <w:r>
        <w:rPr>
          <w:b/>
        </w:rPr>
        <w:tab/>
        <w:t>Is the allocation methodology described above</w:t>
      </w:r>
      <w:r w:rsidR="003411D9">
        <w:rPr>
          <w:b/>
        </w:rPr>
        <w:t xml:space="preserve"> </w:t>
      </w:r>
      <w:r>
        <w:rPr>
          <w:b/>
        </w:rPr>
        <w:t>the same methodology the Company proposes f</w:t>
      </w:r>
      <w:r w:rsidR="003411D9">
        <w:rPr>
          <w:b/>
        </w:rPr>
        <w:t>o</w:t>
      </w:r>
      <w:r>
        <w:rPr>
          <w:b/>
        </w:rPr>
        <w:t>r the rate</w:t>
      </w:r>
      <w:r w:rsidR="005A0E9D">
        <w:rPr>
          <w:b/>
        </w:rPr>
        <w:t>-</w:t>
      </w:r>
      <w:r>
        <w:rPr>
          <w:b/>
        </w:rPr>
        <w:t xml:space="preserve">effective </w:t>
      </w:r>
      <w:r w:rsidR="005A0E9D">
        <w:rPr>
          <w:b/>
        </w:rPr>
        <w:t xml:space="preserve">period </w:t>
      </w:r>
      <w:r w:rsidR="00360161">
        <w:rPr>
          <w:b/>
        </w:rPr>
        <w:t>onward</w:t>
      </w:r>
      <w:r>
        <w:rPr>
          <w:b/>
        </w:rPr>
        <w:t>?</w:t>
      </w:r>
    </w:p>
    <w:p w:rsidR="00B64130" w:rsidRDefault="00150CF3" w:rsidP="00C86949">
      <w:pPr>
        <w:pStyle w:val="Answer"/>
        <w:jc w:val="left"/>
      </w:pPr>
      <w:r w:rsidRPr="00150CF3">
        <w:t>A.</w:t>
      </w:r>
      <w:r w:rsidRPr="00150CF3">
        <w:tab/>
        <w:t>No.</w:t>
      </w:r>
      <w:r>
        <w:t xml:space="preserve">  </w:t>
      </w:r>
      <w:r w:rsidRPr="00326BE2">
        <w:t xml:space="preserve">As </w:t>
      </w:r>
      <w:r>
        <w:t xml:space="preserve">described in my </w:t>
      </w:r>
      <w:r w:rsidR="00DE58DE">
        <w:t>P</w:t>
      </w:r>
      <w:r>
        <w:t xml:space="preserve">hase II direct testimony and </w:t>
      </w:r>
      <w:r w:rsidRPr="00326BE2">
        <w:t xml:space="preserve">outlined in </w:t>
      </w:r>
      <w:r w:rsidR="00DC3515">
        <w:t xml:space="preserve">Confidential </w:t>
      </w:r>
      <w:r w:rsidRPr="00326BE2">
        <w:t>Exhibit No.__</w:t>
      </w:r>
      <w:proofErr w:type="gramStart"/>
      <w:r w:rsidRPr="00326BE2">
        <w:t>_(</w:t>
      </w:r>
      <w:proofErr w:type="gramEnd"/>
      <w:r w:rsidRPr="00326BE2">
        <w:t xml:space="preserve">RBD-27C), the Company’s proposal for the </w:t>
      </w:r>
      <w:r w:rsidR="0054297B">
        <w:t>rate-effective</w:t>
      </w:r>
      <w:r w:rsidRPr="00326BE2">
        <w:t xml:space="preserve"> period </w:t>
      </w:r>
      <w:r w:rsidR="00B64130">
        <w:t xml:space="preserve">forward </w:t>
      </w:r>
      <w:r w:rsidR="003411D9">
        <w:t xml:space="preserve">requires a </w:t>
      </w:r>
      <w:r w:rsidR="00B761CB">
        <w:t>more intricate</w:t>
      </w:r>
      <w:r w:rsidR="003411D9">
        <w:t xml:space="preserve"> approach due to complexities </w:t>
      </w:r>
      <w:r w:rsidR="00360161">
        <w:t xml:space="preserve">driven by </w:t>
      </w:r>
      <w:r w:rsidR="003411D9">
        <w:t>the use of different jurisdictional allocation method</w:t>
      </w:r>
      <w:r w:rsidR="00B761CB">
        <w:t>ologies</w:t>
      </w:r>
      <w:r w:rsidR="003411D9">
        <w:t xml:space="preserve"> among the Company’s </w:t>
      </w:r>
      <w:r w:rsidR="00B64130">
        <w:t>states</w:t>
      </w:r>
      <w:r w:rsidR="003411D9">
        <w:t xml:space="preserve"> and </w:t>
      </w:r>
      <w:r w:rsidR="00B761CB">
        <w:t xml:space="preserve">to account for RECs that will need to be held for compliance to satisfy Washington’s renewable portfolio standard </w:t>
      </w:r>
      <w:r w:rsidR="00360161">
        <w:t xml:space="preserve">(RPS) </w:t>
      </w:r>
      <w:r w:rsidR="00B761CB">
        <w:t>during the rate</w:t>
      </w:r>
      <w:r w:rsidR="00EF3485">
        <w:t>-</w:t>
      </w:r>
      <w:r w:rsidR="00B761CB">
        <w:t>effective period.</w:t>
      </w:r>
      <w:r w:rsidR="00B64130">
        <w:t xml:space="preserve">  </w:t>
      </w:r>
    </w:p>
    <w:p w:rsidR="00B761CB" w:rsidRDefault="00B64130" w:rsidP="00C86949">
      <w:pPr>
        <w:pStyle w:val="Answer"/>
        <w:ind w:firstLine="720"/>
        <w:jc w:val="left"/>
      </w:pPr>
      <w:r>
        <w:t>As shown on pages 2 and 4 o</w:t>
      </w:r>
      <w:r w:rsidR="0068054F">
        <w:t xml:space="preserve">f </w:t>
      </w:r>
      <w:r w:rsidR="00DC3515">
        <w:t xml:space="preserve">Confidential </w:t>
      </w:r>
      <w:r w:rsidR="0068054F">
        <w:t>Exhibit No.___(RBD-27C), this forward</w:t>
      </w:r>
      <w:r w:rsidR="00360161">
        <w:t>-</w:t>
      </w:r>
      <w:r w:rsidR="0068054F">
        <w:t xml:space="preserve">looking </w:t>
      </w:r>
      <w:r>
        <w:t xml:space="preserve">methodology calculates Washington’s share of REC revenue by first taking total RECs generated multiplied by Washington’s CAGW factor.  Second, eligible RECs necessary to satisfy Washington’s RPS are subtracted from this total, leaving the difference as the number of </w:t>
      </w:r>
      <w:r w:rsidR="00FB5A12">
        <w:t>Washington-allocated</w:t>
      </w:r>
      <w:r>
        <w:t xml:space="preserve"> RECs in excess of </w:t>
      </w:r>
      <w:r w:rsidR="001D6B12">
        <w:t xml:space="preserve">the </w:t>
      </w:r>
      <w:r>
        <w:t>compliance</w:t>
      </w:r>
      <w:r w:rsidR="001D6B12">
        <w:t xml:space="preserve"> requirement</w:t>
      </w:r>
      <w:r>
        <w:t xml:space="preserve">.  </w:t>
      </w:r>
      <w:r w:rsidR="001D6B12">
        <w:t>Next, t</w:t>
      </w:r>
      <w:r>
        <w:t>his total is multiplied by the percentage of</w:t>
      </w:r>
      <w:r w:rsidR="001D6B12">
        <w:t xml:space="preserve"> RECs the </w:t>
      </w:r>
      <w:r w:rsidR="00F649E4">
        <w:t>C</w:t>
      </w:r>
      <w:r w:rsidR="001D6B12">
        <w:t xml:space="preserve">ompany was actually able to sell from its marketable pool to calculate the number of excess Washington RECs sold.  This amount is then multiplied by the average price per REC to determine Washington’s total REC revenue.  This calculation is done separately for Washington RPS eligible and </w:t>
      </w:r>
      <w:r w:rsidR="00360161">
        <w:t xml:space="preserve">Washington </w:t>
      </w:r>
      <w:r w:rsidR="001D6B12">
        <w:t>RPS non-eligible</w:t>
      </w:r>
      <w:r w:rsidR="00360161">
        <w:t xml:space="preserve"> </w:t>
      </w:r>
      <w:r w:rsidR="001D6B12">
        <w:t>RECs.</w:t>
      </w:r>
    </w:p>
    <w:p w:rsidR="00940B74" w:rsidRDefault="00B761CB" w:rsidP="00940B74">
      <w:pPr>
        <w:pStyle w:val="Answer"/>
        <w:widowControl w:val="0"/>
        <w:jc w:val="left"/>
        <w:rPr>
          <w:b/>
        </w:rPr>
      </w:pPr>
      <w:r w:rsidRPr="00B761CB">
        <w:rPr>
          <w:b/>
        </w:rPr>
        <w:t>Q.</w:t>
      </w:r>
      <w:r w:rsidRPr="00B761CB">
        <w:rPr>
          <w:b/>
        </w:rPr>
        <w:tab/>
        <w:t xml:space="preserve">When was this </w:t>
      </w:r>
      <w:r w:rsidR="0068054F">
        <w:rPr>
          <w:b/>
        </w:rPr>
        <w:t>forward-looking</w:t>
      </w:r>
      <w:r w:rsidRPr="00B761CB">
        <w:rPr>
          <w:b/>
        </w:rPr>
        <w:t xml:space="preserve"> allocation methodology developed?</w:t>
      </w:r>
    </w:p>
    <w:p w:rsidR="00B761CB" w:rsidRDefault="00B761CB" w:rsidP="00940B74">
      <w:pPr>
        <w:pStyle w:val="Answer"/>
        <w:widowControl w:val="0"/>
        <w:jc w:val="left"/>
      </w:pPr>
      <w:r>
        <w:t>A.</w:t>
      </w:r>
      <w:r>
        <w:tab/>
        <w:t xml:space="preserve">This methodology was developed by the Company in consultation with Staff and other parties </w:t>
      </w:r>
      <w:r w:rsidR="002232C7">
        <w:t xml:space="preserve">during </w:t>
      </w:r>
      <w:r w:rsidR="00A30CD7">
        <w:t>the time</w:t>
      </w:r>
      <w:r w:rsidR="002232C7">
        <w:t xml:space="preserve"> between</w:t>
      </w:r>
      <w:r w:rsidR="00A30CD7">
        <w:t xml:space="preserve"> the </w:t>
      </w:r>
      <w:r w:rsidR="000B01FA">
        <w:t xml:space="preserve">issuance of </w:t>
      </w:r>
      <w:r w:rsidR="00F649E4">
        <w:t>O</w:t>
      </w:r>
      <w:r w:rsidR="00A30CD7">
        <w:t xml:space="preserve">rder 06 in this proceeding </w:t>
      </w:r>
      <w:r w:rsidR="001D6B12">
        <w:t xml:space="preserve">on March 25, 2011 and the </w:t>
      </w:r>
      <w:r>
        <w:t>Company’s May 24, 2011 compliance filing.</w:t>
      </w:r>
    </w:p>
    <w:p w:rsidR="00404D64" w:rsidRPr="00404D64" w:rsidRDefault="00404D64" w:rsidP="00C86949">
      <w:pPr>
        <w:pStyle w:val="Answer"/>
        <w:jc w:val="left"/>
        <w:rPr>
          <w:b/>
        </w:rPr>
      </w:pPr>
      <w:r w:rsidRPr="00404D64">
        <w:rPr>
          <w:b/>
        </w:rPr>
        <w:t>Q.</w:t>
      </w:r>
      <w:r w:rsidRPr="00404D64">
        <w:rPr>
          <w:b/>
        </w:rPr>
        <w:tab/>
        <w:t xml:space="preserve">Should </w:t>
      </w:r>
      <w:r w:rsidR="006352EA">
        <w:rPr>
          <w:b/>
        </w:rPr>
        <w:t>this</w:t>
      </w:r>
      <w:r w:rsidRPr="00404D64">
        <w:rPr>
          <w:b/>
        </w:rPr>
        <w:t xml:space="preserve"> </w:t>
      </w:r>
      <w:r w:rsidR="0068054F">
        <w:rPr>
          <w:b/>
        </w:rPr>
        <w:t>forward-looking</w:t>
      </w:r>
      <w:r w:rsidRPr="00404D64">
        <w:rPr>
          <w:b/>
        </w:rPr>
        <w:t xml:space="preserve"> allocation method for the rate</w:t>
      </w:r>
      <w:r w:rsidR="00EF3485">
        <w:rPr>
          <w:b/>
        </w:rPr>
        <w:t>-</w:t>
      </w:r>
      <w:r w:rsidRPr="00404D64">
        <w:rPr>
          <w:b/>
        </w:rPr>
        <w:t>effective peri</w:t>
      </w:r>
      <w:r w:rsidR="006352EA">
        <w:rPr>
          <w:b/>
        </w:rPr>
        <w:t>od be retroactively applied to determine</w:t>
      </w:r>
      <w:r w:rsidRPr="00404D64">
        <w:rPr>
          <w:b/>
        </w:rPr>
        <w:t xml:space="preserve"> Washington’s share of historic REC revenues?</w:t>
      </w:r>
    </w:p>
    <w:p w:rsidR="00404D64" w:rsidRDefault="00404D64" w:rsidP="00C86949">
      <w:pPr>
        <w:pStyle w:val="Answer"/>
        <w:jc w:val="left"/>
      </w:pPr>
      <w:r>
        <w:t>A.</w:t>
      </w:r>
      <w:r>
        <w:tab/>
        <w:t>No.  Using an allo</w:t>
      </w:r>
      <w:r w:rsidR="00A30CD7">
        <w:t>cation methodology developed in</w:t>
      </w:r>
      <w:r>
        <w:t xml:space="preserve"> 2011 to retroactively determine Washington’s share of revenues received by the Company in 2009 or 2010 is inappropriate</w:t>
      </w:r>
      <w:r w:rsidR="002232C7">
        <w:t>, since t</w:t>
      </w:r>
      <w:r w:rsidR="00360161">
        <w:t xml:space="preserve">he Company does not have the option of recalculating the allocation of other cost or revenue </w:t>
      </w:r>
      <w:r w:rsidR="002232C7">
        <w:t>components</w:t>
      </w:r>
      <w:r w:rsidR="00360161">
        <w:t xml:space="preserve"> during those periods.</w:t>
      </w:r>
      <w:r>
        <w:t xml:space="preserve">  As discussed earlier in my testimony, the methodology the Company has outlined to determine Washington’s REC revenue allocation for 2009 and 2010 was used in the Company’s regulatory filings for those periods, was supported by Staff in its initial post-hearing brief, and was uncontested by all parties until </w:t>
      </w:r>
      <w:r w:rsidR="00EF3485">
        <w:t>P</w:t>
      </w:r>
      <w:r>
        <w:t>hase II of this proceeding.</w:t>
      </w:r>
    </w:p>
    <w:p w:rsidR="006C43AE" w:rsidRDefault="006C43AE" w:rsidP="00C86949">
      <w:pPr>
        <w:pStyle w:val="Answer"/>
        <w:jc w:val="left"/>
        <w:rPr>
          <w:b/>
        </w:rPr>
      </w:pPr>
      <w:r>
        <w:rPr>
          <w:b/>
        </w:rPr>
        <w:t>Staff’s Proposed Allocation Methodology</w:t>
      </w:r>
    </w:p>
    <w:p w:rsidR="00F1323C" w:rsidRPr="006C43AE" w:rsidRDefault="006C43AE" w:rsidP="00C86949">
      <w:pPr>
        <w:pStyle w:val="Answer"/>
        <w:jc w:val="left"/>
        <w:rPr>
          <w:b/>
        </w:rPr>
      </w:pPr>
      <w:r w:rsidRPr="006C43AE">
        <w:rPr>
          <w:b/>
        </w:rPr>
        <w:t>Q.</w:t>
      </w:r>
      <w:r w:rsidRPr="006C43AE">
        <w:rPr>
          <w:b/>
        </w:rPr>
        <w:tab/>
        <w:t>Please describe Staff’s proposed calculation of Washington’s allocation of 2009 and 2010 historic REC revenues.</w:t>
      </w:r>
    </w:p>
    <w:p w:rsidR="00940B74" w:rsidRDefault="006C43AE" w:rsidP="00C86949">
      <w:pPr>
        <w:pStyle w:val="Answer"/>
        <w:jc w:val="left"/>
        <w:sectPr w:rsidR="00940B74" w:rsidSect="000902F5">
          <w:headerReference w:type="default" r:id="rId18"/>
          <w:type w:val="continuous"/>
          <w:pgSz w:w="12240" w:h="15840" w:code="1"/>
          <w:pgMar w:top="1440" w:right="1800" w:bottom="1440" w:left="1800" w:header="720" w:footer="720" w:gutter="0"/>
          <w:lnNumType w:countBy="1"/>
          <w:cols w:space="720"/>
          <w:docGrid w:linePitch="360"/>
        </w:sectPr>
      </w:pPr>
      <w:r>
        <w:t>A.</w:t>
      </w:r>
      <w:r>
        <w:tab/>
      </w:r>
      <w:r w:rsidR="00870458">
        <w:t xml:space="preserve">Staff’s proposal as outlined by </w:t>
      </w:r>
      <w:r w:rsidR="009A4E69">
        <w:t>Ms.</w:t>
      </w:r>
      <w:r w:rsidR="00870458">
        <w:t xml:space="preserve"> </w:t>
      </w:r>
      <w:r w:rsidR="00EF6D9C">
        <w:t>Breda in Exhibit Nos.__</w:t>
      </w:r>
      <w:proofErr w:type="gramStart"/>
      <w:r w:rsidR="00EF6D9C">
        <w:t>_(</w:t>
      </w:r>
      <w:proofErr w:type="gramEnd"/>
      <w:r w:rsidR="00EF6D9C">
        <w:t>KHB-7TC</w:t>
      </w:r>
      <w:r w:rsidR="00940B74">
        <w:t xml:space="preserve">) and </w:t>
      </w:r>
      <w:r w:rsidR="00870458">
        <w:t>(KHB-8C) first allocates Washington’s share of revenues by taking the booked revenue from west control area resources and applying Washington CAGW factor</w:t>
      </w:r>
      <w:r w:rsidR="00455FE5">
        <w:t>s</w:t>
      </w:r>
      <w:r w:rsidR="00870458">
        <w:t xml:space="preserve"> for both respective year</w:t>
      </w:r>
      <w:r w:rsidR="00455FE5">
        <w:t>s</w:t>
      </w:r>
      <w:r w:rsidR="009A4E69">
        <w:t>.</w:t>
      </w:r>
      <w:r w:rsidR="00455FE5">
        <w:rPr>
          <w:rStyle w:val="FootnoteReference"/>
        </w:rPr>
        <w:footnoteReference w:id="8"/>
      </w:r>
      <w:r w:rsidR="00870458">
        <w:t xml:space="preserve">  This methodology is consistent with </w:t>
      </w:r>
    </w:p>
    <w:p w:rsidR="00FA69D1" w:rsidRDefault="00940B74" w:rsidP="00C86949">
      <w:pPr>
        <w:pStyle w:val="Answer"/>
        <w:jc w:val="left"/>
      </w:pPr>
      <w:r>
        <w:tab/>
      </w:r>
      <w:proofErr w:type="gramStart"/>
      <w:r w:rsidR="00870458">
        <w:t>the</w:t>
      </w:r>
      <w:proofErr w:type="gramEnd"/>
      <w:r w:rsidR="00870458">
        <w:t xml:space="preserve"> Company’s calculati</w:t>
      </w:r>
      <w:r w:rsidR="00FA69D1">
        <w:t>on</w:t>
      </w:r>
      <w:r w:rsidR="00394AC5">
        <w:t xml:space="preserve"> for 2009 and 2010,</w:t>
      </w:r>
      <w:r w:rsidR="00FA69D1">
        <w:t xml:space="preserve"> and results in </w:t>
      </w:r>
      <w:r w:rsidR="00FB5A12">
        <w:t>Washington-allocated</w:t>
      </w:r>
      <w:r w:rsidR="00FA69D1">
        <w:t xml:space="preserve"> </w:t>
      </w:r>
      <w:proofErr w:type="spellStart"/>
      <w:r w:rsidR="00FA69D1">
        <w:t>REC</w:t>
      </w:r>
      <w:proofErr w:type="spellEnd"/>
      <w:r w:rsidR="00FA69D1">
        <w:t xml:space="preserve"> revenue of </w:t>
      </w:r>
      <w:r w:rsidR="004A1703" w:rsidRPr="004A1703">
        <w:rPr>
          <w:highlight w:val="black"/>
        </w:rPr>
        <w:t>_________</w:t>
      </w:r>
      <w:r w:rsidR="004A1703">
        <w:t xml:space="preserve"> </w:t>
      </w:r>
      <w:r w:rsidR="000B7905">
        <w:t>for 2009 and</w:t>
      </w:r>
      <w:r w:rsidR="00FA69D1">
        <w:t xml:space="preserve"> </w:t>
      </w:r>
      <w:r w:rsidR="004A1703" w:rsidRPr="004A1703">
        <w:rPr>
          <w:highlight w:val="black"/>
        </w:rPr>
        <w:t>_________</w:t>
      </w:r>
      <w:r w:rsidR="004A1703">
        <w:t xml:space="preserve"> </w:t>
      </w:r>
      <w:r w:rsidR="00FA69D1">
        <w:t>for 2010.</w:t>
      </w:r>
      <w:r w:rsidR="00455FE5">
        <w:t xml:space="preserve"> </w:t>
      </w:r>
    </w:p>
    <w:p w:rsidR="00394AC5" w:rsidRDefault="00FA69D1" w:rsidP="00C86949">
      <w:pPr>
        <w:pStyle w:val="Answer"/>
        <w:ind w:firstLine="720"/>
        <w:jc w:val="left"/>
      </w:pPr>
      <w:r>
        <w:t>However, in addition to allocating the booked REC revenue, Staff’s proposal calculates</w:t>
      </w:r>
      <w:r w:rsidR="00870458">
        <w:t xml:space="preserve"> “imputed revenue” for RECs that have been held by the Company for co</w:t>
      </w:r>
      <w:r w:rsidR="00455FE5">
        <w:t>mpliance in other jurisdictions.</w:t>
      </w:r>
      <w:r w:rsidR="00394AC5">
        <w:t xml:space="preserve">  Staff’s calcul</w:t>
      </w:r>
      <w:r w:rsidR="006352EA">
        <w:t xml:space="preserve">ation of the imputed revenues implements a similar </w:t>
      </w:r>
      <w:r w:rsidR="000B01FA">
        <w:t xml:space="preserve">calculation </w:t>
      </w:r>
      <w:r w:rsidR="006352EA">
        <w:t>to th</w:t>
      </w:r>
      <w:r w:rsidR="000B01FA">
        <w:t>e forward-looking methodology</w:t>
      </w:r>
      <w:r w:rsidR="006352EA">
        <w:t xml:space="preserve"> proposed by the</w:t>
      </w:r>
      <w:r w:rsidR="00394AC5">
        <w:t xml:space="preserve"> Company’s for the rate</w:t>
      </w:r>
      <w:r w:rsidR="00EF3485">
        <w:t>-</w:t>
      </w:r>
      <w:r w:rsidR="00394AC5">
        <w:t>effective period.</w:t>
      </w:r>
      <w:r w:rsidR="00455FE5">
        <w:t xml:space="preserve">  </w:t>
      </w:r>
    </w:p>
    <w:p w:rsidR="007E0B33" w:rsidRDefault="001F6794" w:rsidP="00C86949">
      <w:pPr>
        <w:pStyle w:val="Answer"/>
        <w:ind w:firstLine="720"/>
        <w:jc w:val="left"/>
      </w:pPr>
      <w:r>
        <w:t>Staff’s revenue imputation</w:t>
      </w:r>
      <w:r w:rsidR="00455FE5">
        <w:t xml:space="preserve"> calculation is done by first multiplying the </w:t>
      </w:r>
      <w:r w:rsidR="00870458">
        <w:t>number of RECs held</w:t>
      </w:r>
      <w:r w:rsidR="00455FE5">
        <w:t xml:space="preserve"> for compliance by Washington’s CAGW factor for each year.  The result of this calculation is then multiplied by an average price realized by the Company from RECs sales based on actual transactions.  </w:t>
      </w:r>
      <w:r w:rsidR="00FA69D1">
        <w:t xml:space="preserve">Staff then multiplies this total by </w:t>
      </w:r>
      <w:r w:rsidR="00455FE5">
        <w:t>a percentage of actual RECs sold by the Company.</w:t>
      </w:r>
      <w:r w:rsidR="007E0B33">
        <w:t xml:space="preserve">  </w:t>
      </w:r>
      <w:r w:rsidR="00455FE5">
        <w:t>Using this methodology, Staff imputes</w:t>
      </w:r>
      <w:r w:rsidR="0005017E">
        <w:t xml:space="preserve"> additional revenues of </w:t>
      </w:r>
      <w:r w:rsidR="004A1703" w:rsidRPr="00183021">
        <w:rPr>
          <w:highlight w:val="black"/>
        </w:rPr>
        <w:t>_________</w:t>
      </w:r>
      <w:r w:rsidR="00E0771B">
        <w:t xml:space="preserve"> </w:t>
      </w:r>
      <w:r w:rsidR="0005017E">
        <w:t xml:space="preserve">and </w:t>
      </w:r>
      <w:r w:rsidR="00183021" w:rsidRPr="00183021">
        <w:rPr>
          <w:highlight w:val="black"/>
        </w:rPr>
        <w:t>_________</w:t>
      </w:r>
      <w:r w:rsidR="00E0771B">
        <w:t xml:space="preserve"> </w:t>
      </w:r>
      <w:r w:rsidR="0005017E">
        <w:t>for 2009 and 2010 respectively.</w:t>
      </w:r>
    </w:p>
    <w:p w:rsidR="00675C32" w:rsidRDefault="00FA69D1" w:rsidP="00C86949">
      <w:pPr>
        <w:pStyle w:val="Answer"/>
        <w:ind w:firstLine="720"/>
        <w:jc w:val="left"/>
      </w:pPr>
      <w:r>
        <w:t>The final step in Staff’s calculation is to subtract Washington-allocated REC revenue to account for the REC revenues reflected in rate</w:t>
      </w:r>
      <w:r w:rsidR="000B7905">
        <w:t>s during 2010</w:t>
      </w:r>
      <w:r w:rsidR="00622E39">
        <w:t xml:space="preserve">. </w:t>
      </w:r>
      <w:r w:rsidR="0068054F">
        <w:t xml:space="preserve"> </w:t>
      </w:r>
      <w:r w:rsidR="00144DC3">
        <w:t>As discussed above, i</w:t>
      </w:r>
      <w:r w:rsidR="00622E39">
        <w:t xml:space="preserve">n the Company’s 2009 rate case, Docket </w:t>
      </w:r>
      <w:r w:rsidR="005924EB">
        <w:t>UE-</w:t>
      </w:r>
      <w:r w:rsidR="00622E39">
        <w:t xml:space="preserve">090205, $657,755 of Washington-allocated REC revenues were established in rates on a </w:t>
      </w:r>
      <w:r w:rsidR="005924EB">
        <w:t>forecast</w:t>
      </w:r>
      <w:r w:rsidR="00622E39">
        <w:t xml:space="preserve"> basis for the calendar year 2010 rate</w:t>
      </w:r>
      <w:r w:rsidR="00EF3485">
        <w:t>-</w:t>
      </w:r>
      <w:r w:rsidR="00622E39">
        <w:t>effective period in that proceeding.  As a result, Staff subtracts this amount from the 2010 calculated total.</w:t>
      </w:r>
      <w:r w:rsidR="000B7905">
        <w:t xml:space="preserve"> </w:t>
      </w:r>
      <w:r w:rsidR="00DC3515">
        <w:t xml:space="preserve"> </w:t>
      </w:r>
      <w:r w:rsidR="000B7905">
        <w:t>As shown on</w:t>
      </w:r>
      <w:r w:rsidR="00360161">
        <w:t xml:space="preserve">, </w:t>
      </w:r>
      <w:r w:rsidR="000B7905">
        <w:t xml:space="preserve">line </w:t>
      </w:r>
      <w:r w:rsidR="00076168">
        <w:t xml:space="preserve">3 </w:t>
      </w:r>
      <w:r w:rsidR="000B7905">
        <w:t xml:space="preserve">of </w:t>
      </w:r>
      <w:r w:rsidR="00DC3515">
        <w:t xml:space="preserve">Confidential </w:t>
      </w:r>
      <w:r w:rsidR="005924EB">
        <w:t>E</w:t>
      </w:r>
      <w:r w:rsidR="000B7905">
        <w:t>xhibit</w:t>
      </w:r>
      <w:r w:rsidR="00940B74">
        <w:t xml:space="preserve"> No.__</w:t>
      </w:r>
      <w:proofErr w:type="gramStart"/>
      <w:r w:rsidR="00940B74">
        <w:t>_</w:t>
      </w:r>
      <w:r w:rsidR="005924EB">
        <w:t>(</w:t>
      </w:r>
      <w:proofErr w:type="gramEnd"/>
      <w:r w:rsidR="005924EB">
        <w:t>RBD-29C)</w:t>
      </w:r>
      <w:r w:rsidR="000B7905">
        <w:t>, Staff’s final total of Washington-allocated REC revenue</w:t>
      </w:r>
      <w:r w:rsidR="00634348">
        <w:t>, following the procedures discussed above,</w:t>
      </w:r>
      <w:r w:rsidR="00183021">
        <w:t xml:space="preserve"> is </w:t>
      </w:r>
      <w:r w:rsidR="00183021" w:rsidRPr="00183021">
        <w:rPr>
          <w:highlight w:val="black"/>
        </w:rPr>
        <w:t>_________</w:t>
      </w:r>
      <w:r w:rsidR="000B7905">
        <w:t xml:space="preserve"> f</w:t>
      </w:r>
      <w:r w:rsidR="00360161">
        <w:t xml:space="preserve">or 2009 and </w:t>
      </w:r>
      <w:r w:rsidR="00183021" w:rsidRPr="00183021">
        <w:rPr>
          <w:highlight w:val="black"/>
        </w:rPr>
        <w:t>_________</w:t>
      </w:r>
      <w:r w:rsidR="00360161">
        <w:t xml:space="preserve"> for 2010</w:t>
      </w:r>
      <w:r w:rsidR="000B7905">
        <w:t>.</w:t>
      </w:r>
      <w:r>
        <w:t xml:space="preserve"> </w:t>
      </w:r>
      <w:r w:rsidR="00455FE5">
        <w:t xml:space="preserve">  </w:t>
      </w:r>
      <w:r w:rsidR="00870458">
        <w:t xml:space="preserve"> </w:t>
      </w:r>
    </w:p>
    <w:p w:rsidR="0005017E" w:rsidRDefault="0005017E" w:rsidP="00C86949">
      <w:pPr>
        <w:pStyle w:val="Answer"/>
        <w:jc w:val="left"/>
        <w:rPr>
          <w:b/>
        </w:rPr>
      </w:pPr>
      <w:r w:rsidRPr="0005017E">
        <w:rPr>
          <w:b/>
        </w:rPr>
        <w:t>Q.</w:t>
      </w:r>
      <w:r w:rsidRPr="0005017E">
        <w:rPr>
          <w:b/>
        </w:rPr>
        <w:tab/>
        <w:t xml:space="preserve">Is </w:t>
      </w:r>
      <w:r>
        <w:rPr>
          <w:b/>
        </w:rPr>
        <w:t>Staff’s proposed calculation consistent with its</w:t>
      </w:r>
      <w:r w:rsidRPr="0005017E">
        <w:rPr>
          <w:b/>
        </w:rPr>
        <w:t xml:space="preserve"> pleading filed with the Commission on May 24, 2011</w:t>
      </w:r>
      <w:r w:rsidR="00AF22D0">
        <w:rPr>
          <w:b/>
        </w:rPr>
        <w:t>?</w:t>
      </w:r>
      <w:r w:rsidR="00AF22D0" w:rsidRPr="00AF22D0">
        <w:rPr>
          <w:rStyle w:val="FootnoteReference"/>
          <w:b/>
        </w:rPr>
        <w:t xml:space="preserve"> </w:t>
      </w:r>
      <w:r w:rsidR="00AF22D0">
        <w:rPr>
          <w:rStyle w:val="FootnoteReference"/>
          <w:b/>
        </w:rPr>
        <w:footnoteReference w:id="9"/>
      </w:r>
    </w:p>
    <w:p w:rsidR="0005017E" w:rsidRDefault="0005017E" w:rsidP="00C86949">
      <w:pPr>
        <w:pStyle w:val="Answer"/>
        <w:jc w:val="left"/>
      </w:pPr>
      <w:r>
        <w:t>A.</w:t>
      </w:r>
      <w:r>
        <w:tab/>
        <w:t>No.  Staff’s calculation is not the same as that reflected in Staff’s Pleading</w:t>
      </w:r>
      <w:r w:rsidR="00076168">
        <w:t>.</w:t>
      </w:r>
    </w:p>
    <w:p w:rsidR="0005017E" w:rsidRDefault="0005017E" w:rsidP="00C86949">
      <w:pPr>
        <w:pStyle w:val="Answer"/>
        <w:jc w:val="left"/>
        <w:rPr>
          <w:b/>
        </w:rPr>
      </w:pPr>
      <w:r w:rsidRPr="0005017E">
        <w:rPr>
          <w:b/>
        </w:rPr>
        <w:t>Q.</w:t>
      </w:r>
      <w:r w:rsidRPr="0005017E">
        <w:rPr>
          <w:b/>
        </w:rPr>
        <w:tab/>
        <w:t>Please explain how Staff’s proposal varies from Staff’s Pleading.</w:t>
      </w:r>
    </w:p>
    <w:p w:rsidR="001F6794" w:rsidRDefault="0005017E" w:rsidP="00C86949">
      <w:pPr>
        <w:pStyle w:val="Answer"/>
        <w:jc w:val="left"/>
      </w:pPr>
      <w:proofErr w:type="gramStart"/>
      <w:r>
        <w:t>A.</w:t>
      </w:r>
      <w:r>
        <w:tab/>
      </w:r>
      <w:r w:rsidR="00AF22D0">
        <w:t xml:space="preserve">Attachment A of </w:t>
      </w:r>
      <w:r>
        <w:t>Staff</w:t>
      </w:r>
      <w:proofErr w:type="gramEnd"/>
      <w:r>
        <w:t xml:space="preserve">’s </w:t>
      </w:r>
      <w:r w:rsidR="008147D7">
        <w:t xml:space="preserve">Pleading </w:t>
      </w:r>
      <w:r w:rsidR="00435762">
        <w:t>outlines</w:t>
      </w:r>
      <w:r>
        <w:t xml:space="preserve"> the </w:t>
      </w:r>
      <w:r w:rsidR="00AF3109">
        <w:t>calculation</w:t>
      </w:r>
      <w:r>
        <w:t xml:space="preserve"> of </w:t>
      </w:r>
      <w:r w:rsidR="00AF3109">
        <w:t xml:space="preserve">2009 and 2010 </w:t>
      </w:r>
      <w:r>
        <w:t xml:space="preserve">Washington REC revenues </w:t>
      </w:r>
      <w:r w:rsidR="00AF3109">
        <w:t xml:space="preserve">using </w:t>
      </w:r>
      <w:r w:rsidR="00491D65">
        <w:t xml:space="preserve">a method </w:t>
      </w:r>
      <w:r w:rsidR="006352EA">
        <w:t xml:space="preserve">similar to that </w:t>
      </w:r>
      <w:r w:rsidR="00491D65">
        <w:t>proposed by the Company for REC revenues for the rate</w:t>
      </w:r>
      <w:r w:rsidR="00EF3485">
        <w:t>-</w:t>
      </w:r>
      <w:r w:rsidR="00491D65">
        <w:t>effective period</w:t>
      </w:r>
      <w:r w:rsidR="004C4F40">
        <w:t>.</w:t>
      </w:r>
      <w:r w:rsidR="00491D65">
        <w:t xml:space="preserve"> </w:t>
      </w:r>
      <w:r w:rsidR="00EF3485">
        <w:t xml:space="preserve"> </w:t>
      </w:r>
      <w:r w:rsidR="00AF3109">
        <w:t>By contrast, Staff’s proposal</w:t>
      </w:r>
      <w:r w:rsidR="00491D65">
        <w:t xml:space="preserve"> now</w:t>
      </w:r>
      <w:r w:rsidR="00AF3109">
        <w:t xml:space="preserve"> first </w:t>
      </w:r>
      <w:r w:rsidR="00AF22D0">
        <w:t>relies on</w:t>
      </w:r>
      <w:r w:rsidR="00AF3109">
        <w:t xml:space="preserve"> </w:t>
      </w:r>
      <w:r w:rsidR="00AF3109" w:rsidRPr="001F6794">
        <w:t>booked</w:t>
      </w:r>
      <w:r w:rsidR="00AF3109">
        <w:t xml:space="preserve"> revenues in 2009 and 2010, and then calculates a revenue imputation </w:t>
      </w:r>
      <w:r w:rsidR="00AF22D0">
        <w:t>based on</w:t>
      </w:r>
      <w:r w:rsidR="00AF3109">
        <w:t xml:space="preserve"> </w:t>
      </w:r>
      <w:r w:rsidR="001F6794">
        <w:t xml:space="preserve">a method similar to Attachment </w:t>
      </w:r>
      <w:proofErr w:type="gramStart"/>
      <w:r w:rsidR="001F6794">
        <w:t>A</w:t>
      </w:r>
      <w:proofErr w:type="gramEnd"/>
      <w:r w:rsidR="001F6794">
        <w:t xml:space="preserve"> of Staff’s </w:t>
      </w:r>
      <w:r w:rsidR="00EF3485">
        <w:t>P</w:t>
      </w:r>
      <w:r w:rsidR="001F6794">
        <w:t>leading</w:t>
      </w:r>
      <w:r w:rsidR="00AF3109">
        <w:t>.</w:t>
      </w:r>
    </w:p>
    <w:p w:rsidR="001F6794" w:rsidRPr="00666DA5" w:rsidRDefault="001F6794" w:rsidP="00C86949">
      <w:pPr>
        <w:pStyle w:val="Answer"/>
        <w:jc w:val="left"/>
        <w:rPr>
          <w:b/>
        </w:rPr>
      </w:pPr>
      <w:r w:rsidRPr="00666DA5">
        <w:rPr>
          <w:b/>
        </w:rPr>
        <w:t>Q.</w:t>
      </w:r>
      <w:r w:rsidRPr="00666DA5">
        <w:rPr>
          <w:b/>
        </w:rPr>
        <w:tab/>
        <w:t>Why has Staff changed its position with respect to the Washington allocation of REC revenues for 2009 and 2010?</w:t>
      </w:r>
    </w:p>
    <w:p w:rsidR="00AF3109" w:rsidRDefault="001F6794" w:rsidP="00C86949">
      <w:pPr>
        <w:pStyle w:val="Answer"/>
        <w:jc w:val="left"/>
      </w:pPr>
      <w:r>
        <w:t>A.</w:t>
      </w:r>
      <w:r>
        <w:tab/>
        <w:t xml:space="preserve">It </w:t>
      </w:r>
      <w:r w:rsidR="00537710">
        <w:t xml:space="preserve">is </w:t>
      </w:r>
      <w:r>
        <w:t xml:space="preserve">unclear why Staff’s </w:t>
      </w:r>
      <w:r w:rsidR="00A2294D">
        <w:t>methodology</w:t>
      </w:r>
      <w:r>
        <w:t xml:space="preserve"> </w:t>
      </w:r>
      <w:r w:rsidR="00537710">
        <w:t>has</w:t>
      </w:r>
      <w:r w:rsidR="00A2294D">
        <w:t xml:space="preserve"> change</w:t>
      </w:r>
      <w:r w:rsidR="00537710">
        <w:t xml:space="preserve">d.  </w:t>
      </w:r>
      <w:r>
        <w:t xml:space="preserve">Each time Staff has modified its methodology, the amount of Washington-allocated REC revenues </w:t>
      </w:r>
      <w:r w:rsidR="00537710">
        <w:t xml:space="preserve">has </w:t>
      </w:r>
      <w:r>
        <w:t>increase</w:t>
      </w:r>
      <w:r w:rsidR="00537710">
        <w:t>d</w:t>
      </w:r>
      <w:r>
        <w:t xml:space="preserve">.  </w:t>
      </w:r>
      <w:r w:rsidR="00537710">
        <w:t>For example</w:t>
      </w:r>
      <w:r>
        <w:t xml:space="preserve">, Staff’s calculation of 2009 Washington-allocated REC revenue has </w:t>
      </w:r>
      <w:r w:rsidR="00537710">
        <w:t xml:space="preserve">increased </w:t>
      </w:r>
      <w:r>
        <w:t xml:space="preserve">from </w:t>
      </w:r>
      <w:r w:rsidR="00F11187">
        <w:t xml:space="preserve">approximately </w:t>
      </w:r>
      <w:r>
        <w:t>$4.8 million as supported in its initial post hearing brief</w:t>
      </w:r>
      <w:r w:rsidR="005D1EE9">
        <w:t xml:space="preserve"> filed with the Commission on</w:t>
      </w:r>
      <w:r w:rsidR="009F1C1B">
        <w:t xml:space="preserve"> February 11, 2011</w:t>
      </w:r>
      <w:r>
        <w:t xml:space="preserve">, to </w:t>
      </w:r>
      <w:r w:rsidR="00FA61D3" w:rsidRPr="00FA61D3">
        <w:rPr>
          <w:highlight w:val="black"/>
        </w:rPr>
        <w:t>____</w:t>
      </w:r>
      <w:r w:rsidR="00211180" w:rsidRPr="00211180">
        <w:rPr>
          <w:highlight w:val="lightGray"/>
        </w:rPr>
        <w:t xml:space="preserve"> </w:t>
      </w:r>
      <w:r w:rsidR="00FA61D3" w:rsidRPr="00FA61D3">
        <w:rPr>
          <w:highlight w:val="black"/>
        </w:rPr>
        <w:t>_______</w:t>
      </w:r>
      <w:r>
        <w:t xml:space="preserve"> </w:t>
      </w:r>
      <w:r w:rsidR="009F1C1B">
        <w:t>as included</w:t>
      </w:r>
      <w:r>
        <w:t xml:space="preserve"> in </w:t>
      </w:r>
      <w:r w:rsidR="00271C4A">
        <w:t xml:space="preserve">Staff’s Pleading </w:t>
      </w:r>
      <w:r>
        <w:t>filed with the Commission on May 24, 2011,</w:t>
      </w:r>
      <w:r w:rsidR="00666DA5">
        <w:t xml:space="preserve"> to </w:t>
      </w:r>
      <w:r w:rsidR="00FA61D3" w:rsidRPr="00FA61D3">
        <w:rPr>
          <w:highlight w:val="black"/>
        </w:rPr>
        <w:t>__________</w:t>
      </w:r>
      <w:r w:rsidR="00666DA5">
        <w:t xml:space="preserve"> as calculated and described in</w:t>
      </w:r>
      <w:r>
        <w:t xml:space="preserve"> Ms. Breda’s testimony filed</w:t>
      </w:r>
      <w:r w:rsidR="009F1C1B">
        <w:t xml:space="preserve"> with the Commission </w:t>
      </w:r>
      <w:r>
        <w:t>on September 9, 2011.</w:t>
      </w:r>
    </w:p>
    <w:p w:rsidR="00951F53" w:rsidRDefault="00951F53" w:rsidP="00951F53">
      <w:pPr>
        <w:pStyle w:val="Answer"/>
        <w:suppressLineNumbers/>
        <w:jc w:val="left"/>
      </w:pPr>
    </w:p>
    <w:p w:rsidR="00951F53" w:rsidRDefault="00951F53" w:rsidP="00951F53">
      <w:pPr>
        <w:pStyle w:val="Answer"/>
        <w:suppressLineNumbers/>
        <w:jc w:val="left"/>
      </w:pPr>
    </w:p>
    <w:p w:rsidR="00951F53" w:rsidRDefault="00951F53" w:rsidP="00C86949">
      <w:pPr>
        <w:pStyle w:val="Answer"/>
        <w:jc w:val="left"/>
        <w:rPr>
          <w:b/>
        </w:rPr>
        <w:sectPr w:rsidR="00951F53" w:rsidSect="00940B74">
          <w:headerReference w:type="default" r:id="rId19"/>
          <w:type w:val="continuous"/>
          <w:pgSz w:w="12240" w:h="15840" w:code="1"/>
          <w:pgMar w:top="1440" w:right="1800" w:bottom="1440" w:left="1800" w:header="720" w:footer="720" w:gutter="0"/>
          <w:lnNumType w:countBy="1"/>
          <w:cols w:space="720"/>
          <w:docGrid w:linePitch="360"/>
        </w:sectPr>
      </w:pPr>
    </w:p>
    <w:p w:rsidR="00C82C06" w:rsidRPr="00C82C06" w:rsidRDefault="00C82C06" w:rsidP="00C86949">
      <w:pPr>
        <w:pStyle w:val="Answer"/>
        <w:jc w:val="left"/>
        <w:rPr>
          <w:b/>
        </w:rPr>
      </w:pPr>
      <w:r w:rsidRPr="00C82C06">
        <w:rPr>
          <w:b/>
        </w:rPr>
        <w:t>Q.</w:t>
      </w:r>
      <w:r w:rsidRPr="00C82C06">
        <w:rPr>
          <w:b/>
        </w:rPr>
        <w:tab/>
        <w:t>I</w:t>
      </w:r>
      <w:r w:rsidR="00B808FD">
        <w:rPr>
          <w:b/>
        </w:rPr>
        <w:t xml:space="preserve">f the Commission decides to use the </w:t>
      </w:r>
      <w:r w:rsidR="00360161">
        <w:rPr>
          <w:b/>
        </w:rPr>
        <w:t xml:space="preserve">forward-looking </w:t>
      </w:r>
      <w:r w:rsidRPr="00C82C06">
        <w:rPr>
          <w:b/>
        </w:rPr>
        <w:t>allocation method proposed by the Company for the rate</w:t>
      </w:r>
      <w:r w:rsidR="00EF3485">
        <w:rPr>
          <w:b/>
        </w:rPr>
        <w:t>-</w:t>
      </w:r>
      <w:r w:rsidRPr="00C82C06">
        <w:rPr>
          <w:b/>
        </w:rPr>
        <w:t xml:space="preserve">effective period to determine Washington’s allocation of </w:t>
      </w:r>
      <w:r w:rsidR="00700B78">
        <w:rPr>
          <w:b/>
        </w:rPr>
        <w:t xml:space="preserve">prior period </w:t>
      </w:r>
      <w:r w:rsidRPr="00C82C06">
        <w:rPr>
          <w:b/>
        </w:rPr>
        <w:t>revenue</w:t>
      </w:r>
      <w:r w:rsidR="00700B78">
        <w:rPr>
          <w:b/>
        </w:rPr>
        <w:t>s</w:t>
      </w:r>
      <w:r w:rsidRPr="00C82C06">
        <w:rPr>
          <w:b/>
        </w:rPr>
        <w:t>, is Staff’s calculation correct?</w:t>
      </w:r>
    </w:p>
    <w:p w:rsidR="00C82C06" w:rsidRDefault="00C82C06" w:rsidP="00C86949">
      <w:pPr>
        <w:pStyle w:val="Answer"/>
        <w:jc w:val="left"/>
      </w:pPr>
      <w:r>
        <w:t>A.</w:t>
      </w:r>
      <w:r>
        <w:tab/>
        <w:t xml:space="preserve">No.  Although I strongly disagree with using an allocation method developed nearly 29 months after the beginning of 2009 to determine </w:t>
      </w:r>
      <w:r w:rsidR="009A4E69">
        <w:t>Washington’s share of</w:t>
      </w:r>
      <w:r>
        <w:t xml:space="preserve"> REC revenues for that period, if the Commission decides to use that methodology, several corrections need to be </w:t>
      </w:r>
      <w:r w:rsidR="00537710">
        <w:t xml:space="preserve">made </w:t>
      </w:r>
      <w:r>
        <w:t>to Staff’s calculations.</w:t>
      </w:r>
    </w:p>
    <w:p w:rsidR="00C82C06" w:rsidRDefault="00C82C06" w:rsidP="00C86949">
      <w:pPr>
        <w:pStyle w:val="Answer"/>
        <w:jc w:val="left"/>
        <w:rPr>
          <w:b/>
        </w:rPr>
      </w:pPr>
      <w:r w:rsidRPr="00C82C06">
        <w:rPr>
          <w:b/>
        </w:rPr>
        <w:t>Q.</w:t>
      </w:r>
      <w:r w:rsidRPr="00C82C06">
        <w:rPr>
          <w:b/>
        </w:rPr>
        <w:tab/>
        <w:t xml:space="preserve">Please explain the corrections necessary to accurately reflect Washington’s allocation of REC revenues using </w:t>
      </w:r>
      <w:r>
        <w:rPr>
          <w:b/>
        </w:rPr>
        <w:t xml:space="preserve">the Company’s </w:t>
      </w:r>
      <w:r w:rsidR="00AE0A6F">
        <w:rPr>
          <w:b/>
        </w:rPr>
        <w:t xml:space="preserve">forward-looking allocation </w:t>
      </w:r>
      <w:r>
        <w:rPr>
          <w:b/>
        </w:rPr>
        <w:t xml:space="preserve">method as outlined in </w:t>
      </w:r>
      <w:r w:rsidR="00DC3515">
        <w:rPr>
          <w:b/>
        </w:rPr>
        <w:t xml:space="preserve">Confidential </w:t>
      </w:r>
      <w:r>
        <w:rPr>
          <w:b/>
        </w:rPr>
        <w:t>Exhibit No.___(RBD-27C).</w:t>
      </w:r>
    </w:p>
    <w:p w:rsidR="00B2786E" w:rsidRDefault="00C82C06" w:rsidP="00C86949">
      <w:pPr>
        <w:pStyle w:val="Answer"/>
        <w:jc w:val="left"/>
      </w:pPr>
      <w:r w:rsidRPr="00C82C06">
        <w:t>A.</w:t>
      </w:r>
      <w:r w:rsidRPr="00C82C06">
        <w:tab/>
      </w:r>
      <w:r>
        <w:t>Three</w:t>
      </w:r>
      <w:r w:rsidR="00271C4A">
        <w:t xml:space="preserve"> corrections need to be made to Staff’s calculation in order to reflect</w:t>
      </w:r>
      <w:r w:rsidR="005262C8">
        <w:t xml:space="preserve"> Washington’s allocated share of revenues using the Company’s for</w:t>
      </w:r>
      <w:r w:rsidR="00B2786E">
        <w:t xml:space="preserve">ward-looking methodology.  First, Staff’s calculation should apply the forward-looking methodology to all RECs, not only those the Company held for compliance.  Second, Staff’s calculation of non-eligible REC revenues should use all non-eligible RECs in the calculation, not just small hydro RECs as proposed by Staff.  Finally, an offset to Staff’s 2009 calculation should be included to reflect the amount of REC revenue in rates during that period.  Each of these corrections is </w:t>
      </w:r>
      <w:r w:rsidR="00537710">
        <w:t xml:space="preserve">reflected </w:t>
      </w:r>
      <w:r w:rsidR="00B2786E">
        <w:t xml:space="preserve">in </w:t>
      </w:r>
      <w:r w:rsidR="00EF3485">
        <w:t xml:space="preserve">Confidential </w:t>
      </w:r>
      <w:r w:rsidR="00B2786E">
        <w:t>Exhibit No.___(RBD-29</w:t>
      </w:r>
      <w:r w:rsidR="00EF3485">
        <w:t>C</w:t>
      </w:r>
      <w:r w:rsidR="00B2786E">
        <w:t xml:space="preserve">) and is discussed in detail below.  </w:t>
      </w:r>
    </w:p>
    <w:p w:rsidR="00951F53" w:rsidRDefault="00B2786E" w:rsidP="00951F53">
      <w:pPr>
        <w:pStyle w:val="Answer"/>
        <w:widowControl w:val="0"/>
        <w:jc w:val="left"/>
        <w:rPr>
          <w:b/>
        </w:rPr>
      </w:pPr>
      <w:proofErr w:type="gramStart"/>
      <w:r w:rsidRPr="00E1396A">
        <w:rPr>
          <w:b/>
        </w:rPr>
        <w:t>Q.</w:t>
      </w:r>
      <w:r w:rsidRPr="00E1396A">
        <w:rPr>
          <w:b/>
        </w:rPr>
        <w:tab/>
        <w:t xml:space="preserve">Please describe </w:t>
      </w:r>
      <w:r w:rsidR="00332389">
        <w:rPr>
          <w:b/>
        </w:rPr>
        <w:t>the Company’s</w:t>
      </w:r>
      <w:r w:rsidR="00E1396A" w:rsidRPr="00E1396A">
        <w:rPr>
          <w:b/>
        </w:rPr>
        <w:t xml:space="preserve"> first correction to Staff’s proposal.</w:t>
      </w:r>
      <w:proofErr w:type="gramEnd"/>
    </w:p>
    <w:p w:rsidR="00951F53" w:rsidRDefault="00E1396A" w:rsidP="00951F53">
      <w:pPr>
        <w:pStyle w:val="Answer"/>
        <w:widowControl w:val="0"/>
        <w:jc w:val="left"/>
        <w:sectPr w:rsidR="00951F53" w:rsidSect="00951F53">
          <w:headerReference w:type="default" r:id="rId20"/>
          <w:type w:val="continuous"/>
          <w:pgSz w:w="12240" w:h="15840" w:code="1"/>
          <w:pgMar w:top="1440" w:right="1800" w:bottom="1440" w:left="1800" w:header="720" w:footer="720" w:gutter="0"/>
          <w:lnNumType w:countBy="1"/>
          <w:cols w:space="720"/>
          <w:docGrid w:linePitch="360"/>
        </w:sectPr>
      </w:pPr>
      <w:r w:rsidRPr="00874424">
        <w:t>A.</w:t>
      </w:r>
      <w:r w:rsidRPr="00874424">
        <w:tab/>
      </w:r>
      <w:r w:rsidR="00874424">
        <w:t xml:space="preserve">Staff’s proposal </w:t>
      </w:r>
      <w:r w:rsidR="00700B78">
        <w:t xml:space="preserve">mixes and matches two different methods.  Staff proposal only </w:t>
      </w:r>
    </w:p>
    <w:p w:rsidR="00874424" w:rsidRDefault="00951F53" w:rsidP="00951F53">
      <w:pPr>
        <w:pStyle w:val="Answer"/>
        <w:widowControl w:val="0"/>
        <w:jc w:val="left"/>
      </w:pPr>
      <w:r>
        <w:tab/>
      </w:r>
      <w:proofErr w:type="gramStart"/>
      <w:r w:rsidR="00874424">
        <w:t>applies</w:t>
      </w:r>
      <w:proofErr w:type="gramEnd"/>
      <w:r w:rsidR="009A4E69">
        <w:t xml:space="preserve"> </w:t>
      </w:r>
      <w:r w:rsidR="00874424">
        <w:t xml:space="preserve">the forward-looking </w:t>
      </w:r>
      <w:proofErr w:type="spellStart"/>
      <w:r w:rsidR="00874424">
        <w:t>REC</w:t>
      </w:r>
      <w:proofErr w:type="spellEnd"/>
      <w:r w:rsidR="00874424">
        <w:t xml:space="preserve"> allocation method to RECs held for compliance.  By </w:t>
      </w:r>
      <w:r w:rsidR="00700B78">
        <w:t xml:space="preserve">consistently </w:t>
      </w:r>
      <w:r w:rsidR="00874424">
        <w:t xml:space="preserve">applying the same method to all RECs generated during 2009 and 2010, the total Washington-allocated revenue is reduced by </w:t>
      </w:r>
      <w:r w:rsidR="00607400" w:rsidRPr="00607400">
        <w:rPr>
          <w:highlight w:val="black"/>
        </w:rPr>
        <w:t>_______</w:t>
      </w:r>
      <w:r w:rsidR="00AE0A6F">
        <w:t xml:space="preserve"> for 2009 and </w:t>
      </w:r>
      <w:r w:rsidR="00607400" w:rsidRPr="00607400">
        <w:rPr>
          <w:highlight w:val="black"/>
        </w:rPr>
        <w:t>_________</w:t>
      </w:r>
      <w:r w:rsidR="00AE0A6F">
        <w:t xml:space="preserve"> for 2010</w:t>
      </w:r>
      <w:r w:rsidR="00874424">
        <w:t xml:space="preserve">.  This correction is </w:t>
      </w:r>
      <w:r w:rsidR="00537710">
        <w:t xml:space="preserve">shown </w:t>
      </w:r>
      <w:r w:rsidR="00874424">
        <w:t xml:space="preserve">on </w:t>
      </w:r>
      <w:r w:rsidR="00537710">
        <w:t>line 6</w:t>
      </w:r>
      <w:r w:rsidR="00874424">
        <w:t xml:space="preserve"> of </w:t>
      </w:r>
      <w:r w:rsidR="00EF3485">
        <w:t xml:space="preserve">Confidential </w:t>
      </w:r>
      <w:r w:rsidR="00874424">
        <w:t>Exhibit No.___(RBD-29</w:t>
      </w:r>
      <w:r w:rsidR="00EF3485">
        <w:t>C</w:t>
      </w:r>
      <w:r w:rsidR="00874424">
        <w:t>)</w:t>
      </w:r>
      <w:r w:rsidR="00C644DC">
        <w:t xml:space="preserve">.  </w:t>
      </w:r>
      <w:r w:rsidR="00874424">
        <w:t>Attachment A of Staff’s Pleading is consistent with this approach to the calculation.</w:t>
      </w:r>
    </w:p>
    <w:p w:rsidR="00874424" w:rsidRPr="00C644DC" w:rsidRDefault="00332389" w:rsidP="00C86949">
      <w:pPr>
        <w:pStyle w:val="Answer"/>
        <w:jc w:val="left"/>
        <w:rPr>
          <w:b/>
        </w:rPr>
      </w:pPr>
      <w:r>
        <w:rPr>
          <w:b/>
        </w:rPr>
        <w:t>Q.</w:t>
      </w:r>
      <w:r>
        <w:rPr>
          <w:b/>
        </w:rPr>
        <w:tab/>
        <w:t>What is the Company’s</w:t>
      </w:r>
      <w:r w:rsidR="00874424" w:rsidRPr="00C644DC">
        <w:rPr>
          <w:b/>
        </w:rPr>
        <w:t xml:space="preserve"> second correction to Staff’s proposal?</w:t>
      </w:r>
    </w:p>
    <w:p w:rsidR="00874424" w:rsidRDefault="00874424" w:rsidP="00C86949">
      <w:pPr>
        <w:pStyle w:val="Answer"/>
        <w:jc w:val="left"/>
      </w:pPr>
      <w:r>
        <w:t>A.</w:t>
      </w:r>
      <w:r>
        <w:tab/>
        <w:t>Staff’s revenue imputation calcul</w:t>
      </w:r>
      <w:r w:rsidR="00C644DC">
        <w:t xml:space="preserve">ation for non-eligible RECs </w:t>
      </w:r>
      <w:r>
        <w:t>includes</w:t>
      </w:r>
      <w:r w:rsidR="009A4E69">
        <w:t xml:space="preserve"> only</w:t>
      </w:r>
      <w:r>
        <w:t xml:space="preserve"> small hydro RECs in the calculation of RECs generated, held for compliance, sold</w:t>
      </w:r>
      <w:r w:rsidR="00AE0A6F">
        <w:t>,</w:t>
      </w:r>
      <w:r>
        <w:t xml:space="preserve"> and retained.  The Company believes that all </w:t>
      </w:r>
      <w:r w:rsidR="00C644DC">
        <w:t xml:space="preserve">non-eligible </w:t>
      </w:r>
      <w:r>
        <w:t>RECs generated should be included in this calculation</w:t>
      </w:r>
      <w:r w:rsidR="00C644DC">
        <w:t xml:space="preserve">, consistent with the calculation for eligible RECs.  This correction reduces the </w:t>
      </w:r>
      <w:r w:rsidR="00332389">
        <w:t xml:space="preserve">2009 and 2010 </w:t>
      </w:r>
      <w:r w:rsidR="00C644DC">
        <w:t xml:space="preserve">Washington-allocated REC revenue by </w:t>
      </w:r>
      <w:r w:rsidR="00607400" w:rsidRPr="00607400">
        <w:rPr>
          <w:highlight w:val="black"/>
        </w:rPr>
        <w:t>_____</w:t>
      </w:r>
      <w:r w:rsidR="00C644DC">
        <w:t xml:space="preserve"> for 2009 and </w:t>
      </w:r>
      <w:r w:rsidR="00607400" w:rsidRPr="00607400">
        <w:rPr>
          <w:highlight w:val="black"/>
        </w:rPr>
        <w:t>________</w:t>
      </w:r>
      <w:r w:rsidR="00C644DC">
        <w:t xml:space="preserve"> for 2010.</w:t>
      </w:r>
      <w:r w:rsidR="00332389">
        <w:t xml:space="preserve">  This calculation is </w:t>
      </w:r>
      <w:r w:rsidR="00537710">
        <w:t xml:space="preserve">shown </w:t>
      </w:r>
      <w:r w:rsidR="00332389">
        <w:t xml:space="preserve">on </w:t>
      </w:r>
      <w:r w:rsidR="00537710">
        <w:t>line 7</w:t>
      </w:r>
      <w:r w:rsidR="00031EAE">
        <w:t xml:space="preserve"> of </w:t>
      </w:r>
      <w:r w:rsidR="0054297B">
        <w:t xml:space="preserve">Confidential </w:t>
      </w:r>
      <w:r w:rsidR="00031EAE">
        <w:t>Exhibit No.___(RBD-29</w:t>
      </w:r>
      <w:r w:rsidR="0054297B">
        <w:t>C</w:t>
      </w:r>
      <w:r w:rsidR="00031EAE">
        <w:t>).</w:t>
      </w:r>
    </w:p>
    <w:p w:rsidR="00C644DC" w:rsidRPr="00332389" w:rsidRDefault="00C644DC" w:rsidP="00C86949">
      <w:pPr>
        <w:pStyle w:val="Answer"/>
        <w:jc w:val="left"/>
        <w:rPr>
          <w:b/>
        </w:rPr>
      </w:pPr>
      <w:r w:rsidRPr="00332389">
        <w:rPr>
          <w:b/>
        </w:rPr>
        <w:t>Q.</w:t>
      </w:r>
      <w:r w:rsidRPr="00332389">
        <w:rPr>
          <w:b/>
        </w:rPr>
        <w:tab/>
      </w:r>
      <w:r w:rsidR="00332389">
        <w:rPr>
          <w:b/>
        </w:rPr>
        <w:t>Please describe</w:t>
      </w:r>
      <w:r w:rsidRPr="00332389">
        <w:rPr>
          <w:b/>
        </w:rPr>
        <w:t xml:space="preserve"> </w:t>
      </w:r>
      <w:r w:rsidR="00332389" w:rsidRPr="00332389">
        <w:rPr>
          <w:b/>
        </w:rPr>
        <w:t>the Company’s</w:t>
      </w:r>
      <w:r w:rsidRPr="00332389">
        <w:rPr>
          <w:b/>
        </w:rPr>
        <w:t xml:space="preserve"> final correction to Staff’s propos</w:t>
      </w:r>
      <w:r w:rsidR="00332389">
        <w:rPr>
          <w:b/>
        </w:rPr>
        <w:t>ed calculation.</w:t>
      </w:r>
    </w:p>
    <w:p w:rsidR="00332389" w:rsidRDefault="00332389" w:rsidP="00C86949">
      <w:pPr>
        <w:pStyle w:val="Answer"/>
        <w:jc w:val="left"/>
      </w:pPr>
      <w:r>
        <w:t>A.</w:t>
      </w:r>
      <w:r>
        <w:tab/>
        <w:t xml:space="preserve">The Company’s </w:t>
      </w:r>
      <w:r w:rsidR="00537710">
        <w:t xml:space="preserve">final </w:t>
      </w:r>
      <w:r>
        <w:t xml:space="preserve">correction to Staff’s calculation is to include an offset </w:t>
      </w:r>
      <w:r w:rsidR="00405F1F">
        <w:t xml:space="preserve">to </w:t>
      </w:r>
      <w:r>
        <w:t>the 2009 calculated Washington-allocated total for the amount of REC revenues previously established in rates for that year.</w:t>
      </w:r>
      <w:r w:rsidR="00031EAE">
        <w:t xml:space="preserve">  If the Commission determines that 2009 and 2010 REC revenue should be returned to customers, the amount of </w:t>
      </w:r>
      <w:r w:rsidR="003262A1">
        <w:t xml:space="preserve">forecast </w:t>
      </w:r>
      <w:proofErr w:type="spellStart"/>
      <w:r w:rsidR="00031EAE">
        <w:t>REC</w:t>
      </w:r>
      <w:proofErr w:type="spellEnd"/>
      <w:r w:rsidR="00031EAE">
        <w:t xml:space="preserve"> revenues included in rates during these years through past rate case</w:t>
      </w:r>
      <w:r w:rsidR="00405F1F">
        <w:t xml:space="preserve"> filings</w:t>
      </w:r>
      <w:r w:rsidR="00031EAE">
        <w:t xml:space="preserve"> should be </w:t>
      </w:r>
      <w:r w:rsidR="00405F1F">
        <w:t>reflected</w:t>
      </w:r>
      <w:r w:rsidR="00031EAE">
        <w:t xml:space="preserve"> as </w:t>
      </w:r>
      <w:r w:rsidR="00EB6CA0">
        <w:t xml:space="preserve">a </w:t>
      </w:r>
      <w:r w:rsidR="00405F1F">
        <w:t>reduction</w:t>
      </w:r>
      <w:r w:rsidR="00031EAE">
        <w:t>.  Staff has proposed to include an offset of $657,</w:t>
      </w:r>
      <w:r w:rsidR="007B1609">
        <w:t>7</w:t>
      </w:r>
      <w:r w:rsidR="00031EAE">
        <w:t xml:space="preserve">55 for REC revenues in rates </w:t>
      </w:r>
      <w:r w:rsidR="00405F1F">
        <w:t xml:space="preserve">in 2010 </w:t>
      </w:r>
      <w:r w:rsidR="00031EAE">
        <w:t xml:space="preserve">from </w:t>
      </w:r>
      <w:r w:rsidR="00700B78">
        <w:t>UE-</w:t>
      </w:r>
      <w:r w:rsidR="00031EAE">
        <w:t xml:space="preserve">090205, but has not included an offset for the amount included in rates through the </w:t>
      </w:r>
      <w:r w:rsidR="00405F1F">
        <w:t>Company’s</w:t>
      </w:r>
      <w:r w:rsidR="00031EAE">
        <w:t xml:space="preserve"> 2008 rate case filing</w:t>
      </w:r>
      <w:r w:rsidR="00405F1F">
        <w:t xml:space="preserve"> in</w:t>
      </w:r>
      <w:r w:rsidR="00031EAE">
        <w:t xml:space="preserve"> Docket </w:t>
      </w:r>
      <w:r w:rsidR="00700B78">
        <w:t>UE-</w:t>
      </w:r>
      <w:r w:rsidR="00031EAE">
        <w:t>080220.</w:t>
      </w:r>
      <w:r>
        <w:t xml:space="preserve">  </w:t>
      </w:r>
      <w:r w:rsidR="00EB6CA0">
        <w:t xml:space="preserve">In that docket, </w:t>
      </w:r>
      <w:r w:rsidR="00405F1F">
        <w:t xml:space="preserve">which used </w:t>
      </w:r>
      <w:r w:rsidR="00EB6CA0">
        <w:t>a historic test year for the 12-</w:t>
      </w:r>
      <w:r w:rsidR="00405F1F">
        <w:t xml:space="preserve">months ending June 2007, the Company included $576,254 of </w:t>
      </w:r>
      <w:r w:rsidR="00700B78">
        <w:t xml:space="preserve">forecast </w:t>
      </w:r>
      <w:r w:rsidR="00405F1F">
        <w:t>REC revenues</w:t>
      </w:r>
      <w:r>
        <w:t>.</w:t>
      </w:r>
      <w:r w:rsidR="007B1609">
        <w:rPr>
          <w:rStyle w:val="FootnoteReference"/>
        </w:rPr>
        <w:footnoteReference w:id="10"/>
      </w:r>
      <w:r w:rsidR="00405F1F">
        <w:t xml:space="preserve">  As a result</w:t>
      </w:r>
      <w:r w:rsidR="009A4E69">
        <w:t>,</w:t>
      </w:r>
      <w:r w:rsidR="00405F1F">
        <w:t xml:space="preserve"> </w:t>
      </w:r>
      <w:r w:rsidR="00284828">
        <w:t>line 8</w:t>
      </w:r>
      <w:r w:rsidR="00405F1F">
        <w:t xml:space="preserve"> of </w:t>
      </w:r>
      <w:r w:rsidR="0054297B">
        <w:t xml:space="preserve">Confidential </w:t>
      </w:r>
      <w:r w:rsidR="00405F1F">
        <w:t>Exhibit No.___(RBD-29</w:t>
      </w:r>
      <w:r w:rsidR="0054297B">
        <w:t>C</w:t>
      </w:r>
      <w:r w:rsidR="00405F1F">
        <w:t>) reflects this amount as a reduction to Staff’s calculated 2009 amount.</w:t>
      </w:r>
    </w:p>
    <w:p w:rsidR="00405F1F" w:rsidRPr="00405F1F" w:rsidRDefault="00405F1F" w:rsidP="00C86949">
      <w:pPr>
        <w:pStyle w:val="Answer"/>
        <w:jc w:val="left"/>
        <w:rPr>
          <w:b/>
        </w:rPr>
      </w:pPr>
      <w:r w:rsidRPr="00405F1F">
        <w:rPr>
          <w:b/>
        </w:rPr>
        <w:t xml:space="preserve">Q. </w:t>
      </w:r>
      <w:r w:rsidRPr="00405F1F">
        <w:rPr>
          <w:b/>
        </w:rPr>
        <w:tab/>
        <w:t xml:space="preserve">What is the overall impact of </w:t>
      </w:r>
      <w:r>
        <w:rPr>
          <w:b/>
        </w:rPr>
        <w:t>the Company’s</w:t>
      </w:r>
      <w:r w:rsidRPr="00405F1F">
        <w:rPr>
          <w:b/>
        </w:rPr>
        <w:t xml:space="preserve"> corrections to Staff’</w:t>
      </w:r>
      <w:r>
        <w:rPr>
          <w:b/>
        </w:rPr>
        <w:t>s proposal?</w:t>
      </w:r>
    </w:p>
    <w:p w:rsidR="00405F1F" w:rsidRDefault="00405F1F" w:rsidP="00C86949">
      <w:pPr>
        <w:pStyle w:val="Answer"/>
        <w:jc w:val="left"/>
      </w:pPr>
      <w:r>
        <w:t>A.</w:t>
      </w:r>
      <w:r>
        <w:tab/>
        <w:t>The total corrections</w:t>
      </w:r>
      <w:r w:rsidR="00A836BB">
        <w:t xml:space="preserve"> outlined above</w:t>
      </w:r>
      <w:r>
        <w:t xml:space="preserve"> reduce Staff’s calculation by </w:t>
      </w:r>
      <w:r w:rsidR="00607400" w:rsidRPr="00607400">
        <w:rPr>
          <w:highlight w:val="black"/>
        </w:rPr>
        <w:t>________</w:t>
      </w:r>
      <w:r>
        <w:t xml:space="preserve"> </w:t>
      </w:r>
      <w:r w:rsidR="00700B78">
        <w:t xml:space="preserve">for </w:t>
      </w:r>
      <w:r>
        <w:t xml:space="preserve">2009 and </w:t>
      </w:r>
      <w:r w:rsidR="00607400" w:rsidRPr="00607400">
        <w:rPr>
          <w:highlight w:val="black"/>
        </w:rPr>
        <w:t>________</w:t>
      </w:r>
      <w:r>
        <w:t xml:space="preserve"> for 2010.  If the Commission decides it is appropriate to use the forward-looking allocation method to determine Washington’s 2009 and 2010 REC revenue, the appropriate level of RECs, including offsets for the amount in rates is </w:t>
      </w:r>
      <w:r w:rsidR="00607400" w:rsidRPr="00607400">
        <w:rPr>
          <w:highlight w:val="black"/>
        </w:rPr>
        <w:t>__________</w:t>
      </w:r>
      <w:r>
        <w:t xml:space="preserve"> for 2009 and </w:t>
      </w:r>
      <w:r w:rsidR="00607400" w:rsidRPr="00607400">
        <w:rPr>
          <w:highlight w:val="black"/>
        </w:rPr>
        <w:t>_________</w:t>
      </w:r>
      <w:r>
        <w:t xml:space="preserve"> for 2010.  These revised total</w:t>
      </w:r>
      <w:r w:rsidR="004C4F40">
        <w:t>s</w:t>
      </w:r>
      <w:r>
        <w:t xml:space="preserve"> are shown on </w:t>
      </w:r>
      <w:r w:rsidR="00284828">
        <w:t xml:space="preserve">line 11 </w:t>
      </w:r>
      <w:r>
        <w:t xml:space="preserve">of </w:t>
      </w:r>
      <w:r w:rsidR="0054297B">
        <w:t xml:space="preserve">Confidential </w:t>
      </w:r>
      <w:r>
        <w:t>Exhibit No.___(RBD-29</w:t>
      </w:r>
      <w:r w:rsidR="0054297B">
        <w:t>C</w:t>
      </w:r>
      <w:r>
        <w:t>).</w:t>
      </w:r>
    </w:p>
    <w:p w:rsidR="00EF6D9C" w:rsidRDefault="00EF6D9C" w:rsidP="00C86949">
      <w:pPr>
        <w:pStyle w:val="Answer"/>
        <w:jc w:val="left"/>
        <w:rPr>
          <w:b/>
        </w:rPr>
      </w:pPr>
      <w:r>
        <w:rPr>
          <w:b/>
        </w:rPr>
        <w:t>ICNU/</w:t>
      </w:r>
      <w:r w:rsidR="00B808FD">
        <w:rPr>
          <w:b/>
        </w:rPr>
        <w:t>PC’s</w:t>
      </w:r>
      <w:r>
        <w:rPr>
          <w:b/>
        </w:rPr>
        <w:t xml:space="preserve"> Proposed Allocation Methodology</w:t>
      </w:r>
    </w:p>
    <w:p w:rsidR="00EF6D9C" w:rsidRPr="006C43AE" w:rsidRDefault="00EF6D9C" w:rsidP="00C86949">
      <w:pPr>
        <w:pStyle w:val="Answer"/>
        <w:jc w:val="left"/>
        <w:rPr>
          <w:b/>
        </w:rPr>
      </w:pPr>
      <w:r w:rsidRPr="006C43AE">
        <w:rPr>
          <w:b/>
        </w:rPr>
        <w:t>Q.</w:t>
      </w:r>
      <w:r w:rsidRPr="006C43AE">
        <w:rPr>
          <w:b/>
        </w:rPr>
        <w:tab/>
        <w:t xml:space="preserve">Please describe </w:t>
      </w:r>
      <w:r w:rsidR="008B2F2C">
        <w:rPr>
          <w:b/>
        </w:rPr>
        <w:t>ICNU/PC</w:t>
      </w:r>
      <w:r>
        <w:rPr>
          <w:b/>
        </w:rPr>
        <w:t>’s</w:t>
      </w:r>
      <w:r w:rsidRPr="006C43AE">
        <w:rPr>
          <w:b/>
        </w:rPr>
        <w:t xml:space="preserve"> proposed calculation of Washington’s allocation of 2009 and 2010 historic REC revenues.</w:t>
      </w:r>
    </w:p>
    <w:p w:rsidR="005865E6" w:rsidRDefault="00EF6D9C" w:rsidP="00C86949">
      <w:pPr>
        <w:pStyle w:val="Answer"/>
        <w:jc w:val="left"/>
      </w:pPr>
      <w:r>
        <w:t>A.</w:t>
      </w:r>
      <w:r>
        <w:tab/>
      </w:r>
      <w:r w:rsidR="008B2F2C">
        <w:t>ICNU/PC</w:t>
      </w:r>
      <w:r w:rsidRPr="00EF6D9C">
        <w:t>’s</w:t>
      </w:r>
      <w:r>
        <w:t xml:space="preserve"> proposal as outlined by </w:t>
      </w:r>
      <w:r w:rsidR="009A4E69">
        <w:t>Mr.</w:t>
      </w:r>
      <w:r>
        <w:t xml:space="preserve"> Schoenbeck in </w:t>
      </w:r>
      <w:r w:rsidR="00951F53">
        <w:t>Exhibit Nos.__</w:t>
      </w:r>
      <w:proofErr w:type="gramStart"/>
      <w:r w:rsidR="00951F53">
        <w:t>_(</w:t>
      </w:r>
      <w:proofErr w:type="gramEnd"/>
      <w:r w:rsidR="00951F53">
        <w:t xml:space="preserve">DWS-5CT) and </w:t>
      </w:r>
      <w:r>
        <w:t xml:space="preserve">(DWS-6C) </w:t>
      </w:r>
      <w:r w:rsidR="00F969CA">
        <w:t>calculates Washington’s share of 2009 and 2010 REC revenue using a similar approach to the Company’s forward-looking</w:t>
      </w:r>
      <w:r w:rsidR="00CD0138">
        <w:t xml:space="preserve"> allocation</w:t>
      </w:r>
      <w:r w:rsidR="00F969CA">
        <w:t xml:space="preserve"> methodology</w:t>
      </w:r>
      <w:r w:rsidR="00CD0138">
        <w:t xml:space="preserve"> discussed above</w:t>
      </w:r>
      <w:r w:rsidR="00F969CA">
        <w:t>.</w:t>
      </w:r>
      <w:r>
        <w:t xml:space="preserve"> </w:t>
      </w:r>
      <w:r w:rsidR="000B5540">
        <w:t xml:space="preserve"> </w:t>
      </w:r>
      <w:r w:rsidR="00284828">
        <w:t xml:space="preserve">As shown on line 1 of </w:t>
      </w:r>
      <w:r w:rsidR="0054297B">
        <w:t xml:space="preserve">Confidential </w:t>
      </w:r>
      <w:r w:rsidR="00700B78">
        <w:t>Exhibit No.__</w:t>
      </w:r>
      <w:proofErr w:type="gramStart"/>
      <w:r w:rsidR="00700B78">
        <w:t>_(</w:t>
      </w:r>
      <w:proofErr w:type="gramEnd"/>
      <w:r w:rsidR="00700B78">
        <w:t>RBD-30</w:t>
      </w:r>
      <w:r w:rsidR="0054297B">
        <w:t>C</w:t>
      </w:r>
      <w:r w:rsidR="00700B78" w:rsidRPr="000B7905">
        <w:t>)</w:t>
      </w:r>
      <w:r w:rsidR="00284828">
        <w:t xml:space="preserve">, ICNU/PC’s final total of Washington-allocated REC revenue is </w:t>
      </w:r>
      <w:r w:rsidR="00607400" w:rsidRPr="00607400">
        <w:rPr>
          <w:highlight w:val="black"/>
        </w:rPr>
        <w:t>__________</w:t>
      </w:r>
      <w:r w:rsidR="00284828">
        <w:t xml:space="preserve"> for 2009 and </w:t>
      </w:r>
      <w:r w:rsidR="00607400" w:rsidRPr="00607400">
        <w:rPr>
          <w:highlight w:val="black"/>
        </w:rPr>
        <w:t>_________</w:t>
      </w:r>
      <w:r w:rsidR="00284828">
        <w:t xml:space="preserve"> for 2010.    </w:t>
      </w:r>
    </w:p>
    <w:p w:rsidR="00F969CA" w:rsidRPr="00F969CA" w:rsidRDefault="00F969CA" w:rsidP="00C86949">
      <w:pPr>
        <w:pStyle w:val="Answer"/>
        <w:jc w:val="left"/>
        <w:rPr>
          <w:b/>
        </w:rPr>
      </w:pPr>
      <w:r w:rsidRPr="00F969CA">
        <w:rPr>
          <w:b/>
        </w:rPr>
        <w:t>Q.</w:t>
      </w:r>
      <w:r w:rsidRPr="00F969CA">
        <w:rPr>
          <w:b/>
        </w:rPr>
        <w:tab/>
        <w:t>Do you agree with Mr. S</w:t>
      </w:r>
      <w:r w:rsidR="00F649E4">
        <w:rPr>
          <w:b/>
        </w:rPr>
        <w:t>c</w:t>
      </w:r>
      <w:r w:rsidRPr="00F969CA">
        <w:rPr>
          <w:b/>
        </w:rPr>
        <w:t>hoenbeck’s calculations?</w:t>
      </w:r>
    </w:p>
    <w:p w:rsidR="00F969CA" w:rsidRDefault="00F969CA" w:rsidP="00C86949">
      <w:pPr>
        <w:pStyle w:val="Answer"/>
        <w:jc w:val="left"/>
      </w:pPr>
      <w:r>
        <w:t>A.</w:t>
      </w:r>
      <w:r>
        <w:tab/>
        <w:t>No.  Consistent with my criticism of Staff’s proposal above, I do not believe it is appropriate to apply an allocation methodology developed in 2011 to REC revenues for 2009 and 2010.  However, if the Commission determines that using a forward-looking allocation methodology to determine the 2009 and 2010 Washington-allocated REC revenues</w:t>
      </w:r>
      <w:r w:rsidR="0054297B">
        <w:t xml:space="preserve"> is </w:t>
      </w:r>
      <w:proofErr w:type="gramStart"/>
      <w:r w:rsidR="0054297B">
        <w:t>appropriate,</w:t>
      </w:r>
      <w:proofErr w:type="gramEnd"/>
      <w:r>
        <w:t xml:space="preserve"> </w:t>
      </w:r>
      <w:r w:rsidR="002963F2">
        <w:t>several correction</w:t>
      </w:r>
      <w:r w:rsidR="00CD0138">
        <w:t>s</w:t>
      </w:r>
      <w:r w:rsidR="002963F2">
        <w:t xml:space="preserve"> need to be made to </w:t>
      </w:r>
      <w:r w:rsidR="008B2F2C">
        <w:t>ICNU/PC</w:t>
      </w:r>
      <w:r>
        <w:t>’s calculations.</w:t>
      </w:r>
    </w:p>
    <w:p w:rsidR="00AE1B7B" w:rsidRDefault="00AE1B7B" w:rsidP="00C86949">
      <w:pPr>
        <w:pStyle w:val="Answer"/>
        <w:jc w:val="left"/>
        <w:rPr>
          <w:b/>
        </w:rPr>
      </w:pPr>
      <w:r w:rsidRPr="00C82C06">
        <w:rPr>
          <w:b/>
        </w:rPr>
        <w:t>Q.</w:t>
      </w:r>
      <w:r w:rsidRPr="00C82C06">
        <w:rPr>
          <w:b/>
        </w:rPr>
        <w:tab/>
        <w:t xml:space="preserve">Please explain the corrections necessary to accurately reflect Washington’s allocation of REC revenues using </w:t>
      </w:r>
      <w:r>
        <w:rPr>
          <w:b/>
        </w:rPr>
        <w:t>the forward-looking allocation methodology discussed above.</w:t>
      </w:r>
    </w:p>
    <w:p w:rsidR="00AE1B7B" w:rsidRDefault="00AE1B7B" w:rsidP="00C86949">
      <w:pPr>
        <w:pStyle w:val="Answer"/>
        <w:jc w:val="left"/>
      </w:pPr>
      <w:r w:rsidRPr="00AE1B7B">
        <w:t>A.</w:t>
      </w:r>
      <w:r w:rsidRPr="00AE1B7B">
        <w:tab/>
        <w:t>There are four corrections that need to be made to Mr. Schoenbeck’s</w:t>
      </w:r>
      <w:r>
        <w:t xml:space="preserve"> calculations.</w:t>
      </w:r>
      <w:r w:rsidR="002963F2">
        <w:t xml:space="preserve"> Each of these corrections is outlined in </w:t>
      </w:r>
      <w:r w:rsidR="0054297B">
        <w:t xml:space="preserve">Confidential </w:t>
      </w:r>
      <w:r w:rsidR="002963F2">
        <w:t>Exhibit No.___(RBD-</w:t>
      </w:r>
      <w:r w:rsidR="00144DC3">
        <w:t>30</w:t>
      </w:r>
      <w:r w:rsidR="0054297B">
        <w:t>C</w:t>
      </w:r>
      <w:r w:rsidR="002963F2">
        <w:t>).</w:t>
      </w:r>
      <w:r>
        <w:t xml:space="preserve">  First, Washington’s CAGW factor for 2010 needs to be updated as discussed earlier in my testimony.  Second, the number of non-eligible RECs sold in 2009 as reflected in the 2009 revenue calculation needs to be corrected.  </w:t>
      </w:r>
      <w:proofErr w:type="gramStart"/>
      <w:r>
        <w:t xml:space="preserve">Third, the calculation of revenues </w:t>
      </w:r>
      <w:r w:rsidR="00607400" w:rsidRPr="00607400">
        <w:rPr>
          <w:highlight w:val="black"/>
        </w:rPr>
        <w:t>________________________________________</w:t>
      </w:r>
      <w:r w:rsidR="00211180" w:rsidRPr="00211180">
        <w:rPr>
          <w:highlight w:val="lightGray"/>
        </w:rPr>
        <w:t xml:space="preserve"> </w:t>
      </w:r>
      <w:r w:rsidR="00607400" w:rsidRPr="00607400">
        <w:rPr>
          <w:highlight w:val="black"/>
        </w:rPr>
        <w:t>______________________________________________________________________________________________________________________________________________________</w:t>
      </w:r>
      <w:r w:rsidR="002963F2">
        <w:t>.</w:t>
      </w:r>
      <w:proofErr w:type="gramEnd"/>
      <w:r w:rsidR="002963F2">
        <w:t xml:space="preserve">  Finally, an offset for the amount of REC revenues previously established in rates should be deducted from the 2009 and 2010 totals.</w:t>
      </w:r>
    </w:p>
    <w:p w:rsidR="004632E4" w:rsidRDefault="002963F2" w:rsidP="004632E4">
      <w:pPr>
        <w:pStyle w:val="Answer"/>
        <w:widowControl w:val="0"/>
        <w:jc w:val="left"/>
        <w:rPr>
          <w:b/>
        </w:rPr>
      </w:pPr>
      <w:proofErr w:type="gramStart"/>
      <w:r w:rsidRPr="002963F2">
        <w:rPr>
          <w:b/>
        </w:rPr>
        <w:t xml:space="preserve">Q.  </w:t>
      </w:r>
      <w:r w:rsidRPr="002963F2">
        <w:rPr>
          <w:b/>
        </w:rPr>
        <w:tab/>
        <w:t xml:space="preserve">Please describe the Company’s first correction to </w:t>
      </w:r>
      <w:proofErr w:type="spellStart"/>
      <w:r w:rsidR="008B2F2C">
        <w:rPr>
          <w:b/>
        </w:rPr>
        <w:t>ICNU</w:t>
      </w:r>
      <w:proofErr w:type="spellEnd"/>
      <w:r w:rsidR="008B2F2C">
        <w:rPr>
          <w:b/>
        </w:rPr>
        <w:t>/</w:t>
      </w:r>
      <w:proofErr w:type="spellStart"/>
      <w:r w:rsidR="008B2F2C">
        <w:rPr>
          <w:b/>
        </w:rPr>
        <w:t>PC</w:t>
      </w:r>
      <w:r w:rsidR="008B686D">
        <w:rPr>
          <w:b/>
        </w:rPr>
        <w:t>’s</w:t>
      </w:r>
      <w:proofErr w:type="spellEnd"/>
      <w:r w:rsidR="008B686D">
        <w:rPr>
          <w:b/>
        </w:rPr>
        <w:t xml:space="preserve"> calculation of </w:t>
      </w:r>
      <w:proofErr w:type="spellStart"/>
      <w:r w:rsidR="008B686D">
        <w:rPr>
          <w:b/>
        </w:rPr>
        <w:t>REC</w:t>
      </w:r>
      <w:proofErr w:type="spellEnd"/>
      <w:r w:rsidR="008B686D">
        <w:rPr>
          <w:b/>
        </w:rPr>
        <w:t xml:space="preserve"> r</w:t>
      </w:r>
      <w:r w:rsidRPr="002963F2">
        <w:rPr>
          <w:b/>
        </w:rPr>
        <w:t>evenues.</w:t>
      </w:r>
      <w:proofErr w:type="gramEnd"/>
    </w:p>
    <w:p w:rsidR="008B686D" w:rsidRDefault="008B686D" w:rsidP="004632E4">
      <w:pPr>
        <w:pStyle w:val="Answer"/>
        <w:widowControl w:val="0"/>
        <w:jc w:val="left"/>
      </w:pPr>
      <w:r>
        <w:t>A.</w:t>
      </w:r>
      <w:r>
        <w:tab/>
        <w:t>Mr. Schoenbeck</w:t>
      </w:r>
      <w:r w:rsidR="002963F2" w:rsidRPr="008B686D">
        <w:t xml:space="preserve"> use</w:t>
      </w:r>
      <w:r>
        <w:t>s</w:t>
      </w:r>
      <w:r w:rsidR="002963F2" w:rsidRPr="008B686D">
        <w:t xml:space="preserve"> the 2010 CAGW factor as filed by the </w:t>
      </w:r>
      <w:r>
        <w:t>Company</w:t>
      </w:r>
      <w:r w:rsidR="002963F2" w:rsidRPr="008B686D">
        <w:t xml:space="preserve"> in its </w:t>
      </w:r>
      <w:r w:rsidR="00F649E4">
        <w:t>P</w:t>
      </w:r>
      <w:r w:rsidR="002963F2" w:rsidRPr="008B686D">
        <w:t xml:space="preserve">hase II direct testimony and exhibits.  As explained earlier in my testimony, the </w:t>
      </w:r>
      <w:r>
        <w:t xml:space="preserve">2010 </w:t>
      </w:r>
      <w:r w:rsidR="002963F2" w:rsidRPr="008B686D">
        <w:t xml:space="preserve">CAGW factor needs to be updated to reflect the Commission ordered </w:t>
      </w:r>
      <w:r w:rsidR="00CD0138">
        <w:t>removal</w:t>
      </w:r>
      <w:r w:rsidR="002963F2" w:rsidRPr="008B686D">
        <w:t xml:space="preserve"> of the temperature normalization of t</w:t>
      </w:r>
      <w:r w:rsidRPr="008B686D">
        <w:t>he commercial customer</w:t>
      </w:r>
      <w:r>
        <w:t xml:space="preserve"> class. </w:t>
      </w:r>
      <w:r w:rsidR="000B5540">
        <w:t xml:space="preserve"> </w:t>
      </w:r>
      <w:r>
        <w:t xml:space="preserve">This correction increases 2010 Washington-allocated </w:t>
      </w:r>
      <w:proofErr w:type="spellStart"/>
      <w:r>
        <w:t>REC</w:t>
      </w:r>
      <w:proofErr w:type="spellEnd"/>
      <w:r>
        <w:t xml:space="preserve"> revenue by </w:t>
      </w:r>
      <w:r w:rsidR="000F5ADA" w:rsidRPr="000F5ADA">
        <w:rPr>
          <w:highlight w:val="black"/>
        </w:rPr>
        <w:t>________</w:t>
      </w:r>
      <w:r>
        <w:t xml:space="preserve">.  This </w:t>
      </w:r>
      <w:r w:rsidR="0054297B">
        <w:t xml:space="preserve">amount </w:t>
      </w:r>
      <w:r>
        <w:t xml:space="preserve">is </w:t>
      </w:r>
      <w:r w:rsidR="00144DC3">
        <w:t xml:space="preserve">shown </w:t>
      </w:r>
      <w:r>
        <w:t xml:space="preserve">on </w:t>
      </w:r>
      <w:r w:rsidR="00144DC3">
        <w:t>line 4</w:t>
      </w:r>
      <w:r>
        <w:t xml:space="preserve"> of </w:t>
      </w:r>
      <w:r w:rsidR="0054297B">
        <w:t xml:space="preserve">Confidential </w:t>
      </w:r>
      <w:r>
        <w:t>Exhibit No.__</w:t>
      </w:r>
      <w:proofErr w:type="gramStart"/>
      <w:r>
        <w:t>_(</w:t>
      </w:r>
      <w:proofErr w:type="gramEnd"/>
      <w:r>
        <w:t>RBD-</w:t>
      </w:r>
      <w:r w:rsidR="00144DC3">
        <w:t>30</w:t>
      </w:r>
      <w:r w:rsidR="0054297B">
        <w:t>C</w:t>
      </w:r>
      <w:r>
        <w:t>).</w:t>
      </w:r>
    </w:p>
    <w:p w:rsidR="008B686D" w:rsidRDefault="008B686D" w:rsidP="00C86949">
      <w:pPr>
        <w:pStyle w:val="Answer"/>
        <w:jc w:val="left"/>
        <w:rPr>
          <w:b/>
        </w:rPr>
      </w:pPr>
      <w:r w:rsidRPr="002963F2">
        <w:rPr>
          <w:b/>
        </w:rPr>
        <w:t xml:space="preserve">Q.  </w:t>
      </w:r>
      <w:r w:rsidRPr="002963F2">
        <w:rPr>
          <w:b/>
        </w:rPr>
        <w:tab/>
        <w:t xml:space="preserve">Please describe the Company’s </w:t>
      </w:r>
      <w:r>
        <w:rPr>
          <w:b/>
        </w:rPr>
        <w:t>second</w:t>
      </w:r>
      <w:r w:rsidRPr="002963F2">
        <w:rPr>
          <w:b/>
        </w:rPr>
        <w:t xml:space="preserve"> correction to </w:t>
      </w:r>
      <w:r w:rsidR="008B2F2C">
        <w:rPr>
          <w:b/>
        </w:rPr>
        <w:t>ICNU/PC</w:t>
      </w:r>
      <w:r w:rsidRPr="002963F2">
        <w:rPr>
          <w:b/>
        </w:rPr>
        <w:t xml:space="preserve">’s calculation of REC </w:t>
      </w:r>
      <w:r>
        <w:rPr>
          <w:b/>
        </w:rPr>
        <w:t>r</w:t>
      </w:r>
      <w:r w:rsidRPr="002963F2">
        <w:rPr>
          <w:b/>
        </w:rPr>
        <w:t>evenues.</w:t>
      </w:r>
    </w:p>
    <w:p w:rsidR="0054297B" w:rsidRDefault="008B686D" w:rsidP="00C86949">
      <w:pPr>
        <w:pStyle w:val="Answer"/>
        <w:jc w:val="left"/>
      </w:pPr>
      <w:r w:rsidRPr="008B686D">
        <w:t>A.</w:t>
      </w:r>
      <w:r w:rsidRPr="008B686D">
        <w:tab/>
        <w:t xml:space="preserve">The Company’s second correction to Mr. Schoenbeck’s calculation is to include the actual number of </w:t>
      </w:r>
      <w:r w:rsidR="00CB1BF8">
        <w:t xml:space="preserve">Washington </w:t>
      </w:r>
      <w:r w:rsidRPr="008B686D">
        <w:t>non-eligible RECs sold in the calculation of 2009 REC revenues.  Confidential Exhibit No.__</w:t>
      </w:r>
      <w:proofErr w:type="gramStart"/>
      <w:r w:rsidRPr="008B686D">
        <w:t>_(</w:t>
      </w:r>
      <w:proofErr w:type="gramEnd"/>
      <w:r w:rsidRPr="008B686D">
        <w:t xml:space="preserve">DWS-6C) understates the number of actual non-eligible RECs sold during 2009 by </w:t>
      </w:r>
      <w:r w:rsidR="000F5ADA" w:rsidRPr="000F5ADA">
        <w:rPr>
          <w:highlight w:val="black"/>
        </w:rPr>
        <w:t>___</w:t>
      </w:r>
      <w:r w:rsidRPr="008B686D">
        <w:t xml:space="preserve">. </w:t>
      </w:r>
      <w:r>
        <w:t xml:space="preserve"> This correction increases 2009 Washington-allocated </w:t>
      </w:r>
      <w:proofErr w:type="spellStart"/>
      <w:r>
        <w:t>REC</w:t>
      </w:r>
      <w:proofErr w:type="spellEnd"/>
      <w:r>
        <w:t xml:space="preserve"> revenue by </w:t>
      </w:r>
      <w:r w:rsidR="000F5ADA" w:rsidRPr="000F5ADA">
        <w:rPr>
          <w:highlight w:val="black"/>
        </w:rPr>
        <w:t>______</w:t>
      </w:r>
      <w:r>
        <w:t xml:space="preserve">. </w:t>
      </w:r>
      <w:r w:rsidR="000B5540">
        <w:t xml:space="preserve"> </w:t>
      </w:r>
      <w:r w:rsidR="0054297B">
        <w:t>This amount is shown on line 5 of Confidential Exhibit No.__</w:t>
      </w:r>
      <w:proofErr w:type="gramStart"/>
      <w:r w:rsidR="0054297B">
        <w:t>_(</w:t>
      </w:r>
      <w:proofErr w:type="gramEnd"/>
      <w:r w:rsidR="0054297B">
        <w:t>RBD-30C).</w:t>
      </w:r>
    </w:p>
    <w:p w:rsidR="008B686D" w:rsidRDefault="008B686D" w:rsidP="00C86949">
      <w:pPr>
        <w:pStyle w:val="Answer"/>
        <w:jc w:val="left"/>
        <w:rPr>
          <w:b/>
        </w:rPr>
      </w:pPr>
      <w:proofErr w:type="gramStart"/>
      <w:r w:rsidRPr="002963F2">
        <w:rPr>
          <w:b/>
        </w:rPr>
        <w:t xml:space="preserve">Q.  </w:t>
      </w:r>
      <w:r w:rsidRPr="002963F2">
        <w:rPr>
          <w:b/>
        </w:rPr>
        <w:tab/>
        <w:t xml:space="preserve">Please describe the Company’s </w:t>
      </w:r>
      <w:r>
        <w:rPr>
          <w:b/>
        </w:rPr>
        <w:t>third</w:t>
      </w:r>
      <w:r w:rsidRPr="002963F2">
        <w:rPr>
          <w:b/>
        </w:rPr>
        <w:t xml:space="preserve"> correction to </w:t>
      </w:r>
      <w:r w:rsidR="008B2F2C">
        <w:rPr>
          <w:b/>
        </w:rPr>
        <w:t>ICNU/PC</w:t>
      </w:r>
      <w:r w:rsidRPr="002963F2">
        <w:rPr>
          <w:b/>
        </w:rPr>
        <w:t xml:space="preserve">’s calculation of REC </w:t>
      </w:r>
      <w:r>
        <w:rPr>
          <w:b/>
        </w:rPr>
        <w:t>r</w:t>
      </w:r>
      <w:r w:rsidRPr="002963F2">
        <w:rPr>
          <w:b/>
        </w:rPr>
        <w:t>evenues.</w:t>
      </w:r>
      <w:proofErr w:type="gramEnd"/>
    </w:p>
    <w:p w:rsidR="007A148E" w:rsidRDefault="008B686D" w:rsidP="00C86949">
      <w:pPr>
        <w:pStyle w:val="Answer"/>
        <w:jc w:val="left"/>
      </w:pPr>
      <w:r w:rsidRPr="008B686D">
        <w:t>A.</w:t>
      </w:r>
      <w:r w:rsidRPr="008B686D">
        <w:tab/>
        <w:t xml:space="preserve">Mr. </w:t>
      </w:r>
      <w:proofErr w:type="spellStart"/>
      <w:r w:rsidRPr="008B686D">
        <w:t>Schoenbeck’s</w:t>
      </w:r>
      <w:proofErr w:type="spellEnd"/>
      <w:r w:rsidRPr="008B686D">
        <w:t xml:space="preserve"> calculation </w:t>
      </w:r>
      <w:r w:rsidR="000F5ADA" w:rsidRPr="00607400">
        <w:rPr>
          <w:highlight w:val="black"/>
        </w:rPr>
        <w:t>________________________________________</w:t>
      </w:r>
      <w:r w:rsidR="000F5ADA" w:rsidRPr="00211180">
        <w:rPr>
          <w:highlight w:val="lightGray"/>
        </w:rPr>
        <w:t xml:space="preserve"> </w:t>
      </w:r>
      <w:r w:rsidR="000F5ADA" w:rsidRPr="00607400">
        <w:rPr>
          <w:highlight w:val="black"/>
        </w:rPr>
        <w:t>____________________________________________________________________________________________________________________________</w:t>
      </w:r>
      <w:r w:rsidR="000F5ADA" w:rsidRPr="00211180">
        <w:rPr>
          <w:highlight w:val="lightGray"/>
        </w:rPr>
        <w:t xml:space="preserve"> </w:t>
      </w:r>
      <w:r w:rsidR="000F5ADA" w:rsidRPr="00607400">
        <w:rPr>
          <w:highlight w:val="black"/>
        </w:rPr>
        <w:t>____________________________________________________________________________________________________________________________</w:t>
      </w:r>
      <w:r w:rsidR="000F5ADA" w:rsidRPr="00211180">
        <w:rPr>
          <w:highlight w:val="lightGray"/>
        </w:rPr>
        <w:t xml:space="preserve"> </w:t>
      </w:r>
      <w:r w:rsidR="000F5ADA" w:rsidRPr="00607400">
        <w:rPr>
          <w:highlight w:val="black"/>
        </w:rPr>
        <w:t>___________________________________________________________________________________</w:t>
      </w:r>
      <w:r w:rsidR="000F5ADA" w:rsidRPr="000F5ADA">
        <w:rPr>
          <w:highlight w:val="black"/>
        </w:rPr>
        <w:t>_</w:t>
      </w:r>
      <w:r w:rsidR="00211180" w:rsidRPr="000F5ADA">
        <w:rPr>
          <w:highlight w:val="black"/>
        </w:rPr>
        <w:t>.</w:t>
      </w:r>
      <w:r w:rsidR="000F5ADA" w:rsidRPr="000F5ADA">
        <w:rPr>
          <w:highlight w:val="black"/>
        </w:rPr>
        <w:t>_______________________________________________</w:t>
      </w:r>
    </w:p>
    <w:p w:rsidR="007A148E" w:rsidRDefault="007A148E" w:rsidP="007A148E">
      <w:pPr>
        <w:pStyle w:val="Answer"/>
        <w:suppressLineNumbers/>
        <w:jc w:val="left"/>
      </w:pPr>
    </w:p>
    <w:p w:rsidR="00144DC3" w:rsidRDefault="005A4D06" w:rsidP="00C86949">
      <w:pPr>
        <w:pStyle w:val="Answer"/>
        <w:jc w:val="left"/>
      </w:pPr>
      <w:r>
        <w:t xml:space="preserve">   </w:t>
      </w:r>
      <w:r w:rsidR="007A148E">
        <w:tab/>
      </w:r>
      <w:r w:rsidR="007A148E" w:rsidRPr="007A148E">
        <w:rPr>
          <w:highlight w:val="black"/>
        </w:rPr>
        <w:t>______________________________________________________________</w:t>
      </w:r>
    </w:p>
    <w:p w:rsidR="007A148E" w:rsidRDefault="007A148E" w:rsidP="00C86949">
      <w:pPr>
        <w:pStyle w:val="Answer"/>
        <w:jc w:val="left"/>
      </w:pPr>
      <w:r>
        <w:tab/>
      </w:r>
      <w:r w:rsidRPr="007A148E">
        <w:rPr>
          <w:highlight w:val="black"/>
        </w:rPr>
        <w:t>_____</w:t>
      </w:r>
      <w:r>
        <w:t>.</w:t>
      </w:r>
    </w:p>
    <w:p w:rsidR="007A148E" w:rsidRDefault="00E0771B" w:rsidP="00C86949">
      <w:pPr>
        <w:pStyle w:val="Answer"/>
        <w:ind w:firstLine="720"/>
        <w:jc w:val="left"/>
      </w:pPr>
      <w:r>
        <w:t xml:space="preserve">To correct Mr. </w:t>
      </w:r>
      <w:proofErr w:type="spellStart"/>
      <w:r>
        <w:t>Schoenbeck’s</w:t>
      </w:r>
      <w:proofErr w:type="spellEnd"/>
      <w:r>
        <w:t xml:space="preserve"> calculation, </w:t>
      </w:r>
      <w:r w:rsidR="007A148E" w:rsidRPr="00607400">
        <w:rPr>
          <w:highlight w:val="black"/>
        </w:rPr>
        <w:t>________________________</w:t>
      </w:r>
      <w:r w:rsidR="007A148E" w:rsidRPr="00211180">
        <w:rPr>
          <w:highlight w:val="lightGray"/>
        </w:rPr>
        <w:t xml:space="preserve"> </w:t>
      </w:r>
      <w:r w:rsidR="007A148E" w:rsidRPr="00607400">
        <w:rPr>
          <w:highlight w:val="black"/>
        </w:rPr>
        <w:t>____________________________________________________________________________________________________________________________</w:t>
      </w:r>
      <w:r w:rsidR="007A148E" w:rsidRPr="00211180">
        <w:rPr>
          <w:highlight w:val="lightGray"/>
        </w:rPr>
        <w:t xml:space="preserve"> </w:t>
      </w:r>
      <w:r w:rsidR="007A148E" w:rsidRPr="00607400">
        <w:rPr>
          <w:highlight w:val="black"/>
        </w:rPr>
        <w:t>__________________________________________________________________</w:t>
      </w:r>
      <w:r w:rsidR="00CD0138">
        <w:t xml:space="preserve"> </w:t>
      </w:r>
    </w:p>
    <w:p w:rsidR="007A148E" w:rsidRDefault="007A148E" w:rsidP="007A148E">
      <w:pPr>
        <w:pStyle w:val="Answer"/>
        <w:ind w:firstLine="0"/>
        <w:jc w:val="left"/>
      </w:pPr>
      <w:r w:rsidRPr="00607400">
        <w:rPr>
          <w:highlight w:val="black"/>
        </w:rPr>
        <w:t>________________________</w:t>
      </w:r>
      <w:r w:rsidRPr="007A148E">
        <w:rPr>
          <w:highlight w:val="black"/>
        </w:rPr>
        <w:t>__________</w:t>
      </w:r>
      <w:r>
        <w:t>.</w:t>
      </w:r>
    </w:p>
    <w:p w:rsidR="00256D86" w:rsidRDefault="00256D86" w:rsidP="00C86949">
      <w:pPr>
        <w:pStyle w:val="Answer"/>
        <w:jc w:val="left"/>
        <w:rPr>
          <w:b/>
        </w:rPr>
      </w:pPr>
      <w:proofErr w:type="gramStart"/>
      <w:r w:rsidRPr="00256D86">
        <w:rPr>
          <w:b/>
        </w:rPr>
        <w:t>Q.</w:t>
      </w:r>
      <w:r>
        <w:tab/>
      </w:r>
      <w:r w:rsidRPr="002963F2">
        <w:rPr>
          <w:b/>
        </w:rPr>
        <w:t xml:space="preserve">Please describe the Company’s </w:t>
      </w:r>
      <w:r>
        <w:rPr>
          <w:b/>
        </w:rPr>
        <w:t>final</w:t>
      </w:r>
      <w:r w:rsidRPr="002963F2">
        <w:rPr>
          <w:b/>
        </w:rPr>
        <w:t xml:space="preserve"> correction to </w:t>
      </w:r>
      <w:r w:rsidR="008B2F2C">
        <w:rPr>
          <w:b/>
        </w:rPr>
        <w:t>ICNU/PC</w:t>
      </w:r>
      <w:r w:rsidRPr="002963F2">
        <w:rPr>
          <w:b/>
        </w:rPr>
        <w:t xml:space="preserve">’s calculation of REC </w:t>
      </w:r>
      <w:r>
        <w:rPr>
          <w:b/>
        </w:rPr>
        <w:t>r</w:t>
      </w:r>
      <w:r w:rsidRPr="002963F2">
        <w:rPr>
          <w:b/>
        </w:rPr>
        <w:t>evenues.</w:t>
      </w:r>
      <w:proofErr w:type="gramEnd"/>
    </w:p>
    <w:p w:rsidR="00256D86" w:rsidRDefault="00256D86" w:rsidP="00C86949">
      <w:pPr>
        <w:pStyle w:val="Answer"/>
        <w:jc w:val="left"/>
      </w:pPr>
      <w:r>
        <w:t>A.</w:t>
      </w:r>
      <w:r>
        <w:tab/>
        <w:t xml:space="preserve">Consistent with the Company’s final correction to Staff’s proposal, the Company’s final correction to </w:t>
      </w:r>
      <w:r w:rsidR="008B2F2C">
        <w:t>ICNU/PC</w:t>
      </w:r>
      <w:r>
        <w:t xml:space="preserve">’s calculation is to include an offset to the 2009 and 2010 calculated </w:t>
      </w:r>
      <w:r w:rsidR="00CD0138">
        <w:t xml:space="preserve">REC revenue </w:t>
      </w:r>
      <w:r>
        <w:t xml:space="preserve">totals for the amount of REC revenues previously established in rates in those years.  If the Commission determines that 2009 and 2010 REC revenue should be returned to customers, the amount of REC revenues included in rates during these years through past rate case filings should be reflected as a reduction.  </w:t>
      </w:r>
    </w:p>
    <w:p w:rsidR="00256D86" w:rsidRDefault="00E11A2B" w:rsidP="00C86949">
      <w:pPr>
        <w:pStyle w:val="Answer"/>
        <w:ind w:firstLine="720"/>
        <w:jc w:val="left"/>
      </w:pPr>
      <w:r>
        <w:t xml:space="preserve">Line 7 of </w:t>
      </w:r>
      <w:r w:rsidR="0054297B">
        <w:t xml:space="preserve">Confidential </w:t>
      </w:r>
      <w:r>
        <w:t>Exhibit No.___(RBD-30</w:t>
      </w:r>
      <w:r w:rsidR="0054297B">
        <w:t>C</w:t>
      </w:r>
      <w:r>
        <w:t>)</w:t>
      </w:r>
      <w:r w:rsidR="00256D86">
        <w:t xml:space="preserve"> reflects the </w:t>
      </w:r>
      <w:r w:rsidR="00CD0138">
        <w:t>level</w:t>
      </w:r>
      <w:r w:rsidR="00256D86">
        <w:t xml:space="preserve"> of Washington-allocated REC revenue included in rates in 2009 and 2010.  As discussed above, $576,254 of </w:t>
      </w:r>
      <w:r w:rsidR="00700B78">
        <w:t xml:space="preserve">forecast </w:t>
      </w:r>
      <w:r w:rsidR="00256D86">
        <w:t xml:space="preserve">Washington-allocated REC revenues were reflected in rates in 2009 based on the Company’s 2008 rate case filing, </w:t>
      </w:r>
      <w:r w:rsidR="00700B78">
        <w:t>UE-</w:t>
      </w:r>
      <w:r w:rsidR="00256D86">
        <w:t>080220 and $657,</w:t>
      </w:r>
      <w:r w:rsidR="00CB1BF8">
        <w:t>7</w:t>
      </w:r>
      <w:r w:rsidR="00256D86">
        <w:t xml:space="preserve">55 of </w:t>
      </w:r>
      <w:r w:rsidR="004122AD">
        <w:t xml:space="preserve">forecast </w:t>
      </w:r>
      <w:r w:rsidR="00256D86">
        <w:t xml:space="preserve">Washington-allocated REC revenues were included in rates in 2010 based on the Company’s 2009 rate case filing, Docket </w:t>
      </w:r>
      <w:r w:rsidR="004122AD">
        <w:t>UE-</w:t>
      </w:r>
      <w:r w:rsidR="00256D86">
        <w:t>090205.  As a result</w:t>
      </w:r>
      <w:r>
        <w:t xml:space="preserve">, </w:t>
      </w:r>
      <w:r w:rsidR="00AE0A6F">
        <w:t>these</w:t>
      </w:r>
      <w:r w:rsidR="00256D86">
        <w:t xml:space="preserve"> amount</w:t>
      </w:r>
      <w:r w:rsidR="00AE0A6F">
        <w:t xml:space="preserve">s </w:t>
      </w:r>
      <w:r>
        <w:t xml:space="preserve">are included </w:t>
      </w:r>
      <w:r w:rsidR="00AE0A6F">
        <w:t>as</w:t>
      </w:r>
      <w:r w:rsidR="00256D86">
        <w:t xml:space="preserve"> reduction</w:t>
      </w:r>
      <w:r w:rsidR="00AE0A6F">
        <w:t>s</w:t>
      </w:r>
      <w:r w:rsidR="00256D86">
        <w:t xml:space="preserve"> to </w:t>
      </w:r>
      <w:r w:rsidR="0054297B">
        <w:t>ICNU</w:t>
      </w:r>
      <w:r w:rsidR="00256D86">
        <w:t>/</w:t>
      </w:r>
      <w:r w:rsidR="0054297B">
        <w:t>PC’s</w:t>
      </w:r>
      <w:r w:rsidR="00256D86">
        <w:t xml:space="preserve"> calculated totals.</w:t>
      </w:r>
    </w:p>
    <w:p w:rsidR="00256D86" w:rsidRDefault="00256D86" w:rsidP="00C86949">
      <w:pPr>
        <w:pStyle w:val="Answer"/>
        <w:jc w:val="left"/>
        <w:rPr>
          <w:b/>
        </w:rPr>
      </w:pPr>
      <w:r w:rsidRPr="00256D86">
        <w:rPr>
          <w:b/>
        </w:rPr>
        <w:t>Q.</w:t>
      </w:r>
      <w:r w:rsidRPr="00256D86">
        <w:rPr>
          <w:b/>
        </w:rPr>
        <w:tab/>
        <w:t xml:space="preserve">Please explain the rounding variance amount shown on line </w:t>
      </w:r>
      <w:r w:rsidR="00E11A2B">
        <w:rPr>
          <w:b/>
        </w:rPr>
        <w:t>8</w:t>
      </w:r>
      <w:r w:rsidR="00E11A2B" w:rsidRPr="00256D86">
        <w:rPr>
          <w:b/>
        </w:rPr>
        <w:t xml:space="preserve"> </w:t>
      </w:r>
      <w:r w:rsidRPr="00256D86">
        <w:rPr>
          <w:b/>
        </w:rPr>
        <w:t xml:space="preserve">of </w:t>
      </w:r>
      <w:r w:rsidR="0054297B">
        <w:rPr>
          <w:b/>
        </w:rPr>
        <w:t xml:space="preserve">Confidential </w:t>
      </w:r>
      <w:r w:rsidRPr="00256D86">
        <w:rPr>
          <w:b/>
        </w:rPr>
        <w:t>Exhibit No.___(RBD-</w:t>
      </w:r>
      <w:r w:rsidR="00E11A2B">
        <w:rPr>
          <w:b/>
        </w:rPr>
        <w:t>30</w:t>
      </w:r>
      <w:r w:rsidR="0054297B">
        <w:rPr>
          <w:b/>
        </w:rPr>
        <w:t>C</w:t>
      </w:r>
      <w:r w:rsidRPr="00256D86">
        <w:rPr>
          <w:b/>
        </w:rPr>
        <w:t>)</w:t>
      </w:r>
      <w:r w:rsidR="003351CB">
        <w:rPr>
          <w:b/>
        </w:rPr>
        <w:t>.</w:t>
      </w:r>
    </w:p>
    <w:p w:rsidR="00256D86" w:rsidRPr="003351CB" w:rsidRDefault="00AA6792" w:rsidP="00C86949">
      <w:pPr>
        <w:pStyle w:val="Answer"/>
        <w:jc w:val="left"/>
      </w:pPr>
      <w:r>
        <w:t>A.</w:t>
      </w:r>
      <w:r>
        <w:tab/>
      </w:r>
      <w:r w:rsidR="00256D86" w:rsidRPr="003351CB">
        <w:t xml:space="preserve">This variance </w:t>
      </w:r>
      <w:r w:rsidR="003351CB">
        <w:t>represents the rounding difference between the Company’s correction of Staff’s calculation</w:t>
      </w:r>
      <w:r w:rsidR="00DE2AB4">
        <w:t>s</w:t>
      </w:r>
      <w:r w:rsidR="003351CB">
        <w:t xml:space="preserve"> of REC revenue and the Company’s correction of </w:t>
      </w:r>
      <w:r w:rsidR="008B2F2C">
        <w:t>ICNU/PC</w:t>
      </w:r>
      <w:r w:rsidR="003351CB">
        <w:t>’s calculation</w:t>
      </w:r>
      <w:r w:rsidR="00DE2AB4">
        <w:t>s</w:t>
      </w:r>
      <w:r w:rsidR="003351CB">
        <w:t xml:space="preserve">.  This variance </w:t>
      </w:r>
      <w:r w:rsidR="00E0771B">
        <w:t xml:space="preserve">of </w:t>
      </w:r>
      <w:r w:rsidR="00035CB6" w:rsidRPr="00035CB6">
        <w:rPr>
          <w:highlight w:val="black"/>
          <w:shd w:val="clear" w:color="auto" w:fill="BFBFBF" w:themeFill="background1" w:themeFillShade="BF"/>
        </w:rPr>
        <w:t>____</w:t>
      </w:r>
      <w:r w:rsidR="003351CB" w:rsidRPr="003351CB">
        <w:t xml:space="preserve"> in 2009 and </w:t>
      </w:r>
      <w:r w:rsidR="00035CB6" w:rsidRPr="00035CB6">
        <w:rPr>
          <w:highlight w:val="black"/>
          <w:shd w:val="clear" w:color="auto" w:fill="BFBFBF" w:themeFill="background1" w:themeFillShade="BF"/>
        </w:rPr>
        <w:t>____</w:t>
      </w:r>
      <w:r w:rsidR="003351CB" w:rsidRPr="003351CB">
        <w:t xml:space="preserve"> in 2010 </w:t>
      </w:r>
      <w:r w:rsidR="003351CB">
        <w:t xml:space="preserve">is attributable to the use of rounded percentages and prices. </w:t>
      </w:r>
      <w:r w:rsidR="000B5540">
        <w:t xml:space="preserve"> </w:t>
      </w:r>
      <w:r w:rsidR="003351CB">
        <w:t>By including this rounding va</w:t>
      </w:r>
      <w:r w:rsidR="00CD0138">
        <w:t xml:space="preserve">riance on line </w:t>
      </w:r>
      <w:r w:rsidR="00E11A2B">
        <w:t xml:space="preserve">8 </w:t>
      </w:r>
      <w:r w:rsidR="00CD0138">
        <w:t>of</w:t>
      </w:r>
      <w:r w:rsidR="00E11A2B">
        <w:t xml:space="preserve"> this exhibit, </w:t>
      </w:r>
      <w:r w:rsidR="003351CB">
        <w:t xml:space="preserve">the final REC revenue amounts for Staff and </w:t>
      </w:r>
      <w:r w:rsidR="008B2F2C">
        <w:t>ICNU/PC</w:t>
      </w:r>
      <w:r w:rsidR="003351CB">
        <w:t>, as corrected by the Company, are the same.</w:t>
      </w:r>
    </w:p>
    <w:p w:rsidR="00256D86" w:rsidRPr="00405F1F" w:rsidRDefault="00256D86" w:rsidP="00C86949">
      <w:pPr>
        <w:pStyle w:val="Answer"/>
        <w:jc w:val="left"/>
        <w:rPr>
          <w:b/>
        </w:rPr>
      </w:pPr>
      <w:r w:rsidRPr="00405F1F">
        <w:rPr>
          <w:b/>
        </w:rPr>
        <w:t xml:space="preserve">Q. </w:t>
      </w:r>
      <w:r w:rsidRPr="00405F1F">
        <w:rPr>
          <w:b/>
        </w:rPr>
        <w:tab/>
        <w:t xml:space="preserve">What is the overall impact of </w:t>
      </w:r>
      <w:r>
        <w:rPr>
          <w:b/>
        </w:rPr>
        <w:t>the Company’s</w:t>
      </w:r>
      <w:r w:rsidRPr="00405F1F">
        <w:rPr>
          <w:b/>
        </w:rPr>
        <w:t xml:space="preserve"> corrections to </w:t>
      </w:r>
      <w:r w:rsidR="008B2F2C">
        <w:rPr>
          <w:b/>
        </w:rPr>
        <w:t>ICNU/PC</w:t>
      </w:r>
      <w:r w:rsidRPr="00405F1F">
        <w:rPr>
          <w:b/>
        </w:rPr>
        <w:t>’</w:t>
      </w:r>
      <w:r>
        <w:rPr>
          <w:b/>
        </w:rPr>
        <w:t>s proposal?</w:t>
      </w:r>
    </w:p>
    <w:p w:rsidR="00256D86" w:rsidRDefault="00256D86" w:rsidP="00C86949">
      <w:pPr>
        <w:pStyle w:val="Answer"/>
        <w:jc w:val="left"/>
      </w:pPr>
      <w:r>
        <w:t>A.</w:t>
      </w:r>
      <w:r>
        <w:tab/>
        <w:t xml:space="preserve">The total corrections outlined above reduce </w:t>
      </w:r>
      <w:r w:rsidR="008B2F2C">
        <w:t>ICNU/PC</w:t>
      </w:r>
      <w:r>
        <w:t xml:space="preserve">’s calculation by </w:t>
      </w:r>
      <w:r w:rsidR="00035CB6" w:rsidRPr="00035CB6">
        <w:rPr>
          <w:highlight w:val="black"/>
        </w:rPr>
        <w:t>________</w:t>
      </w:r>
      <w:r>
        <w:t xml:space="preserve"> in 2009 and </w:t>
      </w:r>
      <w:r w:rsidR="00035CB6" w:rsidRPr="00035CB6">
        <w:rPr>
          <w:highlight w:val="black"/>
        </w:rPr>
        <w:t>_________</w:t>
      </w:r>
      <w:r>
        <w:t xml:space="preserve"> </w:t>
      </w:r>
      <w:r w:rsidR="00DE2AB4">
        <w:t>in</w:t>
      </w:r>
      <w:r>
        <w:t xml:space="preserve"> 2010.  If the Commission decides it is appropriate to use the forward-looking allocation method to determine Washington’s 2009 and 2010 REC revenue</w:t>
      </w:r>
      <w:r w:rsidR="004122AD">
        <w:t>s</w:t>
      </w:r>
      <w:r>
        <w:t xml:space="preserve">, the appropriate level of RECs, including offsets for the amount in rates is </w:t>
      </w:r>
      <w:r w:rsidR="00035CB6" w:rsidRPr="00035CB6">
        <w:rPr>
          <w:highlight w:val="black"/>
        </w:rPr>
        <w:t>___________</w:t>
      </w:r>
      <w:r>
        <w:t xml:space="preserve"> for 2009 and </w:t>
      </w:r>
      <w:r w:rsidR="00035CB6" w:rsidRPr="00035CB6">
        <w:rPr>
          <w:highlight w:val="black"/>
        </w:rPr>
        <w:t>________</w:t>
      </w:r>
      <w:r>
        <w:t xml:space="preserve"> for 2010.  These r</w:t>
      </w:r>
      <w:r w:rsidR="003351CB">
        <w:t>evised total</w:t>
      </w:r>
      <w:r w:rsidR="004C4F40">
        <w:t>s</w:t>
      </w:r>
      <w:r w:rsidR="003351CB">
        <w:t xml:space="preserve"> are shown on </w:t>
      </w:r>
      <w:r w:rsidR="00CB1BF8">
        <w:t xml:space="preserve">line </w:t>
      </w:r>
      <w:r w:rsidR="00E11A2B">
        <w:t>11</w:t>
      </w:r>
      <w:r>
        <w:t xml:space="preserve"> of </w:t>
      </w:r>
      <w:r w:rsidR="0054297B">
        <w:t xml:space="preserve">Confidential </w:t>
      </w:r>
      <w:r>
        <w:t>Exhibit No.__</w:t>
      </w:r>
      <w:proofErr w:type="gramStart"/>
      <w:r>
        <w:t>_(</w:t>
      </w:r>
      <w:proofErr w:type="gramEnd"/>
      <w:r>
        <w:t>RBD-</w:t>
      </w:r>
      <w:r w:rsidR="00E11A2B">
        <w:t>30</w:t>
      </w:r>
      <w:r w:rsidR="0054297B">
        <w:t>C</w:t>
      </w:r>
      <w:r>
        <w:t>).</w:t>
      </w:r>
    </w:p>
    <w:p w:rsidR="00B304EA" w:rsidRPr="003351CB" w:rsidRDefault="00B304EA" w:rsidP="00C86949">
      <w:pPr>
        <w:pStyle w:val="Answer"/>
        <w:ind w:left="0" w:firstLine="0"/>
        <w:jc w:val="left"/>
        <w:rPr>
          <w:b/>
        </w:rPr>
      </w:pPr>
      <w:r w:rsidRPr="003351CB">
        <w:rPr>
          <w:b/>
        </w:rPr>
        <w:t xml:space="preserve">Q. </w:t>
      </w:r>
      <w:r w:rsidRPr="003351CB">
        <w:rPr>
          <w:b/>
        </w:rPr>
        <w:tab/>
        <w:t>Does this conclude your testimony?</w:t>
      </w:r>
    </w:p>
    <w:p w:rsidR="0063086A" w:rsidRDefault="00B304EA" w:rsidP="00C86949">
      <w:pPr>
        <w:pStyle w:val="Answer"/>
        <w:ind w:left="0" w:firstLine="0"/>
        <w:jc w:val="left"/>
      </w:pPr>
      <w:r>
        <w:t xml:space="preserve">A. </w:t>
      </w:r>
      <w:r>
        <w:tab/>
        <w:t>Yes.</w:t>
      </w:r>
    </w:p>
    <w:sectPr w:rsidR="0063086A" w:rsidSect="00951F53">
      <w:headerReference w:type="default" r:id="rId21"/>
      <w:type w:val="continuous"/>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ADA" w:rsidRDefault="000F5ADA">
      <w:r>
        <w:separator/>
      </w:r>
    </w:p>
  </w:endnote>
  <w:endnote w:type="continuationSeparator" w:id="0">
    <w:p w:rsidR="000F5ADA" w:rsidRDefault="000F5A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71" w:rsidRDefault="00050F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DA" w:rsidRDefault="00035CB6" w:rsidP="00C86949">
    <w:pPr>
      <w:pStyle w:val="Footer"/>
      <w:tabs>
        <w:tab w:val="clear" w:pos="8640"/>
        <w:tab w:val="right" w:pos="8820"/>
      </w:tabs>
      <w:ind w:right="-180"/>
      <w:rPr>
        <w:rStyle w:val="PageNumber"/>
      </w:rPr>
    </w:pPr>
    <w:r>
      <w:rPr>
        <w:rStyle w:val="PageNumber"/>
      </w:rPr>
      <w:t>Redacted</w:t>
    </w:r>
    <w:r w:rsidR="000F5ADA">
      <w:rPr>
        <w:rStyle w:val="PageNumber"/>
      </w:rPr>
      <w:t xml:space="preserve"> Phase II Rebuttal Testimony of R. Bryce Dalley </w:t>
    </w:r>
    <w:r>
      <w:rPr>
        <w:rStyle w:val="PageNumber"/>
      </w:rPr>
      <w:t xml:space="preserve">   </w:t>
    </w:r>
    <w:r w:rsidR="000F5ADA">
      <w:rPr>
        <w:rStyle w:val="PageNumber"/>
      </w:rPr>
      <w:t>Exhibit No.__</w:t>
    </w:r>
    <w:proofErr w:type="gramStart"/>
    <w:r w:rsidR="000F5ADA">
      <w:rPr>
        <w:rStyle w:val="PageNumber"/>
      </w:rPr>
      <w:t>_(</w:t>
    </w:r>
    <w:proofErr w:type="gramEnd"/>
    <w:r w:rsidR="000F5ADA">
      <w:rPr>
        <w:rStyle w:val="PageNumber"/>
      </w:rPr>
      <w:t>RBD-28CT)</w:t>
    </w:r>
  </w:p>
  <w:p w:rsidR="000F5ADA" w:rsidRDefault="000F5ADA" w:rsidP="00422C1E">
    <w:pPr>
      <w:pStyle w:val="Footer"/>
      <w:jc w:val="right"/>
    </w:pPr>
    <w:r>
      <w:rPr>
        <w:rStyle w:val="PageNumber"/>
      </w:rPr>
      <w:t xml:space="preserve">Page </w:t>
    </w:r>
    <w:r w:rsidR="0020179F">
      <w:rPr>
        <w:rStyle w:val="PageNumber"/>
      </w:rPr>
      <w:fldChar w:fldCharType="begin"/>
    </w:r>
    <w:r>
      <w:rPr>
        <w:rStyle w:val="PageNumber"/>
      </w:rPr>
      <w:instrText xml:space="preserve"> PAGE </w:instrText>
    </w:r>
    <w:r w:rsidR="0020179F">
      <w:rPr>
        <w:rStyle w:val="PageNumber"/>
      </w:rPr>
      <w:fldChar w:fldCharType="separate"/>
    </w:r>
    <w:r w:rsidR="00050F71">
      <w:rPr>
        <w:rStyle w:val="PageNumber"/>
        <w:noProof/>
      </w:rPr>
      <w:t>1</w:t>
    </w:r>
    <w:r w:rsidR="0020179F">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71" w:rsidRDefault="00050F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ADA" w:rsidRDefault="000F5ADA">
      <w:r>
        <w:separator/>
      </w:r>
    </w:p>
  </w:footnote>
  <w:footnote w:type="continuationSeparator" w:id="0">
    <w:p w:rsidR="000F5ADA" w:rsidRDefault="000F5ADA">
      <w:r>
        <w:continuationSeparator/>
      </w:r>
    </w:p>
  </w:footnote>
  <w:footnote w:id="1">
    <w:p w:rsidR="000F5ADA" w:rsidRDefault="000F5ADA" w:rsidP="00C86949">
      <w:pPr>
        <w:pStyle w:val="FootnoteText"/>
        <w:jc w:val="left"/>
      </w:pPr>
      <w:r>
        <w:rPr>
          <w:rStyle w:val="FootnoteReference"/>
        </w:rPr>
        <w:footnoteRef/>
      </w:r>
      <w:r>
        <w:t xml:space="preserve"> </w:t>
      </w:r>
      <w:r w:rsidRPr="00BF345B">
        <w:rPr>
          <w:i/>
        </w:rPr>
        <w:t>Wash. Util. &amp; Tra</w:t>
      </w:r>
      <w:r>
        <w:rPr>
          <w:i/>
        </w:rPr>
        <w:t>n</w:t>
      </w:r>
      <w:r w:rsidRPr="00BF345B">
        <w:rPr>
          <w:i/>
        </w:rPr>
        <w:t>sp. Comm’n v. PacifiCorp</w:t>
      </w:r>
      <w:r>
        <w:t>, Docket UE-111190, Exhibit No.___(RBD-3), page 2.2, line 68 (July 1, 2011).</w:t>
      </w:r>
    </w:p>
    <w:p w:rsidR="000F5ADA" w:rsidRDefault="000F5ADA" w:rsidP="00C86949">
      <w:pPr>
        <w:pStyle w:val="FootnoteText"/>
        <w:jc w:val="left"/>
      </w:pPr>
    </w:p>
  </w:footnote>
  <w:footnote w:id="2">
    <w:p w:rsidR="000F5ADA" w:rsidRDefault="000F5ADA" w:rsidP="00C86949">
      <w:pPr>
        <w:pStyle w:val="FootnoteText"/>
        <w:jc w:val="left"/>
      </w:pPr>
      <w:r>
        <w:rPr>
          <w:rStyle w:val="FootnoteReference"/>
        </w:rPr>
        <w:footnoteRef/>
      </w:r>
      <w:r>
        <w:t xml:space="preserve"> </w:t>
      </w:r>
      <w:proofErr w:type="gramStart"/>
      <w:r w:rsidRPr="00BF345B">
        <w:rPr>
          <w:i/>
        </w:rPr>
        <w:t>Wash. Util. &amp; Tra</w:t>
      </w:r>
      <w:r>
        <w:rPr>
          <w:i/>
        </w:rPr>
        <w:t>n</w:t>
      </w:r>
      <w:r w:rsidRPr="00BF345B">
        <w:rPr>
          <w:i/>
        </w:rPr>
        <w:t>sp. Comm’n v. PacifiCorp</w:t>
      </w:r>
      <w:r>
        <w:t xml:space="preserve">, Docket UE-100749, Petition for Reconsideration at </w:t>
      </w:r>
      <w:r w:rsidRPr="00211180">
        <w:t>¶</w:t>
      </w:r>
      <w:r>
        <w:t>9.</w:t>
      </w:r>
      <w:proofErr w:type="gramEnd"/>
    </w:p>
    <w:p w:rsidR="000F5ADA" w:rsidRDefault="000F5ADA">
      <w:pPr>
        <w:pStyle w:val="FootnoteText"/>
      </w:pPr>
    </w:p>
  </w:footnote>
  <w:footnote w:id="3">
    <w:p w:rsidR="000F5ADA" w:rsidRDefault="000F5ADA" w:rsidP="000902F5">
      <w:pPr>
        <w:pStyle w:val="FootnoteText"/>
        <w:jc w:val="left"/>
      </w:pPr>
      <w:r>
        <w:rPr>
          <w:rStyle w:val="FootnoteReference"/>
        </w:rPr>
        <w:footnoteRef/>
      </w:r>
      <w:r>
        <w:t xml:space="preserve"> </w:t>
      </w:r>
      <w:r w:rsidRPr="00BF345B">
        <w:rPr>
          <w:i/>
        </w:rPr>
        <w:t>Wash. Util. &amp; Tra</w:t>
      </w:r>
      <w:r>
        <w:rPr>
          <w:i/>
        </w:rPr>
        <w:t>n</w:t>
      </w:r>
      <w:r w:rsidRPr="00BF345B">
        <w:rPr>
          <w:i/>
        </w:rPr>
        <w:t>sp. Comm’n v. PacifiCorp</w:t>
      </w:r>
      <w:r>
        <w:t>, Docket UE-100749, Exhibit No.__</w:t>
      </w:r>
      <w:proofErr w:type="gramStart"/>
      <w:r>
        <w:t>_(</w:t>
      </w:r>
      <w:proofErr w:type="gramEnd"/>
      <w:r>
        <w:t>RBD-25T), page 4, line 13 through page 5, line 14.</w:t>
      </w:r>
    </w:p>
  </w:footnote>
  <w:footnote w:id="4">
    <w:p w:rsidR="000F5ADA" w:rsidRDefault="000F5ADA" w:rsidP="009C1516">
      <w:pPr>
        <w:pStyle w:val="FootnoteText"/>
      </w:pPr>
      <w:r>
        <w:rPr>
          <w:rStyle w:val="FootnoteReference"/>
        </w:rPr>
        <w:footnoteRef/>
      </w:r>
      <w:r>
        <w:t xml:space="preserve"> </w:t>
      </w:r>
      <w:proofErr w:type="gramStart"/>
      <w:r w:rsidRPr="00010F4C">
        <w:t xml:space="preserve">Staff Initial </w:t>
      </w:r>
      <w:r>
        <w:t xml:space="preserve">Post-Hearing </w:t>
      </w:r>
      <w:r w:rsidRPr="00010F4C">
        <w:t>Brief</w:t>
      </w:r>
      <w:r>
        <w:t xml:space="preserve"> at ¶24 (February 11, 2011).</w:t>
      </w:r>
      <w:proofErr w:type="gramEnd"/>
    </w:p>
  </w:footnote>
  <w:footnote w:id="5">
    <w:p w:rsidR="000F5ADA" w:rsidRDefault="000F5ADA" w:rsidP="009C1516">
      <w:pPr>
        <w:pStyle w:val="FootnoteText"/>
      </w:pPr>
      <w:r>
        <w:rPr>
          <w:rStyle w:val="FootnoteReference"/>
        </w:rPr>
        <w:footnoteRef/>
      </w:r>
      <w:r>
        <w:t xml:space="preserve"> </w:t>
      </w:r>
      <w:proofErr w:type="gramStart"/>
      <w:r>
        <w:t>PacifiCorp Initial Post-Hearing Brief at ¶62 (February 11, 2011).</w:t>
      </w:r>
      <w:proofErr w:type="gramEnd"/>
    </w:p>
  </w:footnote>
  <w:footnote w:id="6">
    <w:p w:rsidR="000F5ADA" w:rsidRDefault="000F5ADA" w:rsidP="00940B74">
      <w:pPr>
        <w:pStyle w:val="FootnoteText"/>
        <w:jc w:val="left"/>
      </w:pPr>
      <w:r>
        <w:rPr>
          <w:rStyle w:val="FootnoteReference"/>
        </w:rPr>
        <w:footnoteRef/>
      </w:r>
      <w:r>
        <w:t xml:space="preserve"> </w:t>
      </w:r>
      <w:r w:rsidRPr="00BF345B">
        <w:rPr>
          <w:i/>
        </w:rPr>
        <w:t>Wash. Util. &amp; Tra</w:t>
      </w:r>
      <w:r>
        <w:rPr>
          <w:i/>
        </w:rPr>
        <w:t>n</w:t>
      </w:r>
      <w:r w:rsidRPr="00BF345B">
        <w:rPr>
          <w:i/>
        </w:rPr>
        <w:t>sp. Comm’n v. PacifiCorp</w:t>
      </w:r>
      <w:r>
        <w:t>, Docket UE-111190, Exhibit No.__</w:t>
      </w:r>
      <w:proofErr w:type="gramStart"/>
      <w:r>
        <w:t>_(</w:t>
      </w:r>
      <w:proofErr w:type="gramEnd"/>
      <w:r>
        <w:t>RBD-3), page 10.2.</w:t>
      </w:r>
    </w:p>
  </w:footnote>
  <w:footnote w:id="7">
    <w:p w:rsidR="000F5ADA" w:rsidRDefault="000F5ADA" w:rsidP="00940B74">
      <w:pPr>
        <w:pStyle w:val="FootnoteText"/>
        <w:jc w:val="left"/>
      </w:pPr>
      <w:r>
        <w:rPr>
          <w:rStyle w:val="FootnoteReference"/>
        </w:rPr>
        <w:footnoteRef/>
      </w:r>
      <w:r>
        <w:t xml:space="preserve"> </w:t>
      </w:r>
      <w:proofErr w:type="gramStart"/>
      <w:r w:rsidRPr="00BF345B">
        <w:rPr>
          <w:i/>
        </w:rPr>
        <w:t>Wash. Util. &amp; Tra</w:t>
      </w:r>
      <w:r>
        <w:rPr>
          <w:i/>
        </w:rPr>
        <w:t>n</w:t>
      </w:r>
      <w:r w:rsidRPr="00BF345B">
        <w:rPr>
          <w:i/>
        </w:rPr>
        <w:t>sp. Comm’n v. PacifiCorp</w:t>
      </w:r>
      <w:r>
        <w:t>, Docket UE-100749, Order 06 at ¶225 (Mar. 25, 2011).</w:t>
      </w:r>
      <w:proofErr w:type="gramEnd"/>
    </w:p>
  </w:footnote>
  <w:footnote w:id="8">
    <w:p w:rsidR="000F5ADA" w:rsidRDefault="000F5ADA" w:rsidP="00940B74">
      <w:pPr>
        <w:pStyle w:val="FootnoteText"/>
        <w:jc w:val="left"/>
      </w:pPr>
      <w:r>
        <w:rPr>
          <w:rStyle w:val="FootnoteReference"/>
        </w:rPr>
        <w:footnoteRef/>
      </w:r>
      <w:r>
        <w:t xml:space="preserve"> Staff correctly applies the updated Washington 2010 </w:t>
      </w:r>
      <w:proofErr w:type="spellStart"/>
      <w:r>
        <w:t>CAGW</w:t>
      </w:r>
      <w:proofErr w:type="spellEnd"/>
      <w:r>
        <w:t xml:space="preserve"> factor of 22.4742% described earlier in my testimony.</w:t>
      </w:r>
    </w:p>
  </w:footnote>
  <w:footnote w:id="9">
    <w:p w:rsidR="000F5ADA" w:rsidRDefault="000F5ADA" w:rsidP="00951F53">
      <w:pPr>
        <w:pStyle w:val="FootnoteText"/>
        <w:jc w:val="left"/>
      </w:pPr>
      <w:r>
        <w:rPr>
          <w:rStyle w:val="FootnoteReference"/>
        </w:rPr>
        <w:footnoteRef/>
      </w:r>
      <w:r>
        <w:t xml:space="preserve"> Staff Approach for Allocating RECs, Docket UE-100749, (May 24, 2011) (Staff’s Pleading).</w:t>
      </w:r>
    </w:p>
  </w:footnote>
  <w:footnote w:id="10">
    <w:p w:rsidR="000F5ADA" w:rsidRDefault="000F5ADA" w:rsidP="00951F53">
      <w:pPr>
        <w:pStyle w:val="FootnoteText"/>
        <w:jc w:val="left"/>
      </w:pPr>
      <w:r>
        <w:rPr>
          <w:rStyle w:val="FootnoteReference"/>
        </w:rPr>
        <w:footnoteRef/>
      </w:r>
      <w:r>
        <w:t xml:space="preserve"> </w:t>
      </w:r>
      <w:r w:rsidRPr="00BF345B">
        <w:rPr>
          <w:i/>
        </w:rPr>
        <w:t>Wash. Util. &amp; Tra</w:t>
      </w:r>
      <w:r>
        <w:rPr>
          <w:i/>
        </w:rPr>
        <w:t>n</w:t>
      </w:r>
      <w:r w:rsidRPr="00BF345B">
        <w:rPr>
          <w:i/>
        </w:rPr>
        <w:t>sp. Comm’n v. PacifiCorp</w:t>
      </w:r>
      <w:r>
        <w:t>, Docket UE-080220, Exhibit No.__</w:t>
      </w:r>
      <w:proofErr w:type="gramStart"/>
      <w:r>
        <w:t>_(</w:t>
      </w:r>
      <w:proofErr w:type="gramEnd"/>
      <w:r>
        <w:t>RBD-3), page 3.5.1, (February 6,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71" w:rsidRDefault="00050F71">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DA" w:rsidRPr="00C86949" w:rsidRDefault="000F5ADA" w:rsidP="00C86949">
    <w:pPr>
      <w:pStyle w:val="Header"/>
      <w:jc w:val="righ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DA" w:rsidRPr="00C86949" w:rsidRDefault="000F5ADA" w:rsidP="00951F53">
    <w:pPr>
      <w:pStyle w:val="Header"/>
      <w:jc w:val="right"/>
      <w:rPr>
        <w:sz w:val="20"/>
        <w:szCs w:val="20"/>
      </w:rPr>
    </w:pPr>
    <w:r w:rsidRPr="00C86949">
      <w:rPr>
        <w:sz w:val="20"/>
        <w:szCs w:val="20"/>
      </w:rPr>
      <w:t xml:space="preserve">Confidential Subject to the Terms </w:t>
    </w:r>
  </w:p>
  <w:p w:rsidR="000F5ADA" w:rsidRPr="00C86949" w:rsidRDefault="000F5ADA" w:rsidP="00951F53">
    <w:pPr>
      <w:pStyle w:val="Header"/>
      <w:jc w:val="right"/>
      <w:rPr>
        <w:sz w:val="20"/>
        <w:szCs w:val="20"/>
      </w:rPr>
    </w:pPr>
    <w:proofErr w:type="gramStart"/>
    <w:r w:rsidRPr="00C86949">
      <w:rPr>
        <w:sz w:val="20"/>
        <w:szCs w:val="20"/>
      </w:rPr>
      <w:t>of</w:t>
    </w:r>
    <w:proofErr w:type="gramEnd"/>
    <w:r w:rsidRPr="00C86949">
      <w:rPr>
        <w:sz w:val="20"/>
        <w:szCs w:val="20"/>
      </w:rPr>
      <w:t xml:space="preserve"> the Protective Order in </w:t>
    </w:r>
    <w:proofErr w:type="spellStart"/>
    <w:r w:rsidRPr="00C86949">
      <w:rPr>
        <w:sz w:val="20"/>
        <w:szCs w:val="20"/>
      </w:rPr>
      <w:t>WUTC</w:t>
    </w:r>
    <w:proofErr w:type="spellEnd"/>
    <w:r w:rsidRPr="00C86949">
      <w:rPr>
        <w:sz w:val="20"/>
        <w:szCs w:val="20"/>
      </w:rPr>
      <w:t xml:space="preserve"> Docket UE-100749</w:t>
    </w:r>
  </w:p>
  <w:p w:rsidR="000F5ADA" w:rsidRPr="00C86949" w:rsidRDefault="000F5ADA" w:rsidP="00C86949">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DA" w:rsidRPr="00C86949" w:rsidRDefault="000F5ADA" w:rsidP="00C86949">
    <w:pPr>
      <w:pStyle w:val="Header"/>
      <w:jc w:val="right"/>
      <w:rPr>
        <w:sz w:val="20"/>
        <w:szCs w:val="20"/>
      </w:rPr>
    </w:pPr>
    <w:r w:rsidRPr="00C86949">
      <w:rPr>
        <w:sz w:val="20"/>
        <w:szCs w:val="20"/>
      </w:rPr>
      <w:t xml:space="preserve">Confidential Subject to the Terms </w:t>
    </w:r>
  </w:p>
  <w:p w:rsidR="000F5ADA" w:rsidRPr="00C86949" w:rsidRDefault="000F5ADA" w:rsidP="00C86949">
    <w:pPr>
      <w:pStyle w:val="Header"/>
      <w:jc w:val="right"/>
      <w:rPr>
        <w:sz w:val="20"/>
        <w:szCs w:val="20"/>
      </w:rPr>
    </w:pPr>
    <w:proofErr w:type="gramStart"/>
    <w:r w:rsidRPr="00C86949">
      <w:rPr>
        <w:sz w:val="20"/>
        <w:szCs w:val="20"/>
      </w:rPr>
      <w:t>of</w:t>
    </w:r>
    <w:proofErr w:type="gramEnd"/>
    <w:r w:rsidRPr="00C86949">
      <w:rPr>
        <w:sz w:val="20"/>
        <w:szCs w:val="20"/>
      </w:rPr>
      <w:t xml:space="preserve"> the Protective Order in </w:t>
    </w:r>
    <w:proofErr w:type="spellStart"/>
    <w:r w:rsidRPr="00C86949">
      <w:rPr>
        <w:sz w:val="20"/>
        <w:szCs w:val="20"/>
      </w:rPr>
      <w:t>WUTC</w:t>
    </w:r>
    <w:proofErr w:type="spellEnd"/>
    <w:r w:rsidRPr="00C86949">
      <w:rPr>
        <w:sz w:val="20"/>
        <w:szCs w:val="20"/>
      </w:rPr>
      <w:t xml:space="preserve"> Docket UE-100749</w:t>
    </w:r>
  </w:p>
  <w:p w:rsidR="000F5ADA" w:rsidRDefault="000F5ADA" w:rsidP="00422C1E">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71" w:rsidRDefault="00050F7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DA" w:rsidRPr="00C86949" w:rsidRDefault="000F5ADA" w:rsidP="00C8694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DA" w:rsidRPr="00C86949" w:rsidRDefault="000F5ADA" w:rsidP="00C86949">
    <w:pPr>
      <w:pStyle w:val="Header"/>
      <w:jc w:val="right"/>
      <w:rPr>
        <w:sz w:val="20"/>
        <w:szCs w:val="20"/>
      </w:rPr>
    </w:pPr>
    <w:r w:rsidRPr="00C86949">
      <w:rPr>
        <w:sz w:val="20"/>
        <w:szCs w:val="20"/>
      </w:rPr>
      <w:t xml:space="preserve">Confidential Subject to the Terms </w:t>
    </w:r>
  </w:p>
  <w:p w:rsidR="000F5ADA" w:rsidRPr="00C86949" w:rsidRDefault="000F5ADA" w:rsidP="00C86949">
    <w:pPr>
      <w:pStyle w:val="Header"/>
      <w:jc w:val="right"/>
      <w:rPr>
        <w:sz w:val="20"/>
        <w:szCs w:val="20"/>
      </w:rPr>
    </w:pPr>
    <w:proofErr w:type="gramStart"/>
    <w:r w:rsidRPr="00C86949">
      <w:rPr>
        <w:sz w:val="20"/>
        <w:szCs w:val="20"/>
      </w:rPr>
      <w:t>of</w:t>
    </w:r>
    <w:proofErr w:type="gramEnd"/>
    <w:r w:rsidRPr="00C86949">
      <w:rPr>
        <w:sz w:val="20"/>
        <w:szCs w:val="20"/>
      </w:rPr>
      <w:t xml:space="preserve"> the Protective Order in </w:t>
    </w:r>
    <w:proofErr w:type="spellStart"/>
    <w:r w:rsidRPr="00C86949">
      <w:rPr>
        <w:sz w:val="20"/>
        <w:szCs w:val="20"/>
      </w:rPr>
      <w:t>WUTC</w:t>
    </w:r>
    <w:proofErr w:type="spellEnd"/>
    <w:r w:rsidRPr="00C86949">
      <w:rPr>
        <w:sz w:val="20"/>
        <w:szCs w:val="20"/>
      </w:rPr>
      <w:t xml:space="preserve"> Docket UE-100749</w:t>
    </w:r>
  </w:p>
  <w:p w:rsidR="000F5ADA" w:rsidRPr="00C86949" w:rsidRDefault="000F5ADA" w:rsidP="00C86949">
    <w:pPr>
      <w:pStyle w:val="Heade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DA" w:rsidRPr="00C86949" w:rsidRDefault="000F5ADA" w:rsidP="00C86949">
    <w:pPr>
      <w:pStyle w:val="Header"/>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DA" w:rsidRPr="00C86949" w:rsidRDefault="000F5ADA" w:rsidP="00C86949">
    <w:pPr>
      <w:pStyle w:val="Header"/>
      <w:jc w:val="right"/>
      <w:rPr>
        <w:sz w:val="20"/>
        <w:szCs w:val="20"/>
      </w:rPr>
    </w:pPr>
    <w:r w:rsidRPr="00C86949">
      <w:rPr>
        <w:sz w:val="20"/>
        <w:szCs w:val="20"/>
      </w:rPr>
      <w:t xml:space="preserve">Confidential Subject to the Terms </w:t>
    </w:r>
  </w:p>
  <w:p w:rsidR="000F5ADA" w:rsidRPr="00C86949" w:rsidRDefault="000F5ADA" w:rsidP="00C86949">
    <w:pPr>
      <w:pStyle w:val="Header"/>
      <w:jc w:val="right"/>
      <w:rPr>
        <w:sz w:val="20"/>
        <w:szCs w:val="20"/>
      </w:rPr>
    </w:pPr>
    <w:proofErr w:type="gramStart"/>
    <w:r w:rsidRPr="00C86949">
      <w:rPr>
        <w:sz w:val="20"/>
        <w:szCs w:val="20"/>
      </w:rPr>
      <w:t>of</w:t>
    </w:r>
    <w:proofErr w:type="gramEnd"/>
    <w:r w:rsidRPr="00C86949">
      <w:rPr>
        <w:sz w:val="20"/>
        <w:szCs w:val="20"/>
      </w:rPr>
      <w:t xml:space="preserve"> the Protective Order in </w:t>
    </w:r>
    <w:proofErr w:type="spellStart"/>
    <w:r w:rsidRPr="00C86949">
      <w:rPr>
        <w:sz w:val="20"/>
        <w:szCs w:val="20"/>
      </w:rPr>
      <w:t>WUTC</w:t>
    </w:r>
    <w:proofErr w:type="spellEnd"/>
    <w:r w:rsidRPr="00C86949">
      <w:rPr>
        <w:sz w:val="20"/>
        <w:szCs w:val="20"/>
      </w:rPr>
      <w:t xml:space="preserve"> Docket UE-100749</w:t>
    </w:r>
  </w:p>
  <w:p w:rsidR="000F5ADA" w:rsidRPr="00C86949" w:rsidRDefault="000F5ADA" w:rsidP="00C86949">
    <w:pPr>
      <w:pStyle w:val="Header"/>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DA" w:rsidRPr="00C86949" w:rsidRDefault="000F5ADA" w:rsidP="00C86949">
    <w:pPr>
      <w:pStyle w:val="Header"/>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DA" w:rsidRPr="00C86949" w:rsidRDefault="000F5ADA" w:rsidP="00940B74">
    <w:pPr>
      <w:pStyle w:val="Header"/>
      <w:jc w:val="right"/>
      <w:rPr>
        <w:sz w:val="20"/>
        <w:szCs w:val="20"/>
      </w:rPr>
    </w:pPr>
    <w:r w:rsidRPr="00C86949">
      <w:rPr>
        <w:sz w:val="20"/>
        <w:szCs w:val="20"/>
      </w:rPr>
      <w:t xml:space="preserve">Confidential Subject to the Terms </w:t>
    </w:r>
  </w:p>
  <w:p w:rsidR="000F5ADA" w:rsidRPr="00C86949" w:rsidRDefault="000F5ADA" w:rsidP="00940B74">
    <w:pPr>
      <w:pStyle w:val="Header"/>
      <w:jc w:val="right"/>
      <w:rPr>
        <w:sz w:val="20"/>
        <w:szCs w:val="20"/>
      </w:rPr>
    </w:pPr>
    <w:proofErr w:type="gramStart"/>
    <w:r w:rsidRPr="00C86949">
      <w:rPr>
        <w:sz w:val="20"/>
        <w:szCs w:val="20"/>
      </w:rPr>
      <w:t>of</w:t>
    </w:r>
    <w:proofErr w:type="gramEnd"/>
    <w:r w:rsidRPr="00C86949">
      <w:rPr>
        <w:sz w:val="20"/>
        <w:szCs w:val="20"/>
      </w:rPr>
      <w:t xml:space="preserve"> the Protective Order in </w:t>
    </w:r>
    <w:proofErr w:type="spellStart"/>
    <w:r w:rsidRPr="00C86949">
      <w:rPr>
        <w:sz w:val="20"/>
        <w:szCs w:val="20"/>
      </w:rPr>
      <w:t>WUTC</w:t>
    </w:r>
    <w:proofErr w:type="spellEnd"/>
    <w:r w:rsidRPr="00C86949">
      <w:rPr>
        <w:sz w:val="20"/>
        <w:szCs w:val="20"/>
      </w:rPr>
      <w:t xml:space="preserve"> Docket UE-100749</w:t>
    </w:r>
  </w:p>
  <w:p w:rsidR="000F5ADA" w:rsidRPr="00C86949" w:rsidRDefault="000F5ADA" w:rsidP="00C8694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2E24"/>
    <w:multiLevelType w:val="hybridMultilevel"/>
    <w:tmpl w:val="430A64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2">
    <w:nsid w:val="3F475ABD"/>
    <w:multiLevelType w:val="multilevel"/>
    <w:tmpl w:val="CA94107A"/>
    <w:lvl w:ilvl="0">
      <w:start w:val="1"/>
      <w:numFmt w:val="bullet"/>
      <w:lvlText w:val=""/>
      <w:lvlJc w:val="left"/>
      <w:pPr>
        <w:tabs>
          <w:tab w:val="num" w:pos="3960"/>
        </w:tabs>
        <w:ind w:left="3960" w:hanging="360"/>
      </w:pPr>
      <w:rPr>
        <w:rFonts w:ascii="Symbol" w:hAnsi="Symbol"/>
        <w:sz w:val="2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3">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E4D7A5E"/>
    <w:multiLevelType w:val="singleLevel"/>
    <w:tmpl w:val="8234A596"/>
    <w:lvl w:ilvl="0">
      <w:start w:val="17"/>
      <w:numFmt w:val="upperLetter"/>
      <w:lvlText w:val="%1."/>
      <w:lvlJc w:val="left"/>
      <w:pPr>
        <w:tabs>
          <w:tab w:val="num" w:pos="720"/>
        </w:tabs>
        <w:ind w:left="720" w:hanging="720"/>
      </w:pPr>
      <w:rPr>
        <w:rFonts w:hint="default"/>
      </w:rPr>
    </w:lvl>
  </w:abstractNum>
  <w:abstractNum w:abstractNumId="5">
    <w:nsid w:val="6CDF7404"/>
    <w:multiLevelType w:val="hybridMultilevel"/>
    <w:tmpl w:val="FE92ABF0"/>
    <w:lvl w:ilvl="0" w:tplc="5C78F0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E450AE2"/>
    <w:multiLevelType w:val="hybridMultilevel"/>
    <w:tmpl w:val="5C2A1AA8"/>
    <w:lvl w:ilvl="0" w:tplc="04090001">
      <w:start w:val="1"/>
      <w:numFmt w:val="bullet"/>
      <w:lvlText w:val=""/>
      <w:lvlJc w:val="left"/>
      <w:pPr>
        <w:tabs>
          <w:tab w:val="num" w:pos="1260"/>
        </w:tabs>
        <w:ind w:left="12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A82EDE"/>
    <w:multiLevelType w:val="singleLevel"/>
    <w:tmpl w:val="938617F0"/>
    <w:lvl w:ilvl="0">
      <w:start w:val="1"/>
      <w:numFmt w:val="upperLetter"/>
      <w:lvlText w:val="%1."/>
      <w:lvlJc w:val="left"/>
      <w:pPr>
        <w:tabs>
          <w:tab w:val="num" w:pos="720"/>
        </w:tabs>
        <w:ind w:left="720" w:hanging="720"/>
      </w:pPr>
      <w:rPr>
        <w:rFonts w:hint="default"/>
      </w:rPr>
    </w:lvl>
  </w:abstractNum>
  <w:num w:numId="1">
    <w:abstractNumId w:val="2"/>
  </w:num>
  <w:num w:numId="2">
    <w:abstractNumId w:val="1"/>
  </w:num>
  <w:num w:numId="3">
    <w:abstractNumId w:val="5"/>
  </w:num>
  <w:num w:numId="4">
    <w:abstractNumId w:val="3"/>
  </w:num>
  <w:num w:numId="5">
    <w:abstractNumId w:val="4"/>
  </w:num>
  <w:num w:numId="6">
    <w:abstractNumId w:val="7"/>
  </w:num>
  <w:num w:numId="7">
    <w:abstractNumId w:val="6"/>
  </w:num>
  <w:num w:numId="8">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noPunctuationKerning/>
  <w:characterSpacingControl w:val="doNotCompress"/>
  <w:hdrShapeDefaults>
    <o:shapedefaults v:ext="edit" spidmax="26625"/>
  </w:hdrShapeDefaults>
  <w:footnotePr>
    <w:footnote w:id="-1"/>
    <w:footnote w:id="0"/>
  </w:footnotePr>
  <w:endnotePr>
    <w:endnote w:id="-1"/>
    <w:endnote w:id="0"/>
  </w:endnotePr>
  <w:compat/>
  <w:rsids>
    <w:rsidRoot w:val="00D97BED"/>
    <w:rsid w:val="00000B97"/>
    <w:rsid w:val="00000CA7"/>
    <w:rsid w:val="00000F08"/>
    <w:rsid w:val="00001309"/>
    <w:rsid w:val="00001380"/>
    <w:rsid w:val="0000367F"/>
    <w:rsid w:val="000045C5"/>
    <w:rsid w:val="000051B8"/>
    <w:rsid w:val="00006901"/>
    <w:rsid w:val="00006CE5"/>
    <w:rsid w:val="00010042"/>
    <w:rsid w:val="00011270"/>
    <w:rsid w:val="00012C06"/>
    <w:rsid w:val="00012DA5"/>
    <w:rsid w:val="000133C4"/>
    <w:rsid w:val="000137A9"/>
    <w:rsid w:val="00014C14"/>
    <w:rsid w:val="00017D99"/>
    <w:rsid w:val="00017EFF"/>
    <w:rsid w:val="00020B67"/>
    <w:rsid w:val="00021457"/>
    <w:rsid w:val="00023AE4"/>
    <w:rsid w:val="00024672"/>
    <w:rsid w:val="0002692B"/>
    <w:rsid w:val="00026EE2"/>
    <w:rsid w:val="000275B7"/>
    <w:rsid w:val="00027EA3"/>
    <w:rsid w:val="00027F29"/>
    <w:rsid w:val="0003006A"/>
    <w:rsid w:val="0003142F"/>
    <w:rsid w:val="00031EAE"/>
    <w:rsid w:val="000339D1"/>
    <w:rsid w:val="00034979"/>
    <w:rsid w:val="00035CB6"/>
    <w:rsid w:val="000403A8"/>
    <w:rsid w:val="00044931"/>
    <w:rsid w:val="0005017E"/>
    <w:rsid w:val="00050F71"/>
    <w:rsid w:val="00051A38"/>
    <w:rsid w:val="00052601"/>
    <w:rsid w:val="00053E88"/>
    <w:rsid w:val="00056554"/>
    <w:rsid w:val="00056EC9"/>
    <w:rsid w:val="000576E2"/>
    <w:rsid w:val="000579A1"/>
    <w:rsid w:val="000604C1"/>
    <w:rsid w:val="000612FD"/>
    <w:rsid w:val="00063D8B"/>
    <w:rsid w:val="0006417F"/>
    <w:rsid w:val="000641A2"/>
    <w:rsid w:val="00064289"/>
    <w:rsid w:val="000642A0"/>
    <w:rsid w:val="000647DF"/>
    <w:rsid w:val="00066E9D"/>
    <w:rsid w:val="00067C4E"/>
    <w:rsid w:val="0007097D"/>
    <w:rsid w:val="00073FF0"/>
    <w:rsid w:val="00076168"/>
    <w:rsid w:val="00077EA3"/>
    <w:rsid w:val="000817CE"/>
    <w:rsid w:val="00081991"/>
    <w:rsid w:val="000831F1"/>
    <w:rsid w:val="00084F13"/>
    <w:rsid w:val="000858D3"/>
    <w:rsid w:val="0008721E"/>
    <w:rsid w:val="000902F5"/>
    <w:rsid w:val="00091B1B"/>
    <w:rsid w:val="00091EF7"/>
    <w:rsid w:val="00093B5B"/>
    <w:rsid w:val="00093C59"/>
    <w:rsid w:val="000978BB"/>
    <w:rsid w:val="000A059F"/>
    <w:rsid w:val="000A126D"/>
    <w:rsid w:val="000A49D1"/>
    <w:rsid w:val="000A4BD9"/>
    <w:rsid w:val="000A5264"/>
    <w:rsid w:val="000A608B"/>
    <w:rsid w:val="000A7191"/>
    <w:rsid w:val="000B01FA"/>
    <w:rsid w:val="000B0596"/>
    <w:rsid w:val="000B0A23"/>
    <w:rsid w:val="000B1623"/>
    <w:rsid w:val="000B184C"/>
    <w:rsid w:val="000B2679"/>
    <w:rsid w:val="000B5540"/>
    <w:rsid w:val="000B7905"/>
    <w:rsid w:val="000C08C0"/>
    <w:rsid w:val="000C08CA"/>
    <w:rsid w:val="000C096A"/>
    <w:rsid w:val="000C3CE2"/>
    <w:rsid w:val="000C4959"/>
    <w:rsid w:val="000D058F"/>
    <w:rsid w:val="000D09A2"/>
    <w:rsid w:val="000D1C7D"/>
    <w:rsid w:val="000D3C05"/>
    <w:rsid w:val="000D49B6"/>
    <w:rsid w:val="000D6957"/>
    <w:rsid w:val="000D7282"/>
    <w:rsid w:val="000E413A"/>
    <w:rsid w:val="000E442A"/>
    <w:rsid w:val="000F0627"/>
    <w:rsid w:val="000F1156"/>
    <w:rsid w:val="000F3CD3"/>
    <w:rsid w:val="000F44A0"/>
    <w:rsid w:val="000F59EA"/>
    <w:rsid w:val="000F5ADA"/>
    <w:rsid w:val="001004B6"/>
    <w:rsid w:val="00105EBF"/>
    <w:rsid w:val="0010676F"/>
    <w:rsid w:val="001078BF"/>
    <w:rsid w:val="00107C02"/>
    <w:rsid w:val="00111679"/>
    <w:rsid w:val="0011579F"/>
    <w:rsid w:val="00116594"/>
    <w:rsid w:val="00116A61"/>
    <w:rsid w:val="001229D5"/>
    <w:rsid w:val="00124669"/>
    <w:rsid w:val="00126E87"/>
    <w:rsid w:val="001301B0"/>
    <w:rsid w:val="0013033E"/>
    <w:rsid w:val="00130868"/>
    <w:rsid w:val="00130B17"/>
    <w:rsid w:val="001316F2"/>
    <w:rsid w:val="00131D77"/>
    <w:rsid w:val="00133C14"/>
    <w:rsid w:val="001350A8"/>
    <w:rsid w:val="00135851"/>
    <w:rsid w:val="00135BA2"/>
    <w:rsid w:val="00136FF4"/>
    <w:rsid w:val="00141071"/>
    <w:rsid w:val="00141D12"/>
    <w:rsid w:val="00141D3D"/>
    <w:rsid w:val="0014281F"/>
    <w:rsid w:val="001428B4"/>
    <w:rsid w:val="00144108"/>
    <w:rsid w:val="00144D82"/>
    <w:rsid w:val="00144DC3"/>
    <w:rsid w:val="001473A6"/>
    <w:rsid w:val="0015007D"/>
    <w:rsid w:val="00150CF3"/>
    <w:rsid w:val="00150D52"/>
    <w:rsid w:val="00153BB5"/>
    <w:rsid w:val="00154BA6"/>
    <w:rsid w:val="0016090F"/>
    <w:rsid w:val="00160A98"/>
    <w:rsid w:val="0016195B"/>
    <w:rsid w:val="00161BB2"/>
    <w:rsid w:val="00162C3E"/>
    <w:rsid w:val="0016334B"/>
    <w:rsid w:val="00164054"/>
    <w:rsid w:val="001652DD"/>
    <w:rsid w:val="001653DD"/>
    <w:rsid w:val="00165A56"/>
    <w:rsid w:val="00166DEA"/>
    <w:rsid w:val="0016712B"/>
    <w:rsid w:val="001701E5"/>
    <w:rsid w:val="001734C3"/>
    <w:rsid w:val="001759AC"/>
    <w:rsid w:val="00183021"/>
    <w:rsid w:val="00183A00"/>
    <w:rsid w:val="001854A6"/>
    <w:rsid w:val="001862DD"/>
    <w:rsid w:val="00190C40"/>
    <w:rsid w:val="001913B3"/>
    <w:rsid w:val="00194042"/>
    <w:rsid w:val="00194DD9"/>
    <w:rsid w:val="001A3907"/>
    <w:rsid w:val="001A506B"/>
    <w:rsid w:val="001A54C4"/>
    <w:rsid w:val="001A5D0F"/>
    <w:rsid w:val="001A7E97"/>
    <w:rsid w:val="001B0809"/>
    <w:rsid w:val="001B1987"/>
    <w:rsid w:val="001B1B1B"/>
    <w:rsid w:val="001B27C5"/>
    <w:rsid w:val="001B286B"/>
    <w:rsid w:val="001B5FFD"/>
    <w:rsid w:val="001B707E"/>
    <w:rsid w:val="001C4E25"/>
    <w:rsid w:val="001D0093"/>
    <w:rsid w:val="001D06B6"/>
    <w:rsid w:val="001D45E2"/>
    <w:rsid w:val="001D53CE"/>
    <w:rsid w:val="001D5443"/>
    <w:rsid w:val="001D6B12"/>
    <w:rsid w:val="001D73D5"/>
    <w:rsid w:val="001E2E3C"/>
    <w:rsid w:val="001E379A"/>
    <w:rsid w:val="001E5A2D"/>
    <w:rsid w:val="001F0DB7"/>
    <w:rsid w:val="001F1275"/>
    <w:rsid w:val="001F6794"/>
    <w:rsid w:val="002005A9"/>
    <w:rsid w:val="00200EB7"/>
    <w:rsid w:val="0020179F"/>
    <w:rsid w:val="00203ABB"/>
    <w:rsid w:val="00205503"/>
    <w:rsid w:val="002079BD"/>
    <w:rsid w:val="00211180"/>
    <w:rsid w:val="002128A6"/>
    <w:rsid w:val="00213C8A"/>
    <w:rsid w:val="00215FD3"/>
    <w:rsid w:val="00217819"/>
    <w:rsid w:val="00217A7B"/>
    <w:rsid w:val="002225BA"/>
    <w:rsid w:val="002232C7"/>
    <w:rsid w:val="00224D16"/>
    <w:rsid w:val="00230765"/>
    <w:rsid w:val="00230782"/>
    <w:rsid w:val="0023147E"/>
    <w:rsid w:val="0023233B"/>
    <w:rsid w:val="00232E26"/>
    <w:rsid w:val="00234E26"/>
    <w:rsid w:val="00235E1F"/>
    <w:rsid w:val="00236B76"/>
    <w:rsid w:val="0023710A"/>
    <w:rsid w:val="00237FBC"/>
    <w:rsid w:val="00242E2F"/>
    <w:rsid w:val="00243879"/>
    <w:rsid w:val="0024549C"/>
    <w:rsid w:val="00246447"/>
    <w:rsid w:val="002467DD"/>
    <w:rsid w:val="00250D66"/>
    <w:rsid w:val="00251A3C"/>
    <w:rsid w:val="002557D9"/>
    <w:rsid w:val="002566EE"/>
    <w:rsid w:val="00256C4D"/>
    <w:rsid w:val="00256D86"/>
    <w:rsid w:val="0026092C"/>
    <w:rsid w:val="00260BBA"/>
    <w:rsid w:val="00261A6D"/>
    <w:rsid w:val="00261DA1"/>
    <w:rsid w:val="002656B0"/>
    <w:rsid w:val="00265ABF"/>
    <w:rsid w:val="00265E21"/>
    <w:rsid w:val="00266456"/>
    <w:rsid w:val="00271C4A"/>
    <w:rsid w:val="002723E4"/>
    <w:rsid w:val="00272CE1"/>
    <w:rsid w:val="00274739"/>
    <w:rsid w:val="00274EAF"/>
    <w:rsid w:val="002755A6"/>
    <w:rsid w:val="00276792"/>
    <w:rsid w:val="00277B0C"/>
    <w:rsid w:val="0028408C"/>
    <w:rsid w:val="00284828"/>
    <w:rsid w:val="00285A58"/>
    <w:rsid w:val="002865EA"/>
    <w:rsid w:val="00291CE6"/>
    <w:rsid w:val="00295B5F"/>
    <w:rsid w:val="00295D1D"/>
    <w:rsid w:val="002963F2"/>
    <w:rsid w:val="002A1165"/>
    <w:rsid w:val="002A1E06"/>
    <w:rsid w:val="002A2104"/>
    <w:rsid w:val="002A2C0B"/>
    <w:rsid w:val="002A371C"/>
    <w:rsid w:val="002A3BB1"/>
    <w:rsid w:val="002A4CD8"/>
    <w:rsid w:val="002A7B2B"/>
    <w:rsid w:val="002B1E51"/>
    <w:rsid w:val="002B3095"/>
    <w:rsid w:val="002B50A0"/>
    <w:rsid w:val="002B5650"/>
    <w:rsid w:val="002B79FC"/>
    <w:rsid w:val="002B7A77"/>
    <w:rsid w:val="002C28E6"/>
    <w:rsid w:val="002C4EF6"/>
    <w:rsid w:val="002C53EC"/>
    <w:rsid w:val="002D2DBB"/>
    <w:rsid w:val="002D3F4F"/>
    <w:rsid w:val="002D410A"/>
    <w:rsid w:val="002D420E"/>
    <w:rsid w:val="002D4FF0"/>
    <w:rsid w:val="002E0911"/>
    <w:rsid w:val="002E0ED6"/>
    <w:rsid w:val="002E152F"/>
    <w:rsid w:val="002E3322"/>
    <w:rsid w:val="002E55FC"/>
    <w:rsid w:val="002E5966"/>
    <w:rsid w:val="002E7D3D"/>
    <w:rsid w:val="002F1FF5"/>
    <w:rsid w:val="002F305D"/>
    <w:rsid w:val="002F3A67"/>
    <w:rsid w:val="002F5350"/>
    <w:rsid w:val="002F668B"/>
    <w:rsid w:val="002F6EBB"/>
    <w:rsid w:val="003004F9"/>
    <w:rsid w:val="00300E4D"/>
    <w:rsid w:val="0030634F"/>
    <w:rsid w:val="003071E8"/>
    <w:rsid w:val="00307B43"/>
    <w:rsid w:val="00307B8B"/>
    <w:rsid w:val="00310AF5"/>
    <w:rsid w:val="00313FEC"/>
    <w:rsid w:val="00314277"/>
    <w:rsid w:val="00315543"/>
    <w:rsid w:val="0032045B"/>
    <w:rsid w:val="003219E5"/>
    <w:rsid w:val="0032296F"/>
    <w:rsid w:val="003229AC"/>
    <w:rsid w:val="0032453A"/>
    <w:rsid w:val="003258BF"/>
    <w:rsid w:val="00325D6B"/>
    <w:rsid w:val="003262A1"/>
    <w:rsid w:val="003267CD"/>
    <w:rsid w:val="00326BE2"/>
    <w:rsid w:val="00331481"/>
    <w:rsid w:val="00332389"/>
    <w:rsid w:val="00334533"/>
    <w:rsid w:val="00334E51"/>
    <w:rsid w:val="003351CB"/>
    <w:rsid w:val="00336DD0"/>
    <w:rsid w:val="00337AF5"/>
    <w:rsid w:val="00340AAA"/>
    <w:rsid w:val="00340CAA"/>
    <w:rsid w:val="003411D9"/>
    <w:rsid w:val="003414F4"/>
    <w:rsid w:val="0034271D"/>
    <w:rsid w:val="00342C9A"/>
    <w:rsid w:val="00343793"/>
    <w:rsid w:val="0034432B"/>
    <w:rsid w:val="00344AB9"/>
    <w:rsid w:val="003465B9"/>
    <w:rsid w:val="00350162"/>
    <w:rsid w:val="00350803"/>
    <w:rsid w:val="00352074"/>
    <w:rsid w:val="00355593"/>
    <w:rsid w:val="00360161"/>
    <w:rsid w:val="00363366"/>
    <w:rsid w:val="00363AC7"/>
    <w:rsid w:val="003710B8"/>
    <w:rsid w:val="00373C60"/>
    <w:rsid w:val="00376287"/>
    <w:rsid w:val="00376FFA"/>
    <w:rsid w:val="0037737D"/>
    <w:rsid w:val="003845F5"/>
    <w:rsid w:val="003866AE"/>
    <w:rsid w:val="00386A12"/>
    <w:rsid w:val="00386B2E"/>
    <w:rsid w:val="00387CBA"/>
    <w:rsid w:val="003903DF"/>
    <w:rsid w:val="00390A17"/>
    <w:rsid w:val="003916B2"/>
    <w:rsid w:val="00391E6A"/>
    <w:rsid w:val="0039401A"/>
    <w:rsid w:val="00394AC5"/>
    <w:rsid w:val="00394F3B"/>
    <w:rsid w:val="003965CB"/>
    <w:rsid w:val="003971E5"/>
    <w:rsid w:val="003A006C"/>
    <w:rsid w:val="003A1B53"/>
    <w:rsid w:val="003A3A99"/>
    <w:rsid w:val="003A61A6"/>
    <w:rsid w:val="003A67F6"/>
    <w:rsid w:val="003B0C80"/>
    <w:rsid w:val="003B253A"/>
    <w:rsid w:val="003B2B11"/>
    <w:rsid w:val="003B2C76"/>
    <w:rsid w:val="003B37C8"/>
    <w:rsid w:val="003B456E"/>
    <w:rsid w:val="003B49E3"/>
    <w:rsid w:val="003B558F"/>
    <w:rsid w:val="003C0B33"/>
    <w:rsid w:val="003C0CDB"/>
    <w:rsid w:val="003C203D"/>
    <w:rsid w:val="003C2F98"/>
    <w:rsid w:val="003C2FB3"/>
    <w:rsid w:val="003C3360"/>
    <w:rsid w:val="003C415D"/>
    <w:rsid w:val="003C4B4B"/>
    <w:rsid w:val="003C530C"/>
    <w:rsid w:val="003D0827"/>
    <w:rsid w:val="003D17E5"/>
    <w:rsid w:val="003D2EC1"/>
    <w:rsid w:val="003D3608"/>
    <w:rsid w:val="003D3AF1"/>
    <w:rsid w:val="003D48CE"/>
    <w:rsid w:val="003D6966"/>
    <w:rsid w:val="003E14B8"/>
    <w:rsid w:val="003E4F6A"/>
    <w:rsid w:val="003F03D4"/>
    <w:rsid w:val="003F484E"/>
    <w:rsid w:val="003F5EF3"/>
    <w:rsid w:val="004002A9"/>
    <w:rsid w:val="00404D64"/>
    <w:rsid w:val="004057CE"/>
    <w:rsid w:val="00405B31"/>
    <w:rsid w:val="00405F1F"/>
    <w:rsid w:val="0040619F"/>
    <w:rsid w:val="004077D0"/>
    <w:rsid w:val="00411124"/>
    <w:rsid w:val="0041131D"/>
    <w:rsid w:val="004122AD"/>
    <w:rsid w:val="00412E2E"/>
    <w:rsid w:val="00415814"/>
    <w:rsid w:val="00417DDE"/>
    <w:rsid w:val="00417E79"/>
    <w:rsid w:val="0042103E"/>
    <w:rsid w:val="004213C1"/>
    <w:rsid w:val="00422C1E"/>
    <w:rsid w:val="00423399"/>
    <w:rsid w:val="00424709"/>
    <w:rsid w:val="004267A5"/>
    <w:rsid w:val="00427402"/>
    <w:rsid w:val="00430148"/>
    <w:rsid w:val="00430F20"/>
    <w:rsid w:val="00431206"/>
    <w:rsid w:val="00433A9E"/>
    <w:rsid w:val="00434C77"/>
    <w:rsid w:val="00435762"/>
    <w:rsid w:val="0043593A"/>
    <w:rsid w:val="00436808"/>
    <w:rsid w:val="00437853"/>
    <w:rsid w:val="004405B0"/>
    <w:rsid w:val="00442406"/>
    <w:rsid w:val="00443C88"/>
    <w:rsid w:val="0044464C"/>
    <w:rsid w:val="004475AA"/>
    <w:rsid w:val="00447AEF"/>
    <w:rsid w:val="004557C5"/>
    <w:rsid w:val="00455FE5"/>
    <w:rsid w:val="00456BE6"/>
    <w:rsid w:val="00456FEF"/>
    <w:rsid w:val="0046281C"/>
    <w:rsid w:val="004632E4"/>
    <w:rsid w:val="00465C1D"/>
    <w:rsid w:val="00466597"/>
    <w:rsid w:val="004678CF"/>
    <w:rsid w:val="004709EA"/>
    <w:rsid w:val="00471086"/>
    <w:rsid w:val="0047125C"/>
    <w:rsid w:val="00471606"/>
    <w:rsid w:val="00471A11"/>
    <w:rsid w:val="004757CC"/>
    <w:rsid w:val="00480889"/>
    <w:rsid w:val="0048153F"/>
    <w:rsid w:val="00481E04"/>
    <w:rsid w:val="00482202"/>
    <w:rsid w:val="00482567"/>
    <w:rsid w:val="00483F0B"/>
    <w:rsid w:val="00485DFE"/>
    <w:rsid w:val="004903AE"/>
    <w:rsid w:val="004905E7"/>
    <w:rsid w:val="00491C17"/>
    <w:rsid w:val="00491D65"/>
    <w:rsid w:val="0049432C"/>
    <w:rsid w:val="0049541F"/>
    <w:rsid w:val="00496269"/>
    <w:rsid w:val="004A058C"/>
    <w:rsid w:val="004A1703"/>
    <w:rsid w:val="004A698D"/>
    <w:rsid w:val="004A7243"/>
    <w:rsid w:val="004A7748"/>
    <w:rsid w:val="004A7858"/>
    <w:rsid w:val="004B5C0B"/>
    <w:rsid w:val="004B69CE"/>
    <w:rsid w:val="004B6F88"/>
    <w:rsid w:val="004B78BE"/>
    <w:rsid w:val="004B7B16"/>
    <w:rsid w:val="004B7D52"/>
    <w:rsid w:val="004C0452"/>
    <w:rsid w:val="004C271B"/>
    <w:rsid w:val="004C29BF"/>
    <w:rsid w:val="004C4723"/>
    <w:rsid w:val="004C4F40"/>
    <w:rsid w:val="004C6BA1"/>
    <w:rsid w:val="004C719D"/>
    <w:rsid w:val="004D43E0"/>
    <w:rsid w:val="004D50BD"/>
    <w:rsid w:val="004D70B8"/>
    <w:rsid w:val="004D747A"/>
    <w:rsid w:val="004D77EA"/>
    <w:rsid w:val="004E02AB"/>
    <w:rsid w:val="004E370C"/>
    <w:rsid w:val="004E5750"/>
    <w:rsid w:val="004E6FFE"/>
    <w:rsid w:val="004F4847"/>
    <w:rsid w:val="004F5149"/>
    <w:rsid w:val="004F74A6"/>
    <w:rsid w:val="004F78BB"/>
    <w:rsid w:val="004F7B30"/>
    <w:rsid w:val="00500C92"/>
    <w:rsid w:val="00503156"/>
    <w:rsid w:val="00503D92"/>
    <w:rsid w:val="00504BDD"/>
    <w:rsid w:val="00506F66"/>
    <w:rsid w:val="00507DAC"/>
    <w:rsid w:val="005105D2"/>
    <w:rsid w:val="00510835"/>
    <w:rsid w:val="00511D0A"/>
    <w:rsid w:val="00513614"/>
    <w:rsid w:val="00513BC0"/>
    <w:rsid w:val="0051467A"/>
    <w:rsid w:val="00514B24"/>
    <w:rsid w:val="00515614"/>
    <w:rsid w:val="00516DA7"/>
    <w:rsid w:val="005246B9"/>
    <w:rsid w:val="0052484B"/>
    <w:rsid w:val="00525966"/>
    <w:rsid w:val="005262C8"/>
    <w:rsid w:val="00527743"/>
    <w:rsid w:val="005308EA"/>
    <w:rsid w:val="00530E86"/>
    <w:rsid w:val="00533451"/>
    <w:rsid w:val="005339B9"/>
    <w:rsid w:val="005359D3"/>
    <w:rsid w:val="00535A2B"/>
    <w:rsid w:val="00536D87"/>
    <w:rsid w:val="00537710"/>
    <w:rsid w:val="00541C46"/>
    <w:rsid w:val="0054297B"/>
    <w:rsid w:val="005509A8"/>
    <w:rsid w:val="0055139D"/>
    <w:rsid w:val="0055169C"/>
    <w:rsid w:val="0055194E"/>
    <w:rsid w:val="0055320C"/>
    <w:rsid w:val="0055385B"/>
    <w:rsid w:val="005563F6"/>
    <w:rsid w:val="0055698B"/>
    <w:rsid w:val="0055785E"/>
    <w:rsid w:val="005578EC"/>
    <w:rsid w:val="005579B4"/>
    <w:rsid w:val="0056145D"/>
    <w:rsid w:val="005637E9"/>
    <w:rsid w:val="00564BFF"/>
    <w:rsid w:val="00565489"/>
    <w:rsid w:val="00566106"/>
    <w:rsid w:val="00572776"/>
    <w:rsid w:val="00572CA1"/>
    <w:rsid w:val="00575532"/>
    <w:rsid w:val="00577DE9"/>
    <w:rsid w:val="005808C7"/>
    <w:rsid w:val="005841B2"/>
    <w:rsid w:val="0058425F"/>
    <w:rsid w:val="005844BC"/>
    <w:rsid w:val="005865E6"/>
    <w:rsid w:val="005907D4"/>
    <w:rsid w:val="005924EB"/>
    <w:rsid w:val="00592FD6"/>
    <w:rsid w:val="005932AA"/>
    <w:rsid w:val="0059377C"/>
    <w:rsid w:val="00596A77"/>
    <w:rsid w:val="00596E7D"/>
    <w:rsid w:val="005A0E9D"/>
    <w:rsid w:val="005A246D"/>
    <w:rsid w:val="005A28D5"/>
    <w:rsid w:val="005A30BA"/>
    <w:rsid w:val="005A391E"/>
    <w:rsid w:val="005A4D06"/>
    <w:rsid w:val="005A723B"/>
    <w:rsid w:val="005A73AA"/>
    <w:rsid w:val="005B35C0"/>
    <w:rsid w:val="005B3B32"/>
    <w:rsid w:val="005B6614"/>
    <w:rsid w:val="005B6D96"/>
    <w:rsid w:val="005B748E"/>
    <w:rsid w:val="005C02EF"/>
    <w:rsid w:val="005C4463"/>
    <w:rsid w:val="005C6B32"/>
    <w:rsid w:val="005C71E6"/>
    <w:rsid w:val="005D0960"/>
    <w:rsid w:val="005D1DB8"/>
    <w:rsid w:val="005D1EE9"/>
    <w:rsid w:val="005D3759"/>
    <w:rsid w:val="005D39D0"/>
    <w:rsid w:val="005D3ECC"/>
    <w:rsid w:val="005D4307"/>
    <w:rsid w:val="005D747F"/>
    <w:rsid w:val="005D769E"/>
    <w:rsid w:val="005D7830"/>
    <w:rsid w:val="005E0C1C"/>
    <w:rsid w:val="005E2BA9"/>
    <w:rsid w:val="005E4259"/>
    <w:rsid w:val="005E759E"/>
    <w:rsid w:val="005F0A75"/>
    <w:rsid w:val="005F0EED"/>
    <w:rsid w:val="005F2A83"/>
    <w:rsid w:val="005F2BA2"/>
    <w:rsid w:val="005F4B42"/>
    <w:rsid w:val="005F60A3"/>
    <w:rsid w:val="006032DF"/>
    <w:rsid w:val="00605F8A"/>
    <w:rsid w:val="00607400"/>
    <w:rsid w:val="00616C58"/>
    <w:rsid w:val="00617802"/>
    <w:rsid w:val="00620424"/>
    <w:rsid w:val="00622E39"/>
    <w:rsid w:val="00625166"/>
    <w:rsid w:val="0063086A"/>
    <w:rsid w:val="006314EA"/>
    <w:rsid w:val="00634348"/>
    <w:rsid w:val="006352EA"/>
    <w:rsid w:val="00636412"/>
    <w:rsid w:val="006365E9"/>
    <w:rsid w:val="00637689"/>
    <w:rsid w:val="00640CF1"/>
    <w:rsid w:val="00640E35"/>
    <w:rsid w:val="00641C04"/>
    <w:rsid w:val="00643255"/>
    <w:rsid w:val="006447F6"/>
    <w:rsid w:val="006478BB"/>
    <w:rsid w:val="006514FE"/>
    <w:rsid w:val="00654FA2"/>
    <w:rsid w:val="00660C91"/>
    <w:rsid w:val="00663277"/>
    <w:rsid w:val="00666DA5"/>
    <w:rsid w:val="006678F2"/>
    <w:rsid w:val="00670506"/>
    <w:rsid w:val="006732A9"/>
    <w:rsid w:val="00673621"/>
    <w:rsid w:val="00673684"/>
    <w:rsid w:val="00673CD6"/>
    <w:rsid w:val="006745B4"/>
    <w:rsid w:val="00674C64"/>
    <w:rsid w:val="00675C32"/>
    <w:rsid w:val="0067634F"/>
    <w:rsid w:val="0068054F"/>
    <w:rsid w:val="006844B6"/>
    <w:rsid w:val="00686194"/>
    <w:rsid w:val="00687C84"/>
    <w:rsid w:val="00690BCC"/>
    <w:rsid w:val="00692517"/>
    <w:rsid w:val="006936A9"/>
    <w:rsid w:val="00694ACB"/>
    <w:rsid w:val="0069709F"/>
    <w:rsid w:val="006A0F03"/>
    <w:rsid w:val="006A1B5E"/>
    <w:rsid w:val="006A5F0C"/>
    <w:rsid w:val="006A607A"/>
    <w:rsid w:val="006B1BC3"/>
    <w:rsid w:val="006B3996"/>
    <w:rsid w:val="006B67CB"/>
    <w:rsid w:val="006B7462"/>
    <w:rsid w:val="006C2815"/>
    <w:rsid w:val="006C43AE"/>
    <w:rsid w:val="006C4429"/>
    <w:rsid w:val="006C45C5"/>
    <w:rsid w:val="006C6C52"/>
    <w:rsid w:val="006C7C7B"/>
    <w:rsid w:val="006D03ED"/>
    <w:rsid w:val="006D0DBC"/>
    <w:rsid w:val="006D13B7"/>
    <w:rsid w:val="006D46B6"/>
    <w:rsid w:val="006D5E03"/>
    <w:rsid w:val="006D64F6"/>
    <w:rsid w:val="006D7D82"/>
    <w:rsid w:val="006E0F94"/>
    <w:rsid w:val="006E1072"/>
    <w:rsid w:val="006E11CE"/>
    <w:rsid w:val="006E6159"/>
    <w:rsid w:val="006F5F13"/>
    <w:rsid w:val="006F6375"/>
    <w:rsid w:val="00700B78"/>
    <w:rsid w:val="0070176F"/>
    <w:rsid w:val="00702C78"/>
    <w:rsid w:val="00703667"/>
    <w:rsid w:val="007055AC"/>
    <w:rsid w:val="007061A1"/>
    <w:rsid w:val="00706D42"/>
    <w:rsid w:val="00710403"/>
    <w:rsid w:val="0071158C"/>
    <w:rsid w:val="00711D2F"/>
    <w:rsid w:val="007126D1"/>
    <w:rsid w:val="00712D5E"/>
    <w:rsid w:val="00717388"/>
    <w:rsid w:val="00717955"/>
    <w:rsid w:val="00717E5C"/>
    <w:rsid w:val="00732036"/>
    <w:rsid w:val="0073259B"/>
    <w:rsid w:val="0073318E"/>
    <w:rsid w:val="00733862"/>
    <w:rsid w:val="0073713D"/>
    <w:rsid w:val="007400E2"/>
    <w:rsid w:val="007450F9"/>
    <w:rsid w:val="007451D1"/>
    <w:rsid w:val="00745310"/>
    <w:rsid w:val="00750948"/>
    <w:rsid w:val="007517BF"/>
    <w:rsid w:val="00757988"/>
    <w:rsid w:val="00757B70"/>
    <w:rsid w:val="007611FB"/>
    <w:rsid w:val="00763769"/>
    <w:rsid w:val="007638E7"/>
    <w:rsid w:val="00763E92"/>
    <w:rsid w:val="00765784"/>
    <w:rsid w:val="00765AA4"/>
    <w:rsid w:val="00766FDD"/>
    <w:rsid w:val="0076794D"/>
    <w:rsid w:val="00770000"/>
    <w:rsid w:val="007703C8"/>
    <w:rsid w:val="00770DA4"/>
    <w:rsid w:val="00771EB1"/>
    <w:rsid w:val="00772415"/>
    <w:rsid w:val="007734A5"/>
    <w:rsid w:val="00773608"/>
    <w:rsid w:val="007749AC"/>
    <w:rsid w:val="00774EAC"/>
    <w:rsid w:val="00775D27"/>
    <w:rsid w:val="00775D6B"/>
    <w:rsid w:val="007771F3"/>
    <w:rsid w:val="007820AC"/>
    <w:rsid w:val="00783F06"/>
    <w:rsid w:val="0078420A"/>
    <w:rsid w:val="0078449D"/>
    <w:rsid w:val="00785C53"/>
    <w:rsid w:val="00787C84"/>
    <w:rsid w:val="00793AA7"/>
    <w:rsid w:val="0079408F"/>
    <w:rsid w:val="00794C81"/>
    <w:rsid w:val="0079683B"/>
    <w:rsid w:val="007A059D"/>
    <w:rsid w:val="007A148E"/>
    <w:rsid w:val="007A4334"/>
    <w:rsid w:val="007A68E8"/>
    <w:rsid w:val="007A76E8"/>
    <w:rsid w:val="007B046A"/>
    <w:rsid w:val="007B1609"/>
    <w:rsid w:val="007B6EF7"/>
    <w:rsid w:val="007C101E"/>
    <w:rsid w:val="007C1311"/>
    <w:rsid w:val="007C170A"/>
    <w:rsid w:val="007C1ADD"/>
    <w:rsid w:val="007C1DBE"/>
    <w:rsid w:val="007C2E15"/>
    <w:rsid w:val="007C4ECC"/>
    <w:rsid w:val="007C612F"/>
    <w:rsid w:val="007C62B3"/>
    <w:rsid w:val="007D210E"/>
    <w:rsid w:val="007D260E"/>
    <w:rsid w:val="007D5379"/>
    <w:rsid w:val="007E0B33"/>
    <w:rsid w:val="007E4217"/>
    <w:rsid w:val="007E5129"/>
    <w:rsid w:val="007F24BB"/>
    <w:rsid w:val="007F2A00"/>
    <w:rsid w:val="007F6011"/>
    <w:rsid w:val="007F6FEE"/>
    <w:rsid w:val="007F7980"/>
    <w:rsid w:val="007F7BAB"/>
    <w:rsid w:val="0080061E"/>
    <w:rsid w:val="00800C10"/>
    <w:rsid w:val="008020CB"/>
    <w:rsid w:val="00802508"/>
    <w:rsid w:val="00802FDA"/>
    <w:rsid w:val="00804632"/>
    <w:rsid w:val="00804B9A"/>
    <w:rsid w:val="00804D22"/>
    <w:rsid w:val="00807631"/>
    <w:rsid w:val="0081339B"/>
    <w:rsid w:val="008147D7"/>
    <w:rsid w:val="0082029B"/>
    <w:rsid w:val="00820906"/>
    <w:rsid w:val="00821661"/>
    <w:rsid w:val="008221DD"/>
    <w:rsid w:val="00823EDD"/>
    <w:rsid w:val="00826916"/>
    <w:rsid w:val="00831D77"/>
    <w:rsid w:val="00835215"/>
    <w:rsid w:val="00837DBA"/>
    <w:rsid w:val="00840FC4"/>
    <w:rsid w:val="0084148D"/>
    <w:rsid w:val="00841928"/>
    <w:rsid w:val="0084452C"/>
    <w:rsid w:val="00847AB0"/>
    <w:rsid w:val="00856031"/>
    <w:rsid w:val="00856A1D"/>
    <w:rsid w:val="00856A2B"/>
    <w:rsid w:val="0085757D"/>
    <w:rsid w:val="00860056"/>
    <w:rsid w:val="0086165B"/>
    <w:rsid w:val="00861936"/>
    <w:rsid w:val="008631E9"/>
    <w:rsid w:val="00863375"/>
    <w:rsid w:val="00863B97"/>
    <w:rsid w:val="00863CBF"/>
    <w:rsid w:val="00863D08"/>
    <w:rsid w:val="00870458"/>
    <w:rsid w:val="00874424"/>
    <w:rsid w:val="00876F7D"/>
    <w:rsid w:val="008805F6"/>
    <w:rsid w:val="00880788"/>
    <w:rsid w:val="008810A4"/>
    <w:rsid w:val="00881E49"/>
    <w:rsid w:val="008832A4"/>
    <w:rsid w:val="0088428E"/>
    <w:rsid w:val="00885F3E"/>
    <w:rsid w:val="0089232C"/>
    <w:rsid w:val="00892FB6"/>
    <w:rsid w:val="0089636E"/>
    <w:rsid w:val="00897166"/>
    <w:rsid w:val="008A101F"/>
    <w:rsid w:val="008A3161"/>
    <w:rsid w:val="008A344B"/>
    <w:rsid w:val="008A4ABF"/>
    <w:rsid w:val="008A650F"/>
    <w:rsid w:val="008B0B49"/>
    <w:rsid w:val="008B0EA6"/>
    <w:rsid w:val="008B2A52"/>
    <w:rsid w:val="008B2F2C"/>
    <w:rsid w:val="008B2FB9"/>
    <w:rsid w:val="008B5FF1"/>
    <w:rsid w:val="008B637C"/>
    <w:rsid w:val="008B686D"/>
    <w:rsid w:val="008C2BE2"/>
    <w:rsid w:val="008C2C58"/>
    <w:rsid w:val="008C4E45"/>
    <w:rsid w:val="008D00BA"/>
    <w:rsid w:val="008D15C8"/>
    <w:rsid w:val="008D389D"/>
    <w:rsid w:val="008D49A8"/>
    <w:rsid w:val="008D6874"/>
    <w:rsid w:val="008D72B2"/>
    <w:rsid w:val="008D72ED"/>
    <w:rsid w:val="008E3BAC"/>
    <w:rsid w:val="008E5512"/>
    <w:rsid w:val="008E55E5"/>
    <w:rsid w:val="008E5EA0"/>
    <w:rsid w:val="008E6CAC"/>
    <w:rsid w:val="008E72DC"/>
    <w:rsid w:val="008F031E"/>
    <w:rsid w:val="008F380B"/>
    <w:rsid w:val="00902F83"/>
    <w:rsid w:val="0090339E"/>
    <w:rsid w:val="009051CF"/>
    <w:rsid w:val="00905B24"/>
    <w:rsid w:val="00907148"/>
    <w:rsid w:val="00907607"/>
    <w:rsid w:val="00911C10"/>
    <w:rsid w:val="0091204D"/>
    <w:rsid w:val="00915190"/>
    <w:rsid w:val="00916400"/>
    <w:rsid w:val="00920952"/>
    <w:rsid w:val="009233A8"/>
    <w:rsid w:val="00926798"/>
    <w:rsid w:val="009300BB"/>
    <w:rsid w:val="009313DC"/>
    <w:rsid w:val="009316FB"/>
    <w:rsid w:val="00932485"/>
    <w:rsid w:val="00932C32"/>
    <w:rsid w:val="00932DAF"/>
    <w:rsid w:val="0093789A"/>
    <w:rsid w:val="00940B74"/>
    <w:rsid w:val="00943B6D"/>
    <w:rsid w:val="00944B95"/>
    <w:rsid w:val="00944C93"/>
    <w:rsid w:val="00944CF5"/>
    <w:rsid w:val="009475DC"/>
    <w:rsid w:val="00951B11"/>
    <w:rsid w:val="00951F53"/>
    <w:rsid w:val="00952F0C"/>
    <w:rsid w:val="00957194"/>
    <w:rsid w:val="00961CF4"/>
    <w:rsid w:val="009672CF"/>
    <w:rsid w:val="00967BCF"/>
    <w:rsid w:val="00967D90"/>
    <w:rsid w:val="00970AE4"/>
    <w:rsid w:val="00970CB5"/>
    <w:rsid w:val="00970DD8"/>
    <w:rsid w:val="00976AF0"/>
    <w:rsid w:val="00977026"/>
    <w:rsid w:val="009772D3"/>
    <w:rsid w:val="009817FF"/>
    <w:rsid w:val="00981C5F"/>
    <w:rsid w:val="009821FA"/>
    <w:rsid w:val="009844E5"/>
    <w:rsid w:val="00985448"/>
    <w:rsid w:val="009858AC"/>
    <w:rsid w:val="009901BB"/>
    <w:rsid w:val="00991804"/>
    <w:rsid w:val="0099260A"/>
    <w:rsid w:val="00993D21"/>
    <w:rsid w:val="00994706"/>
    <w:rsid w:val="00994EC3"/>
    <w:rsid w:val="009950C9"/>
    <w:rsid w:val="00995D74"/>
    <w:rsid w:val="009A03C0"/>
    <w:rsid w:val="009A045F"/>
    <w:rsid w:val="009A4E69"/>
    <w:rsid w:val="009B03E6"/>
    <w:rsid w:val="009B2431"/>
    <w:rsid w:val="009B2B16"/>
    <w:rsid w:val="009B2D3A"/>
    <w:rsid w:val="009B47ED"/>
    <w:rsid w:val="009B4AB2"/>
    <w:rsid w:val="009B4DD6"/>
    <w:rsid w:val="009B532E"/>
    <w:rsid w:val="009B62A8"/>
    <w:rsid w:val="009C04AF"/>
    <w:rsid w:val="009C1516"/>
    <w:rsid w:val="009C1C7E"/>
    <w:rsid w:val="009C4F0D"/>
    <w:rsid w:val="009C776C"/>
    <w:rsid w:val="009D0482"/>
    <w:rsid w:val="009D1226"/>
    <w:rsid w:val="009D39E2"/>
    <w:rsid w:val="009D42CE"/>
    <w:rsid w:val="009D4FD2"/>
    <w:rsid w:val="009D5718"/>
    <w:rsid w:val="009D6EC8"/>
    <w:rsid w:val="009E1C9F"/>
    <w:rsid w:val="009E39AB"/>
    <w:rsid w:val="009E532B"/>
    <w:rsid w:val="009E78A8"/>
    <w:rsid w:val="009E7E76"/>
    <w:rsid w:val="009F1C1B"/>
    <w:rsid w:val="009F32CA"/>
    <w:rsid w:val="009F476E"/>
    <w:rsid w:val="009F7B29"/>
    <w:rsid w:val="00A0239C"/>
    <w:rsid w:val="00A0242D"/>
    <w:rsid w:val="00A02D32"/>
    <w:rsid w:val="00A03B9B"/>
    <w:rsid w:val="00A03F2D"/>
    <w:rsid w:val="00A04DE3"/>
    <w:rsid w:val="00A12A91"/>
    <w:rsid w:val="00A12CCA"/>
    <w:rsid w:val="00A13B3D"/>
    <w:rsid w:val="00A214AF"/>
    <w:rsid w:val="00A2199D"/>
    <w:rsid w:val="00A21D77"/>
    <w:rsid w:val="00A2294D"/>
    <w:rsid w:val="00A22C3C"/>
    <w:rsid w:val="00A23026"/>
    <w:rsid w:val="00A23E53"/>
    <w:rsid w:val="00A249D9"/>
    <w:rsid w:val="00A2742C"/>
    <w:rsid w:val="00A27F7A"/>
    <w:rsid w:val="00A30CD7"/>
    <w:rsid w:val="00A324A6"/>
    <w:rsid w:val="00A32DBA"/>
    <w:rsid w:val="00A34A96"/>
    <w:rsid w:val="00A35ADC"/>
    <w:rsid w:val="00A36676"/>
    <w:rsid w:val="00A37A56"/>
    <w:rsid w:val="00A41674"/>
    <w:rsid w:val="00A421E4"/>
    <w:rsid w:val="00A4343D"/>
    <w:rsid w:val="00A46FCB"/>
    <w:rsid w:val="00A51257"/>
    <w:rsid w:val="00A53BCB"/>
    <w:rsid w:val="00A5642C"/>
    <w:rsid w:val="00A56C31"/>
    <w:rsid w:val="00A5782D"/>
    <w:rsid w:val="00A60994"/>
    <w:rsid w:val="00A61CBD"/>
    <w:rsid w:val="00A63914"/>
    <w:rsid w:val="00A6462B"/>
    <w:rsid w:val="00A667E6"/>
    <w:rsid w:val="00A66A80"/>
    <w:rsid w:val="00A708DE"/>
    <w:rsid w:val="00A760E5"/>
    <w:rsid w:val="00A7769E"/>
    <w:rsid w:val="00A81375"/>
    <w:rsid w:val="00A815E1"/>
    <w:rsid w:val="00A82242"/>
    <w:rsid w:val="00A836BB"/>
    <w:rsid w:val="00A8445B"/>
    <w:rsid w:val="00A8592A"/>
    <w:rsid w:val="00A86F4D"/>
    <w:rsid w:val="00A8798A"/>
    <w:rsid w:val="00A9117E"/>
    <w:rsid w:val="00A913F6"/>
    <w:rsid w:val="00A92753"/>
    <w:rsid w:val="00A962B8"/>
    <w:rsid w:val="00AA0288"/>
    <w:rsid w:val="00AA0A75"/>
    <w:rsid w:val="00AA2D38"/>
    <w:rsid w:val="00AA3669"/>
    <w:rsid w:val="00AA59D7"/>
    <w:rsid w:val="00AA63A0"/>
    <w:rsid w:val="00AA6792"/>
    <w:rsid w:val="00AA6998"/>
    <w:rsid w:val="00AB0160"/>
    <w:rsid w:val="00AB34C6"/>
    <w:rsid w:val="00AB491C"/>
    <w:rsid w:val="00AB6D9E"/>
    <w:rsid w:val="00AC0172"/>
    <w:rsid w:val="00AC0929"/>
    <w:rsid w:val="00AC0C1F"/>
    <w:rsid w:val="00AC3122"/>
    <w:rsid w:val="00AC539F"/>
    <w:rsid w:val="00AC6AD2"/>
    <w:rsid w:val="00AD12E3"/>
    <w:rsid w:val="00AD2418"/>
    <w:rsid w:val="00AD28DF"/>
    <w:rsid w:val="00AD544F"/>
    <w:rsid w:val="00AD60D4"/>
    <w:rsid w:val="00AD68F1"/>
    <w:rsid w:val="00AD7783"/>
    <w:rsid w:val="00AE0A50"/>
    <w:rsid w:val="00AE0A6F"/>
    <w:rsid w:val="00AE1B7B"/>
    <w:rsid w:val="00AE2545"/>
    <w:rsid w:val="00AE2EBC"/>
    <w:rsid w:val="00AE6463"/>
    <w:rsid w:val="00AE7042"/>
    <w:rsid w:val="00AF22D0"/>
    <w:rsid w:val="00AF3109"/>
    <w:rsid w:val="00AF31BD"/>
    <w:rsid w:val="00AF449E"/>
    <w:rsid w:val="00AF506C"/>
    <w:rsid w:val="00AF7F61"/>
    <w:rsid w:val="00B004E4"/>
    <w:rsid w:val="00B02446"/>
    <w:rsid w:val="00B03466"/>
    <w:rsid w:val="00B044DD"/>
    <w:rsid w:val="00B106B8"/>
    <w:rsid w:val="00B11DBE"/>
    <w:rsid w:val="00B14FFC"/>
    <w:rsid w:val="00B16AC7"/>
    <w:rsid w:val="00B23556"/>
    <w:rsid w:val="00B24DB8"/>
    <w:rsid w:val="00B24EEF"/>
    <w:rsid w:val="00B25505"/>
    <w:rsid w:val="00B256B7"/>
    <w:rsid w:val="00B2786E"/>
    <w:rsid w:val="00B304EA"/>
    <w:rsid w:val="00B32EBC"/>
    <w:rsid w:val="00B32F71"/>
    <w:rsid w:val="00B34D63"/>
    <w:rsid w:val="00B36332"/>
    <w:rsid w:val="00B44C4B"/>
    <w:rsid w:val="00B50A35"/>
    <w:rsid w:val="00B51196"/>
    <w:rsid w:val="00B52E58"/>
    <w:rsid w:val="00B53739"/>
    <w:rsid w:val="00B53B35"/>
    <w:rsid w:val="00B543D0"/>
    <w:rsid w:val="00B5469C"/>
    <w:rsid w:val="00B61584"/>
    <w:rsid w:val="00B64130"/>
    <w:rsid w:val="00B64C0B"/>
    <w:rsid w:val="00B658C9"/>
    <w:rsid w:val="00B66088"/>
    <w:rsid w:val="00B708CA"/>
    <w:rsid w:val="00B74219"/>
    <w:rsid w:val="00B75476"/>
    <w:rsid w:val="00B75E56"/>
    <w:rsid w:val="00B761CB"/>
    <w:rsid w:val="00B8073A"/>
    <w:rsid w:val="00B808FD"/>
    <w:rsid w:val="00B91138"/>
    <w:rsid w:val="00B914C8"/>
    <w:rsid w:val="00B91C6A"/>
    <w:rsid w:val="00B94A26"/>
    <w:rsid w:val="00B974CF"/>
    <w:rsid w:val="00BA00DF"/>
    <w:rsid w:val="00BA189C"/>
    <w:rsid w:val="00BA2BF0"/>
    <w:rsid w:val="00BA3EDA"/>
    <w:rsid w:val="00BA4B9B"/>
    <w:rsid w:val="00BA572B"/>
    <w:rsid w:val="00BA5EDE"/>
    <w:rsid w:val="00BA6931"/>
    <w:rsid w:val="00BA6CAF"/>
    <w:rsid w:val="00BB0E0B"/>
    <w:rsid w:val="00BB1ADC"/>
    <w:rsid w:val="00BB1C29"/>
    <w:rsid w:val="00BB34CC"/>
    <w:rsid w:val="00BB4772"/>
    <w:rsid w:val="00BB49A2"/>
    <w:rsid w:val="00BB7183"/>
    <w:rsid w:val="00BC0810"/>
    <w:rsid w:val="00BC265C"/>
    <w:rsid w:val="00BC3866"/>
    <w:rsid w:val="00BC53EC"/>
    <w:rsid w:val="00BD0C2C"/>
    <w:rsid w:val="00BD1F9C"/>
    <w:rsid w:val="00BD49BE"/>
    <w:rsid w:val="00BD6099"/>
    <w:rsid w:val="00BD67BA"/>
    <w:rsid w:val="00BE3BF6"/>
    <w:rsid w:val="00BE5146"/>
    <w:rsid w:val="00BE7F52"/>
    <w:rsid w:val="00BF345B"/>
    <w:rsid w:val="00BF35E1"/>
    <w:rsid w:val="00BF49F6"/>
    <w:rsid w:val="00BF7A47"/>
    <w:rsid w:val="00C00078"/>
    <w:rsid w:val="00C01D31"/>
    <w:rsid w:val="00C02F80"/>
    <w:rsid w:val="00C036EC"/>
    <w:rsid w:val="00C03BF2"/>
    <w:rsid w:val="00C03EE7"/>
    <w:rsid w:val="00C06F43"/>
    <w:rsid w:val="00C11338"/>
    <w:rsid w:val="00C11806"/>
    <w:rsid w:val="00C11F1B"/>
    <w:rsid w:val="00C13E98"/>
    <w:rsid w:val="00C14956"/>
    <w:rsid w:val="00C212B3"/>
    <w:rsid w:val="00C21EB1"/>
    <w:rsid w:val="00C2209D"/>
    <w:rsid w:val="00C227A5"/>
    <w:rsid w:val="00C24017"/>
    <w:rsid w:val="00C30A5E"/>
    <w:rsid w:val="00C40B29"/>
    <w:rsid w:val="00C42094"/>
    <w:rsid w:val="00C43346"/>
    <w:rsid w:val="00C51198"/>
    <w:rsid w:val="00C55A41"/>
    <w:rsid w:val="00C618F9"/>
    <w:rsid w:val="00C61A99"/>
    <w:rsid w:val="00C625E0"/>
    <w:rsid w:val="00C63103"/>
    <w:rsid w:val="00C633C5"/>
    <w:rsid w:val="00C644DC"/>
    <w:rsid w:val="00C644EC"/>
    <w:rsid w:val="00C6499D"/>
    <w:rsid w:val="00C67CEF"/>
    <w:rsid w:val="00C72BA5"/>
    <w:rsid w:val="00C72D82"/>
    <w:rsid w:val="00C733B6"/>
    <w:rsid w:val="00C736F3"/>
    <w:rsid w:val="00C75839"/>
    <w:rsid w:val="00C8088A"/>
    <w:rsid w:val="00C82408"/>
    <w:rsid w:val="00C82BC4"/>
    <w:rsid w:val="00C82C06"/>
    <w:rsid w:val="00C835AF"/>
    <w:rsid w:val="00C86737"/>
    <w:rsid w:val="00C86949"/>
    <w:rsid w:val="00C87562"/>
    <w:rsid w:val="00C91D65"/>
    <w:rsid w:val="00C92AD3"/>
    <w:rsid w:val="00C949DA"/>
    <w:rsid w:val="00C95224"/>
    <w:rsid w:val="00C95CA4"/>
    <w:rsid w:val="00C97527"/>
    <w:rsid w:val="00C97DD1"/>
    <w:rsid w:val="00CA4A6F"/>
    <w:rsid w:val="00CA59D1"/>
    <w:rsid w:val="00CA68D7"/>
    <w:rsid w:val="00CA6E5C"/>
    <w:rsid w:val="00CA72CC"/>
    <w:rsid w:val="00CA7DDE"/>
    <w:rsid w:val="00CB0136"/>
    <w:rsid w:val="00CB0B63"/>
    <w:rsid w:val="00CB1BF8"/>
    <w:rsid w:val="00CB7C04"/>
    <w:rsid w:val="00CC3357"/>
    <w:rsid w:val="00CC649D"/>
    <w:rsid w:val="00CC7AF4"/>
    <w:rsid w:val="00CD0138"/>
    <w:rsid w:val="00CD2E1A"/>
    <w:rsid w:val="00CD3750"/>
    <w:rsid w:val="00CD465F"/>
    <w:rsid w:val="00CD643F"/>
    <w:rsid w:val="00CD6C4E"/>
    <w:rsid w:val="00CD7390"/>
    <w:rsid w:val="00CE15C5"/>
    <w:rsid w:val="00CE5ACD"/>
    <w:rsid w:val="00CE72D2"/>
    <w:rsid w:val="00CF04A2"/>
    <w:rsid w:val="00CF0C9D"/>
    <w:rsid w:val="00CF15B9"/>
    <w:rsid w:val="00CF38F2"/>
    <w:rsid w:val="00CF43A5"/>
    <w:rsid w:val="00CF5A45"/>
    <w:rsid w:val="00D02B6F"/>
    <w:rsid w:val="00D03729"/>
    <w:rsid w:val="00D03BB7"/>
    <w:rsid w:val="00D05A75"/>
    <w:rsid w:val="00D065FD"/>
    <w:rsid w:val="00D07FE3"/>
    <w:rsid w:val="00D13FE1"/>
    <w:rsid w:val="00D14107"/>
    <w:rsid w:val="00D14E95"/>
    <w:rsid w:val="00D16FE4"/>
    <w:rsid w:val="00D21972"/>
    <w:rsid w:val="00D21B75"/>
    <w:rsid w:val="00D24A29"/>
    <w:rsid w:val="00D274FC"/>
    <w:rsid w:val="00D27923"/>
    <w:rsid w:val="00D30920"/>
    <w:rsid w:val="00D4018E"/>
    <w:rsid w:val="00D41D6C"/>
    <w:rsid w:val="00D42C78"/>
    <w:rsid w:val="00D448BA"/>
    <w:rsid w:val="00D451DA"/>
    <w:rsid w:val="00D454CE"/>
    <w:rsid w:val="00D4724B"/>
    <w:rsid w:val="00D47B7A"/>
    <w:rsid w:val="00D51362"/>
    <w:rsid w:val="00D51834"/>
    <w:rsid w:val="00D53D0B"/>
    <w:rsid w:val="00D5553D"/>
    <w:rsid w:val="00D566CA"/>
    <w:rsid w:val="00D56F00"/>
    <w:rsid w:val="00D574DA"/>
    <w:rsid w:val="00D63653"/>
    <w:rsid w:val="00D63EF9"/>
    <w:rsid w:val="00D642FA"/>
    <w:rsid w:val="00D71021"/>
    <w:rsid w:val="00D713CD"/>
    <w:rsid w:val="00D72041"/>
    <w:rsid w:val="00D72953"/>
    <w:rsid w:val="00D72DB5"/>
    <w:rsid w:val="00D7457C"/>
    <w:rsid w:val="00D752F3"/>
    <w:rsid w:val="00D77405"/>
    <w:rsid w:val="00D8070E"/>
    <w:rsid w:val="00D82574"/>
    <w:rsid w:val="00D83F6A"/>
    <w:rsid w:val="00D843FF"/>
    <w:rsid w:val="00D91DDF"/>
    <w:rsid w:val="00D92FAF"/>
    <w:rsid w:val="00D9410B"/>
    <w:rsid w:val="00D96EEE"/>
    <w:rsid w:val="00D97BED"/>
    <w:rsid w:val="00DA6741"/>
    <w:rsid w:val="00DA6907"/>
    <w:rsid w:val="00DA6FA6"/>
    <w:rsid w:val="00DB4315"/>
    <w:rsid w:val="00DB4F8F"/>
    <w:rsid w:val="00DC0E80"/>
    <w:rsid w:val="00DC15C6"/>
    <w:rsid w:val="00DC1608"/>
    <w:rsid w:val="00DC3515"/>
    <w:rsid w:val="00DD58EC"/>
    <w:rsid w:val="00DD6DA3"/>
    <w:rsid w:val="00DD79BA"/>
    <w:rsid w:val="00DE07A3"/>
    <w:rsid w:val="00DE24ED"/>
    <w:rsid w:val="00DE2AB4"/>
    <w:rsid w:val="00DE4D45"/>
    <w:rsid w:val="00DE58DE"/>
    <w:rsid w:val="00DE6FE5"/>
    <w:rsid w:val="00DE787A"/>
    <w:rsid w:val="00DE7BBA"/>
    <w:rsid w:val="00DF02A6"/>
    <w:rsid w:val="00DF093D"/>
    <w:rsid w:val="00DF2E8E"/>
    <w:rsid w:val="00DF597C"/>
    <w:rsid w:val="00DF6519"/>
    <w:rsid w:val="00E0114C"/>
    <w:rsid w:val="00E02CDB"/>
    <w:rsid w:val="00E03DE6"/>
    <w:rsid w:val="00E058F2"/>
    <w:rsid w:val="00E0771B"/>
    <w:rsid w:val="00E079D7"/>
    <w:rsid w:val="00E07A7D"/>
    <w:rsid w:val="00E11A2B"/>
    <w:rsid w:val="00E1396A"/>
    <w:rsid w:val="00E14718"/>
    <w:rsid w:val="00E15D27"/>
    <w:rsid w:val="00E1702A"/>
    <w:rsid w:val="00E17CA9"/>
    <w:rsid w:val="00E215E8"/>
    <w:rsid w:val="00E24C07"/>
    <w:rsid w:val="00E24FC3"/>
    <w:rsid w:val="00E25DDD"/>
    <w:rsid w:val="00E26CA7"/>
    <w:rsid w:val="00E277A1"/>
    <w:rsid w:val="00E32496"/>
    <w:rsid w:val="00E33A2D"/>
    <w:rsid w:val="00E33E1B"/>
    <w:rsid w:val="00E36237"/>
    <w:rsid w:val="00E3698C"/>
    <w:rsid w:val="00E40CD6"/>
    <w:rsid w:val="00E44030"/>
    <w:rsid w:val="00E45B3E"/>
    <w:rsid w:val="00E46535"/>
    <w:rsid w:val="00E501E3"/>
    <w:rsid w:val="00E5295D"/>
    <w:rsid w:val="00E5384E"/>
    <w:rsid w:val="00E57D3C"/>
    <w:rsid w:val="00E61ED6"/>
    <w:rsid w:val="00E679F5"/>
    <w:rsid w:val="00E708D8"/>
    <w:rsid w:val="00E710F7"/>
    <w:rsid w:val="00E72BA6"/>
    <w:rsid w:val="00E73A49"/>
    <w:rsid w:val="00E8036A"/>
    <w:rsid w:val="00E81627"/>
    <w:rsid w:val="00E8228F"/>
    <w:rsid w:val="00E831FC"/>
    <w:rsid w:val="00E9190D"/>
    <w:rsid w:val="00E92266"/>
    <w:rsid w:val="00E94E64"/>
    <w:rsid w:val="00E952A0"/>
    <w:rsid w:val="00E9614E"/>
    <w:rsid w:val="00E9732D"/>
    <w:rsid w:val="00E976AF"/>
    <w:rsid w:val="00EA1465"/>
    <w:rsid w:val="00EA2F9C"/>
    <w:rsid w:val="00EA3474"/>
    <w:rsid w:val="00EA347C"/>
    <w:rsid w:val="00EA37E9"/>
    <w:rsid w:val="00EA4AD0"/>
    <w:rsid w:val="00EA5D2E"/>
    <w:rsid w:val="00EA748C"/>
    <w:rsid w:val="00EB01C9"/>
    <w:rsid w:val="00EB5C92"/>
    <w:rsid w:val="00EB5DC7"/>
    <w:rsid w:val="00EB6CA0"/>
    <w:rsid w:val="00EC13B0"/>
    <w:rsid w:val="00EC30A8"/>
    <w:rsid w:val="00EC4808"/>
    <w:rsid w:val="00EC4FA5"/>
    <w:rsid w:val="00EC5F9B"/>
    <w:rsid w:val="00EC5FB8"/>
    <w:rsid w:val="00EC6E2F"/>
    <w:rsid w:val="00EC7822"/>
    <w:rsid w:val="00EC7D16"/>
    <w:rsid w:val="00ED00A0"/>
    <w:rsid w:val="00ED0366"/>
    <w:rsid w:val="00ED2859"/>
    <w:rsid w:val="00ED3D08"/>
    <w:rsid w:val="00ED4B56"/>
    <w:rsid w:val="00ED4CFB"/>
    <w:rsid w:val="00ED4F81"/>
    <w:rsid w:val="00ED5411"/>
    <w:rsid w:val="00ED6ACC"/>
    <w:rsid w:val="00EE09A7"/>
    <w:rsid w:val="00EE108C"/>
    <w:rsid w:val="00EE49CD"/>
    <w:rsid w:val="00EE62B3"/>
    <w:rsid w:val="00EE7852"/>
    <w:rsid w:val="00EF0A02"/>
    <w:rsid w:val="00EF0E3D"/>
    <w:rsid w:val="00EF3485"/>
    <w:rsid w:val="00EF3DE7"/>
    <w:rsid w:val="00EF49E2"/>
    <w:rsid w:val="00EF6D9C"/>
    <w:rsid w:val="00EF72D0"/>
    <w:rsid w:val="00F002E6"/>
    <w:rsid w:val="00F00366"/>
    <w:rsid w:val="00F004A3"/>
    <w:rsid w:val="00F016F5"/>
    <w:rsid w:val="00F0286D"/>
    <w:rsid w:val="00F03B32"/>
    <w:rsid w:val="00F06733"/>
    <w:rsid w:val="00F07420"/>
    <w:rsid w:val="00F11187"/>
    <w:rsid w:val="00F1323C"/>
    <w:rsid w:val="00F2036E"/>
    <w:rsid w:val="00F20C4A"/>
    <w:rsid w:val="00F2170E"/>
    <w:rsid w:val="00F24F81"/>
    <w:rsid w:val="00F31004"/>
    <w:rsid w:val="00F311C6"/>
    <w:rsid w:val="00F35496"/>
    <w:rsid w:val="00F367C2"/>
    <w:rsid w:val="00F37865"/>
    <w:rsid w:val="00F400DB"/>
    <w:rsid w:val="00F40183"/>
    <w:rsid w:val="00F40958"/>
    <w:rsid w:val="00F41F48"/>
    <w:rsid w:val="00F42E9F"/>
    <w:rsid w:val="00F441A8"/>
    <w:rsid w:val="00F4543A"/>
    <w:rsid w:val="00F4615E"/>
    <w:rsid w:val="00F5012F"/>
    <w:rsid w:val="00F509D2"/>
    <w:rsid w:val="00F52169"/>
    <w:rsid w:val="00F5250C"/>
    <w:rsid w:val="00F53CAD"/>
    <w:rsid w:val="00F649E4"/>
    <w:rsid w:val="00F66819"/>
    <w:rsid w:val="00F70898"/>
    <w:rsid w:val="00F70BAD"/>
    <w:rsid w:val="00F71EA6"/>
    <w:rsid w:val="00F73395"/>
    <w:rsid w:val="00F750FC"/>
    <w:rsid w:val="00F7520C"/>
    <w:rsid w:val="00F75756"/>
    <w:rsid w:val="00F75787"/>
    <w:rsid w:val="00F75B16"/>
    <w:rsid w:val="00F75D09"/>
    <w:rsid w:val="00F76544"/>
    <w:rsid w:val="00F806AF"/>
    <w:rsid w:val="00F80C68"/>
    <w:rsid w:val="00F8509C"/>
    <w:rsid w:val="00F854B9"/>
    <w:rsid w:val="00F90199"/>
    <w:rsid w:val="00F92D1A"/>
    <w:rsid w:val="00F93455"/>
    <w:rsid w:val="00F93F21"/>
    <w:rsid w:val="00F94B81"/>
    <w:rsid w:val="00F955D1"/>
    <w:rsid w:val="00F9595E"/>
    <w:rsid w:val="00F966B8"/>
    <w:rsid w:val="00F969CA"/>
    <w:rsid w:val="00F97283"/>
    <w:rsid w:val="00F97F7E"/>
    <w:rsid w:val="00FA04D7"/>
    <w:rsid w:val="00FA0BB6"/>
    <w:rsid w:val="00FA13E5"/>
    <w:rsid w:val="00FA192E"/>
    <w:rsid w:val="00FA2383"/>
    <w:rsid w:val="00FA61D3"/>
    <w:rsid w:val="00FA661F"/>
    <w:rsid w:val="00FA69D1"/>
    <w:rsid w:val="00FA76CB"/>
    <w:rsid w:val="00FB203E"/>
    <w:rsid w:val="00FB27FA"/>
    <w:rsid w:val="00FB2FCD"/>
    <w:rsid w:val="00FB5A12"/>
    <w:rsid w:val="00FC2733"/>
    <w:rsid w:val="00FC2D5B"/>
    <w:rsid w:val="00FC348B"/>
    <w:rsid w:val="00FC4FD8"/>
    <w:rsid w:val="00FC59ED"/>
    <w:rsid w:val="00FC68D8"/>
    <w:rsid w:val="00FD07CA"/>
    <w:rsid w:val="00FD38BC"/>
    <w:rsid w:val="00FD69F1"/>
    <w:rsid w:val="00FD6BAD"/>
    <w:rsid w:val="00FD6EB5"/>
    <w:rsid w:val="00FE0246"/>
    <w:rsid w:val="00FE090C"/>
    <w:rsid w:val="00FE0D5C"/>
    <w:rsid w:val="00FE1824"/>
    <w:rsid w:val="00FE1CED"/>
    <w:rsid w:val="00FE30D8"/>
    <w:rsid w:val="00FE538E"/>
    <w:rsid w:val="00FE5D9F"/>
    <w:rsid w:val="00FE6484"/>
    <w:rsid w:val="00FE74E3"/>
    <w:rsid w:val="00FE76B8"/>
    <w:rsid w:val="00FF1A5D"/>
    <w:rsid w:val="00FF1CDF"/>
    <w:rsid w:val="00FF1DC9"/>
    <w:rsid w:val="00FF5D2E"/>
    <w:rsid w:val="00FF6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uiPriority w:val="99"/>
    <w:rsid w:val="00D91DDF"/>
    <w:rPr>
      <w:b/>
      <w:bCs/>
      <w:sz w:val="24"/>
      <w:lang w:val="en-US" w:eastAsia="en-US" w:bidi="ar-SA"/>
    </w:rPr>
  </w:style>
  <w:style w:type="paragraph" w:customStyle="1" w:styleId="Answer">
    <w:name w:val="Answer"/>
    <w:basedOn w:val="Normal"/>
    <w:link w:val="AnswerChar1"/>
    <w:qFormat/>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uiPriority w:val="99"/>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link w:val="HeaderChar"/>
    <w:rsid w:val="00F75787"/>
    <w:pPr>
      <w:tabs>
        <w:tab w:val="center" w:pos="4320"/>
        <w:tab w:val="right" w:pos="8640"/>
      </w:tabs>
    </w:pPr>
  </w:style>
  <w:style w:type="paragraph" w:styleId="Footer">
    <w:name w:val="footer"/>
    <w:basedOn w:val="Normal"/>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4A698D"/>
    <w:rPr>
      <w:sz w:val="20"/>
      <w:szCs w:val="20"/>
    </w:rPr>
  </w:style>
  <w:style w:type="character" w:styleId="FootnoteReference">
    <w:name w:val="footnote reference"/>
    <w:basedOn w:val="DefaultParagraphFont"/>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nhideWhenUsed/>
    <w:rsid w:val="000F44A0"/>
    <w:pPr>
      <w:spacing w:before="100" w:beforeAutospacing="1" w:after="100" w:afterAutospacing="1"/>
      <w:jc w:val="left"/>
    </w:pPr>
  </w:style>
  <w:style w:type="paragraph" w:styleId="BodyTextIndent">
    <w:name w:val="Body Text Indent"/>
    <w:basedOn w:val="Normal"/>
    <w:link w:val="BodyTextIndentChar"/>
    <w:uiPriority w:val="99"/>
    <w:semiHidden/>
    <w:unhideWhenUsed/>
    <w:rsid w:val="0014281F"/>
    <w:pPr>
      <w:spacing w:after="120"/>
      <w:ind w:left="360"/>
    </w:pPr>
  </w:style>
  <w:style w:type="character" w:customStyle="1" w:styleId="BodyTextIndentChar">
    <w:name w:val="Body Text Indent Char"/>
    <w:basedOn w:val="DefaultParagraphFont"/>
    <w:link w:val="BodyTextIndent"/>
    <w:uiPriority w:val="99"/>
    <w:semiHidden/>
    <w:rsid w:val="0014281F"/>
    <w:rPr>
      <w:sz w:val="24"/>
      <w:szCs w:val="24"/>
    </w:rPr>
  </w:style>
  <w:style w:type="paragraph" w:styleId="BodyTextIndent2">
    <w:name w:val="Body Text Indent 2"/>
    <w:basedOn w:val="Normal"/>
    <w:link w:val="BodyTextIndent2Char"/>
    <w:uiPriority w:val="99"/>
    <w:unhideWhenUsed/>
    <w:rsid w:val="00967BCF"/>
    <w:pPr>
      <w:spacing w:after="120" w:line="480" w:lineRule="auto"/>
      <w:ind w:left="360"/>
    </w:pPr>
  </w:style>
  <w:style w:type="character" w:customStyle="1" w:styleId="BodyTextIndent2Char">
    <w:name w:val="Body Text Indent 2 Char"/>
    <w:basedOn w:val="DefaultParagraphFont"/>
    <w:link w:val="BodyTextIndent2"/>
    <w:uiPriority w:val="99"/>
    <w:rsid w:val="00967BCF"/>
    <w:rPr>
      <w:sz w:val="24"/>
      <w:szCs w:val="24"/>
    </w:rPr>
  </w:style>
  <w:style w:type="character" w:customStyle="1" w:styleId="QuestionChar1">
    <w:name w:val="Question Char1"/>
    <w:basedOn w:val="DefaultParagraphFont"/>
    <w:rsid w:val="00967BCF"/>
    <w:rPr>
      <w:b/>
      <w:bCs/>
      <w:sz w:val="24"/>
      <w:szCs w:val="24"/>
      <w:lang w:val="en-US" w:eastAsia="en-US" w:bidi="ar-SA"/>
    </w:rPr>
  </w:style>
  <w:style w:type="paragraph" w:customStyle="1" w:styleId="AutoNumBodyCharCharCharChar">
    <w:name w:val="AutoNum Body Char Char Char Char"/>
    <w:basedOn w:val="Normal"/>
    <w:link w:val="AutoNumBodyCharCharCharCharChar"/>
    <w:autoRedefine/>
    <w:qFormat/>
    <w:rsid w:val="00BB1C29"/>
    <w:pPr>
      <w:widowControl w:val="0"/>
      <w:ind w:left="1440"/>
      <w:jc w:val="left"/>
    </w:pPr>
    <w:rPr>
      <w:color w:val="000000"/>
    </w:rPr>
  </w:style>
  <w:style w:type="character" w:customStyle="1" w:styleId="AutoNumBodyCharCharCharCharChar">
    <w:name w:val="AutoNum Body Char Char Char Char Char"/>
    <w:basedOn w:val="DefaultParagraphFont"/>
    <w:link w:val="AutoNumBodyCharCharCharChar"/>
    <w:rsid w:val="00BB1C29"/>
    <w:rPr>
      <w:color w:val="000000"/>
      <w:sz w:val="24"/>
      <w:szCs w:val="24"/>
    </w:rPr>
  </w:style>
  <w:style w:type="character" w:customStyle="1" w:styleId="HeaderChar">
    <w:name w:val="Header Char"/>
    <w:basedOn w:val="DefaultParagraphFont"/>
    <w:link w:val="Header"/>
    <w:locked/>
    <w:rsid w:val="00C86949"/>
    <w:rPr>
      <w:sz w:val="24"/>
      <w:szCs w:val="24"/>
    </w:rPr>
  </w:style>
</w:styles>
</file>

<file path=word/webSettings.xml><?xml version="1.0" encoding="utf-8"?>
<w:webSettings xmlns:r="http://schemas.openxmlformats.org/officeDocument/2006/relationships" xmlns:w="http://schemas.openxmlformats.org/wordprocessingml/2006/main">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865172140">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2011-09-30T07:00:00+00:00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12B74BD-21DB-40C8-845D-76EDE29C7ECE}"/>
</file>

<file path=customXml/itemProps2.xml><?xml version="1.0" encoding="utf-8"?>
<ds:datastoreItem xmlns:ds="http://schemas.openxmlformats.org/officeDocument/2006/customXml" ds:itemID="{3189DBBE-97A5-44AB-A990-C7B8040F466C}"/>
</file>

<file path=customXml/itemProps3.xml><?xml version="1.0" encoding="utf-8"?>
<ds:datastoreItem xmlns:ds="http://schemas.openxmlformats.org/officeDocument/2006/customXml" ds:itemID="{AB14E879-52D3-47E8-AC54-7E4AF77A3C63}"/>
</file>

<file path=customXml/itemProps4.xml><?xml version="1.0" encoding="utf-8"?>
<ds:datastoreItem xmlns:ds="http://schemas.openxmlformats.org/officeDocument/2006/customXml" ds:itemID="{F2DCE9FC-EB3C-4D7A-869F-48A5588BABCF}"/>
</file>

<file path=customXml/itemProps5.xml><?xml version="1.0" encoding="utf-8"?>
<ds:datastoreItem xmlns:ds="http://schemas.openxmlformats.org/officeDocument/2006/customXml" ds:itemID="{D63DE050-4A86-491A-8AC9-9CA9EBF31123}"/>
</file>

<file path=docProps/app.xml><?xml version="1.0" encoding="utf-8"?>
<Properties xmlns="http://schemas.openxmlformats.org/officeDocument/2006/extended-properties" xmlns:vt="http://schemas.openxmlformats.org/officeDocument/2006/docPropsVTypes">
  <Template>Normal.dotm</Template>
  <TotalTime>0</TotalTime>
  <Pages>20</Pages>
  <Words>4369</Words>
  <Characters>25270</Characters>
  <Application>Microsoft Office Word</Application>
  <DocSecurity>0</DocSecurity>
  <Lines>210</Lines>
  <Paragraphs>59</Paragraphs>
  <ScaleCrop>false</ScaleCrop>
  <Company/>
  <LinksUpToDate>false</LinksUpToDate>
  <CharactersWithSpaces>29580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2011-09-30T18:26:00Z</dcterms:created>
  <dcterms:modified xsi:type="dcterms:W3CDTF">2011-09-30T18:26:00Z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