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211E0A" w14:textId="7123D680" w:rsidR="008A4054" w:rsidRPr="005440CF" w:rsidRDefault="00657DEE" w:rsidP="00FF75F4">
      <w:r w:rsidRPr="005440CF">
        <w:t>Agenda Date:</w:t>
      </w:r>
      <w:r w:rsidRPr="005440CF">
        <w:tab/>
      </w:r>
      <w:r w:rsidR="00744C90" w:rsidRPr="005440CF">
        <w:tab/>
      </w:r>
      <w:r w:rsidR="0081033E">
        <w:t>January 26</w:t>
      </w:r>
      <w:r w:rsidR="008A4054" w:rsidRPr="005440CF">
        <w:t>, 201</w:t>
      </w:r>
      <w:r w:rsidR="00EB25D0">
        <w:t>7</w:t>
      </w:r>
    </w:p>
    <w:p w14:paraId="1121CBA8" w14:textId="77777777" w:rsidR="00DF6ADE" w:rsidRDefault="00DF6ADE" w:rsidP="00FF75F4"/>
    <w:p w14:paraId="2F211E0B" w14:textId="384299F9" w:rsidR="00657DEE" w:rsidRPr="005440CF" w:rsidRDefault="00657DEE" w:rsidP="00FF75F4">
      <w:r w:rsidRPr="005440CF">
        <w:t>Item Number</w:t>
      </w:r>
      <w:r w:rsidR="003F2771">
        <w:t>s</w:t>
      </w:r>
      <w:r w:rsidRPr="005440CF">
        <w:t>:</w:t>
      </w:r>
      <w:r w:rsidRPr="005440CF">
        <w:tab/>
      </w:r>
      <w:r w:rsidR="008716A1">
        <w:t>A</w:t>
      </w:r>
      <w:r w:rsidR="00462D91" w:rsidRPr="00BA780E">
        <w:t>1</w:t>
      </w:r>
      <w:r w:rsidR="00DF6ADE" w:rsidRPr="00BA780E">
        <w:t xml:space="preserve"> </w:t>
      </w:r>
      <w:r w:rsidR="0066077A" w:rsidRPr="00BA780E">
        <w:t xml:space="preserve">and </w:t>
      </w:r>
      <w:r w:rsidR="008716A1">
        <w:t>A</w:t>
      </w:r>
      <w:r w:rsidR="00701C72">
        <w:t>4</w:t>
      </w:r>
    </w:p>
    <w:p w14:paraId="2F211E0C" w14:textId="77777777" w:rsidR="00657DEE" w:rsidRPr="005440CF" w:rsidRDefault="00657DEE" w:rsidP="00FF75F4"/>
    <w:p w14:paraId="2F211E0D" w14:textId="782BC566" w:rsidR="00657DEE" w:rsidRDefault="00657DEE" w:rsidP="002C648F">
      <w:pPr>
        <w:rPr>
          <w:b/>
        </w:rPr>
      </w:pPr>
      <w:r w:rsidRPr="00204A52">
        <w:rPr>
          <w:b/>
        </w:rPr>
        <w:t>Docket</w:t>
      </w:r>
      <w:r w:rsidR="00E04F57">
        <w:rPr>
          <w:b/>
        </w:rPr>
        <w:t>s</w:t>
      </w:r>
      <w:r w:rsidR="002C648F">
        <w:rPr>
          <w:b/>
        </w:rPr>
        <w:t>:</w:t>
      </w:r>
      <w:r w:rsidR="002C648F">
        <w:rPr>
          <w:b/>
        </w:rPr>
        <w:tab/>
      </w:r>
      <w:r w:rsidR="002C648F">
        <w:rPr>
          <w:b/>
        </w:rPr>
        <w:tab/>
      </w:r>
      <w:r w:rsidR="003B26AE">
        <w:rPr>
          <w:b/>
        </w:rPr>
        <w:t>UE-1</w:t>
      </w:r>
      <w:r w:rsidR="00C73105">
        <w:rPr>
          <w:b/>
        </w:rPr>
        <w:t>52058</w:t>
      </w:r>
      <w:r w:rsidR="003B26AE">
        <w:rPr>
          <w:b/>
        </w:rPr>
        <w:t xml:space="preserve"> </w:t>
      </w:r>
    </w:p>
    <w:p w14:paraId="4FCF3EEE" w14:textId="71A91B25" w:rsidR="00602EC4" w:rsidRPr="00204A52" w:rsidRDefault="00602EC4" w:rsidP="002C648F">
      <w:pPr>
        <w:rPr>
          <w:b/>
        </w:rPr>
      </w:pPr>
      <w:r>
        <w:rPr>
          <w:b/>
        </w:rPr>
        <w:tab/>
      </w:r>
      <w:r>
        <w:rPr>
          <w:b/>
        </w:rPr>
        <w:tab/>
      </w:r>
      <w:r>
        <w:rPr>
          <w:b/>
        </w:rPr>
        <w:tab/>
        <w:t>UG-152075</w:t>
      </w:r>
    </w:p>
    <w:p w14:paraId="2F211E0E" w14:textId="77777777" w:rsidR="00040CE3" w:rsidRDefault="00040CE3" w:rsidP="00FF75F4"/>
    <w:p w14:paraId="2F211E0F" w14:textId="05696031" w:rsidR="00657DEE" w:rsidRPr="005440CF" w:rsidRDefault="00657DEE" w:rsidP="00FF75F4">
      <w:r w:rsidRPr="005440CF">
        <w:t>Company:</w:t>
      </w:r>
      <w:r w:rsidRPr="005440CF">
        <w:tab/>
      </w:r>
      <w:r w:rsidRPr="005440CF">
        <w:tab/>
      </w:r>
      <w:r w:rsidR="00E239BC">
        <w:rPr>
          <w:b/>
        </w:rPr>
        <w:t xml:space="preserve">Puget Sound </w:t>
      </w:r>
      <w:r w:rsidR="00FD7AB8" w:rsidRPr="00FD7AB8">
        <w:rPr>
          <w:b/>
        </w:rPr>
        <w:t>Energy</w:t>
      </w:r>
    </w:p>
    <w:p w14:paraId="2F211E10" w14:textId="77777777" w:rsidR="00657DEE" w:rsidRPr="005440CF" w:rsidRDefault="00657DEE" w:rsidP="00FF75F4"/>
    <w:p w14:paraId="14CEC416" w14:textId="5EB4EF1E" w:rsidR="00C73105" w:rsidRDefault="00657DEE" w:rsidP="00FF75F4">
      <w:r w:rsidRPr="005440CF">
        <w:t>Staff:</w:t>
      </w:r>
      <w:r w:rsidRPr="005440CF">
        <w:tab/>
      </w:r>
      <w:r w:rsidRPr="005440CF">
        <w:tab/>
      </w:r>
      <w:r w:rsidRPr="005440CF">
        <w:tab/>
      </w:r>
      <w:r w:rsidR="00C73105">
        <w:t>Jennifer Snyder, Regulatory Analyst</w:t>
      </w:r>
      <w:r w:rsidR="00C73105">
        <w:tab/>
      </w:r>
    </w:p>
    <w:p w14:paraId="2F211E12" w14:textId="77777777" w:rsidR="001923BA" w:rsidRPr="005440CF" w:rsidRDefault="003B26AE" w:rsidP="00FF75F4">
      <w:r>
        <w:tab/>
      </w:r>
      <w:r>
        <w:tab/>
      </w:r>
      <w:r>
        <w:tab/>
      </w:r>
      <w:r w:rsidR="00D75C47">
        <w:tab/>
      </w:r>
      <w:r w:rsidR="00D75C47">
        <w:tab/>
      </w:r>
    </w:p>
    <w:p w14:paraId="2F211E13" w14:textId="77777777" w:rsidR="009363BA" w:rsidRPr="00CD74CC" w:rsidRDefault="00BF3D13" w:rsidP="00204A52">
      <w:pPr>
        <w:pStyle w:val="Heading1"/>
        <w:rPr>
          <w:u w:val="single"/>
        </w:rPr>
      </w:pPr>
      <w:r w:rsidRPr="00CD74CC">
        <w:rPr>
          <w:u w:val="single"/>
        </w:rPr>
        <w:t>Recommendation</w:t>
      </w:r>
    </w:p>
    <w:p w14:paraId="3A8BCFF8" w14:textId="05E02692" w:rsidR="00602EC4" w:rsidRPr="00602EC4" w:rsidRDefault="00602EC4" w:rsidP="005A60BD">
      <w:pPr>
        <w:pStyle w:val="Heading1"/>
        <w:rPr>
          <w:b w:val="0"/>
        </w:rPr>
      </w:pPr>
      <w:r w:rsidRPr="00602EC4">
        <w:rPr>
          <w:b w:val="0"/>
        </w:rPr>
        <w:t xml:space="preserve">Take no action, acknowledging timely receipt of the 2017 Annual Conservation Plan on November </w:t>
      </w:r>
      <w:r>
        <w:rPr>
          <w:b w:val="0"/>
        </w:rPr>
        <w:t>14</w:t>
      </w:r>
      <w:r w:rsidRPr="00602EC4">
        <w:rPr>
          <w:b w:val="0"/>
        </w:rPr>
        <w:t>, 201</w:t>
      </w:r>
      <w:r>
        <w:rPr>
          <w:b w:val="0"/>
        </w:rPr>
        <w:t>6</w:t>
      </w:r>
      <w:r w:rsidRPr="00602EC4">
        <w:rPr>
          <w:b w:val="0"/>
        </w:rPr>
        <w:t xml:space="preserve">, in Dockets UE-152058 and UG-152075.  </w:t>
      </w:r>
    </w:p>
    <w:p w14:paraId="2F211E15" w14:textId="20B62866" w:rsidR="000F05C4" w:rsidRPr="00CD74CC" w:rsidRDefault="00CA5322" w:rsidP="005A60BD">
      <w:pPr>
        <w:pStyle w:val="Heading1"/>
        <w:rPr>
          <w:u w:val="single"/>
        </w:rPr>
      </w:pPr>
      <w:r>
        <w:rPr>
          <w:u w:val="single"/>
        </w:rPr>
        <w:t>Background</w:t>
      </w:r>
    </w:p>
    <w:p w14:paraId="168B5E9D" w14:textId="70B9E1FD" w:rsidR="00602EC4" w:rsidRPr="007B20FB" w:rsidRDefault="00602EC4" w:rsidP="00602EC4">
      <w:r w:rsidRPr="00614100">
        <w:t xml:space="preserve">Puget Sound Energy (PSE or company) currently operates its electric energy efficiency programs under conditions approved by the Washington Utilities and Transportation Commission (commission) pursuant </w:t>
      </w:r>
      <w:r w:rsidRPr="0066077A">
        <w:t>to RCW 19.285 and WAC 480-109,</w:t>
      </w:r>
      <w:r w:rsidRPr="0066077A">
        <w:rPr>
          <w:rStyle w:val="FootnoteReference"/>
        </w:rPr>
        <w:footnoteReference w:id="1"/>
      </w:r>
      <w:r w:rsidRPr="0066077A">
        <w:t xml:space="preserve"> and operates its natural gas conservation programs under a previous settlement.</w:t>
      </w:r>
      <w:r w:rsidRPr="0066077A">
        <w:rPr>
          <w:rStyle w:val="FootnoteReference"/>
        </w:rPr>
        <w:footnoteReference w:id="2"/>
      </w:r>
      <w:r w:rsidRPr="0066077A">
        <w:t xml:space="preserve"> </w:t>
      </w:r>
      <w:r w:rsidRPr="007B20FB">
        <w:t>The company’s 201</w:t>
      </w:r>
      <w:r w:rsidR="007B20FB" w:rsidRPr="007B20FB">
        <w:t>6</w:t>
      </w:r>
      <w:r w:rsidRPr="007B20FB">
        <w:t>-201</w:t>
      </w:r>
      <w:r w:rsidR="007B20FB" w:rsidRPr="007B20FB">
        <w:t>7</w:t>
      </w:r>
      <w:r w:rsidRPr="007B20FB">
        <w:t xml:space="preserve"> biennial electric conservation target is </w:t>
      </w:r>
      <w:r w:rsidR="007B20FB" w:rsidRPr="007B20FB">
        <w:t>537,078</w:t>
      </w:r>
      <w:r w:rsidRPr="007B20FB">
        <w:t xml:space="preserve"> MWh</w:t>
      </w:r>
      <w:r w:rsidRPr="00602EC4">
        <w:rPr>
          <w:color w:val="FF0000"/>
        </w:rPr>
        <w:t xml:space="preserve"> </w:t>
      </w:r>
      <w:r w:rsidRPr="007B20FB">
        <w:t>and 201</w:t>
      </w:r>
      <w:r w:rsidR="007B20FB" w:rsidRPr="007B20FB">
        <w:t>6</w:t>
      </w:r>
      <w:r w:rsidRPr="007B20FB">
        <w:t>-201</w:t>
      </w:r>
      <w:r w:rsidR="007B20FB" w:rsidRPr="007B20FB">
        <w:t>7</w:t>
      </w:r>
      <w:r w:rsidRPr="007B20FB">
        <w:t xml:space="preserve"> biennial natural gas target is 6.9</w:t>
      </w:r>
      <w:r w:rsidR="007B20FB" w:rsidRPr="007B20FB">
        <w:t>6</w:t>
      </w:r>
      <w:r w:rsidRPr="007B20FB">
        <w:t xml:space="preserve"> million therms.</w:t>
      </w:r>
      <w:r w:rsidRPr="007B20FB">
        <w:rPr>
          <w:rStyle w:val="FootnoteReference"/>
        </w:rPr>
        <w:footnoteReference w:id="3"/>
      </w:r>
      <w:r w:rsidRPr="007B20FB">
        <w:t xml:space="preserve"> </w:t>
      </w:r>
    </w:p>
    <w:p w14:paraId="7BB97410" w14:textId="77777777" w:rsidR="00602EC4" w:rsidRPr="005B36F8" w:rsidRDefault="00602EC4" w:rsidP="00602EC4"/>
    <w:p w14:paraId="2F211E16" w14:textId="72265594" w:rsidR="00CE51EA" w:rsidRPr="00C61113" w:rsidRDefault="00C40BED" w:rsidP="000F05C4">
      <w:pPr>
        <w:rPr>
          <w:color w:val="FF0000"/>
          <w:highlight w:val="yellow"/>
        </w:rPr>
      </w:pPr>
      <w:r w:rsidRPr="004B4ED5">
        <w:t xml:space="preserve">On </w:t>
      </w:r>
      <w:r w:rsidR="00C61113">
        <w:t>November 14</w:t>
      </w:r>
      <w:r w:rsidR="00C73105">
        <w:t>, 201</w:t>
      </w:r>
      <w:r w:rsidR="00C61113">
        <w:t>6</w:t>
      </w:r>
      <w:r w:rsidRPr="004B4ED5">
        <w:t xml:space="preserve">, PSE </w:t>
      </w:r>
      <w:r w:rsidR="00602EC4" w:rsidRPr="00602EC4">
        <w:t xml:space="preserve">timely </w:t>
      </w:r>
      <w:r w:rsidRPr="004B4ED5">
        <w:t>filed its “201</w:t>
      </w:r>
      <w:r w:rsidR="00C73105">
        <w:t>7</w:t>
      </w:r>
      <w:r w:rsidRPr="004B4ED5">
        <w:t xml:space="preserve"> </w:t>
      </w:r>
      <w:r w:rsidR="000E7853">
        <w:t>Annual</w:t>
      </w:r>
      <w:r w:rsidRPr="004B4ED5">
        <w:t xml:space="preserve"> Conservation Plan”</w:t>
      </w:r>
      <w:r w:rsidR="00CB3FE8" w:rsidRPr="004B4ED5">
        <w:t xml:space="preserve"> (</w:t>
      </w:r>
      <w:r w:rsidR="00C61113">
        <w:t>A</w:t>
      </w:r>
      <w:r w:rsidR="00CB3FE8" w:rsidRPr="004B4ED5">
        <w:t>CP</w:t>
      </w:r>
      <w:r w:rsidR="00CD74CC">
        <w:t xml:space="preserve"> or Plan</w:t>
      </w:r>
      <w:r w:rsidR="00CB3FE8" w:rsidRPr="004B4ED5">
        <w:t>)</w:t>
      </w:r>
      <w:r w:rsidR="00CD74CC">
        <w:t xml:space="preserve"> with the Washington Utilities and Transportation Commission </w:t>
      </w:r>
      <w:r w:rsidR="001363A7">
        <w:t>under Docket</w:t>
      </w:r>
      <w:r w:rsidR="00602EC4">
        <w:t>s</w:t>
      </w:r>
      <w:r w:rsidR="001363A7">
        <w:t xml:space="preserve"> UE-1</w:t>
      </w:r>
      <w:r w:rsidR="00C73105">
        <w:t>52058</w:t>
      </w:r>
      <w:r w:rsidR="00602EC4">
        <w:t xml:space="preserve"> and UG-152075</w:t>
      </w:r>
      <w:r w:rsidR="00CD3FC6">
        <w:t xml:space="preserve">. </w:t>
      </w:r>
      <w:r w:rsidR="00602EC4" w:rsidRPr="0066077A">
        <w:t xml:space="preserve">Although PSE is only required to file its annual electric ACP by December 1 per commission order, the company filed a combined electric and natural gas ACP to support consistent review of both portfolios. </w:t>
      </w:r>
    </w:p>
    <w:p w14:paraId="2F211E19" w14:textId="77777777" w:rsidR="00604FFF" w:rsidRPr="00C61113" w:rsidRDefault="00604FFF" w:rsidP="00604FFF">
      <w:pPr>
        <w:rPr>
          <w:color w:val="FF0000"/>
          <w:highlight w:val="yellow"/>
        </w:rPr>
      </w:pPr>
    </w:p>
    <w:p w14:paraId="52EE9960" w14:textId="7CF974B4" w:rsidR="00294540" w:rsidRPr="000E7853" w:rsidRDefault="00B90DC3" w:rsidP="00604FFF">
      <w:r w:rsidRPr="000E7853">
        <w:t xml:space="preserve">PSE serves approximately </w:t>
      </w:r>
      <w:r w:rsidRPr="0066077A">
        <w:t>1.</w:t>
      </w:r>
      <w:r w:rsidR="0066077A" w:rsidRPr="0066077A">
        <w:t>1</w:t>
      </w:r>
      <w:r w:rsidR="00604FFF" w:rsidRPr="0066077A">
        <w:t xml:space="preserve"> </w:t>
      </w:r>
      <w:r w:rsidR="00604FFF" w:rsidRPr="000E7853">
        <w:t>million electric customers in Island, King, Kitsap, Kittitas, Pierce, Skagit</w:t>
      </w:r>
      <w:r w:rsidR="00EC23E9">
        <w:t>, Thurston and Whatcom counties</w:t>
      </w:r>
      <w:r w:rsidR="00604FFF" w:rsidRPr="000E7853">
        <w:t xml:space="preserve"> </w:t>
      </w:r>
      <w:r w:rsidR="00EC23E9">
        <w:t>and</w:t>
      </w:r>
      <w:r w:rsidR="00EC23E9" w:rsidRPr="00EC23E9">
        <w:t xml:space="preserve"> approximately 790,000 natural gas customers in King, Kittitas, Lewis, Pierce, Snohomish and Thurston counties.</w:t>
      </w:r>
    </w:p>
    <w:p w14:paraId="2F211E1B" w14:textId="77777777" w:rsidR="00604FFF" w:rsidRDefault="00604FFF" w:rsidP="00520CC1">
      <w:pPr>
        <w:rPr>
          <w:highlight w:val="yellow"/>
        </w:rPr>
      </w:pPr>
    </w:p>
    <w:p w14:paraId="5B8EA9AA" w14:textId="77777777" w:rsidR="00BA780E" w:rsidRPr="00B650C7" w:rsidRDefault="00BA780E" w:rsidP="00520CC1">
      <w:pPr>
        <w:rPr>
          <w:highlight w:val="yellow"/>
        </w:rPr>
      </w:pPr>
    </w:p>
    <w:p w14:paraId="53370A8C" w14:textId="77777777" w:rsidR="008716A1" w:rsidRDefault="008716A1" w:rsidP="00602EC4">
      <w:pPr>
        <w:rPr>
          <w:b/>
          <w:u w:val="single"/>
        </w:rPr>
      </w:pPr>
    </w:p>
    <w:p w14:paraId="019C70C8" w14:textId="77777777" w:rsidR="008716A1" w:rsidRDefault="008716A1" w:rsidP="00602EC4">
      <w:pPr>
        <w:rPr>
          <w:b/>
          <w:u w:val="single"/>
        </w:rPr>
      </w:pPr>
    </w:p>
    <w:p w14:paraId="699F6CEA" w14:textId="77777777" w:rsidR="008716A1" w:rsidRDefault="008716A1" w:rsidP="00602EC4">
      <w:pPr>
        <w:rPr>
          <w:b/>
          <w:u w:val="single"/>
        </w:rPr>
      </w:pPr>
      <w:bookmarkStart w:id="0" w:name="_GoBack"/>
      <w:bookmarkEnd w:id="0"/>
    </w:p>
    <w:p w14:paraId="525AE9D5" w14:textId="77777777" w:rsidR="00602EC4" w:rsidRPr="0081033E" w:rsidRDefault="00602EC4" w:rsidP="00602EC4">
      <w:pPr>
        <w:rPr>
          <w:b/>
          <w:u w:val="single"/>
        </w:rPr>
      </w:pPr>
      <w:r w:rsidRPr="0081033E">
        <w:rPr>
          <w:b/>
          <w:u w:val="single"/>
        </w:rPr>
        <w:t>Discussion</w:t>
      </w:r>
    </w:p>
    <w:p w14:paraId="04C982F3" w14:textId="77777777" w:rsidR="00602EC4" w:rsidRPr="00602EC4" w:rsidRDefault="00602EC4" w:rsidP="00602EC4">
      <w:pPr>
        <w:rPr>
          <w:b/>
          <w:color w:val="F79646" w:themeColor="accent6"/>
        </w:rPr>
      </w:pPr>
    </w:p>
    <w:p w14:paraId="41B14D57" w14:textId="32B78B10" w:rsidR="00602EC4" w:rsidRPr="008E41B9" w:rsidRDefault="00602EC4" w:rsidP="00602EC4">
      <w:pPr>
        <w:rPr>
          <w:rFonts w:eastAsia="Calibri"/>
          <w:highlight w:val="yellow"/>
        </w:rPr>
      </w:pPr>
      <w:r w:rsidRPr="00F62194">
        <w:rPr>
          <w:b/>
          <w:i/>
        </w:rPr>
        <w:t xml:space="preserve">Electric Conservation Budget. </w:t>
      </w:r>
      <w:r w:rsidRPr="00476276">
        <w:rPr>
          <w:rFonts w:eastAsia="Calibri"/>
        </w:rPr>
        <w:t xml:space="preserve">PSE proposes a </w:t>
      </w:r>
      <w:r w:rsidR="00476276" w:rsidRPr="00476276">
        <w:rPr>
          <w:rFonts w:eastAsia="Calibri"/>
        </w:rPr>
        <w:t>5</w:t>
      </w:r>
      <w:r w:rsidRPr="00476276">
        <w:rPr>
          <w:rFonts w:eastAsia="Calibri"/>
        </w:rPr>
        <w:t xml:space="preserve"> percent increase in its annual electric conservation budget, increasing from $</w:t>
      </w:r>
      <w:r w:rsidR="00476276" w:rsidRPr="00476276">
        <w:rPr>
          <w:rFonts w:eastAsia="Calibri"/>
        </w:rPr>
        <w:t>98.6</w:t>
      </w:r>
      <w:r w:rsidRPr="00476276">
        <w:rPr>
          <w:rFonts w:eastAsia="Calibri"/>
        </w:rPr>
        <w:t xml:space="preserve"> million to $</w:t>
      </w:r>
      <w:r w:rsidR="00476276" w:rsidRPr="00476276">
        <w:rPr>
          <w:rFonts w:eastAsia="Calibri"/>
        </w:rPr>
        <w:t>103.5</w:t>
      </w:r>
      <w:r w:rsidRPr="00476276">
        <w:rPr>
          <w:rFonts w:eastAsia="Calibri"/>
        </w:rPr>
        <w:t xml:space="preserve"> million. </w:t>
      </w:r>
      <w:r w:rsidRPr="008E41B9">
        <w:rPr>
          <w:rFonts w:eastAsia="Calibri"/>
        </w:rPr>
        <w:t>The table below summarizes the 201</w:t>
      </w:r>
      <w:r w:rsidR="008E41B9" w:rsidRPr="008E41B9">
        <w:rPr>
          <w:rFonts w:eastAsia="Calibri"/>
        </w:rPr>
        <w:t>6</w:t>
      </w:r>
      <w:r w:rsidRPr="008E41B9">
        <w:rPr>
          <w:rFonts w:eastAsia="Calibri"/>
        </w:rPr>
        <w:t xml:space="preserve"> and 201</w:t>
      </w:r>
      <w:r w:rsidR="008E41B9" w:rsidRPr="008E41B9">
        <w:rPr>
          <w:rFonts w:eastAsia="Calibri"/>
        </w:rPr>
        <w:t>7</w:t>
      </w:r>
      <w:r w:rsidRPr="008E41B9">
        <w:rPr>
          <w:rFonts w:eastAsia="Calibri"/>
        </w:rPr>
        <w:t xml:space="preserve"> budgets by program.</w:t>
      </w:r>
    </w:p>
    <w:p w14:paraId="359F719C" w14:textId="77777777" w:rsidR="00602EC4" w:rsidRPr="00F62194" w:rsidRDefault="00602EC4" w:rsidP="00602EC4">
      <w:pPr>
        <w:rPr>
          <w:rFonts w:eastAsia="Calibri"/>
          <w:highlight w:val="yellow"/>
        </w:rPr>
      </w:pPr>
    </w:p>
    <w:tbl>
      <w:tblPr>
        <w:tblW w:w="9018" w:type="dxa"/>
        <w:tblBorders>
          <w:top w:val="single" w:sz="12" w:space="0" w:color="000000"/>
          <w:bottom w:val="single" w:sz="12" w:space="0" w:color="000000"/>
          <w:insideH w:val="single" w:sz="6" w:space="0" w:color="000000"/>
        </w:tblBorders>
        <w:tblLook w:val="04A0" w:firstRow="1" w:lastRow="0" w:firstColumn="1" w:lastColumn="0" w:noHBand="0" w:noVBand="1"/>
      </w:tblPr>
      <w:tblGrid>
        <w:gridCol w:w="3168"/>
        <w:gridCol w:w="1980"/>
        <w:gridCol w:w="1980"/>
        <w:gridCol w:w="1890"/>
      </w:tblGrid>
      <w:tr w:rsidR="00F62194" w:rsidRPr="00F62194" w14:paraId="7F90EACB" w14:textId="77777777" w:rsidTr="00BC1589">
        <w:trPr>
          <w:trHeight w:val="279"/>
        </w:trPr>
        <w:tc>
          <w:tcPr>
            <w:tcW w:w="3168" w:type="dxa"/>
            <w:tcBorders>
              <w:top w:val="single" w:sz="12" w:space="0" w:color="000000"/>
              <w:left w:val="nil"/>
              <w:bottom w:val="single" w:sz="12" w:space="0" w:color="000000"/>
              <w:right w:val="nil"/>
            </w:tcBorders>
            <w:hideMark/>
          </w:tcPr>
          <w:p w14:paraId="40D62E2F" w14:textId="77777777" w:rsidR="00602EC4" w:rsidRPr="00F62194" w:rsidRDefault="00602EC4" w:rsidP="00BC1589">
            <w:pPr>
              <w:rPr>
                <w:b/>
                <w:bCs/>
              </w:rPr>
            </w:pPr>
            <w:r w:rsidRPr="00F62194">
              <w:rPr>
                <w:b/>
                <w:bCs/>
              </w:rPr>
              <w:t>Electric Program Budgets</w:t>
            </w:r>
          </w:p>
        </w:tc>
        <w:tc>
          <w:tcPr>
            <w:tcW w:w="1980" w:type="dxa"/>
            <w:tcBorders>
              <w:top w:val="single" w:sz="12" w:space="0" w:color="000000"/>
              <w:left w:val="nil"/>
              <w:bottom w:val="single" w:sz="12" w:space="0" w:color="000000"/>
              <w:right w:val="nil"/>
            </w:tcBorders>
            <w:hideMark/>
          </w:tcPr>
          <w:p w14:paraId="73B6A9F9" w14:textId="5A696748" w:rsidR="00602EC4" w:rsidRPr="00F62194" w:rsidRDefault="00602EC4" w:rsidP="00F62194">
            <w:pPr>
              <w:jc w:val="right"/>
              <w:rPr>
                <w:b/>
                <w:bCs/>
              </w:rPr>
            </w:pPr>
            <w:r w:rsidRPr="00F62194">
              <w:rPr>
                <w:b/>
                <w:bCs/>
              </w:rPr>
              <w:t>201</w:t>
            </w:r>
            <w:r w:rsidR="00F62194" w:rsidRPr="00F62194">
              <w:rPr>
                <w:b/>
                <w:bCs/>
              </w:rPr>
              <w:t>6</w:t>
            </w:r>
            <w:r w:rsidRPr="00F62194">
              <w:rPr>
                <w:b/>
                <w:bCs/>
              </w:rPr>
              <w:t xml:space="preserve"> Budget</w:t>
            </w:r>
          </w:p>
        </w:tc>
        <w:tc>
          <w:tcPr>
            <w:tcW w:w="1980" w:type="dxa"/>
            <w:tcBorders>
              <w:top w:val="single" w:sz="12" w:space="0" w:color="000000"/>
              <w:left w:val="nil"/>
              <w:bottom w:val="single" w:sz="12" w:space="0" w:color="000000"/>
              <w:right w:val="nil"/>
            </w:tcBorders>
            <w:hideMark/>
          </w:tcPr>
          <w:p w14:paraId="41A39AAF" w14:textId="1CA85439" w:rsidR="00602EC4" w:rsidRPr="00F62194" w:rsidRDefault="00602EC4" w:rsidP="00F62194">
            <w:pPr>
              <w:jc w:val="right"/>
              <w:rPr>
                <w:b/>
                <w:bCs/>
              </w:rPr>
            </w:pPr>
            <w:r w:rsidRPr="00F62194">
              <w:rPr>
                <w:b/>
                <w:bCs/>
              </w:rPr>
              <w:t>201</w:t>
            </w:r>
            <w:r w:rsidR="00F62194" w:rsidRPr="00F62194">
              <w:rPr>
                <w:b/>
                <w:bCs/>
              </w:rPr>
              <w:t>7</w:t>
            </w:r>
            <w:r w:rsidRPr="00F62194">
              <w:rPr>
                <w:b/>
                <w:bCs/>
              </w:rPr>
              <w:t xml:space="preserve"> Budget</w:t>
            </w:r>
          </w:p>
        </w:tc>
        <w:tc>
          <w:tcPr>
            <w:tcW w:w="1890" w:type="dxa"/>
            <w:tcBorders>
              <w:top w:val="single" w:sz="12" w:space="0" w:color="000000"/>
              <w:left w:val="nil"/>
              <w:bottom w:val="single" w:sz="12" w:space="0" w:color="000000"/>
              <w:right w:val="nil"/>
            </w:tcBorders>
            <w:hideMark/>
          </w:tcPr>
          <w:p w14:paraId="3C7214B3" w14:textId="0EAE2E66" w:rsidR="00602EC4" w:rsidRPr="00F62194" w:rsidRDefault="00602EC4" w:rsidP="00F62194">
            <w:pPr>
              <w:jc w:val="right"/>
              <w:rPr>
                <w:b/>
                <w:bCs/>
              </w:rPr>
            </w:pPr>
            <w:r w:rsidRPr="00F62194">
              <w:rPr>
                <w:b/>
                <w:bCs/>
              </w:rPr>
              <w:t>201</w:t>
            </w:r>
            <w:r w:rsidR="00F62194" w:rsidRPr="00F62194">
              <w:rPr>
                <w:b/>
                <w:bCs/>
              </w:rPr>
              <w:t>7</w:t>
            </w:r>
            <w:r w:rsidRPr="00F62194">
              <w:rPr>
                <w:b/>
                <w:bCs/>
              </w:rPr>
              <w:t xml:space="preserve"> Change</w:t>
            </w:r>
          </w:p>
        </w:tc>
      </w:tr>
      <w:tr w:rsidR="00F41765" w:rsidRPr="00602EC4" w14:paraId="05898934" w14:textId="77777777" w:rsidTr="00BC1589">
        <w:trPr>
          <w:trHeight w:val="291"/>
        </w:trPr>
        <w:tc>
          <w:tcPr>
            <w:tcW w:w="3168" w:type="dxa"/>
            <w:tcBorders>
              <w:top w:val="single" w:sz="6" w:space="0" w:color="000000"/>
              <w:left w:val="nil"/>
              <w:bottom w:val="single" w:sz="6" w:space="0" w:color="000000"/>
              <w:right w:val="nil"/>
            </w:tcBorders>
          </w:tcPr>
          <w:p w14:paraId="758C70CB" w14:textId="77777777" w:rsidR="00F41765" w:rsidRPr="00D477B0" w:rsidRDefault="00F41765" w:rsidP="00F41765">
            <w:r w:rsidRPr="00D477B0">
              <w:t>Residential</w:t>
            </w:r>
          </w:p>
        </w:tc>
        <w:tc>
          <w:tcPr>
            <w:tcW w:w="1980" w:type="dxa"/>
            <w:tcBorders>
              <w:top w:val="single" w:sz="6" w:space="0" w:color="000000"/>
              <w:left w:val="nil"/>
              <w:bottom w:val="single" w:sz="6" w:space="0" w:color="000000"/>
              <w:right w:val="nil"/>
            </w:tcBorders>
          </w:tcPr>
          <w:p w14:paraId="27D0101D" w14:textId="34F1FD12" w:rsidR="00F41765" w:rsidRPr="00D477B0" w:rsidRDefault="00F41765" w:rsidP="00F41765">
            <w:pPr>
              <w:jc w:val="right"/>
            </w:pPr>
            <w:r w:rsidRPr="00D477B0">
              <w:t>$45,475,966</w:t>
            </w:r>
          </w:p>
        </w:tc>
        <w:tc>
          <w:tcPr>
            <w:tcW w:w="1980" w:type="dxa"/>
            <w:tcBorders>
              <w:top w:val="single" w:sz="6" w:space="0" w:color="000000"/>
              <w:left w:val="nil"/>
              <w:bottom w:val="single" w:sz="6" w:space="0" w:color="000000"/>
              <w:right w:val="nil"/>
            </w:tcBorders>
          </w:tcPr>
          <w:p w14:paraId="7406DF74" w14:textId="4C000287" w:rsidR="00F41765" w:rsidRPr="00602EC4" w:rsidRDefault="00F41765" w:rsidP="00F41765">
            <w:pPr>
              <w:jc w:val="right"/>
              <w:rPr>
                <w:color w:val="F79646" w:themeColor="accent6"/>
              </w:rPr>
            </w:pPr>
            <w:r w:rsidRPr="008E41B9">
              <w:t>$43,032,312</w:t>
            </w:r>
          </w:p>
        </w:tc>
        <w:tc>
          <w:tcPr>
            <w:tcW w:w="1890" w:type="dxa"/>
            <w:tcBorders>
              <w:top w:val="single" w:sz="6" w:space="0" w:color="000000"/>
              <w:left w:val="nil"/>
              <w:bottom w:val="single" w:sz="6" w:space="0" w:color="000000"/>
              <w:right w:val="nil"/>
            </w:tcBorders>
          </w:tcPr>
          <w:p w14:paraId="46B76AD0" w14:textId="48F3D89F" w:rsidR="00F41765" w:rsidRPr="00602EC4" w:rsidRDefault="00F41765" w:rsidP="00F41765">
            <w:pPr>
              <w:jc w:val="right"/>
              <w:rPr>
                <w:color w:val="F79646" w:themeColor="accent6"/>
              </w:rPr>
            </w:pPr>
            <w:r w:rsidRPr="009D7DD6">
              <w:t>-5%</w:t>
            </w:r>
          </w:p>
        </w:tc>
      </w:tr>
      <w:tr w:rsidR="00F41765" w:rsidRPr="00602EC4" w14:paraId="75B6391D" w14:textId="77777777" w:rsidTr="00BC1589">
        <w:trPr>
          <w:trHeight w:val="304"/>
        </w:trPr>
        <w:tc>
          <w:tcPr>
            <w:tcW w:w="3168" w:type="dxa"/>
            <w:tcBorders>
              <w:top w:val="single" w:sz="6" w:space="0" w:color="000000"/>
              <w:left w:val="nil"/>
              <w:bottom w:val="single" w:sz="6" w:space="0" w:color="000000"/>
              <w:right w:val="nil"/>
            </w:tcBorders>
          </w:tcPr>
          <w:p w14:paraId="086148FD" w14:textId="77777777" w:rsidR="00F41765" w:rsidRPr="00D477B0" w:rsidRDefault="00F41765" w:rsidP="00F41765">
            <w:pPr>
              <w:rPr>
                <w:i/>
              </w:rPr>
            </w:pPr>
            <w:r w:rsidRPr="00D477B0">
              <w:rPr>
                <w:i/>
              </w:rPr>
              <w:t xml:space="preserve">       Low-income </w:t>
            </w:r>
          </w:p>
        </w:tc>
        <w:tc>
          <w:tcPr>
            <w:tcW w:w="1980" w:type="dxa"/>
            <w:tcBorders>
              <w:top w:val="single" w:sz="6" w:space="0" w:color="000000"/>
              <w:left w:val="nil"/>
              <w:bottom w:val="single" w:sz="6" w:space="0" w:color="000000"/>
              <w:right w:val="nil"/>
            </w:tcBorders>
          </w:tcPr>
          <w:p w14:paraId="1739D520" w14:textId="58F5C767" w:rsidR="00F41765" w:rsidRPr="00D477B0" w:rsidRDefault="00F41765" w:rsidP="00F41765">
            <w:pPr>
              <w:jc w:val="right"/>
              <w:rPr>
                <w:i/>
              </w:rPr>
            </w:pPr>
            <w:r w:rsidRPr="00D477B0">
              <w:rPr>
                <w:i/>
              </w:rPr>
              <w:t xml:space="preserve">$3,386,625 </w:t>
            </w:r>
          </w:p>
        </w:tc>
        <w:tc>
          <w:tcPr>
            <w:tcW w:w="1980" w:type="dxa"/>
            <w:tcBorders>
              <w:top w:val="single" w:sz="6" w:space="0" w:color="000000"/>
              <w:left w:val="nil"/>
              <w:bottom w:val="single" w:sz="6" w:space="0" w:color="000000"/>
              <w:right w:val="nil"/>
            </w:tcBorders>
          </w:tcPr>
          <w:p w14:paraId="20B1DD7B" w14:textId="491352D5" w:rsidR="00F41765" w:rsidRPr="00602EC4" w:rsidRDefault="00F41765" w:rsidP="00F41765">
            <w:pPr>
              <w:jc w:val="right"/>
              <w:rPr>
                <w:i/>
                <w:color w:val="F79646" w:themeColor="accent6"/>
              </w:rPr>
            </w:pPr>
            <w:r w:rsidRPr="008E41B9">
              <w:rPr>
                <w:i/>
              </w:rPr>
              <w:t>$3,735,428</w:t>
            </w:r>
          </w:p>
        </w:tc>
        <w:tc>
          <w:tcPr>
            <w:tcW w:w="1890" w:type="dxa"/>
            <w:tcBorders>
              <w:top w:val="single" w:sz="6" w:space="0" w:color="000000"/>
              <w:left w:val="nil"/>
              <w:bottom w:val="single" w:sz="6" w:space="0" w:color="000000"/>
              <w:right w:val="nil"/>
            </w:tcBorders>
          </w:tcPr>
          <w:p w14:paraId="628A7BA4" w14:textId="5E989C0C" w:rsidR="00F41765" w:rsidRPr="00602EC4" w:rsidRDefault="00F41765" w:rsidP="00F41765">
            <w:pPr>
              <w:jc w:val="right"/>
              <w:rPr>
                <w:color w:val="F79646" w:themeColor="accent6"/>
              </w:rPr>
            </w:pPr>
            <w:r w:rsidRPr="009D7DD6">
              <w:t>10%</w:t>
            </w:r>
          </w:p>
        </w:tc>
      </w:tr>
      <w:tr w:rsidR="00F41765" w:rsidRPr="00602EC4" w14:paraId="63D7416E" w14:textId="77777777" w:rsidTr="00BC1589">
        <w:trPr>
          <w:trHeight w:val="291"/>
        </w:trPr>
        <w:tc>
          <w:tcPr>
            <w:tcW w:w="3168" w:type="dxa"/>
            <w:tcBorders>
              <w:top w:val="single" w:sz="6" w:space="0" w:color="000000"/>
              <w:left w:val="nil"/>
              <w:bottom w:val="single" w:sz="6" w:space="0" w:color="000000"/>
              <w:right w:val="nil"/>
            </w:tcBorders>
          </w:tcPr>
          <w:p w14:paraId="6AB9F502" w14:textId="77777777" w:rsidR="00F41765" w:rsidRPr="00D477B0" w:rsidRDefault="00F41765" w:rsidP="00F41765">
            <w:r w:rsidRPr="00D477B0">
              <w:t>Commercial</w:t>
            </w:r>
          </w:p>
        </w:tc>
        <w:tc>
          <w:tcPr>
            <w:tcW w:w="1980" w:type="dxa"/>
            <w:tcBorders>
              <w:top w:val="single" w:sz="6" w:space="0" w:color="000000"/>
              <w:left w:val="nil"/>
              <w:bottom w:val="single" w:sz="6" w:space="0" w:color="000000"/>
              <w:right w:val="nil"/>
            </w:tcBorders>
          </w:tcPr>
          <w:p w14:paraId="7AF94815" w14:textId="1BD47975" w:rsidR="00F41765" w:rsidRPr="00D477B0" w:rsidRDefault="00F41765" w:rsidP="00F41765">
            <w:pPr>
              <w:jc w:val="right"/>
            </w:pPr>
            <w:r w:rsidRPr="00D477B0">
              <w:t>$35,930,334</w:t>
            </w:r>
          </w:p>
        </w:tc>
        <w:tc>
          <w:tcPr>
            <w:tcW w:w="1980" w:type="dxa"/>
            <w:tcBorders>
              <w:top w:val="single" w:sz="6" w:space="0" w:color="000000"/>
              <w:left w:val="nil"/>
              <w:bottom w:val="single" w:sz="6" w:space="0" w:color="000000"/>
              <w:right w:val="nil"/>
            </w:tcBorders>
          </w:tcPr>
          <w:p w14:paraId="484F3F38" w14:textId="193F7111" w:rsidR="00F41765" w:rsidRPr="00602EC4" w:rsidRDefault="00F41765" w:rsidP="00F41765">
            <w:pPr>
              <w:jc w:val="right"/>
              <w:rPr>
                <w:color w:val="F79646" w:themeColor="accent6"/>
              </w:rPr>
            </w:pPr>
            <w:r w:rsidRPr="008E41B9">
              <w:t>$42,546,414</w:t>
            </w:r>
          </w:p>
        </w:tc>
        <w:tc>
          <w:tcPr>
            <w:tcW w:w="1890" w:type="dxa"/>
            <w:tcBorders>
              <w:top w:val="single" w:sz="6" w:space="0" w:color="000000"/>
              <w:left w:val="nil"/>
              <w:bottom w:val="single" w:sz="6" w:space="0" w:color="000000"/>
              <w:right w:val="nil"/>
            </w:tcBorders>
          </w:tcPr>
          <w:p w14:paraId="23392F45" w14:textId="73E91F17" w:rsidR="00F41765" w:rsidRPr="00602EC4" w:rsidRDefault="00F41765" w:rsidP="00F41765">
            <w:pPr>
              <w:jc w:val="right"/>
              <w:rPr>
                <w:color w:val="F79646" w:themeColor="accent6"/>
              </w:rPr>
            </w:pPr>
            <w:r w:rsidRPr="009D7DD6">
              <w:t>18%</w:t>
            </w:r>
          </w:p>
        </w:tc>
      </w:tr>
      <w:tr w:rsidR="00F41765" w:rsidRPr="00602EC4" w14:paraId="1C0592E0" w14:textId="77777777" w:rsidTr="00BC1589">
        <w:trPr>
          <w:trHeight w:val="291"/>
        </w:trPr>
        <w:tc>
          <w:tcPr>
            <w:tcW w:w="3168" w:type="dxa"/>
            <w:tcBorders>
              <w:top w:val="single" w:sz="6" w:space="0" w:color="000000"/>
              <w:left w:val="nil"/>
              <w:bottom w:val="single" w:sz="6" w:space="0" w:color="000000"/>
              <w:right w:val="nil"/>
            </w:tcBorders>
          </w:tcPr>
          <w:p w14:paraId="53F61138" w14:textId="77777777" w:rsidR="00F41765" w:rsidRPr="00D477B0" w:rsidRDefault="00F41765" w:rsidP="00F41765">
            <w:r w:rsidRPr="00D477B0">
              <w:t>Pilots</w:t>
            </w:r>
          </w:p>
        </w:tc>
        <w:tc>
          <w:tcPr>
            <w:tcW w:w="1980" w:type="dxa"/>
            <w:tcBorders>
              <w:top w:val="single" w:sz="6" w:space="0" w:color="000000"/>
              <w:left w:val="nil"/>
              <w:bottom w:val="single" w:sz="6" w:space="0" w:color="000000"/>
              <w:right w:val="nil"/>
            </w:tcBorders>
          </w:tcPr>
          <w:p w14:paraId="21FF7FA4" w14:textId="73F757DD" w:rsidR="00F41765" w:rsidRPr="00D477B0" w:rsidRDefault="00F41765" w:rsidP="00F41765">
            <w:pPr>
              <w:jc w:val="right"/>
            </w:pPr>
            <w:r w:rsidRPr="00D477B0">
              <w:t>$976,899</w:t>
            </w:r>
          </w:p>
        </w:tc>
        <w:tc>
          <w:tcPr>
            <w:tcW w:w="1980" w:type="dxa"/>
            <w:tcBorders>
              <w:top w:val="single" w:sz="6" w:space="0" w:color="000000"/>
              <w:left w:val="nil"/>
              <w:bottom w:val="single" w:sz="6" w:space="0" w:color="000000"/>
              <w:right w:val="nil"/>
            </w:tcBorders>
          </w:tcPr>
          <w:p w14:paraId="61D07870" w14:textId="2D643A96" w:rsidR="00F41765" w:rsidRPr="00602EC4" w:rsidRDefault="00F41765" w:rsidP="00F41765">
            <w:pPr>
              <w:jc w:val="right"/>
              <w:rPr>
                <w:color w:val="F79646" w:themeColor="accent6"/>
              </w:rPr>
            </w:pPr>
            <w:r w:rsidRPr="008E41B9">
              <w:t>$978,291</w:t>
            </w:r>
          </w:p>
        </w:tc>
        <w:tc>
          <w:tcPr>
            <w:tcW w:w="1890" w:type="dxa"/>
            <w:tcBorders>
              <w:top w:val="single" w:sz="6" w:space="0" w:color="000000"/>
              <w:left w:val="nil"/>
              <w:bottom w:val="single" w:sz="6" w:space="0" w:color="000000"/>
              <w:right w:val="nil"/>
            </w:tcBorders>
          </w:tcPr>
          <w:p w14:paraId="15A953EE" w14:textId="1D02E295" w:rsidR="00F41765" w:rsidRPr="00602EC4" w:rsidRDefault="00F41765" w:rsidP="00F41765">
            <w:pPr>
              <w:jc w:val="right"/>
              <w:rPr>
                <w:color w:val="F79646" w:themeColor="accent6"/>
              </w:rPr>
            </w:pPr>
            <w:r w:rsidRPr="009D7DD6">
              <w:t>0%</w:t>
            </w:r>
          </w:p>
        </w:tc>
      </w:tr>
      <w:tr w:rsidR="00F41765" w:rsidRPr="00602EC4" w14:paraId="4184E3CA" w14:textId="77777777" w:rsidTr="00BC1589">
        <w:trPr>
          <w:trHeight w:val="291"/>
        </w:trPr>
        <w:tc>
          <w:tcPr>
            <w:tcW w:w="3168" w:type="dxa"/>
            <w:tcBorders>
              <w:top w:val="single" w:sz="6" w:space="0" w:color="000000"/>
              <w:left w:val="nil"/>
              <w:bottom w:val="single" w:sz="6" w:space="0" w:color="000000"/>
              <w:right w:val="nil"/>
            </w:tcBorders>
            <w:hideMark/>
          </w:tcPr>
          <w:p w14:paraId="1CE064CF" w14:textId="77777777" w:rsidR="00F41765" w:rsidRPr="00D477B0" w:rsidRDefault="00F41765" w:rsidP="00F41765">
            <w:r w:rsidRPr="00D477B0">
              <w:t>Regional Programs</w:t>
            </w:r>
          </w:p>
        </w:tc>
        <w:tc>
          <w:tcPr>
            <w:tcW w:w="1980" w:type="dxa"/>
            <w:tcBorders>
              <w:top w:val="single" w:sz="6" w:space="0" w:color="000000"/>
              <w:left w:val="nil"/>
              <w:bottom w:val="single" w:sz="6" w:space="0" w:color="000000"/>
              <w:right w:val="nil"/>
            </w:tcBorders>
          </w:tcPr>
          <w:p w14:paraId="67880CF9" w14:textId="0B9A7054" w:rsidR="00F41765" w:rsidRPr="00D477B0" w:rsidRDefault="00F41765" w:rsidP="00F41765">
            <w:pPr>
              <w:jc w:val="right"/>
            </w:pPr>
            <w:r w:rsidRPr="00D477B0">
              <w:t>$5,200,000</w:t>
            </w:r>
          </w:p>
        </w:tc>
        <w:tc>
          <w:tcPr>
            <w:tcW w:w="1980" w:type="dxa"/>
            <w:tcBorders>
              <w:top w:val="single" w:sz="6" w:space="0" w:color="000000"/>
              <w:left w:val="nil"/>
              <w:bottom w:val="single" w:sz="6" w:space="0" w:color="000000"/>
              <w:right w:val="nil"/>
            </w:tcBorders>
          </w:tcPr>
          <w:p w14:paraId="69669A00" w14:textId="5DB432F8" w:rsidR="00F41765" w:rsidRPr="00602EC4" w:rsidRDefault="00F41765" w:rsidP="00F41765">
            <w:pPr>
              <w:jc w:val="right"/>
              <w:rPr>
                <w:color w:val="F79646" w:themeColor="accent6"/>
              </w:rPr>
            </w:pPr>
            <w:r w:rsidRPr="008E41B9">
              <w:t>$5,200,000</w:t>
            </w:r>
          </w:p>
        </w:tc>
        <w:tc>
          <w:tcPr>
            <w:tcW w:w="1890" w:type="dxa"/>
            <w:tcBorders>
              <w:top w:val="single" w:sz="6" w:space="0" w:color="000000"/>
              <w:left w:val="nil"/>
              <w:bottom w:val="single" w:sz="6" w:space="0" w:color="000000"/>
              <w:right w:val="nil"/>
            </w:tcBorders>
            <w:hideMark/>
          </w:tcPr>
          <w:p w14:paraId="202EE145" w14:textId="31D3D429" w:rsidR="00F41765" w:rsidRPr="00602EC4" w:rsidRDefault="00F41765" w:rsidP="00F41765">
            <w:pPr>
              <w:jc w:val="right"/>
              <w:rPr>
                <w:color w:val="F79646" w:themeColor="accent6"/>
              </w:rPr>
            </w:pPr>
            <w:r w:rsidRPr="009D7DD6">
              <w:t>0%</w:t>
            </w:r>
          </w:p>
        </w:tc>
      </w:tr>
      <w:tr w:rsidR="00F41765" w:rsidRPr="00602EC4" w14:paraId="11E54C6B" w14:textId="77777777" w:rsidTr="00BC1589">
        <w:trPr>
          <w:trHeight w:val="291"/>
        </w:trPr>
        <w:tc>
          <w:tcPr>
            <w:tcW w:w="3168" w:type="dxa"/>
            <w:tcBorders>
              <w:top w:val="single" w:sz="6" w:space="0" w:color="000000"/>
              <w:left w:val="nil"/>
              <w:bottom w:val="single" w:sz="6" w:space="0" w:color="000000"/>
              <w:right w:val="nil"/>
            </w:tcBorders>
            <w:hideMark/>
          </w:tcPr>
          <w:p w14:paraId="2223A06A" w14:textId="77777777" w:rsidR="00F41765" w:rsidRPr="00D477B0" w:rsidRDefault="00F41765" w:rsidP="00F41765">
            <w:r w:rsidRPr="00D477B0">
              <w:t xml:space="preserve">Portfolio Support </w:t>
            </w:r>
          </w:p>
        </w:tc>
        <w:tc>
          <w:tcPr>
            <w:tcW w:w="1980" w:type="dxa"/>
            <w:tcBorders>
              <w:top w:val="single" w:sz="6" w:space="0" w:color="000000"/>
              <w:left w:val="nil"/>
              <w:bottom w:val="single" w:sz="6" w:space="0" w:color="000000"/>
              <w:right w:val="nil"/>
            </w:tcBorders>
            <w:hideMark/>
          </w:tcPr>
          <w:p w14:paraId="4BCDC8CA" w14:textId="2806CE68" w:rsidR="00F41765" w:rsidRPr="00D477B0" w:rsidRDefault="00F41765" w:rsidP="00F41765">
            <w:pPr>
              <w:jc w:val="right"/>
            </w:pPr>
            <w:r w:rsidRPr="00D477B0">
              <w:t>$6,096,731</w:t>
            </w:r>
          </w:p>
        </w:tc>
        <w:tc>
          <w:tcPr>
            <w:tcW w:w="1980" w:type="dxa"/>
            <w:tcBorders>
              <w:top w:val="single" w:sz="6" w:space="0" w:color="000000"/>
              <w:left w:val="nil"/>
              <w:bottom w:val="single" w:sz="6" w:space="0" w:color="000000"/>
              <w:right w:val="nil"/>
            </w:tcBorders>
            <w:hideMark/>
          </w:tcPr>
          <w:p w14:paraId="309CD5C2" w14:textId="68A61AE6" w:rsidR="00F41765" w:rsidRPr="00602EC4" w:rsidRDefault="00F41765" w:rsidP="00F41765">
            <w:pPr>
              <w:jc w:val="right"/>
              <w:rPr>
                <w:color w:val="F79646" w:themeColor="accent6"/>
              </w:rPr>
            </w:pPr>
            <w:r w:rsidRPr="008E41B9">
              <w:t>$6,471,427</w:t>
            </w:r>
          </w:p>
        </w:tc>
        <w:tc>
          <w:tcPr>
            <w:tcW w:w="1890" w:type="dxa"/>
            <w:tcBorders>
              <w:top w:val="single" w:sz="6" w:space="0" w:color="000000"/>
              <w:left w:val="nil"/>
              <w:bottom w:val="single" w:sz="6" w:space="0" w:color="000000"/>
              <w:right w:val="nil"/>
            </w:tcBorders>
            <w:hideMark/>
          </w:tcPr>
          <w:p w14:paraId="0BC14E4B" w14:textId="6FD56C45" w:rsidR="00F41765" w:rsidRPr="00602EC4" w:rsidRDefault="00F41765" w:rsidP="00F41765">
            <w:pPr>
              <w:jc w:val="right"/>
              <w:rPr>
                <w:color w:val="F79646" w:themeColor="accent6"/>
              </w:rPr>
            </w:pPr>
            <w:r w:rsidRPr="009D7DD6">
              <w:t>6%</w:t>
            </w:r>
          </w:p>
        </w:tc>
      </w:tr>
      <w:tr w:rsidR="00F41765" w:rsidRPr="00602EC4" w14:paraId="57A8272A" w14:textId="77777777" w:rsidTr="00BC1589">
        <w:trPr>
          <w:trHeight w:val="291"/>
        </w:trPr>
        <w:tc>
          <w:tcPr>
            <w:tcW w:w="3168" w:type="dxa"/>
            <w:tcBorders>
              <w:top w:val="single" w:sz="6" w:space="0" w:color="000000"/>
              <w:left w:val="nil"/>
              <w:bottom w:val="single" w:sz="6" w:space="0" w:color="000000"/>
              <w:right w:val="nil"/>
            </w:tcBorders>
          </w:tcPr>
          <w:p w14:paraId="24B16F0D" w14:textId="77777777" w:rsidR="00F41765" w:rsidRPr="00D477B0" w:rsidRDefault="00F41765" w:rsidP="00F41765">
            <w:r w:rsidRPr="00D477B0">
              <w:t>Research and Compliance</w:t>
            </w:r>
          </w:p>
        </w:tc>
        <w:tc>
          <w:tcPr>
            <w:tcW w:w="1980" w:type="dxa"/>
            <w:tcBorders>
              <w:top w:val="single" w:sz="6" w:space="0" w:color="000000"/>
              <w:left w:val="nil"/>
              <w:bottom w:val="single" w:sz="6" w:space="0" w:color="000000"/>
              <w:right w:val="nil"/>
            </w:tcBorders>
          </w:tcPr>
          <w:p w14:paraId="45FE18D1" w14:textId="017E8E2C" w:rsidR="00F41765" w:rsidRPr="00D477B0" w:rsidRDefault="00F41765" w:rsidP="00F41765">
            <w:pPr>
              <w:jc w:val="right"/>
            </w:pPr>
            <w:r w:rsidRPr="00D477B0">
              <w:t>$3,154,491</w:t>
            </w:r>
          </w:p>
        </w:tc>
        <w:tc>
          <w:tcPr>
            <w:tcW w:w="1980" w:type="dxa"/>
            <w:tcBorders>
              <w:top w:val="single" w:sz="6" w:space="0" w:color="000000"/>
              <w:left w:val="nil"/>
              <w:bottom w:val="single" w:sz="6" w:space="0" w:color="000000"/>
              <w:right w:val="nil"/>
            </w:tcBorders>
          </w:tcPr>
          <w:p w14:paraId="400AF4A0" w14:textId="685E8491" w:rsidR="00F41765" w:rsidRPr="00602EC4" w:rsidRDefault="00F41765" w:rsidP="00F41765">
            <w:pPr>
              <w:jc w:val="right"/>
              <w:rPr>
                <w:color w:val="F79646" w:themeColor="accent6"/>
              </w:rPr>
            </w:pPr>
            <w:r w:rsidRPr="008E41B9">
              <w:t>$3,656,980</w:t>
            </w:r>
          </w:p>
        </w:tc>
        <w:tc>
          <w:tcPr>
            <w:tcW w:w="1890" w:type="dxa"/>
            <w:tcBorders>
              <w:top w:val="single" w:sz="6" w:space="0" w:color="000000"/>
              <w:left w:val="nil"/>
              <w:bottom w:val="single" w:sz="6" w:space="0" w:color="000000"/>
              <w:right w:val="nil"/>
            </w:tcBorders>
          </w:tcPr>
          <w:p w14:paraId="7F576AC6" w14:textId="5BF1F970" w:rsidR="00F41765" w:rsidRPr="00602EC4" w:rsidRDefault="00F41765" w:rsidP="00F41765">
            <w:pPr>
              <w:jc w:val="right"/>
              <w:rPr>
                <w:color w:val="F79646" w:themeColor="accent6"/>
              </w:rPr>
            </w:pPr>
            <w:r w:rsidRPr="009D7DD6">
              <w:t>16%</w:t>
            </w:r>
          </w:p>
        </w:tc>
      </w:tr>
      <w:tr w:rsidR="00F41765" w:rsidRPr="00602EC4" w14:paraId="432702EC" w14:textId="77777777" w:rsidTr="00BC1589">
        <w:trPr>
          <w:trHeight w:val="291"/>
        </w:trPr>
        <w:tc>
          <w:tcPr>
            <w:tcW w:w="3168" w:type="dxa"/>
            <w:tcBorders>
              <w:top w:val="single" w:sz="6" w:space="0" w:color="000000"/>
              <w:left w:val="nil"/>
              <w:bottom w:val="single" w:sz="6" w:space="0" w:color="000000"/>
              <w:right w:val="nil"/>
            </w:tcBorders>
            <w:hideMark/>
          </w:tcPr>
          <w:p w14:paraId="68F34C33" w14:textId="437F109B" w:rsidR="00F41765" w:rsidRPr="00D477B0" w:rsidRDefault="00F41765" w:rsidP="00F41765">
            <w:r w:rsidRPr="00D477B0">
              <w:t xml:space="preserve">Other </w:t>
            </w:r>
            <w:r w:rsidR="005977C7">
              <w:t xml:space="preserve">Electric </w:t>
            </w:r>
            <w:r w:rsidRPr="00D477B0">
              <w:t>Programs</w:t>
            </w:r>
          </w:p>
        </w:tc>
        <w:tc>
          <w:tcPr>
            <w:tcW w:w="1980" w:type="dxa"/>
            <w:tcBorders>
              <w:top w:val="single" w:sz="6" w:space="0" w:color="000000"/>
              <w:left w:val="nil"/>
              <w:bottom w:val="single" w:sz="6" w:space="0" w:color="000000"/>
              <w:right w:val="nil"/>
            </w:tcBorders>
            <w:hideMark/>
          </w:tcPr>
          <w:p w14:paraId="58BF277A" w14:textId="67F7856F" w:rsidR="00F41765" w:rsidRPr="00D477B0" w:rsidRDefault="00F41765" w:rsidP="00F41765">
            <w:pPr>
              <w:jc w:val="right"/>
            </w:pPr>
            <w:r w:rsidRPr="00D477B0">
              <w:t>$1,765,586</w:t>
            </w:r>
          </w:p>
        </w:tc>
        <w:tc>
          <w:tcPr>
            <w:tcW w:w="1980" w:type="dxa"/>
            <w:tcBorders>
              <w:top w:val="single" w:sz="6" w:space="0" w:color="000000"/>
              <w:left w:val="nil"/>
              <w:bottom w:val="single" w:sz="6" w:space="0" w:color="000000"/>
              <w:right w:val="nil"/>
            </w:tcBorders>
            <w:hideMark/>
          </w:tcPr>
          <w:p w14:paraId="385A6330" w14:textId="574A7FB3" w:rsidR="00F41765" w:rsidRPr="00602EC4" w:rsidRDefault="00F41765" w:rsidP="00F41765">
            <w:pPr>
              <w:jc w:val="right"/>
              <w:rPr>
                <w:color w:val="F79646" w:themeColor="accent6"/>
              </w:rPr>
            </w:pPr>
            <w:r w:rsidRPr="008E41B9">
              <w:t>$1,567,778</w:t>
            </w:r>
          </w:p>
        </w:tc>
        <w:tc>
          <w:tcPr>
            <w:tcW w:w="1890" w:type="dxa"/>
            <w:tcBorders>
              <w:top w:val="single" w:sz="6" w:space="0" w:color="000000"/>
              <w:left w:val="nil"/>
              <w:bottom w:val="single" w:sz="6" w:space="0" w:color="000000"/>
              <w:right w:val="nil"/>
            </w:tcBorders>
            <w:hideMark/>
          </w:tcPr>
          <w:p w14:paraId="7E9C098B" w14:textId="780484BD" w:rsidR="00F41765" w:rsidRPr="00602EC4" w:rsidRDefault="00F41765" w:rsidP="00F41765">
            <w:pPr>
              <w:jc w:val="right"/>
              <w:rPr>
                <w:color w:val="F79646" w:themeColor="accent6"/>
              </w:rPr>
            </w:pPr>
            <w:r w:rsidRPr="009D7DD6">
              <w:t>-11%</w:t>
            </w:r>
          </w:p>
        </w:tc>
      </w:tr>
      <w:tr w:rsidR="00F41765" w:rsidRPr="00602EC4" w14:paraId="37499788" w14:textId="77777777" w:rsidTr="00BC1589">
        <w:trPr>
          <w:trHeight w:val="291"/>
        </w:trPr>
        <w:tc>
          <w:tcPr>
            <w:tcW w:w="3168" w:type="dxa"/>
            <w:tcBorders>
              <w:top w:val="single" w:sz="12" w:space="0" w:color="auto"/>
              <w:left w:val="nil"/>
              <w:bottom w:val="single" w:sz="12" w:space="0" w:color="000000"/>
              <w:right w:val="nil"/>
            </w:tcBorders>
            <w:hideMark/>
          </w:tcPr>
          <w:p w14:paraId="4AA7E117" w14:textId="77777777" w:rsidR="00F41765" w:rsidRPr="00D477B0" w:rsidRDefault="00F41765" w:rsidP="00F41765">
            <w:pPr>
              <w:rPr>
                <w:b/>
              </w:rPr>
            </w:pPr>
            <w:r w:rsidRPr="00D477B0">
              <w:rPr>
                <w:b/>
              </w:rPr>
              <w:t>Total</w:t>
            </w:r>
          </w:p>
        </w:tc>
        <w:tc>
          <w:tcPr>
            <w:tcW w:w="1980" w:type="dxa"/>
            <w:tcBorders>
              <w:top w:val="single" w:sz="12" w:space="0" w:color="auto"/>
              <w:left w:val="nil"/>
              <w:bottom w:val="single" w:sz="12" w:space="0" w:color="000000"/>
              <w:right w:val="nil"/>
            </w:tcBorders>
            <w:hideMark/>
          </w:tcPr>
          <w:p w14:paraId="25730287" w14:textId="59CA7D55" w:rsidR="00F41765" w:rsidRPr="00D477B0" w:rsidRDefault="00F41765" w:rsidP="00F41765">
            <w:pPr>
              <w:jc w:val="right"/>
              <w:rPr>
                <w:b/>
              </w:rPr>
            </w:pPr>
            <w:r w:rsidRPr="00D477B0">
              <w:rPr>
                <w:b/>
              </w:rPr>
              <w:t>$98,600,007</w:t>
            </w:r>
          </w:p>
        </w:tc>
        <w:tc>
          <w:tcPr>
            <w:tcW w:w="1980" w:type="dxa"/>
            <w:tcBorders>
              <w:top w:val="single" w:sz="12" w:space="0" w:color="auto"/>
              <w:left w:val="nil"/>
              <w:bottom w:val="single" w:sz="12" w:space="0" w:color="000000"/>
              <w:right w:val="nil"/>
            </w:tcBorders>
            <w:hideMark/>
          </w:tcPr>
          <w:p w14:paraId="4834C059" w14:textId="4E43DF72" w:rsidR="00F41765" w:rsidRPr="00602EC4" w:rsidRDefault="00F41765" w:rsidP="00F41765">
            <w:pPr>
              <w:jc w:val="right"/>
              <w:rPr>
                <w:b/>
                <w:color w:val="F79646" w:themeColor="accent6"/>
              </w:rPr>
            </w:pPr>
            <w:r w:rsidRPr="008E41B9">
              <w:rPr>
                <w:b/>
              </w:rPr>
              <w:t>$103,453,202</w:t>
            </w:r>
          </w:p>
        </w:tc>
        <w:tc>
          <w:tcPr>
            <w:tcW w:w="1890" w:type="dxa"/>
            <w:tcBorders>
              <w:top w:val="single" w:sz="12" w:space="0" w:color="auto"/>
              <w:left w:val="nil"/>
              <w:bottom w:val="single" w:sz="12" w:space="0" w:color="000000"/>
              <w:right w:val="nil"/>
            </w:tcBorders>
            <w:hideMark/>
          </w:tcPr>
          <w:p w14:paraId="2AC3DEDD" w14:textId="25993DD9" w:rsidR="00F41765" w:rsidRPr="00602EC4" w:rsidRDefault="00F41765" w:rsidP="00F41765">
            <w:pPr>
              <w:jc w:val="right"/>
              <w:rPr>
                <w:b/>
                <w:color w:val="F79646" w:themeColor="accent6"/>
              </w:rPr>
            </w:pPr>
            <w:r w:rsidRPr="009D7DD6">
              <w:t>5%</w:t>
            </w:r>
          </w:p>
        </w:tc>
      </w:tr>
    </w:tbl>
    <w:p w14:paraId="204AC062" w14:textId="77777777" w:rsidR="00602EC4" w:rsidRPr="00602EC4" w:rsidRDefault="00602EC4" w:rsidP="00602EC4">
      <w:pPr>
        <w:rPr>
          <w:rFonts w:eastAsia="Calibri"/>
          <w:color w:val="F79646" w:themeColor="accent6"/>
        </w:rPr>
      </w:pPr>
    </w:p>
    <w:p w14:paraId="4712560B" w14:textId="0CB7A747" w:rsidR="002B1123" w:rsidRPr="002F5A72" w:rsidRDefault="00104197" w:rsidP="002B1123">
      <w:pPr>
        <w:rPr>
          <w:rFonts w:eastAsia="Calibri"/>
        </w:rPr>
      </w:pPr>
      <w:r>
        <w:rPr>
          <w:rFonts w:eastAsia="Calibri"/>
        </w:rPr>
        <w:t xml:space="preserve">A decrease in </w:t>
      </w:r>
      <w:r w:rsidR="00D52A94">
        <w:rPr>
          <w:rFonts w:eastAsia="Calibri"/>
        </w:rPr>
        <w:t>product</w:t>
      </w:r>
      <w:r>
        <w:rPr>
          <w:rFonts w:eastAsia="Calibri"/>
        </w:rPr>
        <w:t xml:space="preserve"> prices, especially concerning LEDs, has allowed </w:t>
      </w:r>
      <w:r w:rsidR="002F5A72">
        <w:rPr>
          <w:rFonts w:eastAsia="Calibri"/>
        </w:rPr>
        <w:t xml:space="preserve">some </w:t>
      </w:r>
      <w:r>
        <w:rPr>
          <w:rFonts w:eastAsia="Calibri"/>
        </w:rPr>
        <w:t>incentives to be adjusted downward</w:t>
      </w:r>
      <w:r w:rsidR="002F5A72">
        <w:rPr>
          <w:rFonts w:eastAsia="Calibri"/>
        </w:rPr>
        <w:t xml:space="preserve">. </w:t>
      </w:r>
      <w:r w:rsidR="00602EC4" w:rsidRPr="004F3B65">
        <w:rPr>
          <w:rFonts w:eastAsia="Calibri"/>
        </w:rPr>
        <w:t xml:space="preserve">Due to reductions in unit energy savings values </w:t>
      </w:r>
      <w:r w:rsidR="00D51E8A">
        <w:rPr>
          <w:rFonts w:eastAsia="Calibri"/>
        </w:rPr>
        <w:t xml:space="preserve">(UES) </w:t>
      </w:r>
      <w:r w:rsidR="00602EC4" w:rsidRPr="004F3B65">
        <w:rPr>
          <w:rFonts w:eastAsia="Calibri"/>
        </w:rPr>
        <w:t xml:space="preserve">for a variety of measures, including LED lamps, </w:t>
      </w:r>
      <w:r w:rsidR="004F3B65" w:rsidRPr="004F3B65">
        <w:rPr>
          <w:rFonts w:eastAsia="Calibri"/>
        </w:rPr>
        <w:t>showerheads</w:t>
      </w:r>
      <w:r w:rsidR="004F3B65">
        <w:rPr>
          <w:rFonts w:eastAsia="Calibri"/>
        </w:rPr>
        <w:t>,</w:t>
      </w:r>
      <w:r w:rsidR="004F3B65" w:rsidRPr="004F3B65">
        <w:rPr>
          <w:rFonts w:eastAsia="Calibri"/>
        </w:rPr>
        <w:t xml:space="preserve"> </w:t>
      </w:r>
      <w:r w:rsidR="004F3B65">
        <w:rPr>
          <w:rFonts w:eastAsia="Calibri"/>
        </w:rPr>
        <w:t>certain</w:t>
      </w:r>
      <w:r w:rsidR="004F3B65" w:rsidRPr="004F3B65">
        <w:rPr>
          <w:rFonts w:eastAsia="Calibri"/>
        </w:rPr>
        <w:t xml:space="preserve"> appliance types</w:t>
      </w:r>
      <w:r w:rsidR="00602EC4" w:rsidRPr="004F3B65">
        <w:rPr>
          <w:rFonts w:eastAsia="Calibri"/>
        </w:rPr>
        <w:t xml:space="preserve"> and </w:t>
      </w:r>
      <w:r w:rsidR="004F3B65" w:rsidRPr="004F3B65">
        <w:rPr>
          <w:rFonts w:eastAsia="Calibri"/>
        </w:rPr>
        <w:t>HVAC measures</w:t>
      </w:r>
      <w:r w:rsidR="00602EC4" w:rsidRPr="004F3B65">
        <w:rPr>
          <w:rFonts w:eastAsia="Calibri"/>
        </w:rPr>
        <w:t>, some measures are no longer</w:t>
      </w:r>
      <w:r w:rsidR="004F3B65">
        <w:rPr>
          <w:rFonts w:eastAsia="Calibri"/>
        </w:rPr>
        <w:t xml:space="preserve"> as cost-effective as expected. </w:t>
      </w:r>
      <w:r w:rsidR="002B1123">
        <w:t>The adoption in June 2016 of</w:t>
      </w:r>
      <w:r w:rsidR="002B1123" w:rsidRPr="002B1123">
        <w:t xml:space="preserve"> the </w:t>
      </w:r>
      <w:r w:rsidR="002B1123">
        <w:t xml:space="preserve">Washington </w:t>
      </w:r>
      <w:r w:rsidR="002B1123" w:rsidRPr="002B1123">
        <w:t>2015 Non-Residential Energy Code res</w:t>
      </w:r>
      <w:r w:rsidR="0006304C">
        <w:t>ulted</w:t>
      </w:r>
      <w:r w:rsidR="002B1123" w:rsidRPr="002B1123">
        <w:t xml:space="preserve"> in several measures in the </w:t>
      </w:r>
      <w:r w:rsidR="00B526D8">
        <w:t>m</w:t>
      </w:r>
      <w:r w:rsidR="00B526D8" w:rsidRPr="002B1123">
        <w:t xml:space="preserve">ultifamily </w:t>
      </w:r>
      <w:r w:rsidR="002B1123" w:rsidRPr="002B1123">
        <w:t xml:space="preserve">and </w:t>
      </w:r>
      <w:r w:rsidR="00B526D8">
        <w:t>c</w:t>
      </w:r>
      <w:r w:rsidR="00B526D8" w:rsidRPr="002B1123">
        <w:t>ommercial</w:t>
      </w:r>
      <w:r w:rsidR="002B1123" w:rsidRPr="002B1123">
        <w:t>/</w:t>
      </w:r>
      <w:r w:rsidR="00B526D8">
        <w:t>i</w:t>
      </w:r>
      <w:r w:rsidR="00B526D8" w:rsidRPr="002B1123">
        <w:t xml:space="preserve">ndustrial </w:t>
      </w:r>
      <w:r w:rsidR="00B526D8">
        <w:t>n</w:t>
      </w:r>
      <w:r w:rsidR="00B526D8" w:rsidRPr="002B1123">
        <w:t xml:space="preserve">ew </w:t>
      </w:r>
      <w:r w:rsidR="00B526D8">
        <w:t>c</w:t>
      </w:r>
      <w:r w:rsidR="00B526D8" w:rsidRPr="002B1123">
        <w:t xml:space="preserve">onstruction </w:t>
      </w:r>
      <w:r w:rsidR="002B1123" w:rsidRPr="002B1123">
        <w:t>programs no longer being cost-effective.</w:t>
      </w:r>
    </w:p>
    <w:p w14:paraId="4C547460" w14:textId="5EF132F4" w:rsidR="000B307D" w:rsidRPr="00460495" w:rsidRDefault="000B307D" w:rsidP="000B307D">
      <w:pPr>
        <w:rPr>
          <w:rFonts w:eastAsia="Calibri"/>
        </w:rPr>
      </w:pPr>
    </w:p>
    <w:p w14:paraId="46AF556E" w14:textId="787F50D7" w:rsidR="00BC1B2E" w:rsidRPr="00B64776" w:rsidRDefault="004757F6" w:rsidP="00602EC4">
      <w:r w:rsidRPr="00B64776">
        <w:t xml:space="preserve">The increase to the </w:t>
      </w:r>
      <w:r w:rsidR="00B526D8">
        <w:t>r</w:t>
      </w:r>
      <w:r w:rsidR="00B526D8" w:rsidRPr="00B64776">
        <w:t xml:space="preserve">esearch </w:t>
      </w:r>
      <w:r w:rsidRPr="00B64776">
        <w:t xml:space="preserve">and </w:t>
      </w:r>
      <w:r w:rsidR="00B526D8">
        <w:t>c</w:t>
      </w:r>
      <w:r w:rsidR="00B526D8" w:rsidRPr="00B64776">
        <w:t xml:space="preserve">ompliance </w:t>
      </w:r>
      <w:r w:rsidRPr="00B64776">
        <w:t xml:space="preserve">budget is driven by PSE’s intention to participate in a regional </w:t>
      </w:r>
      <w:r w:rsidR="00B64776" w:rsidRPr="00B64776">
        <w:t>e</w:t>
      </w:r>
      <w:r w:rsidR="000B307D" w:rsidRPr="00B64776">
        <w:t xml:space="preserve">nd </w:t>
      </w:r>
      <w:r w:rsidR="00B64776" w:rsidRPr="00B64776">
        <w:t>u</w:t>
      </w:r>
      <w:r w:rsidR="000B307D" w:rsidRPr="00B64776">
        <w:t>se load study</w:t>
      </w:r>
      <w:r w:rsidR="00BC1B2E" w:rsidRPr="00B64776">
        <w:t xml:space="preserve"> </w:t>
      </w:r>
      <w:r w:rsidRPr="00B64776">
        <w:t xml:space="preserve">as well as an additional </w:t>
      </w:r>
      <w:r w:rsidR="00B64776" w:rsidRPr="00B64776">
        <w:t>r</w:t>
      </w:r>
      <w:r w:rsidRPr="00B64776">
        <w:t xml:space="preserve">esidential </w:t>
      </w:r>
      <w:r w:rsidR="00B64776" w:rsidRPr="00B64776">
        <w:t>s</w:t>
      </w:r>
      <w:r w:rsidRPr="00B64776">
        <w:t>aturation study</w:t>
      </w:r>
      <w:r w:rsidR="00B64776" w:rsidRPr="00B64776">
        <w:t xml:space="preserve"> within PSE’s service territory</w:t>
      </w:r>
      <w:r w:rsidRPr="00B64776">
        <w:t xml:space="preserve">. The </w:t>
      </w:r>
      <w:r w:rsidR="00D91ABB" w:rsidRPr="00B64776">
        <w:t xml:space="preserve">regional study will be an ongoing expense for five years. </w:t>
      </w:r>
      <w:r w:rsidR="00B64776" w:rsidRPr="00B64776">
        <w:t>For 2017, the anticipated expe</w:t>
      </w:r>
      <w:r w:rsidR="00E51DCA">
        <w:t>nditures for both studies total</w:t>
      </w:r>
      <w:r w:rsidR="00B64776" w:rsidRPr="00B64776">
        <w:t xml:space="preserve"> $535,000. </w:t>
      </w:r>
      <w:r w:rsidR="00D91ABB" w:rsidRPr="00B64776">
        <w:t xml:space="preserve">Staff </w:t>
      </w:r>
      <w:r w:rsidR="00B64776" w:rsidRPr="00B64776">
        <w:t xml:space="preserve">finds the Pacific Northwest End Use Load Research study to be an efficient means to </w:t>
      </w:r>
      <w:r w:rsidR="007A2683">
        <w:t>fill significant gaps in existing</w:t>
      </w:r>
      <w:r w:rsidR="00B64776" w:rsidRPr="00B64776">
        <w:t xml:space="preserve"> data for the region.</w:t>
      </w:r>
    </w:p>
    <w:p w14:paraId="4447D515" w14:textId="77777777" w:rsidR="00460495" w:rsidRDefault="00460495" w:rsidP="00460495">
      <w:pPr>
        <w:rPr>
          <w:rFonts w:eastAsia="Calibri"/>
        </w:rPr>
      </w:pPr>
    </w:p>
    <w:p w14:paraId="78EA42B5" w14:textId="2997E6D4" w:rsidR="00460495" w:rsidRPr="00FE5436" w:rsidRDefault="00FE5436" w:rsidP="00460495">
      <w:pPr>
        <w:rPr>
          <w:rFonts w:eastAsia="Calibri"/>
          <w:b/>
          <w:i/>
        </w:rPr>
      </w:pPr>
      <w:r w:rsidRPr="00FE5436">
        <w:rPr>
          <w:rFonts w:eastAsia="Calibri"/>
          <w:b/>
          <w:i/>
        </w:rPr>
        <w:t xml:space="preserve">Other </w:t>
      </w:r>
      <w:r w:rsidR="005977C7">
        <w:rPr>
          <w:rFonts w:eastAsia="Calibri"/>
          <w:b/>
          <w:i/>
        </w:rPr>
        <w:t xml:space="preserve">Electric </w:t>
      </w:r>
      <w:r w:rsidRPr="00FE5436">
        <w:rPr>
          <w:rFonts w:eastAsia="Calibri"/>
          <w:b/>
          <w:i/>
        </w:rPr>
        <w:t>Programs</w:t>
      </w:r>
      <w:r>
        <w:rPr>
          <w:rFonts w:eastAsia="Calibri"/>
          <w:b/>
          <w:i/>
        </w:rPr>
        <w:t xml:space="preserve"> </w:t>
      </w:r>
      <w:r w:rsidR="00460495">
        <w:rPr>
          <w:rFonts w:eastAsia="Calibri"/>
        </w:rPr>
        <w:t xml:space="preserve">PSE has included $322,000 of </w:t>
      </w:r>
      <w:r w:rsidR="00B526D8">
        <w:rPr>
          <w:rFonts w:eastAsia="Calibri"/>
        </w:rPr>
        <w:t xml:space="preserve">demand response </w:t>
      </w:r>
      <w:r w:rsidR="00460495">
        <w:rPr>
          <w:rFonts w:eastAsia="Calibri"/>
        </w:rPr>
        <w:t xml:space="preserve">funding in the 2017 ACP. </w:t>
      </w:r>
      <w:r w:rsidR="00F90AB3">
        <w:rPr>
          <w:rFonts w:eastAsia="Calibri"/>
        </w:rPr>
        <w:t xml:space="preserve">This amount represents program development costs PSE intends to allocate to the </w:t>
      </w:r>
      <w:r w:rsidR="00B526D8">
        <w:rPr>
          <w:rFonts w:eastAsia="Calibri"/>
        </w:rPr>
        <w:t>conservation rider</w:t>
      </w:r>
      <w:r w:rsidR="00F90AB3">
        <w:rPr>
          <w:rFonts w:eastAsia="Calibri"/>
        </w:rPr>
        <w:t xml:space="preserve">. </w:t>
      </w:r>
      <w:r w:rsidR="00460495">
        <w:rPr>
          <w:rFonts w:eastAsia="Calibri"/>
        </w:rPr>
        <w:t xml:space="preserve">If the </w:t>
      </w:r>
      <w:r w:rsidR="00B526D8">
        <w:rPr>
          <w:rFonts w:eastAsia="Calibri"/>
        </w:rPr>
        <w:t xml:space="preserve">company </w:t>
      </w:r>
      <w:r w:rsidR="00460495">
        <w:rPr>
          <w:rFonts w:eastAsia="Calibri"/>
        </w:rPr>
        <w:t xml:space="preserve">decides to recover these funds </w:t>
      </w:r>
      <w:r w:rsidR="00F90AB3">
        <w:rPr>
          <w:rFonts w:eastAsia="Calibri"/>
        </w:rPr>
        <w:t>in Schedule 120</w:t>
      </w:r>
      <w:r w:rsidR="00460495">
        <w:rPr>
          <w:rFonts w:eastAsia="Calibri"/>
        </w:rPr>
        <w:t xml:space="preserve">, they must first submit a </w:t>
      </w:r>
      <w:r w:rsidR="00B526D8">
        <w:rPr>
          <w:rFonts w:eastAsia="Calibri"/>
        </w:rPr>
        <w:t>p</w:t>
      </w:r>
      <w:r w:rsidR="00B526D8" w:rsidRPr="00460495">
        <w:rPr>
          <w:rFonts w:eastAsia="Calibri"/>
        </w:rPr>
        <w:t xml:space="preserve">etition </w:t>
      </w:r>
      <w:r w:rsidR="00460495" w:rsidRPr="00460495">
        <w:rPr>
          <w:rFonts w:eastAsia="Calibri"/>
        </w:rPr>
        <w:t xml:space="preserve">for </w:t>
      </w:r>
      <w:r w:rsidR="00B526D8">
        <w:rPr>
          <w:rFonts w:eastAsia="Calibri"/>
        </w:rPr>
        <w:t>a</w:t>
      </w:r>
      <w:r w:rsidR="00B526D8" w:rsidRPr="00460495">
        <w:rPr>
          <w:rFonts w:eastAsia="Calibri"/>
        </w:rPr>
        <w:t xml:space="preserve">ccounting </w:t>
      </w:r>
      <w:r w:rsidR="00B526D8">
        <w:rPr>
          <w:rFonts w:eastAsia="Calibri"/>
        </w:rPr>
        <w:t>o</w:t>
      </w:r>
      <w:r w:rsidR="00B526D8" w:rsidRPr="00460495">
        <w:rPr>
          <w:rFonts w:eastAsia="Calibri"/>
        </w:rPr>
        <w:t xml:space="preserve">rder </w:t>
      </w:r>
      <w:r w:rsidR="00460495">
        <w:rPr>
          <w:rFonts w:eastAsia="Calibri"/>
        </w:rPr>
        <w:t xml:space="preserve">to the </w:t>
      </w:r>
      <w:r w:rsidR="00B526D8">
        <w:rPr>
          <w:rFonts w:eastAsia="Calibri"/>
        </w:rPr>
        <w:t>commission</w:t>
      </w:r>
      <w:r w:rsidR="00460495">
        <w:rPr>
          <w:rFonts w:eastAsia="Calibri"/>
        </w:rPr>
        <w:t xml:space="preserve">. It is </w:t>
      </w:r>
      <w:r w:rsidR="00BA780E">
        <w:rPr>
          <w:rFonts w:eastAsia="Calibri"/>
        </w:rPr>
        <w:t>s</w:t>
      </w:r>
      <w:r w:rsidR="00460495">
        <w:rPr>
          <w:rFonts w:eastAsia="Calibri"/>
        </w:rPr>
        <w:t xml:space="preserve">taff’s position that these expenses are more appropriately recovered </w:t>
      </w:r>
      <w:r w:rsidR="00460495" w:rsidRPr="009A273D">
        <w:rPr>
          <w:rFonts w:eastAsia="Calibri"/>
        </w:rPr>
        <w:t xml:space="preserve">via the </w:t>
      </w:r>
      <w:r w:rsidR="00B526D8">
        <w:rPr>
          <w:rFonts w:eastAsia="Calibri"/>
        </w:rPr>
        <w:t>general rate case</w:t>
      </w:r>
      <w:r w:rsidR="00460495" w:rsidRPr="009A273D">
        <w:rPr>
          <w:rFonts w:eastAsia="Calibri"/>
        </w:rPr>
        <w:t>.</w:t>
      </w:r>
    </w:p>
    <w:p w14:paraId="4E0E214C" w14:textId="77777777" w:rsidR="00460495" w:rsidRDefault="00460495" w:rsidP="00460495">
      <w:pPr>
        <w:rPr>
          <w:rFonts w:eastAsia="Calibri"/>
        </w:rPr>
      </w:pPr>
    </w:p>
    <w:p w14:paraId="0F205114" w14:textId="15B8A863" w:rsidR="00460495" w:rsidRPr="00AC49E1" w:rsidRDefault="00460495" w:rsidP="00460495">
      <w:r w:rsidRPr="00AC49E1">
        <w:t xml:space="preserve">The </w:t>
      </w:r>
      <w:r w:rsidR="00B526D8">
        <w:t>e</w:t>
      </w:r>
      <w:r w:rsidR="00B526D8" w:rsidRPr="00AC49E1">
        <w:t xml:space="preserve">lectric </w:t>
      </w:r>
      <w:r w:rsidR="00B526D8">
        <w:t>v</w:t>
      </w:r>
      <w:r w:rsidR="00B526D8" w:rsidRPr="00AC49E1">
        <w:t xml:space="preserve">ehicle </w:t>
      </w:r>
      <w:r w:rsidR="00B526D8">
        <w:t>c</w:t>
      </w:r>
      <w:r w:rsidR="00B526D8" w:rsidRPr="00AC49E1">
        <w:t xml:space="preserve">harger </w:t>
      </w:r>
      <w:r w:rsidRPr="00AC49E1">
        <w:t xml:space="preserve">pilot program was extended past 2016 for the sake of program continuity while the </w:t>
      </w:r>
      <w:r w:rsidR="00B526D8">
        <w:t>c</w:t>
      </w:r>
      <w:r w:rsidR="00B526D8" w:rsidRPr="00AC49E1">
        <w:t xml:space="preserve">ompany </w:t>
      </w:r>
      <w:r w:rsidRPr="00AC49E1">
        <w:t xml:space="preserve">anticipates the approval of an </w:t>
      </w:r>
      <w:r w:rsidR="00B526D8">
        <w:t>e</w:t>
      </w:r>
      <w:r w:rsidR="00B526D8" w:rsidRPr="00AC49E1">
        <w:t>lect</w:t>
      </w:r>
      <w:r w:rsidR="00B526D8">
        <w:t>r</w:t>
      </w:r>
      <w:r w:rsidR="00B526D8" w:rsidRPr="00AC49E1">
        <w:t xml:space="preserve">ic </w:t>
      </w:r>
      <w:r w:rsidR="00B526D8">
        <w:t>v</w:t>
      </w:r>
      <w:r w:rsidR="00B526D8" w:rsidRPr="00AC49E1">
        <w:t xml:space="preserve">ehicle </w:t>
      </w:r>
      <w:r w:rsidR="00B526D8">
        <w:t>p</w:t>
      </w:r>
      <w:r w:rsidR="00B526D8" w:rsidRPr="00AC49E1">
        <w:t xml:space="preserve">olicy </w:t>
      </w:r>
      <w:r w:rsidR="00B526D8">
        <w:t>s</w:t>
      </w:r>
      <w:r w:rsidR="00B526D8" w:rsidRPr="00AC49E1">
        <w:t>tatement</w:t>
      </w:r>
      <w:r w:rsidR="00B526D8">
        <w:t xml:space="preserve"> </w:t>
      </w:r>
      <w:r>
        <w:t xml:space="preserve">by the </w:t>
      </w:r>
      <w:r w:rsidR="00B526D8">
        <w:t>commission</w:t>
      </w:r>
      <w:r w:rsidRPr="00AC49E1">
        <w:t xml:space="preserve">. On November 10, 2016, the six month extension </w:t>
      </w:r>
      <w:r>
        <w:t xml:space="preserve">until April 2017 </w:t>
      </w:r>
      <w:r w:rsidRPr="00AC49E1">
        <w:t xml:space="preserve">was allowed </w:t>
      </w:r>
      <w:r w:rsidRPr="00AC49E1">
        <w:lastRenderedPageBreak/>
        <w:t>to become effective in docket UE-161156 and accounts for $295,000 that was not in the original 2017 budget.</w:t>
      </w:r>
    </w:p>
    <w:p w14:paraId="50E64D57" w14:textId="77777777" w:rsidR="00B64776" w:rsidRPr="00B64776" w:rsidRDefault="00B64776" w:rsidP="00602EC4">
      <w:pPr>
        <w:rPr>
          <w:color w:val="8064A2" w:themeColor="accent4"/>
        </w:rPr>
      </w:pPr>
    </w:p>
    <w:p w14:paraId="39FB6BEE" w14:textId="1BDD51A4" w:rsidR="00602EC4" w:rsidRPr="00602EC4" w:rsidRDefault="00602EC4" w:rsidP="00602EC4">
      <w:pPr>
        <w:rPr>
          <w:rFonts w:eastAsia="Calibri"/>
          <w:color w:val="F79646" w:themeColor="accent6"/>
        </w:rPr>
      </w:pPr>
      <w:r w:rsidRPr="00F62194">
        <w:rPr>
          <w:rFonts w:eastAsia="Calibri"/>
          <w:b/>
          <w:i/>
        </w:rPr>
        <w:t>Electric DSM Savings</w:t>
      </w:r>
      <w:r w:rsidRPr="00602EC4">
        <w:rPr>
          <w:rFonts w:eastAsia="Calibri"/>
          <w:b/>
          <w:i/>
          <w:color w:val="F79646" w:themeColor="accent6"/>
        </w:rPr>
        <w:t xml:space="preserve">. </w:t>
      </w:r>
      <w:r w:rsidRPr="00476276">
        <w:rPr>
          <w:rFonts w:eastAsia="Calibri"/>
        </w:rPr>
        <w:t xml:space="preserve">PSE projects a </w:t>
      </w:r>
      <w:r w:rsidR="00476276" w:rsidRPr="00476276">
        <w:rPr>
          <w:rFonts w:eastAsia="Calibri"/>
        </w:rPr>
        <w:t>5</w:t>
      </w:r>
      <w:r w:rsidRPr="00476276">
        <w:rPr>
          <w:rFonts w:eastAsia="Calibri"/>
        </w:rPr>
        <w:t xml:space="preserve"> percent increase in its projected year-over-year savings acquisition, increasing from </w:t>
      </w:r>
      <w:r w:rsidR="00476276" w:rsidRPr="00476276">
        <w:rPr>
          <w:rFonts w:eastAsia="Calibri"/>
        </w:rPr>
        <w:t>294,507</w:t>
      </w:r>
      <w:r w:rsidRPr="00476276">
        <w:rPr>
          <w:rFonts w:eastAsia="Calibri"/>
        </w:rPr>
        <w:t xml:space="preserve"> MWh to </w:t>
      </w:r>
      <w:r w:rsidR="00476276" w:rsidRPr="00476276">
        <w:rPr>
          <w:rFonts w:eastAsia="Calibri"/>
        </w:rPr>
        <w:t>309,932</w:t>
      </w:r>
      <w:r w:rsidRPr="00476276">
        <w:rPr>
          <w:rFonts w:eastAsia="Calibri"/>
        </w:rPr>
        <w:t xml:space="preserve"> MWh. The table below summarizes projected 201</w:t>
      </w:r>
      <w:r w:rsidR="00476276" w:rsidRPr="00476276">
        <w:rPr>
          <w:rFonts w:eastAsia="Calibri"/>
        </w:rPr>
        <w:t>6</w:t>
      </w:r>
      <w:r w:rsidRPr="00476276">
        <w:rPr>
          <w:rFonts w:eastAsia="Calibri"/>
        </w:rPr>
        <w:t xml:space="preserve"> and 201</w:t>
      </w:r>
      <w:r w:rsidR="00476276" w:rsidRPr="00476276">
        <w:rPr>
          <w:rFonts w:eastAsia="Calibri"/>
        </w:rPr>
        <w:t>7</w:t>
      </w:r>
      <w:r w:rsidRPr="00476276">
        <w:rPr>
          <w:rFonts w:eastAsia="Calibri"/>
        </w:rPr>
        <w:t xml:space="preserve"> electric savings by program.</w:t>
      </w:r>
    </w:p>
    <w:p w14:paraId="7D685489" w14:textId="77777777" w:rsidR="00602EC4" w:rsidRPr="00602EC4" w:rsidRDefault="00602EC4" w:rsidP="00602EC4">
      <w:pPr>
        <w:rPr>
          <w:rFonts w:eastAsia="Calibri"/>
          <w:color w:val="F79646" w:themeColor="accent6"/>
          <w:highlight w:val="yellow"/>
        </w:rPr>
      </w:pPr>
    </w:p>
    <w:tbl>
      <w:tblPr>
        <w:tblW w:w="9018" w:type="dxa"/>
        <w:tblBorders>
          <w:top w:val="single" w:sz="12" w:space="0" w:color="000000"/>
          <w:bottom w:val="single" w:sz="12" w:space="0" w:color="000000"/>
          <w:insideH w:val="single" w:sz="6" w:space="0" w:color="000000"/>
        </w:tblBorders>
        <w:tblLook w:val="04A0" w:firstRow="1" w:lastRow="0" w:firstColumn="1" w:lastColumn="0" w:noHBand="0" w:noVBand="1"/>
      </w:tblPr>
      <w:tblGrid>
        <w:gridCol w:w="3780"/>
        <w:gridCol w:w="1710"/>
        <w:gridCol w:w="1638"/>
        <w:gridCol w:w="1890"/>
      </w:tblGrid>
      <w:tr w:rsidR="00F62194" w:rsidRPr="00F62194" w14:paraId="77DD42EC" w14:textId="77777777" w:rsidTr="00BC1589">
        <w:trPr>
          <w:trHeight w:val="279"/>
        </w:trPr>
        <w:tc>
          <w:tcPr>
            <w:tcW w:w="3780" w:type="dxa"/>
            <w:tcBorders>
              <w:top w:val="single" w:sz="12" w:space="0" w:color="000000"/>
              <w:left w:val="nil"/>
              <w:bottom w:val="single" w:sz="12" w:space="0" w:color="000000"/>
              <w:right w:val="nil"/>
            </w:tcBorders>
            <w:hideMark/>
          </w:tcPr>
          <w:p w14:paraId="26800C20" w14:textId="77777777" w:rsidR="00602EC4" w:rsidRPr="00F62194" w:rsidRDefault="00602EC4" w:rsidP="00BC1589">
            <w:pPr>
              <w:rPr>
                <w:b/>
                <w:bCs/>
              </w:rPr>
            </w:pPr>
            <w:r w:rsidRPr="00F62194">
              <w:rPr>
                <w:b/>
                <w:bCs/>
              </w:rPr>
              <w:t>Projected Electric Savings (MWh)</w:t>
            </w:r>
          </w:p>
        </w:tc>
        <w:tc>
          <w:tcPr>
            <w:tcW w:w="1710" w:type="dxa"/>
            <w:tcBorders>
              <w:top w:val="single" w:sz="12" w:space="0" w:color="000000"/>
              <w:left w:val="nil"/>
              <w:bottom w:val="single" w:sz="12" w:space="0" w:color="000000"/>
              <w:right w:val="nil"/>
            </w:tcBorders>
            <w:hideMark/>
          </w:tcPr>
          <w:p w14:paraId="195DE0F3" w14:textId="579F7FA3" w:rsidR="00602EC4" w:rsidRPr="00F62194" w:rsidRDefault="00602EC4" w:rsidP="00BC1589">
            <w:pPr>
              <w:jc w:val="right"/>
              <w:rPr>
                <w:b/>
                <w:bCs/>
              </w:rPr>
            </w:pPr>
            <w:r w:rsidRPr="00F62194">
              <w:rPr>
                <w:b/>
                <w:bCs/>
              </w:rPr>
              <w:t>201</w:t>
            </w:r>
            <w:r w:rsidR="00F62194" w:rsidRPr="00F62194">
              <w:rPr>
                <w:b/>
                <w:bCs/>
              </w:rPr>
              <w:t>6</w:t>
            </w:r>
          </w:p>
        </w:tc>
        <w:tc>
          <w:tcPr>
            <w:tcW w:w="1638" w:type="dxa"/>
            <w:tcBorders>
              <w:top w:val="single" w:sz="12" w:space="0" w:color="000000"/>
              <w:left w:val="nil"/>
              <w:bottom w:val="single" w:sz="12" w:space="0" w:color="000000"/>
              <w:right w:val="nil"/>
            </w:tcBorders>
            <w:hideMark/>
          </w:tcPr>
          <w:p w14:paraId="418B7C08" w14:textId="4DDC6FDC" w:rsidR="00602EC4" w:rsidRPr="00F62194" w:rsidRDefault="00602EC4" w:rsidP="00BC1589">
            <w:pPr>
              <w:jc w:val="right"/>
              <w:rPr>
                <w:b/>
                <w:bCs/>
              </w:rPr>
            </w:pPr>
            <w:r w:rsidRPr="00F62194">
              <w:rPr>
                <w:b/>
                <w:bCs/>
              </w:rPr>
              <w:t>201</w:t>
            </w:r>
            <w:r w:rsidR="00F62194" w:rsidRPr="00F62194">
              <w:rPr>
                <w:b/>
                <w:bCs/>
              </w:rPr>
              <w:t>7</w:t>
            </w:r>
          </w:p>
        </w:tc>
        <w:tc>
          <w:tcPr>
            <w:tcW w:w="1890" w:type="dxa"/>
            <w:tcBorders>
              <w:top w:val="single" w:sz="12" w:space="0" w:color="000000"/>
              <w:left w:val="nil"/>
              <w:bottom w:val="single" w:sz="12" w:space="0" w:color="000000"/>
              <w:right w:val="nil"/>
            </w:tcBorders>
            <w:hideMark/>
          </w:tcPr>
          <w:p w14:paraId="1F2209C3" w14:textId="7C1CB901" w:rsidR="00602EC4" w:rsidRPr="00F62194" w:rsidRDefault="00F62194" w:rsidP="00BC1589">
            <w:pPr>
              <w:jc w:val="right"/>
              <w:rPr>
                <w:b/>
                <w:bCs/>
              </w:rPr>
            </w:pPr>
            <w:r w:rsidRPr="00F62194">
              <w:rPr>
                <w:b/>
                <w:bCs/>
              </w:rPr>
              <w:t>2017</w:t>
            </w:r>
            <w:r w:rsidR="00602EC4" w:rsidRPr="00F62194">
              <w:rPr>
                <w:b/>
                <w:bCs/>
              </w:rPr>
              <w:t xml:space="preserve"> Change</w:t>
            </w:r>
          </w:p>
        </w:tc>
      </w:tr>
      <w:tr w:rsidR="00F41765" w:rsidRPr="00602EC4" w14:paraId="42DA3E1A" w14:textId="77777777" w:rsidTr="00BC1589">
        <w:trPr>
          <w:trHeight w:val="291"/>
        </w:trPr>
        <w:tc>
          <w:tcPr>
            <w:tcW w:w="3780" w:type="dxa"/>
            <w:tcBorders>
              <w:top w:val="single" w:sz="6" w:space="0" w:color="000000"/>
              <w:left w:val="nil"/>
              <w:bottom w:val="single" w:sz="6" w:space="0" w:color="000000"/>
              <w:right w:val="nil"/>
            </w:tcBorders>
          </w:tcPr>
          <w:p w14:paraId="7E5D43B4" w14:textId="77777777" w:rsidR="00F41765" w:rsidRPr="00D477B0" w:rsidRDefault="00F41765" w:rsidP="00F41765">
            <w:r w:rsidRPr="00D477B0">
              <w:t>Residential</w:t>
            </w:r>
          </w:p>
        </w:tc>
        <w:tc>
          <w:tcPr>
            <w:tcW w:w="1710" w:type="dxa"/>
            <w:tcBorders>
              <w:top w:val="single" w:sz="6" w:space="0" w:color="000000"/>
              <w:left w:val="nil"/>
              <w:bottom w:val="single" w:sz="6" w:space="0" w:color="000000"/>
              <w:right w:val="nil"/>
            </w:tcBorders>
            <w:shd w:val="clear" w:color="auto" w:fill="auto"/>
          </w:tcPr>
          <w:p w14:paraId="5AFB46DA" w14:textId="14A7C98A" w:rsidR="00F41765" w:rsidRPr="00D477B0" w:rsidRDefault="00F41765" w:rsidP="00F41765">
            <w:pPr>
              <w:jc w:val="right"/>
            </w:pPr>
            <w:r w:rsidRPr="00D477B0">
              <w:t>133,049</w:t>
            </w:r>
          </w:p>
        </w:tc>
        <w:tc>
          <w:tcPr>
            <w:tcW w:w="1638" w:type="dxa"/>
            <w:tcBorders>
              <w:top w:val="single" w:sz="6" w:space="0" w:color="000000"/>
              <w:left w:val="nil"/>
              <w:bottom w:val="single" w:sz="6" w:space="0" w:color="000000"/>
              <w:right w:val="nil"/>
            </w:tcBorders>
          </w:tcPr>
          <w:p w14:paraId="74D9F9C6" w14:textId="2E20A028" w:rsidR="00F41765" w:rsidRPr="00602EC4" w:rsidRDefault="00F41765" w:rsidP="00F41765">
            <w:pPr>
              <w:jc w:val="right"/>
              <w:rPr>
                <w:color w:val="F79646" w:themeColor="accent6"/>
              </w:rPr>
            </w:pPr>
            <w:r w:rsidRPr="007868EA">
              <w:t>120,762</w:t>
            </w:r>
          </w:p>
        </w:tc>
        <w:tc>
          <w:tcPr>
            <w:tcW w:w="1890" w:type="dxa"/>
            <w:tcBorders>
              <w:top w:val="single" w:sz="6" w:space="0" w:color="000000"/>
              <w:left w:val="nil"/>
              <w:bottom w:val="single" w:sz="6" w:space="0" w:color="000000"/>
              <w:right w:val="nil"/>
            </w:tcBorders>
          </w:tcPr>
          <w:p w14:paraId="6950264D" w14:textId="28D3A851" w:rsidR="00F41765" w:rsidRPr="00602EC4" w:rsidRDefault="00F41765" w:rsidP="00F41765">
            <w:pPr>
              <w:jc w:val="right"/>
              <w:rPr>
                <w:color w:val="F79646" w:themeColor="accent6"/>
              </w:rPr>
            </w:pPr>
            <w:r w:rsidRPr="006A2062">
              <w:t>-9%</w:t>
            </w:r>
          </w:p>
        </w:tc>
      </w:tr>
      <w:tr w:rsidR="00F41765" w:rsidRPr="00602EC4" w14:paraId="0AD3AF3A" w14:textId="77777777" w:rsidTr="00BC1589">
        <w:trPr>
          <w:trHeight w:val="304"/>
        </w:trPr>
        <w:tc>
          <w:tcPr>
            <w:tcW w:w="3780" w:type="dxa"/>
            <w:tcBorders>
              <w:top w:val="single" w:sz="6" w:space="0" w:color="000000"/>
              <w:left w:val="nil"/>
              <w:bottom w:val="single" w:sz="6" w:space="0" w:color="000000"/>
              <w:right w:val="nil"/>
            </w:tcBorders>
          </w:tcPr>
          <w:p w14:paraId="498D3506" w14:textId="77777777" w:rsidR="00F41765" w:rsidRPr="00D477B0" w:rsidRDefault="00F41765" w:rsidP="00F41765">
            <w:r w:rsidRPr="00D477B0">
              <w:rPr>
                <w:i/>
              </w:rPr>
              <w:t xml:space="preserve">       Low-income</w:t>
            </w:r>
          </w:p>
        </w:tc>
        <w:tc>
          <w:tcPr>
            <w:tcW w:w="1710" w:type="dxa"/>
            <w:tcBorders>
              <w:top w:val="single" w:sz="6" w:space="0" w:color="000000"/>
              <w:left w:val="nil"/>
              <w:bottom w:val="single" w:sz="6" w:space="0" w:color="000000"/>
              <w:right w:val="nil"/>
            </w:tcBorders>
          </w:tcPr>
          <w:p w14:paraId="49380F41" w14:textId="4817BC1A" w:rsidR="00F41765" w:rsidRPr="00D477B0" w:rsidRDefault="00F41765" w:rsidP="00F41765">
            <w:pPr>
              <w:jc w:val="right"/>
            </w:pPr>
            <w:r w:rsidRPr="00D477B0">
              <w:t>1,560</w:t>
            </w:r>
          </w:p>
        </w:tc>
        <w:tc>
          <w:tcPr>
            <w:tcW w:w="1638" w:type="dxa"/>
            <w:tcBorders>
              <w:top w:val="single" w:sz="6" w:space="0" w:color="000000"/>
              <w:left w:val="nil"/>
              <w:bottom w:val="single" w:sz="6" w:space="0" w:color="000000"/>
              <w:right w:val="nil"/>
            </w:tcBorders>
          </w:tcPr>
          <w:p w14:paraId="06AE15EC" w14:textId="5BF183D6" w:rsidR="00F41765" w:rsidRPr="00602EC4" w:rsidRDefault="00F41765" w:rsidP="00F41765">
            <w:pPr>
              <w:jc w:val="right"/>
              <w:rPr>
                <w:i/>
                <w:color w:val="F79646" w:themeColor="accent6"/>
              </w:rPr>
            </w:pPr>
            <w:r w:rsidRPr="00D477B0">
              <w:rPr>
                <w:i/>
              </w:rPr>
              <w:t>1,836</w:t>
            </w:r>
          </w:p>
        </w:tc>
        <w:tc>
          <w:tcPr>
            <w:tcW w:w="1890" w:type="dxa"/>
            <w:tcBorders>
              <w:top w:val="single" w:sz="6" w:space="0" w:color="000000"/>
              <w:left w:val="nil"/>
              <w:bottom w:val="single" w:sz="6" w:space="0" w:color="000000"/>
              <w:right w:val="nil"/>
            </w:tcBorders>
          </w:tcPr>
          <w:p w14:paraId="5F8BA206" w14:textId="4CC58EDD" w:rsidR="00F41765" w:rsidRPr="00602EC4" w:rsidRDefault="00F41765" w:rsidP="00F41765">
            <w:pPr>
              <w:jc w:val="right"/>
              <w:rPr>
                <w:color w:val="F79646" w:themeColor="accent6"/>
              </w:rPr>
            </w:pPr>
            <w:r w:rsidRPr="006A2062">
              <w:t>18%</w:t>
            </w:r>
          </w:p>
        </w:tc>
      </w:tr>
      <w:tr w:rsidR="00F41765" w:rsidRPr="00602EC4" w14:paraId="45D20E07" w14:textId="77777777" w:rsidTr="00BC1589">
        <w:trPr>
          <w:trHeight w:val="291"/>
        </w:trPr>
        <w:tc>
          <w:tcPr>
            <w:tcW w:w="3780" w:type="dxa"/>
            <w:tcBorders>
              <w:top w:val="single" w:sz="6" w:space="0" w:color="000000"/>
              <w:left w:val="nil"/>
              <w:bottom w:val="single" w:sz="6" w:space="0" w:color="000000"/>
              <w:right w:val="nil"/>
            </w:tcBorders>
          </w:tcPr>
          <w:p w14:paraId="75F5FEE3" w14:textId="77777777" w:rsidR="00F41765" w:rsidRPr="00D477B0" w:rsidRDefault="00F41765" w:rsidP="00F41765">
            <w:r w:rsidRPr="00D477B0">
              <w:t>Commercial</w:t>
            </w:r>
          </w:p>
        </w:tc>
        <w:tc>
          <w:tcPr>
            <w:tcW w:w="1710" w:type="dxa"/>
            <w:tcBorders>
              <w:top w:val="single" w:sz="6" w:space="0" w:color="000000"/>
              <w:left w:val="nil"/>
              <w:bottom w:val="single" w:sz="6" w:space="0" w:color="000000"/>
              <w:right w:val="nil"/>
            </w:tcBorders>
          </w:tcPr>
          <w:p w14:paraId="79403ADB" w14:textId="766B9506" w:rsidR="00F41765" w:rsidRPr="00D477B0" w:rsidRDefault="00F41765" w:rsidP="00F41765">
            <w:pPr>
              <w:jc w:val="right"/>
            </w:pPr>
            <w:r w:rsidRPr="00D477B0">
              <w:t>133,570</w:t>
            </w:r>
          </w:p>
        </w:tc>
        <w:tc>
          <w:tcPr>
            <w:tcW w:w="1638" w:type="dxa"/>
            <w:tcBorders>
              <w:top w:val="single" w:sz="6" w:space="0" w:color="000000"/>
              <w:left w:val="nil"/>
              <w:bottom w:val="single" w:sz="6" w:space="0" w:color="000000"/>
              <w:right w:val="nil"/>
            </w:tcBorders>
          </w:tcPr>
          <w:p w14:paraId="301ECF15" w14:textId="3D468A68" w:rsidR="00F41765" w:rsidRPr="00D477B0" w:rsidRDefault="00F41765" w:rsidP="00F41765">
            <w:pPr>
              <w:jc w:val="right"/>
            </w:pPr>
            <w:r w:rsidRPr="00D477B0">
              <w:t>166,755</w:t>
            </w:r>
          </w:p>
        </w:tc>
        <w:tc>
          <w:tcPr>
            <w:tcW w:w="1890" w:type="dxa"/>
            <w:tcBorders>
              <w:top w:val="single" w:sz="6" w:space="0" w:color="000000"/>
              <w:left w:val="nil"/>
              <w:bottom w:val="single" w:sz="6" w:space="0" w:color="000000"/>
              <w:right w:val="nil"/>
            </w:tcBorders>
          </w:tcPr>
          <w:p w14:paraId="28FB2548" w14:textId="62D758A7" w:rsidR="00F41765" w:rsidRPr="00602EC4" w:rsidRDefault="00F41765" w:rsidP="00F41765">
            <w:pPr>
              <w:jc w:val="right"/>
              <w:rPr>
                <w:color w:val="F79646" w:themeColor="accent6"/>
              </w:rPr>
            </w:pPr>
            <w:r w:rsidRPr="006A2062">
              <w:t>25%</w:t>
            </w:r>
          </w:p>
        </w:tc>
      </w:tr>
      <w:tr w:rsidR="00F41765" w:rsidRPr="00602EC4" w14:paraId="7F705AC7" w14:textId="77777777" w:rsidTr="00BC1589">
        <w:trPr>
          <w:trHeight w:val="291"/>
        </w:trPr>
        <w:tc>
          <w:tcPr>
            <w:tcW w:w="3780" w:type="dxa"/>
            <w:tcBorders>
              <w:top w:val="single" w:sz="6" w:space="0" w:color="000000"/>
              <w:left w:val="nil"/>
              <w:bottom w:val="single" w:sz="6" w:space="0" w:color="000000"/>
              <w:right w:val="nil"/>
            </w:tcBorders>
          </w:tcPr>
          <w:p w14:paraId="2670F856" w14:textId="77777777" w:rsidR="00F41765" w:rsidRPr="00D477B0" w:rsidRDefault="00F41765" w:rsidP="00F41765">
            <w:r w:rsidRPr="00D477B0">
              <w:t>Pilots</w:t>
            </w:r>
          </w:p>
        </w:tc>
        <w:tc>
          <w:tcPr>
            <w:tcW w:w="1710" w:type="dxa"/>
            <w:tcBorders>
              <w:top w:val="single" w:sz="6" w:space="0" w:color="000000"/>
              <w:left w:val="nil"/>
              <w:bottom w:val="single" w:sz="6" w:space="0" w:color="000000"/>
              <w:right w:val="nil"/>
            </w:tcBorders>
          </w:tcPr>
          <w:p w14:paraId="56F3D442" w14:textId="5DC0B7FE" w:rsidR="00F41765" w:rsidRPr="00D477B0" w:rsidRDefault="00F41765" w:rsidP="00F41765">
            <w:pPr>
              <w:jc w:val="right"/>
            </w:pPr>
            <w:r w:rsidRPr="00D477B0">
              <w:t>17,347</w:t>
            </w:r>
          </w:p>
        </w:tc>
        <w:tc>
          <w:tcPr>
            <w:tcW w:w="1638" w:type="dxa"/>
            <w:tcBorders>
              <w:top w:val="single" w:sz="6" w:space="0" w:color="000000"/>
              <w:left w:val="nil"/>
              <w:bottom w:val="single" w:sz="6" w:space="0" w:color="000000"/>
              <w:right w:val="nil"/>
            </w:tcBorders>
          </w:tcPr>
          <w:p w14:paraId="6322B9B9" w14:textId="0470B7C7" w:rsidR="00F41765" w:rsidRPr="00D477B0" w:rsidRDefault="00F41765" w:rsidP="00F41765">
            <w:pPr>
              <w:jc w:val="right"/>
            </w:pPr>
            <w:r w:rsidRPr="00D477B0">
              <w:t>5,323</w:t>
            </w:r>
          </w:p>
        </w:tc>
        <w:tc>
          <w:tcPr>
            <w:tcW w:w="1890" w:type="dxa"/>
            <w:tcBorders>
              <w:top w:val="single" w:sz="6" w:space="0" w:color="000000"/>
              <w:left w:val="nil"/>
              <w:bottom w:val="single" w:sz="6" w:space="0" w:color="000000"/>
              <w:right w:val="nil"/>
            </w:tcBorders>
          </w:tcPr>
          <w:p w14:paraId="463BCE91" w14:textId="5B1F8BFE" w:rsidR="00F41765" w:rsidRPr="00602EC4" w:rsidRDefault="00F41765" w:rsidP="00F41765">
            <w:pPr>
              <w:jc w:val="right"/>
              <w:rPr>
                <w:color w:val="F79646" w:themeColor="accent6"/>
              </w:rPr>
            </w:pPr>
            <w:r w:rsidRPr="006A2062">
              <w:t>-69%</w:t>
            </w:r>
          </w:p>
        </w:tc>
      </w:tr>
      <w:tr w:rsidR="00F41765" w:rsidRPr="00602EC4" w14:paraId="6C825EAB" w14:textId="77777777" w:rsidTr="00BC1589">
        <w:trPr>
          <w:trHeight w:val="291"/>
        </w:trPr>
        <w:tc>
          <w:tcPr>
            <w:tcW w:w="3780" w:type="dxa"/>
            <w:tcBorders>
              <w:top w:val="single" w:sz="6" w:space="0" w:color="000000"/>
              <w:left w:val="nil"/>
              <w:bottom w:val="single" w:sz="6" w:space="0" w:color="000000"/>
              <w:right w:val="nil"/>
            </w:tcBorders>
            <w:hideMark/>
          </w:tcPr>
          <w:p w14:paraId="145776C9" w14:textId="77777777" w:rsidR="00F41765" w:rsidRPr="00D477B0" w:rsidRDefault="00F41765" w:rsidP="00F41765">
            <w:r w:rsidRPr="00D477B0">
              <w:t>Regional Programs</w:t>
            </w:r>
          </w:p>
        </w:tc>
        <w:tc>
          <w:tcPr>
            <w:tcW w:w="1710" w:type="dxa"/>
            <w:tcBorders>
              <w:top w:val="single" w:sz="6" w:space="0" w:color="000000"/>
              <w:left w:val="nil"/>
              <w:bottom w:val="single" w:sz="6" w:space="0" w:color="000000"/>
              <w:right w:val="nil"/>
            </w:tcBorders>
          </w:tcPr>
          <w:p w14:paraId="7A74C579" w14:textId="352A8F2D" w:rsidR="00F41765" w:rsidRPr="00D477B0" w:rsidRDefault="00F41765" w:rsidP="00F41765">
            <w:pPr>
              <w:jc w:val="right"/>
            </w:pPr>
            <w:r w:rsidRPr="00D477B0">
              <w:t>10,541</w:t>
            </w:r>
          </w:p>
        </w:tc>
        <w:tc>
          <w:tcPr>
            <w:tcW w:w="1638" w:type="dxa"/>
            <w:tcBorders>
              <w:top w:val="single" w:sz="6" w:space="0" w:color="000000"/>
              <w:left w:val="nil"/>
              <w:bottom w:val="single" w:sz="6" w:space="0" w:color="000000"/>
              <w:right w:val="nil"/>
            </w:tcBorders>
          </w:tcPr>
          <w:p w14:paraId="6CC8A598" w14:textId="2C33B364" w:rsidR="00F41765" w:rsidRPr="00D477B0" w:rsidRDefault="00F41765" w:rsidP="00F41765">
            <w:pPr>
              <w:jc w:val="right"/>
            </w:pPr>
            <w:r w:rsidRPr="00D477B0">
              <w:t>17,093</w:t>
            </w:r>
          </w:p>
        </w:tc>
        <w:tc>
          <w:tcPr>
            <w:tcW w:w="1890" w:type="dxa"/>
            <w:tcBorders>
              <w:top w:val="single" w:sz="6" w:space="0" w:color="000000"/>
              <w:left w:val="nil"/>
              <w:bottom w:val="single" w:sz="6" w:space="0" w:color="000000"/>
              <w:right w:val="nil"/>
            </w:tcBorders>
          </w:tcPr>
          <w:p w14:paraId="6885B51F" w14:textId="19DC9F1A" w:rsidR="00F41765" w:rsidRPr="00602EC4" w:rsidRDefault="00F41765" w:rsidP="00F41765">
            <w:pPr>
              <w:jc w:val="right"/>
              <w:rPr>
                <w:color w:val="F79646" w:themeColor="accent6"/>
              </w:rPr>
            </w:pPr>
            <w:r w:rsidRPr="006A2062">
              <w:t>62%</w:t>
            </w:r>
          </w:p>
        </w:tc>
      </w:tr>
      <w:tr w:rsidR="00F41765" w:rsidRPr="00602EC4" w14:paraId="0E43A750" w14:textId="77777777" w:rsidTr="00BC1589">
        <w:trPr>
          <w:trHeight w:val="291"/>
        </w:trPr>
        <w:tc>
          <w:tcPr>
            <w:tcW w:w="3780" w:type="dxa"/>
            <w:tcBorders>
              <w:top w:val="single" w:sz="12" w:space="0" w:color="auto"/>
              <w:left w:val="nil"/>
              <w:bottom w:val="single" w:sz="12" w:space="0" w:color="000000"/>
              <w:right w:val="nil"/>
            </w:tcBorders>
            <w:hideMark/>
          </w:tcPr>
          <w:p w14:paraId="6076C25A" w14:textId="77777777" w:rsidR="00F41765" w:rsidRPr="00D477B0" w:rsidRDefault="00F41765" w:rsidP="00F41765">
            <w:pPr>
              <w:rPr>
                <w:b/>
              </w:rPr>
            </w:pPr>
            <w:r w:rsidRPr="00D477B0">
              <w:rPr>
                <w:b/>
              </w:rPr>
              <w:t>Total</w:t>
            </w:r>
          </w:p>
        </w:tc>
        <w:tc>
          <w:tcPr>
            <w:tcW w:w="1710" w:type="dxa"/>
            <w:tcBorders>
              <w:top w:val="single" w:sz="12" w:space="0" w:color="auto"/>
              <w:left w:val="nil"/>
              <w:bottom w:val="single" w:sz="12" w:space="0" w:color="000000"/>
              <w:right w:val="nil"/>
            </w:tcBorders>
            <w:hideMark/>
          </w:tcPr>
          <w:p w14:paraId="470AD6D4" w14:textId="34529E0E" w:rsidR="00F41765" w:rsidRPr="00D477B0" w:rsidRDefault="00F41765" w:rsidP="00F41765">
            <w:pPr>
              <w:jc w:val="right"/>
              <w:rPr>
                <w:b/>
              </w:rPr>
            </w:pPr>
            <w:r w:rsidRPr="00D477B0">
              <w:rPr>
                <w:b/>
              </w:rPr>
              <w:t>294,507</w:t>
            </w:r>
          </w:p>
        </w:tc>
        <w:tc>
          <w:tcPr>
            <w:tcW w:w="1638" w:type="dxa"/>
            <w:tcBorders>
              <w:top w:val="single" w:sz="12" w:space="0" w:color="auto"/>
              <w:left w:val="nil"/>
              <w:bottom w:val="single" w:sz="12" w:space="0" w:color="000000"/>
              <w:right w:val="nil"/>
            </w:tcBorders>
          </w:tcPr>
          <w:p w14:paraId="05E05E95" w14:textId="4E0ED33E" w:rsidR="00F41765" w:rsidRPr="00D477B0" w:rsidRDefault="00F41765" w:rsidP="00F41765">
            <w:pPr>
              <w:jc w:val="right"/>
              <w:rPr>
                <w:b/>
              </w:rPr>
            </w:pPr>
            <w:r w:rsidRPr="00D477B0">
              <w:rPr>
                <w:b/>
              </w:rPr>
              <w:t>309,932</w:t>
            </w:r>
          </w:p>
        </w:tc>
        <w:tc>
          <w:tcPr>
            <w:tcW w:w="1890" w:type="dxa"/>
            <w:tcBorders>
              <w:top w:val="single" w:sz="12" w:space="0" w:color="auto"/>
              <w:left w:val="nil"/>
              <w:bottom w:val="single" w:sz="12" w:space="0" w:color="000000"/>
              <w:right w:val="nil"/>
            </w:tcBorders>
          </w:tcPr>
          <w:p w14:paraId="0B992C42" w14:textId="378B7C99" w:rsidR="00F41765" w:rsidRPr="00602EC4" w:rsidRDefault="00F41765" w:rsidP="00F41765">
            <w:pPr>
              <w:jc w:val="right"/>
              <w:rPr>
                <w:b/>
                <w:color w:val="F79646" w:themeColor="accent6"/>
              </w:rPr>
            </w:pPr>
            <w:r w:rsidRPr="006A2062">
              <w:t>5%</w:t>
            </w:r>
          </w:p>
        </w:tc>
      </w:tr>
    </w:tbl>
    <w:p w14:paraId="5476588A" w14:textId="77777777" w:rsidR="00602EC4" w:rsidRPr="00602EC4" w:rsidRDefault="00602EC4" w:rsidP="00602EC4">
      <w:pPr>
        <w:rPr>
          <w:rFonts w:eastAsia="Calibri"/>
          <w:color w:val="F79646" w:themeColor="accent6"/>
          <w:highlight w:val="yellow"/>
        </w:rPr>
      </w:pPr>
    </w:p>
    <w:p w14:paraId="61A94161" w14:textId="52A8A9CB" w:rsidR="00946F4E" w:rsidRPr="00F13D87" w:rsidRDefault="00602EC4" w:rsidP="00602EC4">
      <w:r w:rsidRPr="00965968">
        <w:t xml:space="preserve">Despite the reductions in energy savings values mentioned above, PSE has </w:t>
      </w:r>
      <w:r w:rsidR="008E4F35">
        <w:t xml:space="preserve">adaptively managed its program </w:t>
      </w:r>
      <w:r w:rsidRPr="00965968">
        <w:t>to maintain its expected level of saving</w:t>
      </w:r>
      <w:r w:rsidRPr="00F13D87">
        <w:t xml:space="preserve">s. These adjustments include </w:t>
      </w:r>
      <w:r w:rsidR="00F13D87" w:rsidRPr="00F13D87">
        <w:t>expanding the number of small business “blitzes</w:t>
      </w:r>
      <w:r w:rsidR="00BA780E">
        <w:t>,</w:t>
      </w:r>
      <w:r w:rsidR="00F13D87" w:rsidRPr="00F13D87">
        <w:t>”</w:t>
      </w:r>
      <w:r w:rsidRPr="00F13D87">
        <w:t xml:space="preserve"> </w:t>
      </w:r>
      <w:r w:rsidR="00F13D87" w:rsidRPr="00F13D87">
        <w:t xml:space="preserve">enhancements of the </w:t>
      </w:r>
      <w:r w:rsidR="00B526D8">
        <w:t>b</w:t>
      </w:r>
      <w:r w:rsidR="00B526D8" w:rsidRPr="00F13D87">
        <w:t xml:space="preserve">usiness </w:t>
      </w:r>
      <w:r w:rsidR="00B526D8">
        <w:t>l</w:t>
      </w:r>
      <w:r w:rsidR="00B526D8" w:rsidRPr="00F13D87">
        <w:t xml:space="preserve">ighting </w:t>
      </w:r>
      <w:r w:rsidR="00F13D87" w:rsidRPr="00F13D87">
        <w:t>grant application process</w:t>
      </w:r>
      <w:r w:rsidRPr="00F13D87">
        <w:t xml:space="preserve">, </w:t>
      </w:r>
      <w:r w:rsidR="00F13D87" w:rsidRPr="00F13D87">
        <w:t xml:space="preserve">and creating an </w:t>
      </w:r>
      <w:r w:rsidR="00B526D8">
        <w:t>i</w:t>
      </w:r>
      <w:r w:rsidR="00B526D8" w:rsidRPr="00F13D87">
        <w:t xml:space="preserve">ndoor </w:t>
      </w:r>
      <w:r w:rsidR="00B526D8">
        <w:t>a</w:t>
      </w:r>
      <w:r w:rsidR="00B526D8" w:rsidRPr="00F13D87">
        <w:t xml:space="preserve">gricultural </w:t>
      </w:r>
      <w:r w:rsidR="00F13D87" w:rsidRPr="00F13D87">
        <w:t>website</w:t>
      </w:r>
      <w:r w:rsidRPr="00F13D87">
        <w:t xml:space="preserve">. </w:t>
      </w:r>
      <w:r w:rsidRPr="000B307D">
        <w:t xml:space="preserve">The decrease in pilot savings </w:t>
      </w:r>
      <w:r w:rsidR="00720A28">
        <w:t xml:space="preserve">reflects </w:t>
      </w:r>
      <w:r w:rsidRPr="00F13D87">
        <w:t>PSE’s</w:t>
      </w:r>
      <w:r w:rsidRPr="00602EC4">
        <w:rPr>
          <w:color w:val="F79646" w:themeColor="accent6"/>
        </w:rPr>
        <w:t xml:space="preserve"> </w:t>
      </w:r>
      <w:r w:rsidR="00F13D87" w:rsidRPr="00F13D87">
        <w:t xml:space="preserve">decision, in consultation with the </w:t>
      </w:r>
      <w:r w:rsidR="00F13D87">
        <w:t>Conservation Resource Advisory Group (</w:t>
      </w:r>
      <w:r w:rsidR="00F13D87" w:rsidRPr="00F13D87">
        <w:t>CRAG</w:t>
      </w:r>
      <w:r w:rsidR="00F13D87">
        <w:t>)</w:t>
      </w:r>
      <w:r w:rsidR="00F13D87" w:rsidRPr="00F13D87">
        <w:t xml:space="preserve">, to discontinue the </w:t>
      </w:r>
      <w:r w:rsidR="00B526D8">
        <w:t>s</w:t>
      </w:r>
      <w:r w:rsidR="00B526D8" w:rsidRPr="00F13D87">
        <w:t>mall</w:t>
      </w:r>
      <w:r w:rsidRPr="00F13D87">
        <w:t>-to-</w:t>
      </w:r>
      <w:r w:rsidR="00B526D8">
        <w:t>m</w:t>
      </w:r>
      <w:r w:rsidR="00B526D8" w:rsidRPr="00F13D87">
        <w:t xml:space="preserve">idsize </w:t>
      </w:r>
      <w:r w:rsidR="00B526D8">
        <w:t>b</w:t>
      </w:r>
      <w:r w:rsidR="00B526D8" w:rsidRPr="00F13D87">
        <w:t xml:space="preserve">usiness </w:t>
      </w:r>
      <w:r w:rsidR="00B526D8">
        <w:t>e</w:t>
      </w:r>
      <w:r w:rsidR="00B526D8" w:rsidRPr="00F13D87">
        <w:t xml:space="preserve">nergy </w:t>
      </w:r>
      <w:r w:rsidR="00B526D8">
        <w:t>r</w:t>
      </w:r>
      <w:r w:rsidR="00B526D8" w:rsidRPr="00F13D87">
        <w:t xml:space="preserve">eport </w:t>
      </w:r>
      <w:r w:rsidRPr="00F13D87">
        <w:t xml:space="preserve">pilot </w:t>
      </w:r>
      <w:r w:rsidR="00F13D87" w:rsidRPr="00F13D87">
        <w:t xml:space="preserve">due to poor </w:t>
      </w:r>
      <w:r w:rsidR="00F13D87">
        <w:t>initial results</w:t>
      </w:r>
      <w:r w:rsidRPr="00F13D87">
        <w:t>.</w:t>
      </w:r>
    </w:p>
    <w:p w14:paraId="1BF5569A" w14:textId="77777777" w:rsidR="000B307D" w:rsidRDefault="000B307D" w:rsidP="00602EC4">
      <w:pPr>
        <w:rPr>
          <w:color w:val="F79646" w:themeColor="accent6"/>
        </w:rPr>
      </w:pPr>
    </w:p>
    <w:p w14:paraId="2E081F59" w14:textId="10294060" w:rsidR="000B307D" w:rsidRPr="00602EC4" w:rsidRDefault="000B307D" w:rsidP="00602EC4">
      <w:pPr>
        <w:rPr>
          <w:color w:val="F79646" w:themeColor="accent6"/>
        </w:rPr>
      </w:pPr>
      <w:r w:rsidRPr="00D51E8A">
        <w:rPr>
          <w:rFonts w:eastAsia="Calibri"/>
        </w:rPr>
        <w:t xml:space="preserve">It is noteworthy that, in a departure from its standard annual UES value adjustment, </w:t>
      </w:r>
      <w:r>
        <w:rPr>
          <w:rFonts w:eastAsia="Calibri"/>
        </w:rPr>
        <w:t>PSE</w:t>
      </w:r>
      <w:r w:rsidRPr="00D51E8A">
        <w:rPr>
          <w:rFonts w:eastAsia="Calibri"/>
        </w:rPr>
        <w:t xml:space="preserve"> </w:t>
      </w:r>
      <w:r>
        <w:rPr>
          <w:rFonts w:eastAsia="Calibri"/>
        </w:rPr>
        <w:t xml:space="preserve">voluntarily </w:t>
      </w:r>
      <w:r w:rsidRPr="00D51E8A">
        <w:rPr>
          <w:rFonts w:eastAsia="Calibri"/>
        </w:rPr>
        <w:t xml:space="preserve">adjusted the </w:t>
      </w:r>
      <w:r w:rsidR="00B526D8">
        <w:rPr>
          <w:rFonts w:eastAsia="Calibri"/>
        </w:rPr>
        <w:t>r</w:t>
      </w:r>
      <w:r w:rsidR="00B526D8" w:rsidRPr="00D51E8A">
        <w:rPr>
          <w:rFonts w:eastAsia="Calibri"/>
        </w:rPr>
        <w:t xml:space="preserve">esidential </w:t>
      </w:r>
      <w:r w:rsidRPr="00D51E8A">
        <w:rPr>
          <w:rFonts w:eastAsia="Calibri"/>
        </w:rPr>
        <w:t>LED UES values retroactively for the 2016 reporting period to the 2017 values.</w:t>
      </w:r>
      <w:r>
        <w:rPr>
          <w:rFonts w:eastAsia="Calibri"/>
        </w:rPr>
        <w:t xml:space="preserve"> The savings impact of this adjustment was significant enough that PSE took this </w:t>
      </w:r>
      <w:r w:rsidR="00155EAD">
        <w:rPr>
          <w:rFonts w:eastAsia="Calibri"/>
        </w:rPr>
        <w:t>extraordinary</w:t>
      </w:r>
      <w:r>
        <w:rPr>
          <w:rFonts w:eastAsia="Calibri"/>
        </w:rPr>
        <w:t xml:space="preserve"> step in order to not only ensure a high degree of savings reporting accuracy but to lessen the impact on the company’s power planning forec</w:t>
      </w:r>
      <w:r w:rsidR="00155EAD">
        <w:rPr>
          <w:rFonts w:eastAsia="Calibri"/>
        </w:rPr>
        <w:t>a</w:t>
      </w:r>
      <w:r>
        <w:rPr>
          <w:rFonts w:eastAsia="Calibri"/>
        </w:rPr>
        <w:t>sts.</w:t>
      </w:r>
    </w:p>
    <w:p w14:paraId="4B4CC299" w14:textId="77777777" w:rsidR="00602EC4" w:rsidRPr="00602EC4" w:rsidRDefault="00602EC4" w:rsidP="00602EC4">
      <w:pPr>
        <w:rPr>
          <w:color w:val="F79646" w:themeColor="accent6"/>
        </w:rPr>
      </w:pPr>
    </w:p>
    <w:p w14:paraId="3A147945" w14:textId="0B11E405" w:rsidR="00946F4E" w:rsidRPr="00E51DCA" w:rsidRDefault="00155EAD" w:rsidP="00946F4E">
      <w:pPr>
        <w:rPr>
          <w:b/>
          <w:i/>
        </w:rPr>
      </w:pPr>
      <w:r>
        <w:rPr>
          <w:b/>
          <w:i/>
        </w:rPr>
        <w:t>Hard-to-</w:t>
      </w:r>
      <w:r w:rsidR="00E51DCA">
        <w:rPr>
          <w:b/>
          <w:i/>
        </w:rPr>
        <w:t>Reach C</w:t>
      </w:r>
      <w:r w:rsidR="00946F4E" w:rsidRPr="00E51DCA">
        <w:rPr>
          <w:b/>
          <w:i/>
        </w:rPr>
        <w:t>ustomers</w:t>
      </w:r>
      <w:r w:rsidR="00E51DCA">
        <w:rPr>
          <w:b/>
          <w:i/>
        </w:rPr>
        <w:t xml:space="preserve"> </w:t>
      </w:r>
      <w:r w:rsidR="00E51DCA" w:rsidRPr="00E51DCA">
        <w:t>In order to ensure all</w:t>
      </w:r>
      <w:r w:rsidR="005E7610">
        <w:t xml:space="preserve"> </w:t>
      </w:r>
      <w:r w:rsidR="00E51DCA" w:rsidRPr="00E51DCA">
        <w:t xml:space="preserve">cost effective measures are acquired in accordance with </w:t>
      </w:r>
      <w:r w:rsidR="005E7610">
        <w:t>a</w:t>
      </w:r>
      <w:r w:rsidR="005E7610" w:rsidRPr="00E51DCA">
        <w:t xml:space="preserve">ction </w:t>
      </w:r>
      <w:r w:rsidR="005E7610">
        <w:t>i</w:t>
      </w:r>
      <w:r w:rsidR="005E7610" w:rsidRPr="00E51DCA">
        <w:t xml:space="preserve">tem </w:t>
      </w:r>
      <w:r w:rsidR="00E51DCA" w:rsidRPr="00E51DCA">
        <w:t>MCS-1 in the Seventh Power Plan, t</w:t>
      </w:r>
      <w:r w:rsidR="00FE5436" w:rsidRPr="00E51DCA">
        <w:t xml:space="preserve">he Northwest Power and Conservation Council </w:t>
      </w:r>
      <w:r w:rsidR="00E51DCA" w:rsidRPr="00E51DCA">
        <w:t xml:space="preserve">recently kicked off their </w:t>
      </w:r>
      <w:r>
        <w:t>h</w:t>
      </w:r>
      <w:r w:rsidRPr="00E51DCA">
        <w:t>ard</w:t>
      </w:r>
      <w:r>
        <w:t>-</w:t>
      </w:r>
      <w:r w:rsidRPr="00E51DCA">
        <w:t>to</w:t>
      </w:r>
      <w:r>
        <w:t>-r</w:t>
      </w:r>
      <w:r w:rsidRPr="00E51DCA">
        <w:t xml:space="preserve">each </w:t>
      </w:r>
      <w:r>
        <w:t>m</w:t>
      </w:r>
      <w:r w:rsidRPr="00E51DCA">
        <w:t xml:space="preserve">arket </w:t>
      </w:r>
      <w:r>
        <w:t>i</w:t>
      </w:r>
      <w:r w:rsidRPr="00E51DCA">
        <w:t>nitiative</w:t>
      </w:r>
      <w:r w:rsidR="00E51DCA" w:rsidRPr="00E51DCA">
        <w:t>.</w:t>
      </w:r>
      <w:r w:rsidR="00934318">
        <w:t xml:space="preserve"> PSE plans to continue enhancing their programs to identify and increase participation of underserved markets.</w:t>
      </w:r>
    </w:p>
    <w:p w14:paraId="3E7D283B" w14:textId="77777777" w:rsidR="00946F4E" w:rsidRDefault="00946F4E" w:rsidP="00946F4E">
      <w:pPr>
        <w:rPr>
          <w:rFonts w:eastAsia="Calibri"/>
          <w:color w:val="F79646" w:themeColor="accent6"/>
          <w:highlight w:val="yellow"/>
        </w:rPr>
      </w:pPr>
    </w:p>
    <w:p w14:paraId="75B26AA3" w14:textId="7E0A887A" w:rsidR="00946F4E" w:rsidRPr="00E51DCA" w:rsidRDefault="00946F4E" w:rsidP="00E51DCA">
      <w:pPr>
        <w:rPr>
          <w:color w:val="8064A2" w:themeColor="accent4"/>
        </w:rPr>
      </w:pPr>
      <w:r w:rsidRPr="00E51DCA">
        <w:rPr>
          <w:b/>
          <w:i/>
        </w:rPr>
        <w:t>M&amp;V 2.0</w:t>
      </w:r>
      <w:r w:rsidR="00E51DCA">
        <w:rPr>
          <w:color w:val="8064A2" w:themeColor="accent4"/>
        </w:rPr>
        <w:t xml:space="preserve"> </w:t>
      </w:r>
      <w:r w:rsidR="00292DEB" w:rsidRPr="00292DEB">
        <w:t>Also</w:t>
      </w:r>
      <w:r w:rsidR="00B52629">
        <w:t xml:space="preserve"> known as advanced M&amp;V, M&amp;V 2.0</w:t>
      </w:r>
      <w:r w:rsidR="00292DEB" w:rsidRPr="00292DEB">
        <w:t xml:space="preserve"> is a set of tools and principles to leverage data in the measurement and verification process. </w:t>
      </w:r>
      <w:r>
        <w:t xml:space="preserve">PSE is designing </w:t>
      </w:r>
      <w:r w:rsidR="00292DEB">
        <w:t xml:space="preserve">a </w:t>
      </w:r>
      <w:r>
        <w:t xml:space="preserve">pilot program </w:t>
      </w:r>
      <w:r w:rsidR="00D52A94">
        <w:t>using</w:t>
      </w:r>
      <w:r>
        <w:t xml:space="preserve"> M&amp;V 2.0 concepts</w:t>
      </w:r>
      <w:r w:rsidR="00155EAD">
        <w:t>,</w:t>
      </w:r>
      <w:r>
        <w:t xml:space="preserve"> and </w:t>
      </w:r>
      <w:r w:rsidR="00BE2ACE">
        <w:t xml:space="preserve">plans to </w:t>
      </w:r>
      <w:r>
        <w:t xml:space="preserve">assess their advantages and disadvantages compared to </w:t>
      </w:r>
      <w:r w:rsidRPr="00BE2ACE">
        <w:t>traditional M&amp;V.</w:t>
      </w:r>
      <w:r w:rsidR="00BE2ACE">
        <w:t xml:space="preserve"> This pilot is expected to commence in the first half of 2017.</w:t>
      </w:r>
    </w:p>
    <w:p w14:paraId="5963BE32" w14:textId="77777777" w:rsidR="00946F4E" w:rsidRDefault="00946F4E" w:rsidP="00602EC4"/>
    <w:p w14:paraId="5AD24D2F" w14:textId="70B1D6D0" w:rsidR="00602EC4" w:rsidRPr="00323D4A" w:rsidRDefault="00602EC4" w:rsidP="00602EC4">
      <w:r w:rsidRPr="00323D4A">
        <w:t xml:space="preserve">The benefit-to-cost ratio for PSE’s electric portfolio </w:t>
      </w:r>
      <w:r w:rsidR="00155EAD">
        <w:t>under the t</w:t>
      </w:r>
      <w:r w:rsidR="00155EAD" w:rsidRPr="00323D4A">
        <w:t xml:space="preserve">otal </w:t>
      </w:r>
      <w:r w:rsidR="00155EAD">
        <w:t>r</w:t>
      </w:r>
      <w:r w:rsidR="00155EAD" w:rsidRPr="00323D4A">
        <w:t xml:space="preserve">esource </w:t>
      </w:r>
      <w:r w:rsidR="00155EAD">
        <w:t>c</w:t>
      </w:r>
      <w:r w:rsidR="00155EAD" w:rsidRPr="00323D4A">
        <w:t>ost</w:t>
      </w:r>
      <w:r w:rsidR="00155EAD">
        <w:t xml:space="preserve"> test</w:t>
      </w:r>
      <w:r w:rsidR="00155EAD" w:rsidRPr="00323D4A">
        <w:t xml:space="preserve"> (TRC) </w:t>
      </w:r>
      <w:r w:rsidRPr="00323D4A">
        <w:t>is projected to be 1.</w:t>
      </w:r>
      <w:r w:rsidR="00323D4A" w:rsidRPr="00323D4A">
        <w:t>7</w:t>
      </w:r>
      <w:r w:rsidRPr="00323D4A">
        <w:t xml:space="preserve"> for 201</w:t>
      </w:r>
      <w:r w:rsidR="00323D4A" w:rsidRPr="00323D4A">
        <w:t>7</w:t>
      </w:r>
      <w:r w:rsidRPr="00323D4A">
        <w:t>.</w:t>
      </w:r>
    </w:p>
    <w:p w14:paraId="50E7E99A" w14:textId="77777777" w:rsidR="00602EC4" w:rsidRPr="00602EC4" w:rsidRDefault="00602EC4" w:rsidP="00602EC4">
      <w:pPr>
        <w:rPr>
          <w:color w:val="F79646" w:themeColor="accent6"/>
          <w:highlight w:val="yellow"/>
        </w:rPr>
      </w:pPr>
    </w:p>
    <w:p w14:paraId="6BF99781" w14:textId="78173E5E" w:rsidR="00602EC4" w:rsidRPr="005812B6" w:rsidRDefault="00602EC4" w:rsidP="00602EC4">
      <w:pPr>
        <w:rPr>
          <w:b/>
          <w:i/>
        </w:rPr>
      </w:pPr>
      <w:r w:rsidRPr="005812B6">
        <w:rPr>
          <w:b/>
          <w:i/>
        </w:rPr>
        <w:lastRenderedPageBreak/>
        <w:t xml:space="preserve">Natural Gas DSM Budget. </w:t>
      </w:r>
      <w:r w:rsidRPr="005812B6">
        <w:rPr>
          <w:rFonts w:eastAsia="Calibri"/>
        </w:rPr>
        <w:t xml:space="preserve">PSE proposes </w:t>
      </w:r>
      <w:r w:rsidR="005812B6" w:rsidRPr="005812B6">
        <w:rPr>
          <w:rFonts w:eastAsia="Calibri"/>
        </w:rPr>
        <w:t>no significant change</w:t>
      </w:r>
      <w:r w:rsidRPr="005812B6">
        <w:rPr>
          <w:rFonts w:eastAsia="Calibri"/>
        </w:rPr>
        <w:t xml:space="preserve"> in its annual natural gas conservati</w:t>
      </w:r>
      <w:r w:rsidR="005812B6" w:rsidRPr="005812B6">
        <w:rPr>
          <w:rFonts w:eastAsia="Calibri"/>
        </w:rPr>
        <w:t>on budget</w:t>
      </w:r>
      <w:r w:rsidRPr="005812B6">
        <w:rPr>
          <w:rFonts w:eastAsia="Calibri"/>
        </w:rPr>
        <w:t>. The table below summarizes the 201</w:t>
      </w:r>
      <w:r w:rsidR="00476276" w:rsidRPr="005812B6">
        <w:rPr>
          <w:rFonts w:eastAsia="Calibri"/>
        </w:rPr>
        <w:t>6</w:t>
      </w:r>
      <w:r w:rsidRPr="005812B6">
        <w:rPr>
          <w:rFonts w:eastAsia="Calibri"/>
        </w:rPr>
        <w:t xml:space="preserve"> and 201</w:t>
      </w:r>
      <w:r w:rsidR="00476276" w:rsidRPr="005812B6">
        <w:rPr>
          <w:rFonts w:eastAsia="Calibri"/>
        </w:rPr>
        <w:t>7</w:t>
      </w:r>
      <w:r w:rsidRPr="005812B6">
        <w:rPr>
          <w:rFonts w:eastAsia="Calibri"/>
        </w:rPr>
        <w:t xml:space="preserve"> budgets by program.</w:t>
      </w:r>
    </w:p>
    <w:p w14:paraId="6136128B" w14:textId="77777777" w:rsidR="00602EC4" w:rsidRPr="00602EC4" w:rsidRDefault="00602EC4" w:rsidP="00602EC4">
      <w:pPr>
        <w:rPr>
          <w:rFonts w:eastAsia="Calibri"/>
          <w:color w:val="F79646" w:themeColor="accent6"/>
          <w:highlight w:val="yellow"/>
        </w:rPr>
      </w:pPr>
    </w:p>
    <w:tbl>
      <w:tblPr>
        <w:tblW w:w="9018" w:type="dxa"/>
        <w:tblBorders>
          <w:top w:val="single" w:sz="12" w:space="0" w:color="000000"/>
          <w:bottom w:val="single" w:sz="12" w:space="0" w:color="000000"/>
          <w:insideH w:val="single" w:sz="6" w:space="0" w:color="000000"/>
        </w:tblBorders>
        <w:tblLook w:val="04A0" w:firstRow="1" w:lastRow="0" w:firstColumn="1" w:lastColumn="0" w:noHBand="0" w:noVBand="1"/>
      </w:tblPr>
      <w:tblGrid>
        <w:gridCol w:w="3420"/>
        <w:gridCol w:w="1728"/>
        <w:gridCol w:w="1980"/>
        <w:gridCol w:w="1890"/>
      </w:tblGrid>
      <w:tr w:rsidR="006E4159" w:rsidRPr="006E4159" w14:paraId="3D9ECEFA" w14:textId="77777777" w:rsidTr="00BC1589">
        <w:trPr>
          <w:trHeight w:val="279"/>
        </w:trPr>
        <w:tc>
          <w:tcPr>
            <w:tcW w:w="3420" w:type="dxa"/>
            <w:tcBorders>
              <w:top w:val="single" w:sz="12" w:space="0" w:color="000000"/>
              <w:left w:val="nil"/>
              <w:bottom w:val="single" w:sz="12" w:space="0" w:color="000000"/>
              <w:right w:val="nil"/>
            </w:tcBorders>
            <w:hideMark/>
          </w:tcPr>
          <w:p w14:paraId="727240E0" w14:textId="77777777" w:rsidR="00602EC4" w:rsidRPr="006E4159" w:rsidRDefault="00602EC4" w:rsidP="00BC1589">
            <w:pPr>
              <w:rPr>
                <w:b/>
                <w:bCs/>
              </w:rPr>
            </w:pPr>
            <w:r w:rsidRPr="006E4159">
              <w:rPr>
                <w:b/>
                <w:bCs/>
              </w:rPr>
              <w:t>Natural Gas Program Budgets</w:t>
            </w:r>
          </w:p>
        </w:tc>
        <w:tc>
          <w:tcPr>
            <w:tcW w:w="1728" w:type="dxa"/>
            <w:tcBorders>
              <w:top w:val="single" w:sz="12" w:space="0" w:color="000000"/>
              <w:left w:val="nil"/>
              <w:bottom w:val="single" w:sz="12" w:space="0" w:color="000000"/>
              <w:right w:val="nil"/>
            </w:tcBorders>
            <w:hideMark/>
          </w:tcPr>
          <w:p w14:paraId="242FBE2C" w14:textId="391C1C10" w:rsidR="00602EC4" w:rsidRPr="006E4159" w:rsidRDefault="00602EC4" w:rsidP="00476276">
            <w:pPr>
              <w:jc w:val="right"/>
              <w:rPr>
                <w:b/>
                <w:bCs/>
              </w:rPr>
            </w:pPr>
            <w:r w:rsidRPr="006E4159">
              <w:rPr>
                <w:b/>
                <w:bCs/>
              </w:rPr>
              <w:t>201</w:t>
            </w:r>
            <w:r w:rsidR="00476276" w:rsidRPr="006E4159">
              <w:rPr>
                <w:b/>
                <w:bCs/>
              </w:rPr>
              <w:t>6</w:t>
            </w:r>
            <w:r w:rsidRPr="006E4159">
              <w:rPr>
                <w:b/>
                <w:bCs/>
              </w:rPr>
              <w:t xml:space="preserve"> Budget</w:t>
            </w:r>
          </w:p>
        </w:tc>
        <w:tc>
          <w:tcPr>
            <w:tcW w:w="1980" w:type="dxa"/>
            <w:tcBorders>
              <w:top w:val="single" w:sz="12" w:space="0" w:color="000000"/>
              <w:left w:val="nil"/>
              <w:bottom w:val="single" w:sz="12" w:space="0" w:color="000000"/>
              <w:right w:val="nil"/>
            </w:tcBorders>
            <w:hideMark/>
          </w:tcPr>
          <w:p w14:paraId="569F6DEF" w14:textId="2E157F5C" w:rsidR="00602EC4" w:rsidRPr="006E4159" w:rsidRDefault="00602EC4" w:rsidP="00476276">
            <w:pPr>
              <w:jc w:val="right"/>
              <w:rPr>
                <w:b/>
                <w:bCs/>
              </w:rPr>
            </w:pPr>
            <w:r w:rsidRPr="006E4159">
              <w:rPr>
                <w:b/>
                <w:bCs/>
              </w:rPr>
              <w:t>201</w:t>
            </w:r>
            <w:r w:rsidR="00476276" w:rsidRPr="006E4159">
              <w:rPr>
                <w:b/>
                <w:bCs/>
              </w:rPr>
              <w:t>7</w:t>
            </w:r>
            <w:r w:rsidRPr="006E4159">
              <w:rPr>
                <w:b/>
                <w:bCs/>
              </w:rPr>
              <w:t xml:space="preserve"> Budget</w:t>
            </w:r>
          </w:p>
        </w:tc>
        <w:tc>
          <w:tcPr>
            <w:tcW w:w="1890" w:type="dxa"/>
            <w:tcBorders>
              <w:top w:val="single" w:sz="12" w:space="0" w:color="000000"/>
              <w:left w:val="nil"/>
              <w:bottom w:val="single" w:sz="12" w:space="0" w:color="000000"/>
              <w:right w:val="nil"/>
            </w:tcBorders>
            <w:hideMark/>
          </w:tcPr>
          <w:p w14:paraId="3D493C65" w14:textId="3494614B" w:rsidR="00602EC4" w:rsidRPr="006E4159" w:rsidRDefault="00602EC4" w:rsidP="00476276">
            <w:pPr>
              <w:jc w:val="right"/>
              <w:rPr>
                <w:b/>
                <w:bCs/>
              </w:rPr>
            </w:pPr>
            <w:r w:rsidRPr="006E4159">
              <w:rPr>
                <w:b/>
                <w:bCs/>
              </w:rPr>
              <w:t>201</w:t>
            </w:r>
            <w:r w:rsidR="00476276" w:rsidRPr="006E4159">
              <w:rPr>
                <w:b/>
                <w:bCs/>
              </w:rPr>
              <w:t>7</w:t>
            </w:r>
            <w:r w:rsidRPr="006E4159">
              <w:rPr>
                <w:b/>
                <w:bCs/>
              </w:rPr>
              <w:t xml:space="preserve"> Change</w:t>
            </w:r>
          </w:p>
        </w:tc>
      </w:tr>
      <w:tr w:rsidR="006E4159" w:rsidRPr="006E4159" w14:paraId="2B69F4DE" w14:textId="77777777" w:rsidTr="00BC1589">
        <w:trPr>
          <w:trHeight w:val="291"/>
        </w:trPr>
        <w:tc>
          <w:tcPr>
            <w:tcW w:w="3420" w:type="dxa"/>
            <w:tcBorders>
              <w:top w:val="single" w:sz="6" w:space="0" w:color="000000"/>
              <w:left w:val="nil"/>
              <w:bottom w:val="single" w:sz="6" w:space="0" w:color="000000"/>
              <w:right w:val="nil"/>
            </w:tcBorders>
          </w:tcPr>
          <w:p w14:paraId="10770FF6" w14:textId="77777777" w:rsidR="006E4159" w:rsidRPr="006E4159" w:rsidRDefault="006E4159" w:rsidP="006E4159">
            <w:pPr>
              <w:rPr>
                <w:highlight w:val="yellow"/>
              </w:rPr>
            </w:pPr>
            <w:r w:rsidRPr="006E4159">
              <w:t>Residential</w:t>
            </w:r>
          </w:p>
        </w:tc>
        <w:tc>
          <w:tcPr>
            <w:tcW w:w="1728" w:type="dxa"/>
            <w:tcBorders>
              <w:top w:val="single" w:sz="6" w:space="0" w:color="000000"/>
              <w:left w:val="nil"/>
              <w:bottom w:val="single" w:sz="6" w:space="0" w:color="000000"/>
              <w:right w:val="nil"/>
            </w:tcBorders>
          </w:tcPr>
          <w:p w14:paraId="42ABFA41" w14:textId="74BFF856" w:rsidR="006E4159" w:rsidRPr="006E4159" w:rsidRDefault="006E4159" w:rsidP="006E4159">
            <w:pPr>
              <w:jc w:val="right"/>
            </w:pPr>
            <w:r w:rsidRPr="006E4159">
              <w:t>$7,359,528</w:t>
            </w:r>
          </w:p>
        </w:tc>
        <w:tc>
          <w:tcPr>
            <w:tcW w:w="1980" w:type="dxa"/>
            <w:tcBorders>
              <w:top w:val="single" w:sz="6" w:space="0" w:color="000000"/>
              <w:left w:val="nil"/>
              <w:bottom w:val="single" w:sz="6" w:space="0" w:color="000000"/>
              <w:right w:val="nil"/>
            </w:tcBorders>
          </w:tcPr>
          <w:p w14:paraId="5AAC57B1" w14:textId="7D3A9EA2" w:rsidR="006E4159" w:rsidRPr="006E4159" w:rsidRDefault="006E4159" w:rsidP="006E4159">
            <w:pPr>
              <w:jc w:val="right"/>
            </w:pPr>
            <w:r w:rsidRPr="006E4159">
              <w:t>$6,831,311</w:t>
            </w:r>
          </w:p>
        </w:tc>
        <w:tc>
          <w:tcPr>
            <w:tcW w:w="1890" w:type="dxa"/>
            <w:tcBorders>
              <w:top w:val="single" w:sz="6" w:space="0" w:color="000000"/>
              <w:left w:val="nil"/>
              <w:bottom w:val="single" w:sz="6" w:space="0" w:color="000000"/>
              <w:right w:val="nil"/>
            </w:tcBorders>
          </w:tcPr>
          <w:p w14:paraId="20AD1777" w14:textId="0FA55A69" w:rsidR="006E4159" w:rsidRPr="006E4159" w:rsidRDefault="006E4159" w:rsidP="006E4159">
            <w:pPr>
              <w:jc w:val="right"/>
            </w:pPr>
            <w:r w:rsidRPr="006E4159">
              <w:t>-7%</w:t>
            </w:r>
          </w:p>
        </w:tc>
      </w:tr>
      <w:tr w:rsidR="006E4159" w:rsidRPr="006E4159" w14:paraId="4F1C8925" w14:textId="77777777" w:rsidTr="00BC1589">
        <w:trPr>
          <w:trHeight w:val="304"/>
        </w:trPr>
        <w:tc>
          <w:tcPr>
            <w:tcW w:w="3420" w:type="dxa"/>
            <w:tcBorders>
              <w:top w:val="single" w:sz="6" w:space="0" w:color="000000"/>
              <w:left w:val="nil"/>
              <w:bottom w:val="single" w:sz="6" w:space="0" w:color="000000"/>
              <w:right w:val="nil"/>
            </w:tcBorders>
          </w:tcPr>
          <w:p w14:paraId="1AE3AAD0" w14:textId="77777777" w:rsidR="006E4159" w:rsidRPr="006E4159" w:rsidRDefault="006E4159" w:rsidP="006E4159">
            <w:pPr>
              <w:rPr>
                <w:i/>
                <w:highlight w:val="yellow"/>
              </w:rPr>
            </w:pPr>
            <w:r w:rsidRPr="006E4159">
              <w:rPr>
                <w:i/>
              </w:rPr>
              <w:t xml:space="preserve">       Low-income </w:t>
            </w:r>
          </w:p>
        </w:tc>
        <w:tc>
          <w:tcPr>
            <w:tcW w:w="1728" w:type="dxa"/>
            <w:tcBorders>
              <w:top w:val="single" w:sz="6" w:space="0" w:color="000000"/>
              <w:left w:val="nil"/>
              <w:bottom w:val="single" w:sz="6" w:space="0" w:color="000000"/>
              <w:right w:val="nil"/>
            </w:tcBorders>
          </w:tcPr>
          <w:p w14:paraId="2B1CAFF3" w14:textId="1B12D276" w:rsidR="006E4159" w:rsidRPr="006E4159" w:rsidRDefault="006E4159" w:rsidP="006E4159">
            <w:pPr>
              <w:jc w:val="right"/>
            </w:pPr>
            <w:r w:rsidRPr="006E4159">
              <w:t xml:space="preserve">$283,479 </w:t>
            </w:r>
          </w:p>
        </w:tc>
        <w:tc>
          <w:tcPr>
            <w:tcW w:w="1980" w:type="dxa"/>
            <w:tcBorders>
              <w:top w:val="single" w:sz="6" w:space="0" w:color="000000"/>
              <w:left w:val="nil"/>
              <w:bottom w:val="single" w:sz="6" w:space="0" w:color="000000"/>
              <w:right w:val="nil"/>
            </w:tcBorders>
          </w:tcPr>
          <w:p w14:paraId="0696D493" w14:textId="5ECBF1DC" w:rsidR="006E4159" w:rsidRPr="006E4159" w:rsidRDefault="006E4159" w:rsidP="006E4159">
            <w:pPr>
              <w:jc w:val="right"/>
              <w:rPr>
                <w:i/>
              </w:rPr>
            </w:pPr>
            <w:r w:rsidRPr="006E4159">
              <w:rPr>
                <w:i/>
              </w:rPr>
              <w:t>$183,600</w:t>
            </w:r>
          </w:p>
        </w:tc>
        <w:tc>
          <w:tcPr>
            <w:tcW w:w="1890" w:type="dxa"/>
            <w:tcBorders>
              <w:top w:val="single" w:sz="6" w:space="0" w:color="000000"/>
              <w:left w:val="nil"/>
              <w:bottom w:val="single" w:sz="6" w:space="0" w:color="000000"/>
              <w:right w:val="nil"/>
            </w:tcBorders>
          </w:tcPr>
          <w:p w14:paraId="6365AFF7" w14:textId="2D8975D5" w:rsidR="006E4159" w:rsidRPr="006E4159" w:rsidRDefault="006E4159" w:rsidP="006E4159">
            <w:pPr>
              <w:jc w:val="right"/>
            </w:pPr>
            <w:r w:rsidRPr="006E4159">
              <w:t>-35%</w:t>
            </w:r>
          </w:p>
        </w:tc>
      </w:tr>
      <w:tr w:rsidR="006E4159" w:rsidRPr="006E4159" w14:paraId="559D1D8E" w14:textId="77777777" w:rsidTr="00BC1589">
        <w:trPr>
          <w:trHeight w:val="291"/>
        </w:trPr>
        <w:tc>
          <w:tcPr>
            <w:tcW w:w="3420" w:type="dxa"/>
            <w:tcBorders>
              <w:top w:val="single" w:sz="6" w:space="0" w:color="000000"/>
              <w:left w:val="nil"/>
              <w:bottom w:val="single" w:sz="6" w:space="0" w:color="000000"/>
              <w:right w:val="nil"/>
            </w:tcBorders>
          </w:tcPr>
          <w:p w14:paraId="14C6384C" w14:textId="77777777" w:rsidR="006E4159" w:rsidRPr="006E4159" w:rsidRDefault="006E4159" w:rsidP="006E4159">
            <w:pPr>
              <w:rPr>
                <w:i/>
                <w:highlight w:val="yellow"/>
              </w:rPr>
            </w:pPr>
            <w:r w:rsidRPr="006E4159">
              <w:t>Commercial</w:t>
            </w:r>
          </w:p>
        </w:tc>
        <w:tc>
          <w:tcPr>
            <w:tcW w:w="1728" w:type="dxa"/>
            <w:tcBorders>
              <w:top w:val="single" w:sz="6" w:space="0" w:color="000000"/>
              <w:left w:val="nil"/>
              <w:bottom w:val="single" w:sz="6" w:space="0" w:color="000000"/>
              <w:right w:val="nil"/>
            </w:tcBorders>
          </w:tcPr>
          <w:p w14:paraId="136A65A6" w14:textId="2F17250A" w:rsidR="006E4159" w:rsidRPr="006E4159" w:rsidRDefault="006E4159" w:rsidP="006E4159">
            <w:pPr>
              <w:jc w:val="right"/>
            </w:pPr>
            <w:r w:rsidRPr="006E4159">
              <w:t>$4,748,313</w:t>
            </w:r>
          </w:p>
        </w:tc>
        <w:tc>
          <w:tcPr>
            <w:tcW w:w="1980" w:type="dxa"/>
            <w:tcBorders>
              <w:top w:val="single" w:sz="6" w:space="0" w:color="000000"/>
              <w:left w:val="nil"/>
              <w:bottom w:val="single" w:sz="6" w:space="0" w:color="000000"/>
              <w:right w:val="nil"/>
            </w:tcBorders>
          </w:tcPr>
          <w:p w14:paraId="73CA40F5" w14:textId="32AE3329" w:rsidR="006E4159" w:rsidRPr="006E4159" w:rsidRDefault="006E4159" w:rsidP="006E4159">
            <w:pPr>
              <w:jc w:val="right"/>
            </w:pPr>
            <w:r w:rsidRPr="006E4159">
              <w:t>$4,775,232</w:t>
            </w:r>
          </w:p>
        </w:tc>
        <w:tc>
          <w:tcPr>
            <w:tcW w:w="1890" w:type="dxa"/>
            <w:tcBorders>
              <w:top w:val="single" w:sz="6" w:space="0" w:color="000000"/>
              <w:left w:val="nil"/>
              <w:bottom w:val="single" w:sz="6" w:space="0" w:color="000000"/>
              <w:right w:val="nil"/>
            </w:tcBorders>
          </w:tcPr>
          <w:p w14:paraId="312AE4ED" w14:textId="277A1D4B" w:rsidR="006E4159" w:rsidRPr="006E4159" w:rsidRDefault="006E4159" w:rsidP="006E4159">
            <w:pPr>
              <w:jc w:val="right"/>
            </w:pPr>
            <w:r w:rsidRPr="006E4159">
              <w:t>1%</w:t>
            </w:r>
          </w:p>
        </w:tc>
      </w:tr>
      <w:tr w:rsidR="006E4159" w:rsidRPr="006E4159" w14:paraId="050859A5" w14:textId="77777777" w:rsidTr="00BC1589">
        <w:trPr>
          <w:trHeight w:val="291"/>
        </w:trPr>
        <w:tc>
          <w:tcPr>
            <w:tcW w:w="3420" w:type="dxa"/>
            <w:tcBorders>
              <w:top w:val="single" w:sz="6" w:space="0" w:color="000000"/>
              <w:left w:val="nil"/>
              <w:bottom w:val="single" w:sz="6" w:space="0" w:color="000000"/>
              <w:right w:val="nil"/>
            </w:tcBorders>
          </w:tcPr>
          <w:p w14:paraId="0783B90A" w14:textId="77777777" w:rsidR="006E4159" w:rsidRPr="006E4159" w:rsidRDefault="006E4159" w:rsidP="006E4159">
            <w:pPr>
              <w:rPr>
                <w:i/>
                <w:highlight w:val="yellow"/>
              </w:rPr>
            </w:pPr>
            <w:r w:rsidRPr="006E4159">
              <w:t>Pilots</w:t>
            </w:r>
          </w:p>
        </w:tc>
        <w:tc>
          <w:tcPr>
            <w:tcW w:w="1728" w:type="dxa"/>
            <w:tcBorders>
              <w:top w:val="single" w:sz="6" w:space="0" w:color="000000"/>
              <w:left w:val="nil"/>
              <w:bottom w:val="single" w:sz="6" w:space="0" w:color="000000"/>
              <w:right w:val="nil"/>
            </w:tcBorders>
          </w:tcPr>
          <w:p w14:paraId="635E700D" w14:textId="7D0FB923" w:rsidR="006E4159" w:rsidRPr="006E4159" w:rsidRDefault="006E4159" w:rsidP="006E4159">
            <w:pPr>
              <w:jc w:val="right"/>
            </w:pPr>
            <w:r w:rsidRPr="006E4159">
              <w:t>$181,029</w:t>
            </w:r>
          </w:p>
        </w:tc>
        <w:tc>
          <w:tcPr>
            <w:tcW w:w="1980" w:type="dxa"/>
            <w:tcBorders>
              <w:top w:val="single" w:sz="6" w:space="0" w:color="000000"/>
              <w:left w:val="nil"/>
              <w:bottom w:val="single" w:sz="6" w:space="0" w:color="000000"/>
              <w:right w:val="nil"/>
            </w:tcBorders>
          </w:tcPr>
          <w:p w14:paraId="38FD7E23" w14:textId="0605EE6D" w:rsidR="006E4159" w:rsidRPr="006E4159" w:rsidRDefault="006E4159" w:rsidP="006E4159">
            <w:pPr>
              <w:jc w:val="right"/>
            </w:pPr>
            <w:r w:rsidRPr="006E4159">
              <w:t>$190,369</w:t>
            </w:r>
          </w:p>
        </w:tc>
        <w:tc>
          <w:tcPr>
            <w:tcW w:w="1890" w:type="dxa"/>
            <w:tcBorders>
              <w:top w:val="single" w:sz="6" w:space="0" w:color="000000"/>
              <w:left w:val="nil"/>
              <w:bottom w:val="single" w:sz="6" w:space="0" w:color="000000"/>
              <w:right w:val="nil"/>
            </w:tcBorders>
          </w:tcPr>
          <w:p w14:paraId="6FDCCF44" w14:textId="4C14A53D" w:rsidR="006E4159" w:rsidRPr="006E4159" w:rsidRDefault="006E4159" w:rsidP="006E4159">
            <w:pPr>
              <w:jc w:val="right"/>
            </w:pPr>
            <w:r w:rsidRPr="006E4159">
              <w:t>5%</w:t>
            </w:r>
          </w:p>
        </w:tc>
      </w:tr>
      <w:tr w:rsidR="006E4159" w:rsidRPr="006E4159" w14:paraId="4DB6B357" w14:textId="77777777" w:rsidTr="00BC1589">
        <w:trPr>
          <w:trHeight w:val="291"/>
        </w:trPr>
        <w:tc>
          <w:tcPr>
            <w:tcW w:w="3420" w:type="dxa"/>
            <w:tcBorders>
              <w:top w:val="single" w:sz="6" w:space="0" w:color="000000"/>
              <w:left w:val="nil"/>
              <w:bottom w:val="single" w:sz="6" w:space="0" w:color="000000"/>
              <w:right w:val="nil"/>
            </w:tcBorders>
            <w:hideMark/>
          </w:tcPr>
          <w:p w14:paraId="2C63BED2" w14:textId="77777777" w:rsidR="006E4159" w:rsidRPr="006E4159" w:rsidRDefault="006E4159" w:rsidP="006E4159">
            <w:pPr>
              <w:rPr>
                <w:highlight w:val="yellow"/>
              </w:rPr>
            </w:pPr>
            <w:r w:rsidRPr="006E4159">
              <w:t>Regional Programs</w:t>
            </w:r>
          </w:p>
        </w:tc>
        <w:tc>
          <w:tcPr>
            <w:tcW w:w="1728" w:type="dxa"/>
            <w:tcBorders>
              <w:top w:val="single" w:sz="6" w:space="0" w:color="000000"/>
              <w:left w:val="nil"/>
              <w:bottom w:val="single" w:sz="6" w:space="0" w:color="000000"/>
              <w:right w:val="nil"/>
            </w:tcBorders>
          </w:tcPr>
          <w:p w14:paraId="099C5AC1" w14:textId="5FBA261F" w:rsidR="006E4159" w:rsidRPr="006E4159" w:rsidRDefault="006E4159" w:rsidP="006E4159">
            <w:pPr>
              <w:jc w:val="right"/>
            </w:pPr>
            <w:r w:rsidRPr="006E4159">
              <w:t>$1,086,677</w:t>
            </w:r>
          </w:p>
        </w:tc>
        <w:tc>
          <w:tcPr>
            <w:tcW w:w="1980" w:type="dxa"/>
            <w:tcBorders>
              <w:top w:val="single" w:sz="6" w:space="0" w:color="000000"/>
              <w:left w:val="nil"/>
              <w:bottom w:val="single" w:sz="6" w:space="0" w:color="000000"/>
              <w:right w:val="nil"/>
            </w:tcBorders>
          </w:tcPr>
          <w:p w14:paraId="4E525722" w14:textId="276E256F" w:rsidR="006E4159" w:rsidRPr="006E4159" w:rsidRDefault="006E4159" w:rsidP="006E4159">
            <w:pPr>
              <w:jc w:val="right"/>
            </w:pPr>
            <w:r w:rsidRPr="006E4159">
              <w:t>$1,389,079</w:t>
            </w:r>
          </w:p>
        </w:tc>
        <w:tc>
          <w:tcPr>
            <w:tcW w:w="1890" w:type="dxa"/>
            <w:tcBorders>
              <w:top w:val="single" w:sz="6" w:space="0" w:color="000000"/>
              <w:left w:val="nil"/>
              <w:bottom w:val="single" w:sz="6" w:space="0" w:color="000000"/>
              <w:right w:val="nil"/>
            </w:tcBorders>
            <w:hideMark/>
          </w:tcPr>
          <w:p w14:paraId="47E595F5" w14:textId="49F5ADFC" w:rsidR="006E4159" w:rsidRPr="006E4159" w:rsidRDefault="006E4159" w:rsidP="006E4159">
            <w:pPr>
              <w:jc w:val="right"/>
            </w:pPr>
            <w:r w:rsidRPr="006E4159">
              <w:t>28%</w:t>
            </w:r>
          </w:p>
        </w:tc>
      </w:tr>
      <w:tr w:rsidR="006E4159" w:rsidRPr="006E4159" w14:paraId="492CDDFE" w14:textId="77777777" w:rsidTr="00BC1589">
        <w:trPr>
          <w:trHeight w:val="291"/>
        </w:trPr>
        <w:tc>
          <w:tcPr>
            <w:tcW w:w="3420" w:type="dxa"/>
            <w:tcBorders>
              <w:top w:val="single" w:sz="6" w:space="0" w:color="000000"/>
              <w:left w:val="nil"/>
              <w:bottom w:val="single" w:sz="6" w:space="0" w:color="000000"/>
              <w:right w:val="nil"/>
            </w:tcBorders>
            <w:hideMark/>
          </w:tcPr>
          <w:p w14:paraId="750AFA8D" w14:textId="77777777" w:rsidR="006E4159" w:rsidRPr="006E4159" w:rsidRDefault="006E4159" w:rsidP="006E4159">
            <w:pPr>
              <w:rPr>
                <w:i/>
                <w:highlight w:val="yellow"/>
              </w:rPr>
            </w:pPr>
            <w:r w:rsidRPr="006E4159">
              <w:t xml:space="preserve">Portfolio Support </w:t>
            </w:r>
          </w:p>
        </w:tc>
        <w:tc>
          <w:tcPr>
            <w:tcW w:w="1728" w:type="dxa"/>
            <w:tcBorders>
              <w:top w:val="single" w:sz="6" w:space="0" w:color="000000"/>
              <w:left w:val="nil"/>
              <w:bottom w:val="single" w:sz="6" w:space="0" w:color="000000"/>
              <w:right w:val="nil"/>
            </w:tcBorders>
            <w:hideMark/>
          </w:tcPr>
          <w:p w14:paraId="413AED48" w14:textId="782B1DB2" w:rsidR="006E4159" w:rsidRPr="006E4159" w:rsidRDefault="006E4159" w:rsidP="006E4159">
            <w:pPr>
              <w:jc w:val="right"/>
            </w:pPr>
            <w:r w:rsidRPr="006E4159">
              <w:t>$829,632</w:t>
            </w:r>
          </w:p>
        </w:tc>
        <w:tc>
          <w:tcPr>
            <w:tcW w:w="1980" w:type="dxa"/>
            <w:tcBorders>
              <w:top w:val="single" w:sz="6" w:space="0" w:color="000000"/>
              <w:left w:val="nil"/>
              <w:bottom w:val="single" w:sz="6" w:space="0" w:color="000000"/>
              <w:right w:val="nil"/>
            </w:tcBorders>
            <w:hideMark/>
          </w:tcPr>
          <w:p w14:paraId="0CADB8F4" w14:textId="745475C7" w:rsidR="006E4159" w:rsidRPr="006E4159" w:rsidRDefault="006E4159" w:rsidP="006E4159">
            <w:pPr>
              <w:jc w:val="right"/>
            </w:pPr>
            <w:r w:rsidRPr="006E4159">
              <w:t>$921,598</w:t>
            </w:r>
          </w:p>
        </w:tc>
        <w:tc>
          <w:tcPr>
            <w:tcW w:w="1890" w:type="dxa"/>
            <w:tcBorders>
              <w:top w:val="single" w:sz="6" w:space="0" w:color="000000"/>
              <w:left w:val="nil"/>
              <w:bottom w:val="single" w:sz="6" w:space="0" w:color="000000"/>
              <w:right w:val="nil"/>
            </w:tcBorders>
            <w:hideMark/>
          </w:tcPr>
          <w:p w14:paraId="7F9D1B4A" w14:textId="03D25801" w:rsidR="006E4159" w:rsidRPr="006E4159" w:rsidRDefault="006E4159" w:rsidP="006E4159">
            <w:pPr>
              <w:jc w:val="right"/>
            </w:pPr>
            <w:r w:rsidRPr="006E4159">
              <w:t>11%</w:t>
            </w:r>
          </w:p>
        </w:tc>
      </w:tr>
      <w:tr w:rsidR="006E4159" w:rsidRPr="006E4159" w14:paraId="0955D3DA" w14:textId="77777777" w:rsidTr="00C801A4">
        <w:trPr>
          <w:trHeight w:val="291"/>
        </w:trPr>
        <w:tc>
          <w:tcPr>
            <w:tcW w:w="3420" w:type="dxa"/>
            <w:tcBorders>
              <w:top w:val="single" w:sz="6" w:space="0" w:color="000000"/>
              <w:left w:val="nil"/>
              <w:bottom w:val="single" w:sz="12" w:space="0" w:color="auto"/>
              <w:right w:val="nil"/>
            </w:tcBorders>
          </w:tcPr>
          <w:p w14:paraId="594D39B4" w14:textId="77777777" w:rsidR="006E4159" w:rsidRPr="006E4159" w:rsidRDefault="006E4159" w:rsidP="006E4159">
            <w:pPr>
              <w:rPr>
                <w:i/>
                <w:highlight w:val="yellow"/>
              </w:rPr>
            </w:pPr>
            <w:r w:rsidRPr="006E4159">
              <w:t>Research and Compliance</w:t>
            </w:r>
          </w:p>
        </w:tc>
        <w:tc>
          <w:tcPr>
            <w:tcW w:w="1728" w:type="dxa"/>
            <w:tcBorders>
              <w:top w:val="single" w:sz="6" w:space="0" w:color="000000"/>
              <w:left w:val="nil"/>
              <w:bottom w:val="single" w:sz="12" w:space="0" w:color="auto"/>
              <w:right w:val="nil"/>
            </w:tcBorders>
          </w:tcPr>
          <w:p w14:paraId="02ABA5D5" w14:textId="13DDC9A5" w:rsidR="006E4159" w:rsidRPr="006E4159" w:rsidRDefault="006E4159" w:rsidP="006E4159">
            <w:pPr>
              <w:jc w:val="right"/>
            </w:pPr>
            <w:r w:rsidRPr="006E4159">
              <w:t>$508,537</w:t>
            </w:r>
          </w:p>
        </w:tc>
        <w:tc>
          <w:tcPr>
            <w:tcW w:w="1980" w:type="dxa"/>
            <w:tcBorders>
              <w:top w:val="single" w:sz="6" w:space="0" w:color="000000"/>
              <w:left w:val="nil"/>
              <w:bottom w:val="single" w:sz="12" w:space="0" w:color="auto"/>
              <w:right w:val="nil"/>
            </w:tcBorders>
          </w:tcPr>
          <w:p w14:paraId="0E057E06" w14:textId="4320C638" w:rsidR="006E4159" w:rsidRPr="006E4159" w:rsidRDefault="006E4159" w:rsidP="006E4159">
            <w:pPr>
              <w:jc w:val="right"/>
            </w:pPr>
            <w:r w:rsidRPr="006E4159">
              <w:t>$580,024</w:t>
            </w:r>
          </w:p>
        </w:tc>
        <w:tc>
          <w:tcPr>
            <w:tcW w:w="1890" w:type="dxa"/>
            <w:tcBorders>
              <w:top w:val="single" w:sz="6" w:space="0" w:color="000000"/>
              <w:left w:val="nil"/>
              <w:bottom w:val="single" w:sz="12" w:space="0" w:color="auto"/>
              <w:right w:val="nil"/>
            </w:tcBorders>
          </w:tcPr>
          <w:p w14:paraId="03C07504" w14:textId="4B9166BE" w:rsidR="006E4159" w:rsidRPr="006E4159" w:rsidRDefault="006E4159" w:rsidP="006E4159">
            <w:pPr>
              <w:jc w:val="right"/>
            </w:pPr>
            <w:r w:rsidRPr="006E4159">
              <w:t>14%</w:t>
            </w:r>
          </w:p>
        </w:tc>
      </w:tr>
      <w:tr w:rsidR="006E4159" w:rsidRPr="006E4159" w14:paraId="42590819" w14:textId="77777777" w:rsidTr="00C801A4">
        <w:trPr>
          <w:trHeight w:val="291"/>
        </w:trPr>
        <w:tc>
          <w:tcPr>
            <w:tcW w:w="3420" w:type="dxa"/>
            <w:tcBorders>
              <w:top w:val="single" w:sz="12" w:space="0" w:color="auto"/>
              <w:left w:val="nil"/>
              <w:bottom w:val="single" w:sz="12" w:space="0" w:color="auto"/>
              <w:right w:val="nil"/>
            </w:tcBorders>
            <w:hideMark/>
          </w:tcPr>
          <w:p w14:paraId="3CAD0AEB" w14:textId="77777777" w:rsidR="006E4159" w:rsidRPr="006E4159" w:rsidRDefault="006E4159" w:rsidP="006E4159">
            <w:pPr>
              <w:rPr>
                <w:i/>
                <w:highlight w:val="yellow"/>
              </w:rPr>
            </w:pPr>
            <w:r w:rsidRPr="006E4159">
              <w:rPr>
                <w:b/>
              </w:rPr>
              <w:t>Total</w:t>
            </w:r>
          </w:p>
        </w:tc>
        <w:tc>
          <w:tcPr>
            <w:tcW w:w="1728" w:type="dxa"/>
            <w:tcBorders>
              <w:top w:val="single" w:sz="12" w:space="0" w:color="auto"/>
              <w:left w:val="nil"/>
              <w:bottom w:val="single" w:sz="12" w:space="0" w:color="auto"/>
              <w:right w:val="nil"/>
            </w:tcBorders>
          </w:tcPr>
          <w:p w14:paraId="5588A01A" w14:textId="51255F8B" w:rsidR="006E4159" w:rsidRPr="006E4159" w:rsidRDefault="006E4159" w:rsidP="006E4159">
            <w:pPr>
              <w:jc w:val="right"/>
            </w:pPr>
            <w:r w:rsidRPr="006E4159">
              <w:t>$14,713,716</w:t>
            </w:r>
          </w:p>
        </w:tc>
        <w:tc>
          <w:tcPr>
            <w:tcW w:w="1980" w:type="dxa"/>
            <w:tcBorders>
              <w:top w:val="single" w:sz="12" w:space="0" w:color="auto"/>
              <w:left w:val="nil"/>
              <w:bottom w:val="single" w:sz="12" w:space="0" w:color="auto"/>
              <w:right w:val="nil"/>
            </w:tcBorders>
          </w:tcPr>
          <w:p w14:paraId="7572F144" w14:textId="67F6B1EE" w:rsidR="006E4159" w:rsidRPr="006E4159" w:rsidRDefault="006E4159" w:rsidP="006E4159">
            <w:pPr>
              <w:jc w:val="right"/>
            </w:pPr>
            <w:r w:rsidRPr="006E4159">
              <w:t>$14,687,614</w:t>
            </w:r>
          </w:p>
        </w:tc>
        <w:tc>
          <w:tcPr>
            <w:tcW w:w="1890" w:type="dxa"/>
            <w:tcBorders>
              <w:top w:val="single" w:sz="12" w:space="0" w:color="auto"/>
              <w:left w:val="nil"/>
              <w:bottom w:val="single" w:sz="12" w:space="0" w:color="auto"/>
              <w:right w:val="nil"/>
            </w:tcBorders>
          </w:tcPr>
          <w:p w14:paraId="559EA627" w14:textId="60EB25F1" w:rsidR="006E4159" w:rsidRPr="006E4159" w:rsidRDefault="006E4159" w:rsidP="006E4159">
            <w:pPr>
              <w:jc w:val="right"/>
            </w:pPr>
            <w:r w:rsidRPr="006E4159">
              <w:t>0%</w:t>
            </w:r>
          </w:p>
        </w:tc>
      </w:tr>
    </w:tbl>
    <w:p w14:paraId="6C98906E" w14:textId="77777777" w:rsidR="00602EC4" w:rsidRPr="00602EC4" w:rsidRDefault="00602EC4" w:rsidP="00602EC4">
      <w:pPr>
        <w:rPr>
          <w:rFonts w:eastAsia="Calibri"/>
          <w:color w:val="F79646" w:themeColor="accent6"/>
        </w:rPr>
      </w:pPr>
    </w:p>
    <w:p w14:paraId="33E9B4A3" w14:textId="5B7F06AA" w:rsidR="00602EC4" w:rsidRPr="00874457" w:rsidRDefault="00602EC4" w:rsidP="00602EC4">
      <w:pPr>
        <w:rPr>
          <w:rFonts w:eastAsia="Calibri"/>
        </w:rPr>
      </w:pPr>
      <w:r w:rsidRPr="00874457">
        <w:rPr>
          <w:rFonts w:eastAsia="Calibri"/>
        </w:rPr>
        <w:t>PSE’s 201</w:t>
      </w:r>
      <w:r w:rsidR="00874457" w:rsidRPr="00874457">
        <w:rPr>
          <w:rFonts w:eastAsia="Calibri"/>
        </w:rPr>
        <w:t>7</w:t>
      </w:r>
      <w:r w:rsidRPr="00874457">
        <w:rPr>
          <w:rFonts w:eastAsia="Calibri"/>
        </w:rPr>
        <w:t xml:space="preserve"> natural gas conservation budget is </w:t>
      </w:r>
      <w:r w:rsidR="005A68BB">
        <w:rPr>
          <w:rFonts w:eastAsia="Calibri"/>
        </w:rPr>
        <w:t xml:space="preserve">partially driven by </w:t>
      </w:r>
      <w:r w:rsidRPr="00874457">
        <w:rPr>
          <w:rFonts w:eastAsia="Calibri"/>
        </w:rPr>
        <w:t xml:space="preserve">the continued low natural gas prices and the reduction of certain unit energy savings values. The natural gas low-income weatherization program budget is approximately $100,000 lower </w:t>
      </w:r>
      <w:r w:rsidR="00874457">
        <w:rPr>
          <w:rFonts w:eastAsia="Calibri"/>
        </w:rPr>
        <w:t>largely due to a drop in agency applications</w:t>
      </w:r>
      <w:r w:rsidR="005977C7">
        <w:rPr>
          <w:rFonts w:eastAsia="Calibri"/>
        </w:rPr>
        <w:t xml:space="preserve"> for qualifying residences</w:t>
      </w:r>
      <w:r w:rsidR="00874457">
        <w:rPr>
          <w:rFonts w:eastAsia="Calibri"/>
        </w:rPr>
        <w:t>.</w:t>
      </w:r>
      <w:r w:rsidRPr="00602EC4">
        <w:rPr>
          <w:rFonts w:eastAsia="Calibri"/>
          <w:color w:val="F79646" w:themeColor="accent6"/>
        </w:rPr>
        <w:t xml:space="preserve"> </w:t>
      </w:r>
      <w:r w:rsidRPr="00874457">
        <w:rPr>
          <w:rFonts w:eastAsia="Calibri"/>
        </w:rPr>
        <w:t>It is important to note that although the natural gas low-income budget is lower, the electric low-income weatherization budget is more than $</w:t>
      </w:r>
      <w:r w:rsidR="00874457" w:rsidRPr="00874457">
        <w:rPr>
          <w:rFonts w:eastAsia="Calibri"/>
        </w:rPr>
        <w:t>348</w:t>
      </w:r>
      <w:r w:rsidRPr="00874457">
        <w:rPr>
          <w:rFonts w:eastAsia="Calibri"/>
        </w:rPr>
        <w:t xml:space="preserve">,000 higher than originally planned.  </w:t>
      </w:r>
    </w:p>
    <w:p w14:paraId="228912A5" w14:textId="77777777" w:rsidR="00602EC4" w:rsidRPr="00602EC4" w:rsidRDefault="00602EC4" w:rsidP="00602EC4">
      <w:pPr>
        <w:rPr>
          <w:rFonts w:eastAsia="Calibri"/>
          <w:color w:val="F79646" w:themeColor="accent6"/>
          <w:highlight w:val="yellow"/>
        </w:rPr>
      </w:pPr>
    </w:p>
    <w:p w14:paraId="7F9D0952" w14:textId="7522A7E7" w:rsidR="00602EC4" w:rsidRPr="005812B6" w:rsidRDefault="00602EC4" w:rsidP="00602EC4">
      <w:pPr>
        <w:rPr>
          <w:highlight w:val="yellow"/>
        </w:rPr>
      </w:pPr>
      <w:r w:rsidRPr="005812B6">
        <w:rPr>
          <w:rFonts w:eastAsia="Calibri"/>
          <w:b/>
          <w:i/>
        </w:rPr>
        <w:t xml:space="preserve">Natural Gas DSM Savings. </w:t>
      </w:r>
      <w:r w:rsidRPr="005812B6">
        <w:rPr>
          <w:rFonts w:eastAsia="Calibri"/>
        </w:rPr>
        <w:t>PSE projects a</w:t>
      </w:r>
      <w:r w:rsidR="00D52A94">
        <w:rPr>
          <w:rFonts w:eastAsia="Calibri"/>
        </w:rPr>
        <w:t>n</w:t>
      </w:r>
      <w:r w:rsidRPr="005812B6">
        <w:rPr>
          <w:rFonts w:eastAsia="Calibri"/>
        </w:rPr>
        <w:t xml:space="preserve"> 1</w:t>
      </w:r>
      <w:r w:rsidR="005812B6" w:rsidRPr="005812B6">
        <w:rPr>
          <w:rFonts w:eastAsia="Calibri"/>
        </w:rPr>
        <w:t>1</w:t>
      </w:r>
      <w:r w:rsidRPr="005812B6">
        <w:rPr>
          <w:rFonts w:eastAsia="Calibri"/>
        </w:rPr>
        <w:t xml:space="preserve"> percent </w:t>
      </w:r>
      <w:r w:rsidR="005812B6" w:rsidRPr="005812B6">
        <w:rPr>
          <w:rFonts w:eastAsia="Calibri"/>
        </w:rPr>
        <w:t>de</w:t>
      </w:r>
      <w:r w:rsidRPr="005812B6">
        <w:rPr>
          <w:rFonts w:eastAsia="Calibri"/>
        </w:rPr>
        <w:t xml:space="preserve">crease in its projected year-over-year savings acquisition, </w:t>
      </w:r>
      <w:r w:rsidR="005812B6" w:rsidRPr="005812B6">
        <w:rPr>
          <w:rFonts w:eastAsia="Calibri"/>
        </w:rPr>
        <w:t>de</w:t>
      </w:r>
      <w:r w:rsidRPr="005812B6">
        <w:rPr>
          <w:rFonts w:eastAsia="Calibri"/>
        </w:rPr>
        <w:t>creasing from 3,</w:t>
      </w:r>
      <w:r w:rsidR="005812B6" w:rsidRPr="005812B6">
        <w:rPr>
          <w:rFonts w:eastAsia="Calibri"/>
        </w:rPr>
        <w:t>963,462</w:t>
      </w:r>
      <w:r w:rsidRPr="005812B6">
        <w:rPr>
          <w:rFonts w:eastAsia="Calibri"/>
        </w:rPr>
        <w:t xml:space="preserve"> therms to 3,</w:t>
      </w:r>
      <w:r w:rsidR="005812B6" w:rsidRPr="005812B6">
        <w:rPr>
          <w:rFonts w:eastAsia="Calibri"/>
        </w:rPr>
        <w:t>527,457</w:t>
      </w:r>
      <w:r w:rsidRPr="005812B6">
        <w:rPr>
          <w:rFonts w:eastAsia="Calibri"/>
        </w:rPr>
        <w:t xml:space="preserve"> therms. The table below summarizes projected 201</w:t>
      </w:r>
      <w:r w:rsidR="005812B6" w:rsidRPr="005812B6">
        <w:rPr>
          <w:rFonts w:eastAsia="Calibri"/>
        </w:rPr>
        <w:t>6</w:t>
      </w:r>
      <w:r w:rsidRPr="005812B6">
        <w:rPr>
          <w:rFonts w:eastAsia="Calibri"/>
        </w:rPr>
        <w:t xml:space="preserve"> and 201</w:t>
      </w:r>
      <w:r w:rsidR="005812B6" w:rsidRPr="005812B6">
        <w:rPr>
          <w:rFonts w:eastAsia="Calibri"/>
        </w:rPr>
        <w:t>7</w:t>
      </w:r>
      <w:r w:rsidRPr="005812B6">
        <w:rPr>
          <w:rFonts w:eastAsia="Calibri"/>
        </w:rPr>
        <w:t xml:space="preserve"> natural gas savings by program.</w:t>
      </w:r>
    </w:p>
    <w:p w14:paraId="467B96A2" w14:textId="77777777" w:rsidR="00602EC4" w:rsidRPr="00602EC4" w:rsidRDefault="00602EC4" w:rsidP="00602EC4">
      <w:pPr>
        <w:rPr>
          <w:color w:val="F79646" w:themeColor="accent6"/>
          <w:highlight w:val="yellow"/>
        </w:rPr>
      </w:pPr>
    </w:p>
    <w:tbl>
      <w:tblPr>
        <w:tblW w:w="9018" w:type="dxa"/>
        <w:tblBorders>
          <w:top w:val="single" w:sz="12" w:space="0" w:color="000000"/>
          <w:bottom w:val="single" w:sz="12" w:space="0" w:color="000000"/>
          <w:insideH w:val="single" w:sz="6" w:space="0" w:color="000000"/>
        </w:tblBorders>
        <w:tblLook w:val="04A0" w:firstRow="1" w:lastRow="0" w:firstColumn="1" w:lastColumn="0" w:noHBand="0" w:noVBand="1"/>
      </w:tblPr>
      <w:tblGrid>
        <w:gridCol w:w="3780"/>
        <w:gridCol w:w="1710"/>
        <w:gridCol w:w="1638"/>
        <w:gridCol w:w="1890"/>
      </w:tblGrid>
      <w:tr w:rsidR="00476276" w:rsidRPr="00476276" w14:paraId="68C83DD9" w14:textId="77777777" w:rsidTr="00BC1589">
        <w:trPr>
          <w:trHeight w:val="279"/>
        </w:trPr>
        <w:tc>
          <w:tcPr>
            <w:tcW w:w="3780" w:type="dxa"/>
            <w:tcBorders>
              <w:top w:val="single" w:sz="12" w:space="0" w:color="000000"/>
              <w:left w:val="nil"/>
              <w:bottom w:val="single" w:sz="12" w:space="0" w:color="000000"/>
              <w:right w:val="nil"/>
            </w:tcBorders>
            <w:hideMark/>
          </w:tcPr>
          <w:p w14:paraId="0E4EAAD5" w14:textId="77777777" w:rsidR="00602EC4" w:rsidRPr="00476276" w:rsidRDefault="00602EC4" w:rsidP="00BC1589">
            <w:pPr>
              <w:rPr>
                <w:b/>
                <w:bCs/>
              </w:rPr>
            </w:pPr>
            <w:r w:rsidRPr="00476276">
              <w:rPr>
                <w:b/>
                <w:bCs/>
              </w:rPr>
              <w:t>Projected Gas Savings (therms)</w:t>
            </w:r>
          </w:p>
        </w:tc>
        <w:tc>
          <w:tcPr>
            <w:tcW w:w="1710" w:type="dxa"/>
            <w:tcBorders>
              <w:top w:val="single" w:sz="12" w:space="0" w:color="000000"/>
              <w:left w:val="nil"/>
              <w:bottom w:val="single" w:sz="12" w:space="0" w:color="000000"/>
              <w:right w:val="nil"/>
            </w:tcBorders>
            <w:hideMark/>
          </w:tcPr>
          <w:p w14:paraId="7AFC6905" w14:textId="35750E69" w:rsidR="00602EC4" w:rsidRPr="00476276" w:rsidRDefault="00602EC4" w:rsidP="00476276">
            <w:pPr>
              <w:jc w:val="right"/>
              <w:rPr>
                <w:b/>
                <w:bCs/>
              </w:rPr>
            </w:pPr>
            <w:r w:rsidRPr="00476276">
              <w:rPr>
                <w:b/>
                <w:bCs/>
              </w:rPr>
              <w:t>201</w:t>
            </w:r>
            <w:r w:rsidR="00476276" w:rsidRPr="00476276">
              <w:rPr>
                <w:b/>
                <w:bCs/>
              </w:rPr>
              <w:t>6</w:t>
            </w:r>
          </w:p>
        </w:tc>
        <w:tc>
          <w:tcPr>
            <w:tcW w:w="1638" w:type="dxa"/>
            <w:tcBorders>
              <w:top w:val="single" w:sz="12" w:space="0" w:color="000000"/>
              <w:left w:val="nil"/>
              <w:bottom w:val="single" w:sz="12" w:space="0" w:color="000000"/>
              <w:right w:val="nil"/>
            </w:tcBorders>
            <w:hideMark/>
          </w:tcPr>
          <w:p w14:paraId="4055D522" w14:textId="09D6A9E0" w:rsidR="00602EC4" w:rsidRPr="00476276" w:rsidRDefault="00602EC4" w:rsidP="00476276">
            <w:pPr>
              <w:jc w:val="right"/>
              <w:rPr>
                <w:b/>
                <w:bCs/>
              </w:rPr>
            </w:pPr>
            <w:r w:rsidRPr="00476276">
              <w:rPr>
                <w:b/>
                <w:bCs/>
              </w:rPr>
              <w:t>201</w:t>
            </w:r>
            <w:r w:rsidR="00476276" w:rsidRPr="00476276">
              <w:rPr>
                <w:b/>
                <w:bCs/>
              </w:rPr>
              <w:t>7</w:t>
            </w:r>
          </w:p>
        </w:tc>
        <w:tc>
          <w:tcPr>
            <w:tcW w:w="1890" w:type="dxa"/>
            <w:tcBorders>
              <w:top w:val="single" w:sz="12" w:space="0" w:color="000000"/>
              <w:left w:val="nil"/>
              <w:bottom w:val="single" w:sz="12" w:space="0" w:color="000000"/>
              <w:right w:val="nil"/>
            </w:tcBorders>
            <w:hideMark/>
          </w:tcPr>
          <w:p w14:paraId="37DE5DFB" w14:textId="26A887BF" w:rsidR="00602EC4" w:rsidRPr="00476276" w:rsidRDefault="00602EC4" w:rsidP="00476276">
            <w:pPr>
              <w:jc w:val="right"/>
              <w:rPr>
                <w:b/>
                <w:bCs/>
              </w:rPr>
            </w:pPr>
            <w:r w:rsidRPr="00476276">
              <w:rPr>
                <w:b/>
                <w:bCs/>
              </w:rPr>
              <w:t>201</w:t>
            </w:r>
            <w:r w:rsidR="00476276" w:rsidRPr="00476276">
              <w:rPr>
                <w:b/>
                <w:bCs/>
              </w:rPr>
              <w:t>7</w:t>
            </w:r>
            <w:r w:rsidRPr="00476276">
              <w:rPr>
                <w:b/>
                <w:bCs/>
              </w:rPr>
              <w:t xml:space="preserve"> Change</w:t>
            </w:r>
          </w:p>
        </w:tc>
      </w:tr>
      <w:tr w:rsidR="006E4159" w:rsidRPr="00602EC4" w14:paraId="44420E46" w14:textId="77777777" w:rsidTr="00BC1589">
        <w:trPr>
          <w:trHeight w:val="291"/>
        </w:trPr>
        <w:tc>
          <w:tcPr>
            <w:tcW w:w="3780" w:type="dxa"/>
            <w:tcBorders>
              <w:top w:val="single" w:sz="6" w:space="0" w:color="000000"/>
              <w:left w:val="nil"/>
              <w:bottom w:val="single" w:sz="6" w:space="0" w:color="000000"/>
              <w:right w:val="nil"/>
            </w:tcBorders>
          </w:tcPr>
          <w:p w14:paraId="64F99B9A" w14:textId="77777777" w:rsidR="006E4159" w:rsidRPr="005812B6" w:rsidRDefault="006E4159" w:rsidP="006E4159">
            <w:r w:rsidRPr="005812B6">
              <w:t>Residential</w:t>
            </w:r>
          </w:p>
        </w:tc>
        <w:tc>
          <w:tcPr>
            <w:tcW w:w="1710" w:type="dxa"/>
            <w:tcBorders>
              <w:top w:val="single" w:sz="6" w:space="0" w:color="000000"/>
              <w:left w:val="nil"/>
              <w:bottom w:val="single" w:sz="6" w:space="0" w:color="000000"/>
              <w:right w:val="nil"/>
            </w:tcBorders>
          </w:tcPr>
          <w:p w14:paraId="56D340C1" w14:textId="193C4966" w:rsidR="006E4159" w:rsidRPr="005812B6" w:rsidRDefault="006E4159" w:rsidP="006E4159">
            <w:pPr>
              <w:jc w:val="right"/>
            </w:pPr>
            <w:r w:rsidRPr="005812B6">
              <w:t>1,858,637</w:t>
            </w:r>
          </w:p>
        </w:tc>
        <w:tc>
          <w:tcPr>
            <w:tcW w:w="1638" w:type="dxa"/>
            <w:tcBorders>
              <w:top w:val="single" w:sz="6" w:space="0" w:color="000000"/>
              <w:left w:val="nil"/>
              <w:bottom w:val="single" w:sz="6" w:space="0" w:color="000000"/>
              <w:right w:val="nil"/>
            </w:tcBorders>
          </w:tcPr>
          <w:p w14:paraId="016815D7" w14:textId="2273B78F" w:rsidR="006E4159" w:rsidRPr="005812B6" w:rsidRDefault="006E4159" w:rsidP="006E4159">
            <w:pPr>
              <w:jc w:val="right"/>
            </w:pPr>
            <w:r w:rsidRPr="005812B6">
              <w:t>1,558,907</w:t>
            </w:r>
          </w:p>
        </w:tc>
        <w:tc>
          <w:tcPr>
            <w:tcW w:w="1890" w:type="dxa"/>
            <w:tcBorders>
              <w:top w:val="single" w:sz="6" w:space="0" w:color="000000"/>
              <w:left w:val="nil"/>
              <w:bottom w:val="single" w:sz="6" w:space="0" w:color="000000"/>
              <w:right w:val="nil"/>
            </w:tcBorders>
          </w:tcPr>
          <w:p w14:paraId="111A97E6" w14:textId="0FD4F814" w:rsidR="006E4159" w:rsidRPr="005812B6" w:rsidRDefault="006E4159" w:rsidP="006E4159">
            <w:pPr>
              <w:jc w:val="right"/>
            </w:pPr>
            <w:r w:rsidRPr="005812B6">
              <w:t>-16%</w:t>
            </w:r>
          </w:p>
        </w:tc>
      </w:tr>
      <w:tr w:rsidR="006E4159" w:rsidRPr="00602EC4" w14:paraId="0015252A" w14:textId="77777777" w:rsidTr="00BC1589">
        <w:trPr>
          <w:trHeight w:val="304"/>
        </w:trPr>
        <w:tc>
          <w:tcPr>
            <w:tcW w:w="3780" w:type="dxa"/>
            <w:tcBorders>
              <w:top w:val="single" w:sz="6" w:space="0" w:color="000000"/>
              <w:left w:val="nil"/>
              <w:bottom w:val="single" w:sz="6" w:space="0" w:color="000000"/>
              <w:right w:val="nil"/>
            </w:tcBorders>
          </w:tcPr>
          <w:p w14:paraId="352A6FDB" w14:textId="77777777" w:rsidR="006E4159" w:rsidRPr="005812B6" w:rsidRDefault="006E4159" w:rsidP="006E4159">
            <w:r w:rsidRPr="005812B6">
              <w:rPr>
                <w:i/>
              </w:rPr>
              <w:t xml:space="preserve">       Low-income</w:t>
            </w:r>
          </w:p>
        </w:tc>
        <w:tc>
          <w:tcPr>
            <w:tcW w:w="1710" w:type="dxa"/>
            <w:tcBorders>
              <w:top w:val="single" w:sz="6" w:space="0" w:color="000000"/>
              <w:left w:val="nil"/>
              <w:bottom w:val="single" w:sz="6" w:space="0" w:color="000000"/>
              <w:right w:val="nil"/>
            </w:tcBorders>
          </w:tcPr>
          <w:p w14:paraId="3811ED3D" w14:textId="7A7E7D9B" w:rsidR="006E4159" w:rsidRPr="005812B6" w:rsidRDefault="006E4159" w:rsidP="006E4159">
            <w:pPr>
              <w:jc w:val="right"/>
            </w:pPr>
            <w:r w:rsidRPr="005812B6">
              <w:t>18,641</w:t>
            </w:r>
          </w:p>
        </w:tc>
        <w:tc>
          <w:tcPr>
            <w:tcW w:w="1638" w:type="dxa"/>
            <w:tcBorders>
              <w:top w:val="single" w:sz="6" w:space="0" w:color="000000"/>
              <w:left w:val="nil"/>
              <w:bottom w:val="single" w:sz="6" w:space="0" w:color="000000"/>
              <w:right w:val="nil"/>
            </w:tcBorders>
          </w:tcPr>
          <w:p w14:paraId="22C71E58" w14:textId="22981C28" w:rsidR="006E4159" w:rsidRPr="005812B6" w:rsidRDefault="006E4159" w:rsidP="006E4159">
            <w:pPr>
              <w:jc w:val="right"/>
            </w:pPr>
            <w:r w:rsidRPr="005812B6">
              <w:t>8,786</w:t>
            </w:r>
          </w:p>
        </w:tc>
        <w:tc>
          <w:tcPr>
            <w:tcW w:w="1890" w:type="dxa"/>
            <w:tcBorders>
              <w:top w:val="single" w:sz="6" w:space="0" w:color="000000"/>
              <w:left w:val="nil"/>
              <w:bottom w:val="single" w:sz="6" w:space="0" w:color="000000"/>
              <w:right w:val="nil"/>
            </w:tcBorders>
          </w:tcPr>
          <w:p w14:paraId="4BE3DFFF" w14:textId="77B13482" w:rsidR="006E4159" w:rsidRPr="005812B6" w:rsidRDefault="006E4159" w:rsidP="006E4159">
            <w:pPr>
              <w:jc w:val="right"/>
            </w:pPr>
            <w:r w:rsidRPr="005812B6">
              <w:t>-53%</w:t>
            </w:r>
          </w:p>
        </w:tc>
      </w:tr>
      <w:tr w:rsidR="006E4159" w:rsidRPr="00602EC4" w14:paraId="466D8AF8" w14:textId="77777777" w:rsidTr="00BC1589">
        <w:trPr>
          <w:trHeight w:val="291"/>
        </w:trPr>
        <w:tc>
          <w:tcPr>
            <w:tcW w:w="3780" w:type="dxa"/>
            <w:tcBorders>
              <w:top w:val="single" w:sz="6" w:space="0" w:color="000000"/>
              <w:left w:val="nil"/>
              <w:bottom w:val="single" w:sz="6" w:space="0" w:color="000000"/>
              <w:right w:val="nil"/>
            </w:tcBorders>
          </w:tcPr>
          <w:p w14:paraId="463F6279" w14:textId="77777777" w:rsidR="006E4159" w:rsidRPr="005812B6" w:rsidRDefault="006E4159" w:rsidP="006E4159">
            <w:r w:rsidRPr="005812B6">
              <w:t>Commercial</w:t>
            </w:r>
          </w:p>
        </w:tc>
        <w:tc>
          <w:tcPr>
            <w:tcW w:w="1710" w:type="dxa"/>
            <w:tcBorders>
              <w:top w:val="single" w:sz="6" w:space="0" w:color="000000"/>
              <w:left w:val="nil"/>
              <w:bottom w:val="single" w:sz="6" w:space="0" w:color="000000"/>
              <w:right w:val="nil"/>
            </w:tcBorders>
          </w:tcPr>
          <w:p w14:paraId="08B187DD" w14:textId="6C95914E" w:rsidR="006E4159" w:rsidRPr="005812B6" w:rsidRDefault="006E4159" w:rsidP="006E4159">
            <w:pPr>
              <w:jc w:val="right"/>
            </w:pPr>
            <w:r w:rsidRPr="005812B6">
              <w:t>1,674,296</w:t>
            </w:r>
          </w:p>
        </w:tc>
        <w:tc>
          <w:tcPr>
            <w:tcW w:w="1638" w:type="dxa"/>
            <w:tcBorders>
              <w:top w:val="single" w:sz="6" w:space="0" w:color="000000"/>
              <w:left w:val="nil"/>
              <w:bottom w:val="single" w:sz="6" w:space="0" w:color="000000"/>
              <w:right w:val="nil"/>
            </w:tcBorders>
          </w:tcPr>
          <w:p w14:paraId="1DB5EA7A" w14:textId="54245230" w:rsidR="006E4159" w:rsidRPr="005812B6" w:rsidRDefault="006E4159" w:rsidP="006E4159">
            <w:pPr>
              <w:jc w:val="right"/>
            </w:pPr>
            <w:r w:rsidRPr="005812B6">
              <w:t>1,651,665</w:t>
            </w:r>
          </w:p>
        </w:tc>
        <w:tc>
          <w:tcPr>
            <w:tcW w:w="1890" w:type="dxa"/>
            <w:tcBorders>
              <w:top w:val="single" w:sz="6" w:space="0" w:color="000000"/>
              <w:left w:val="nil"/>
              <w:bottom w:val="single" w:sz="6" w:space="0" w:color="000000"/>
              <w:right w:val="nil"/>
            </w:tcBorders>
          </w:tcPr>
          <w:p w14:paraId="66F0FED8" w14:textId="6122172C" w:rsidR="006E4159" w:rsidRPr="005812B6" w:rsidRDefault="006E4159" w:rsidP="006E4159">
            <w:pPr>
              <w:jc w:val="right"/>
            </w:pPr>
            <w:r w:rsidRPr="005812B6">
              <w:t>-1%</w:t>
            </w:r>
          </w:p>
        </w:tc>
      </w:tr>
      <w:tr w:rsidR="006E4159" w:rsidRPr="00602EC4" w14:paraId="0A3CE71D" w14:textId="77777777" w:rsidTr="00484C55">
        <w:trPr>
          <w:trHeight w:val="291"/>
        </w:trPr>
        <w:tc>
          <w:tcPr>
            <w:tcW w:w="3780" w:type="dxa"/>
            <w:tcBorders>
              <w:top w:val="single" w:sz="6" w:space="0" w:color="000000"/>
              <w:left w:val="nil"/>
              <w:bottom w:val="single" w:sz="8" w:space="0" w:color="auto"/>
              <w:right w:val="nil"/>
            </w:tcBorders>
          </w:tcPr>
          <w:p w14:paraId="73793883" w14:textId="77777777" w:rsidR="006E4159" w:rsidRPr="005812B6" w:rsidRDefault="006E4159" w:rsidP="006E4159">
            <w:r w:rsidRPr="005812B6">
              <w:t>Pilots</w:t>
            </w:r>
          </w:p>
        </w:tc>
        <w:tc>
          <w:tcPr>
            <w:tcW w:w="1710" w:type="dxa"/>
            <w:tcBorders>
              <w:top w:val="single" w:sz="6" w:space="0" w:color="000000"/>
              <w:left w:val="nil"/>
              <w:bottom w:val="single" w:sz="8" w:space="0" w:color="auto"/>
              <w:right w:val="nil"/>
            </w:tcBorders>
          </w:tcPr>
          <w:p w14:paraId="0C79F36D" w14:textId="509E75A7" w:rsidR="006E4159" w:rsidRPr="005812B6" w:rsidRDefault="006E4159" w:rsidP="006E4159">
            <w:pPr>
              <w:jc w:val="right"/>
            </w:pPr>
            <w:r w:rsidRPr="005812B6">
              <w:t>430,529</w:t>
            </w:r>
          </w:p>
        </w:tc>
        <w:tc>
          <w:tcPr>
            <w:tcW w:w="1638" w:type="dxa"/>
            <w:tcBorders>
              <w:top w:val="single" w:sz="6" w:space="0" w:color="000000"/>
              <w:left w:val="nil"/>
              <w:bottom w:val="single" w:sz="8" w:space="0" w:color="auto"/>
              <w:right w:val="nil"/>
            </w:tcBorders>
          </w:tcPr>
          <w:p w14:paraId="3D7C5D90" w14:textId="7E0C488D" w:rsidR="006E4159" w:rsidRPr="005812B6" w:rsidRDefault="006E4159" w:rsidP="006E4159">
            <w:pPr>
              <w:jc w:val="right"/>
            </w:pPr>
            <w:r w:rsidRPr="005812B6">
              <w:t>316,885</w:t>
            </w:r>
          </w:p>
        </w:tc>
        <w:tc>
          <w:tcPr>
            <w:tcW w:w="1890" w:type="dxa"/>
            <w:tcBorders>
              <w:top w:val="single" w:sz="6" w:space="0" w:color="000000"/>
              <w:left w:val="nil"/>
              <w:bottom w:val="single" w:sz="8" w:space="0" w:color="auto"/>
              <w:right w:val="nil"/>
            </w:tcBorders>
          </w:tcPr>
          <w:p w14:paraId="671E234B" w14:textId="6EDDC880" w:rsidR="006E4159" w:rsidRPr="005812B6" w:rsidRDefault="006E4159" w:rsidP="006E4159">
            <w:pPr>
              <w:jc w:val="right"/>
            </w:pPr>
            <w:r w:rsidRPr="005812B6">
              <w:t>-26%</w:t>
            </w:r>
          </w:p>
        </w:tc>
      </w:tr>
      <w:tr w:rsidR="006E4159" w:rsidRPr="00602EC4" w14:paraId="1D5E3220" w14:textId="77777777" w:rsidTr="00484C55">
        <w:trPr>
          <w:trHeight w:val="291"/>
        </w:trPr>
        <w:tc>
          <w:tcPr>
            <w:tcW w:w="3780" w:type="dxa"/>
            <w:tcBorders>
              <w:top w:val="single" w:sz="8" w:space="0" w:color="auto"/>
              <w:left w:val="nil"/>
              <w:bottom w:val="single" w:sz="12" w:space="0" w:color="auto"/>
              <w:right w:val="nil"/>
            </w:tcBorders>
          </w:tcPr>
          <w:p w14:paraId="5D7B0878" w14:textId="77777777" w:rsidR="006E4159" w:rsidRPr="005977C7" w:rsidRDefault="006E4159" w:rsidP="006E4159">
            <w:r w:rsidRPr="005812B6">
              <w:t>Regional Programs</w:t>
            </w:r>
          </w:p>
        </w:tc>
        <w:tc>
          <w:tcPr>
            <w:tcW w:w="1710" w:type="dxa"/>
            <w:tcBorders>
              <w:top w:val="single" w:sz="8" w:space="0" w:color="auto"/>
              <w:left w:val="nil"/>
              <w:bottom w:val="single" w:sz="12" w:space="0" w:color="auto"/>
              <w:right w:val="nil"/>
            </w:tcBorders>
          </w:tcPr>
          <w:p w14:paraId="5400C1A1" w14:textId="718AD322" w:rsidR="006E4159" w:rsidRPr="005812B6" w:rsidRDefault="00155EAD" w:rsidP="006E4159">
            <w:pPr>
              <w:jc w:val="right"/>
            </w:pPr>
            <w:r>
              <w:t>n/a</w:t>
            </w:r>
          </w:p>
        </w:tc>
        <w:tc>
          <w:tcPr>
            <w:tcW w:w="1638" w:type="dxa"/>
            <w:tcBorders>
              <w:top w:val="single" w:sz="8" w:space="0" w:color="auto"/>
              <w:left w:val="nil"/>
              <w:bottom w:val="single" w:sz="12" w:space="0" w:color="auto"/>
              <w:right w:val="nil"/>
            </w:tcBorders>
          </w:tcPr>
          <w:p w14:paraId="3C1115C1" w14:textId="75D2BD01" w:rsidR="006E4159" w:rsidRPr="005977C7" w:rsidRDefault="00155EAD" w:rsidP="006E4159">
            <w:pPr>
              <w:jc w:val="right"/>
            </w:pPr>
            <w:r>
              <w:t>n/a</w:t>
            </w:r>
          </w:p>
        </w:tc>
        <w:tc>
          <w:tcPr>
            <w:tcW w:w="1890" w:type="dxa"/>
            <w:tcBorders>
              <w:top w:val="single" w:sz="8" w:space="0" w:color="auto"/>
              <w:left w:val="nil"/>
              <w:bottom w:val="single" w:sz="12" w:space="0" w:color="auto"/>
              <w:right w:val="nil"/>
            </w:tcBorders>
          </w:tcPr>
          <w:p w14:paraId="767C65E6" w14:textId="26FE4DB1" w:rsidR="006E4159" w:rsidRPr="005812B6" w:rsidRDefault="006E4159" w:rsidP="006E4159">
            <w:pPr>
              <w:jc w:val="right"/>
            </w:pPr>
            <w:r w:rsidRPr="005812B6">
              <w:t>-</w:t>
            </w:r>
          </w:p>
        </w:tc>
      </w:tr>
      <w:tr w:rsidR="006E4159" w:rsidRPr="00602EC4" w14:paraId="0343B3C9" w14:textId="77777777" w:rsidTr="00BC1589">
        <w:trPr>
          <w:trHeight w:val="291"/>
        </w:trPr>
        <w:tc>
          <w:tcPr>
            <w:tcW w:w="3780" w:type="dxa"/>
            <w:tcBorders>
              <w:top w:val="single" w:sz="12" w:space="0" w:color="auto"/>
              <w:left w:val="nil"/>
              <w:bottom w:val="single" w:sz="12" w:space="0" w:color="000000"/>
              <w:right w:val="nil"/>
            </w:tcBorders>
          </w:tcPr>
          <w:p w14:paraId="41B5BBFC" w14:textId="77777777" w:rsidR="006E4159" w:rsidRPr="005812B6" w:rsidRDefault="006E4159" w:rsidP="006E4159">
            <w:pPr>
              <w:rPr>
                <w:b/>
              </w:rPr>
            </w:pPr>
            <w:r w:rsidRPr="005812B6">
              <w:rPr>
                <w:b/>
              </w:rPr>
              <w:t>Total</w:t>
            </w:r>
          </w:p>
        </w:tc>
        <w:tc>
          <w:tcPr>
            <w:tcW w:w="1710" w:type="dxa"/>
            <w:tcBorders>
              <w:top w:val="single" w:sz="12" w:space="0" w:color="auto"/>
              <w:left w:val="nil"/>
              <w:bottom w:val="single" w:sz="12" w:space="0" w:color="000000"/>
              <w:right w:val="nil"/>
            </w:tcBorders>
          </w:tcPr>
          <w:p w14:paraId="73F97B86" w14:textId="6D5740CD" w:rsidR="006E4159" w:rsidRPr="005812B6" w:rsidRDefault="006E4159" w:rsidP="006E4159">
            <w:pPr>
              <w:jc w:val="right"/>
              <w:rPr>
                <w:b/>
              </w:rPr>
            </w:pPr>
            <w:r w:rsidRPr="005812B6">
              <w:rPr>
                <w:b/>
              </w:rPr>
              <w:t>3,963,462</w:t>
            </w:r>
          </w:p>
        </w:tc>
        <w:tc>
          <w:tcPr>
            <w:tcW w:w="1638" w:type="dxa"/>
            <w:tcBorders>
              <w:top w:val="single" w:sz="12" w:space="0" w:color="auto"/>
              <w:left w:val="nil"/>
              <w:bottom w:val="single" w:sz="12" w:space="0" w:color="000000"/>
              <w:right w:val="nil"/>
            </w:tcBorders>
          </w:tcPr>
          <w:p w14:paraId="4504C0BC" w14:textId="7F7DA6A7" w:rsidR="006E4159" w:rsidRPr="005812B6" w:rsidRDefault="006E4159" w:rsidP="006E4159">
            <w:pPr>
              <w:jc w:val="right"/>
              <w:rPr>
                <w:b/>
              </w:rPr>
            </w:pPr>
            <w:r w:rsidRPr="005812B6">
              <w:rPr>
                <w:b/>
              </w:rPr>
              <w:t>3,527,457</w:t>
            </w:r>
          </w:p>
        </w:tc>
        <w:tc>
          <w:tcPr>
            <w:tcW w:w="1890" w:type="dxa"/>
            <w:tcBorders>
              <w:top w:val="single" w:sz="12" w:space="0" w:color="auto"/>
              <w:left w:val="nil"/>
              <w:bottom w:val="single" w:sz="12" w:space="0" w:color="000000"/>
              <w:right w:val="nil"/>
            </w:tcBorders>
          </w:tcPr>
          <w:p w14:paraId="6262CC47" w14:textId="109AA786" w:rsidR="006E4159" w:rsidRPr="005812B6" w:rsidRDefault="006E4159" w:rsidP="006E4159">
            <w:pPr>
              <w:jc w:val="right"/>
              <w:rPr>
                <w:b/>
              </w:rPr>
            </w:pPr>
            <w:r w:rsidRPr="005812B6">
              <w:t>-11%</w:t>
            </w:r>
          </w:p>
        </w:tc>
      </w:tr>
    </w:tbl>
    <w:p w14:paraId="062792E3" w14:textId="77777777" w:rsidR="00346370" w:rsidRDefault="00346370" w:rsidP="00602EC4">
      <w:pPr>
        <w:rPr>
          <w:rFonts w:eastAsia="Calibri"/>
          <w:color w:val="F79646" w:themeColor="accent6"/>
        </w:rPr>
      </w:pPr>
    </w:p>
    <w:p w14:paraId="27700C78" w14:textId="5ECCEE05" w:rsidR="002B1123" w:rsidRDefault="00602EC4" w:rsidP="00602EC4">
      <w:pPr>
        <w:rPr>
          <w:rFonts w:eastAsia="Calibri"/>
        </w:rPr>
      </w:pPr>
      <w:r w:rsidRPr="00BC1B2E">
        <w:rPr>
          <w:rFonts w:eastAsia="Calibri"/>
        </w:rPr>
        <w:t>The reduction of residential and low-income weatherization savings are largely due to the revision of unit energy savings values</w:t>
      </w:r>
      <w:r w:rsidR="002B1123">
        <w:rPr>
          <w:rFonts w:eastAsia="Calibri"/>
        </w:rPr>
        <w:t>, particularly for showerheads and space heat</w:t>
      </w:r>
      <w:r w:rsidRPr="00BC1B2E">
        <w:rPr>
          <w:rFonts w:eastAsia="Calibri"/>
        </w:rPr>
        <w:t>.</w:t>
      </w:r>
      <w:r w:rsidRPr="00602EC4">
        <w:rPr>
          <w:rFonts w:eastAsia="Calibri"/>
          <w:color w:val="F79646" w:themeColor="accent6"/>
        </w:rPr>
        <w:t xml:space="preserve"> </w:t>
      </w:r>
      <w:r w:rsidRPr="00BC1B2E">
        <w:rPr>
          <w:rFonts w:eastAsia="Calibri"/>
        </w:rPr>
        <w:t xml:space="preserve">On the natural gas side, there are fewer measures available to balance these savings reductions. </w:t>
      </w:r>
      <w:r w:rsidR="003A16A7">
        <w:rPr>
          <w:rFonts w:eastAsia="Calibri"/>
        </w:rPr>
        <w:t xml:space="preserve">These issues were anticipated in the biennial plan and a goal of 3.463,033 therms was planned for 2017, a nearly thirteen percent year over year decline. </w:t>
      </w:r>
      <w:r w:rsidR="00E90B63">
        <w:rPr>
          <w:rFonts w:eastAsia="Calibri"/>
        </w:rPr>
        <w:t xml:space="preserve">However, </w:t>
      </w:r>
      <w:r w:rsidR="00155EAD">
        <w:rPr>
          <w:rFonts w:eastAsia="Calibri"/>
        </w:rPr>
        <w:t>w</w:t>
      </w:r>
      <w:r w:rsidR="00155EAD" w:rsidRPr="00763616">
        <w:rPr>
          <w:rFonts w:eastAsia="Calibri"/>
        </w:rPr>
        <w:t>eb</w:t>
      </w:r>
      <w:r w:rsidR="00155EAD">
        <w:rPr>
          <w:rFonts w:eastAsia="Calibri"/>
        </w:rPr>
        <w:t>-</w:t>
      </w:r>
      <w:r w:rsidR="00E90B63">
        <w:rPr>
          <w:rFonts w:eastAsia="Calibri"/>
        </w:rPr>
        <w:t xml:space="preserve">enabled </w:t>
      </w:r>
      <w:r w:rsidR="00763616" w:rsidRPr="00763616">
        <w:rPr>
          <w:rFonts w:eastAsia="Calibri"/>
        </w:rPr>
        <w:t xml:space="preserve">thermostats had a higher than expected adoption rate in 2016 and are expected to provide an increase </w:t>
      </w:r>
      <w:r w:rsidR="00155EAD">
        <w:rPr>
          <w:rFonts w:eastAsia="Calibri"/>
        </w:rPr>
        <w:t>from the</w:t>
      </w:r>
      <w:r w:rsidR="00763616" w:rsidRPr="00763616">
        <w:rPr>
          <w:rFonts w:eastAsia="Calibri"/>
        </w:rPr>
        <w:t xml:space="preserve"> savings originally anticipated in 2017.</w:t>
      </w:r>
    </w:p>
    <w:p w14:paraId="2C3A4735" w14:textId="77777777" w:rsidR="002B1123" w:rsidRDefault="002B1123" w:rsidP="00602EC4">
      <w:pPr>
        <w:rPr>
          <w:rFonts w:eastAsia="Calibri"/>
        </w:rPr>
      </w:pPr>
    </w:p>
    <w:p w14:paraId="6E3122E9" w14:textId="468C0B05" w:rsidR="00602EC4" w:rsidRPr="00BC1B2E" w:rsidRDefault="00BC1B2E" w:rsidP="00602EC4">
      <w:pPr>
        <w:rPr>
          <w:rFonts w:eastAsia="Calibri"/>
        </w:rPr>
      </w:pPr>
      <w:r>
        <w:rPr>
          <w:rFonts w:eastAsia="Calibri"/>
        </w:rPr>
        <w:lastRenderedPageBreak/>
        <w:t xml:space="preserve">Another major driver behind the significant drop in projected low-income gas </w:t>
      </w:r>
      <w:r w:rsidR="00874457">
        <w:rPr>
          <w:rFonts w:eastAsia="Calibri"/>
        </w:rPr>
        <w:t xml:space="preserve">budget and </w:t>
      </w:r>
      <w:r>
        <w:rPr>
          <w:rFonts w:eastAsia="Calibri"/>
        </w:rPr>
        <w:t xml:space="preserve">savings is that, in 2016, a key partnering agency terminated its </w:t>
      </w:r>
      <w:r w:rsidR="008503B1">
        <w:rPr>
          <w:rFonts w:eastAsia="Calibri"/>
        </w:rPr>
        <w:t>a</w:t>
      </w:r>
      <w:r w:rsidR="008503B1" w:rsidRPr="00BC1B2E">
        <w:rPr>
          <w:rFonts w:eastAsia="Calibri"/>
        </w:rPr>
        <w:t xml:space="preserve">gency </w:t>
      </w:r>
      <w:r w:rsidR="008503B1">
        <w:rPr>
          <w:rFonts w:eastAsia="Calibri"/>
        </w:rPr>
        <w:t>w</w:t>
      </w:r>
      <w:r w:rsidR="008503B1" w:rsidRPr="00BC1B2E">
        <w:rPr>
          <w:rFonts w:eastAsia="Calibri"/>
        </w:rPr>
        <w:t xml:space="preserve">eatherization </w:t>
      </w:r>
      <w:r w:rsidR="008503B1">
        <w:rPr>
          <w:rFonts w:eastAsia="Calibri"/>
        </w:rPr>
        <w:t>a</w:t>
      </w:r>
      <w:r w:rsidR="008503B1" w:rsidRPr="00BC1B2E">
        <w:rPr>
          <w:rFonts w:eastAsia="Calibri"/>
        </w:rPr>
        <w:t>greement</w:t>
      </w:r>
      <w:r>
        <w:rPr>
          <w:rFonts w:eastAsia="Calibri"/>
        </w:rPr>
        <w:t xml:space="preserve">. </w:t>
      </w:r>
      <w:r w:rsidR="00874457">
        <w:rPr>
          <w:rFonts w:eastAsia="Calibri"/>
        </w:rPr>
        <w:t xml:space="preserve">This is one of several reasons for the drop in agency applications mentioned above. </w:t>
      </w:r>
      <w:r>
        <w:rPr>
          <w:rFonts w:eastAsia="Calibri"/>
        </w:rPr>
        <w:t xml:space="preserve">PSE is actively working with </w:t>
      </w:r>
      <w:r w:rsidR="00D52A94">
        <w:rPr>
          <w:rFonts w:eastAsia="Calibri"/>
        </w:rPr>
        <w:t>community action</w:t>
      </w:r>
      <w:r>
        <w:rPr>
          <w:rFonts w:eastAsia="Calibri"/>
        </w:rPr>
        <w:t xml:space="preserve"> agencies to increase </w:t>
      </w:r>
      <w:r w:rsidR="00D52A94">
        <w:rPr>
          <w:rFonts w:eastAsia="Calibri"/>
        </w:rPr>
        <w:t xml:space="preserve">natural gas </w:t>
      </w:r>
      <w:r>
        <w:rPr>
          <w:rFonts w:eastAsia="Calibri"/>
        </w:rPr>
        <w:t>production and find new opportunities.</w:t>
      </w:r>
    </w:p>
    <w:p w14:paraId="07BA5AD7" w14:textId="77777777" w:rsidR="00602EC4" w:rsidRDefault="00602EC4" w:rsidP="00602EC4">
      <w:pPr>
        <w:rPr>
          <w:color w:val="F79646" w:themeColor="accent6"/>
          <w:highlight w:val="yellow"/>
        </w:rPr>
      </w:pPr>
    </w:p>
    <w:p w14:paraId="133BAD18" w14:textId="0C16B224" w:rsidR="00602EC4" w:rsidRPr="00323D4A" w:rsidRDefault="00602EC4" w:rsidP="00602EC4">
      <w:r w:rsidRPr="00323D4A">
        <w:t>The TRC benefit-to-cost ratio for PSE’s natural gas portfolio is projected to be 1.</w:t>
      </w:r>
      <w:r w:rsidR="00323D4A" w:rsidRPr="00323D4A">
        <w:t>5</w:t>
      </w:r>
      <w:r w:rsidRPr="00323D4A">
        <w:t xml:space="preserve"> for 201</w:t>
      </w:r>
      <w:r w:rsidR="00323D4A" w:rsidRPr="00323D4A">
        <w:t>7</w:t>
      </w:r>
      <w:r w:rsidRPr="00323D4A">
        <w:t xml:space="preserve">, including the budgeted expenditures for the NEEA natural gas pilot. </w:t>
      </w:r>
    </w:p>
    <w:p w14:paraId="06ADBDE7" w14:textId="77777777" w:rsidR="00602EC4" w:rsidRDefault="00602EC4" w:rsidP="00520CC1">
      <w:pPr>
        <w:rPr>
          <w:highlight w:val="yellow"/>
        </w:rPr>
      </w:pPr>
    </w:p>
    <w:p w14:paraId="341F4427" w14:textId="77777777" w:rsidR="0081033E" w:rsidRPr="0045454E" w:rsidRDefault="0081033E" w:rsidP="0081033E">
      <w:pPr>
        <w:rPr>
          <w:b/>
        </w:rPr>
      </w:pPr>
      <w:r w:rsidRPr="0045454E">
        <w:rPr>
          <w:b/>
        </w:rPr>
        <w:t>Supplemental Budget Analysis</w:t>
      </w:r>
    </w:p>
    <w:p w14:paraId="7AD91DDA" w14:textId="2388C3B8" w:rsidR="006D4131" w:rsidRDefault="006D4131" w:rsidP="0081033E"/>
    <w:p w14:paraId="01C73F15" w14:textId="2B7C1AF6" w:rsidR="0081033E" w:rsidRDefault="0081033E" w:rsidP="0081033E">
      <w:r>
        <w:t xml:space="preserve">During the 2017 </w:t>
      </w:r>
      <w:r w:rsidR="00CA5655">
        <w:t xml:space="preserve">annual conservation plan cycle, </w:t>
      </w:r>
      <w:r w:rsidR="006D4131">
        <w:t xml:space="preserve">staff identified a need to analyze </w:t>
      </w:r>
      <w:r w:rsidR="006D4131" w:rsidRPr="006D4131">
        <w:t xml:space="preserve">each utility’s budget </w:t>
      </w:r>
      <w:r w:rsidR="006D4131">
        <w:t>allocations as an additional metric of program success. Each company was asked to provide data on the programs</w:t>
      </w:r>
      <w:r w:rsidR="00CA5655">
        <w:t>’</w:t>
      </w:r>
      <w:r w:rsidR="006D4131">
        <w:t xml:space="preserve"> 2017 </w:t>
      </w:r>
      <w:r w:rsidR="00CA5655">
        <w:t>direct benefit to customers</w:t>
      </w:r>
      <w:r w:rsidR="00AB470E" w:rsidRPr="00AB470E">
        <w:rPr>
          <w:vertAlign w:val="superscript"/>
        </w:rPr>
        <w:footnoteReference w:id="4"/>
      </w:r>
      <w:r w:rsidR="006D4131">
        <w:t xml:space="preserve"> (DBtC) ratio along with an e</w:t>
      </w:r>
      <w:r w:rsidR="00D07527">
        <w:t xml:space="preserve">xplanation of why the ratio was appropriate for the </w:t>
      </w:r>
      <w:r w:rsidR="007202F4">
        <w:t>2017</w:t>
      </w:r>
      <w:r w:rsidR="00AB470E">
        <w:t xml:space="preserve"> </w:t>
      </w:r>
      <w:r w:rsidR="00D07527">
        <w:t xml:space="preserve">conservation program. </w:t>
      </w:r>
    </w:p>
    <w:p w14:paraId="0888740F" w14:textId="77777777" w:rsidR="00D07527" w:rsidRDefault="00D07527" w:rsidP="0081033E"/>
    <w:p w14:paraId="49BA0C75" w14:textId="4CFFB394" w:rsidR="0081033E" w:rsidRDefault="00D07527" w:rsidP="0081033E">
      <w:r>
        <w:t xml:space="preserve">PSE regularly provides information on DBtC in conservation filings. In the </w:t>
      </w:r>
      <w:r w:rsidR="00F57AF7">
        <w:t xml:space="preserve">requested </w:t>
      </w:r>
      <w:r>
        <w:t xml:space="preserve">supplemental </w:t>
      </w:r>
      <w:r w:rsidR="00F57AF7">
        <w:t xml:space="preserve">filing, </w:t>
      </w:r>
      <w:r>
        <w:t xml:space="preserve">PSE provided useful background concerning </w:t>
      </w:r>
      <w:r w:rsidR="007202F4">
        <w:t>the company’s</w:t>
      </w:r>
      <w:r>
        <w:t xml:space="preserve"> use of the DBtC metric </w:t>
      </w:r>
      <w:r w:rsidR="00F57AF7">
        <w:t xml:space="preserve">in </w:t>
      </w:r>
      <w:r>
        <w:t xml:space="preserve">addition to their explanation </w:t>
      </w:r>
      <w:r w:rsidR="007202F4">
        <w:t xml:space="preserve">of why the current ratio is appropriate. In 2017, PSE plans to spend $70,374,299 and $8,486,298 with DBtC in the electric and natural gas programs, respectively. Compared with the total amount budgeted for their efficiency programs, this results in a </w:t>
      </w:r>
      <w:r w:rsidR="005E6530">
        <w:t>69 percent</w:t>
      </w:r>
      <w:r w:rsidR="007202F4">
        <w:t xml:space="preserve"> DBtC ratio for electric programs and </w:t>
      </w:r>
      <w:r w:rsidR="005E6530">
        <w:t>a 64 percent</w:t>
      </w:r>
      <w:r w:rsidR="007202F4">
        <w:t xml:space="preserve"> DBtC ratio for natural gas</w:t>
      </w:r>
      <w:r w:rsidR="005E6530">
        <w:t xml:space="preserve"> programs, comfortably above the 60 percent minimum threshold recommended by staff.</w:t>
      </w:r>
    </w:p>
    <w:p w14:paraId="6AAE19C3" w14:textId="77777777" w:rsidR="0081033E" w:rsidRDefault="0081033E" w:rsidP="00520CC1">
      <w:pPr>
        <w:rPr>
          <w:highlight w:val="yellow"/>
        </w:rPr>
      </w:pPr>
    </w:p>
    <w:p w14:paraId="34ACF495" w14:textId="1091C51C" w:rsidR="005E6530" w:rsidRPr="005E6530" w:rsidRDefault="005E6530" w:rsidP="00520CC1">
      <w:r>
        <w:t xml:space="preserve">While staff has no issues with PSE’s budget allocations for 2017, staff sees value in coordinating with the company and advisory group to establish a suite of well-defined metrics for judging the health of the conservation program. </w:t>
      </w:r>
    </w:p>
    <w:p w14:paraId="258E38CD" w14:textId="7106DB98" w:rsidR="007A0722" w:rsidRPr="00720A28" w:rsidRDefault="001363A7" w:rsidP="00323D4A">
      <w:pPr>
        <w:pStyle w:val="Heading1"/>
      </w:pPr>
      <w:r w:rsidRPr="0064788E">
        <w:t>Stakeholder Comments</w:t>
      </w:r>
    </w:p>
    <w:p w14:paraId="5C25E5AA" w14:textId="28AD38EC" w:rsidR="007A0722" w:rsidRDefault="0094519D" w:rsidP="00B7606F">
      <w:r>
        <w:t xml:space="preserve">In comments filed on January 20, 2017, Utility Conservation Services, LLC (UCONS) supported efforts to acquire conservation in hard-to-reach markets, specifically manufactured homes. In addition to urging the Commission to reinforce these efforts, UCONS suggests requiring reporting savings by sector alongside the conservation potential for each sector. UCONS also submitted a detailed proposal of a pilot program designed to reach manufactured homes customers in </w:t>
      </w:r>
      <w:r w:rsidR="00EF394A">
        <w:t>Pierce and Thurston counties.</w:t>
      </w:r>
    </w:p>
    <w:p w14:paraId="0D058ADF" w14:textId="77777777" w:rsidR="00EF394A" w:rsidRDefault="00EF394A" w:rsidP="00B7606F"/>
    <w:p w14:paraId="186D7A26" w14:textId="117E8B5A" w:rsidR="00EF394A" w:rsidRPr="00720A28" w:rsidRDefault="00EF394A" w:rsidP="00B7606F">
      <w:r>
        <w:t>Staff encourages PSE to evaluate the merits of the proposed pilot for inclusion in their energy efficiency program.</w:t>
      </w:r>
    </w:p>
    <w:p w14:paraId="2F211E9F" w14:textId="77777777" w:rsidR="00D60E7F" w:rsidRPr="0064788E" w:rsidRDefault="0028215A" w:rsidP="00204A52">
      <w:pPr>
        <w:pStyle w:val="Heading1"/>
        <w:rPr>
          <w:u w:val="single"/>
        </w:rPr>
      </w:pPr>
      <w:r w:rsidRPr="0064788E">
        <w:rPr>
          <w:u w:val="single"/>
        </w:rPr>
        <w:lastRenderedPageBreak/>
        <w:t>Conclusion</w:t>
      </w:r>
    </w:p>
    <w:p w14:paraId="238F5250" w14:textId="77777777" w:rsidR="00602EC4" w:rsidRPr="00602EC4" w:rsidRDefault="00602EC4" w:rsidP="00602EC4">
      <w:pPr>
        <w:pStyle w:val="Heading1"/>
        <w:rPr>
          <w:b w:val="0"/>
        </w:rPr>
      </w:pPr>
      <w:r w:rsidRPr="00602EC4">
        <w:rPr>
          <w:b w:val="0"/>
        </w:rPr>
        <w:t xml:space="preserve">Take no action, acknowledging timely receipt of the 2017 Annual Conservation Plan on November </w:t>
      </w:r>
      <w:r>
        <w:rPr>
          <w:b w:val="0"/>
        </w:rPr>
        <w:t>14</w:t>
      </w:r>
      <w:r w:rsidRPr="00602EC4">
        <w:rPr>
          <w:b w:val="0"/>
        </w:rPr>
        <w:t>, 201</w:t>
      </w:r>
      <w:r>
        <w:rPr>
          <w:b w:val="0"/>
        </w:rPr>
        <w:t>6</w:t>
      </w:r>
      <w:r w:rsidRPr="00602EC4">
        <w:rPr>
          <w:b w:val="0"/>
        </w:rPr>
        <w:t xml:space="preserve">, in Dockets UE-152058 and UG-152075.  </w:t>
      </w:r>
    </w:p>
    <w:p w14:paraId="4A4C14E0" w14:textId="2AD40307" w:rsidR="004B424A" w:rsidRPr="009B62BA" w:rsidRDefault="004B424A" w:rsidP="004B4ED5"/>
    <w:sectPr w:rsidR="004B424A" w:rsidRPr="009B62BA" w:rsidSect="00BA4E08">
      <w:headerReference w:type="default" r:id="rId13"/>
      <w:footerReference w:type="default" r:id="rId14"/>
      <w:pgSz w:w="12240" w:h="15840"/>
      <w:pgMar w:top="1440" w:right="1440" w:bottom="144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A0ED4B" w14:textId="77777777" w:rsidR="00833F30" w:rsidRDefault="00833F30" w:rsidP="00FF75F4">
      <w:r>
        <w:separator/>
      </w:r>
    </w:p>
  </w:endnote>
  <w:endnote w:type="continuationSeparator" w:id="0">
    <w:p w14:paraId="0C05F137" w14:textId="77777777" w:rsidR="00833F30" w:rsidRDefault="00833F30" w:rsidP="00FF7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8462722"/>
      <w:docPartObj>
        <w:docPartGallery w:val="Page Numbers (Bottom of Page)"/>
        <w:docPartUnique/>
      </w:docPartObj>
    </w:sdtPr>
    <w:sdtEndPr>
      <w:rPr>
        <w:noProof/>
      </w:rPr>
    </w:sdtEndPr>
    <w:sdtContent>
      <w:p w14:paraId="2F211EA9" w14:textId="77777777" w:rsidR="009B62BA" w:rsidRDefault="009B62BA">
        <w:pPr>
          <w:pStyle w:val="Footer"/>
          <w:jc w:val="right"/>
        </w:pPr>
        <w:r>
          <w:fldChar w:fldCharType="begin"/>
        </w:r>
        <w:r>
          <w:instrText xml:space="preserve"> PAGE   \* MERGEFORMAT </w:instrText>
        </w:r>
        <w:r>
          <w:fldChar w:fldCharType="separate"/>
        </w:r>
        <w:r w:rsidR="00EB25D0">
          <w:rPr>
            <w:noProof/>
          </w:rPr>
          <w:t>2</w:t>
        </w:r>
        <w:r>
          <w:rPr>
            <w:noProof/>
          </w:rPr>
          <w:fldChar w:fldCharType="end"/>
        </w:r>
      </w:p>
    </w:sdtContent>
  </w:sdt>
  <w:p w14:paraId="2F211EAA" w14:textId="77777777" w:rsidR="009B62BA" w:rsidRDefault="009B62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EC8F80" w14:textId="77777777" w:rsidR="00833F30" w:rsidRDefault="00833F30" w:rsidP="00FF75F4">
      <w:r>
        <w:separator/>
      </w:r>
    </w:p>
  </w:footnote>
  <w:footnote w:type="continuationSeparator" w:id="0">
    <w:p w14:paraId="176753DA" w14:textId="77777777" w:rsidR="00833F30" w:rsidRDefault="00833F30" w:rsidP="00FF75F4">
      <w:r>
        <w:continuationSeparator/>
      </w:r>
    </w:p>
  </w:footnote>
  <w:footnote w:id="1">
    <w:p w14:paraId="55290044" w14:textId="4C9D54F6" w:rsidR="00602EC4" w:rsidRPr="00E203D1" w:rsidRDefault="00602EC4" w:rsidP="00602EC4">
      <w:pPr>
        <w:pStyle w:val="FootnoteText"/>
      </w:pPr>
      <w:r w:rsidRPr="0066077A">
        <w:rPr>
          <w:rStyle w:val="FootnoteReference"/>
        </w:rPr>
        <w:footnoteRef/>
      </w:r>
      <w:r w:rsidRPr="0066077A">
        <w:t xml:space="preserve"> </w:t>
      </w:r>
      <w:r w:rsidRPr="0066077A">
        <w:rPr>
          <w:i/>
        </w:rPr>
        <w:t>In the Matter of Puget Sound Energy Report Identifying its 201</w:t>
      </w:r>
      <w:r w:rsidR="0066077A" w:rsidRPr="0066077A">
        <w:rPr>
          <w:i/>
        </w:rPr>
        <w:t>6</w:t>
      </w:r>
      <w:r w:rsidRPr="0066077A">
        <w:rPr>
          <w:i/>
        </w:rPr>
        <w:t>-202</w:t>
      </w:r>
      <w:r w:rsidR="0066077A" w:rsidRPr="0066077A">
        <w:rPr>
          <w:i/>
        </w:rPr>
        <w:t>5</w:t>
      </w:r>
      <w:r w:rsidRPr="0066077A">
        <w:rPr>
          <w:i/>
        </w:rPr>
        <w:t xml:space="preserve"> Ten-Year Achievable </w:t>
      </w:r>
      <w:r w:rsidR="0066077A" w:rsidRPr="0066077A">
        <w:rPr>
          <w:i/>
        </w:rPr>
        <w:t xml:space="preserve">Electric </w:t>
      </w:r>
      <w:r w:rsidRPr="0066077A">
        <w:rPr>
          <w:i/>
        </w:rPr>
        <w:t xml:space="preserve">Conservation Potential </w:t>
      </w:r>
      <w:r w:rsidR="0066077A" w:rsidRPr="0066077A">
        <w:rPr>
          <w:i/>
        </w:rPr>
        <w:t>a</w:t>
      </w:r>
      <w:r w:rsidRPr="0066077A">
        <w:rPr>
          <w:i/>
        </w:rPr>
        <w:t xml:space="preserve">nd </w:t>
      </w:r>
      <w:r w:rsidR="0066077A" w:rsidRPr="0066077A">
        <w:rPr>
          <w:i/>
        </w:rPr>
        <w:t xml:space="preserve">Its </w:t>
      </w:r>
      <w:r w:rsidRPr="0066077A">
        <w:rPr>
          <w:i/>
        </w:rPr>
        <w:t>201</w:t>
      </w:r>
      <w:r w:rsidR="0066077A" w:rsidRPr="0066077A">
        <w:rPr>
          <w:i/>
        </w:rPr>
        <w:t>6</w:t>
      </w:r>
      <w:r w:rsidRPr="0066077A">
        <w:rPr>
          <w:i/>
        </w:rPr>
        <w:t>-201</w:t>
      </w:r>
      <w:r w:rsidR="0066077A" w:rsidRPr="0066077A">
        <w:rPr>
          <w:i/>
        </w:rPr>
        <w:t>7</w:t>
      </w:r>
      <w:r w:rsidRPr="0066077A">
        <w:rPr>
          <w:i/>
        </w:rPr>
        <w:t xml:space="preserve"> </w:t>
      </w:r>
      <w:r w:rsidR="0066077A" w:rsidRPr="0066077A">
        <w:rPr>
          <w:i/>
        </w:rPr>
        <w:t xml:space="preserve">Electric </w:t>
      </w:r>
      <w:r w:rsidRPr="0066077A">
        <w:rPr>
          <w:i/>
        </w:rPr>
        <w:t>Biennial Conservation Target Under RCW 19.285.040 and WAC 480-109-010</w:t>
      </w:r>
      <w:r w:rsidRPr="0066077A">
        <w:t>, Docket UE-1</w:t>
      </w:r>
      <w:r w:rsidR="0066077A" w:rsidRPr="0066077A">
        <w:t>52058</w:t>
      </w:r>
      <w:r w:rsidRPr="0066077A">
        <w:t>, Order 01 (December 1</w:t>
      </w:r>
      <w:r w:rsidR="0066077A" w:rsidRPr="0066077A">
        <w:t>7</w:t>
      </w:r>
      <w:r w:rsidRPr="0066077A">
        <w:t>, 201</w:t>
      </w:r>
      <w:r w:rsidR="0066077A" w:rsidRPr="0066077A">
        <w:t>5</w:t>
      </w:r>
      <w:r w:rsidRPr="0066077A">
        <w:t xml:space="preserve">). </w:t>
      </w:r>
    </w:p>
  </w:footnote>
  <w:footnote w:id="2">
    <w:p w14:paraId="20FC1AF4" w14:textId="77777777" w:rsidR="00602EC4" w:rsidRPr="00614100" w:rsidRDefault="00602EC4" w:rsidP="00602EC4">
      <w:pPr>
        <w:pStyle w:val="FootnoteText"/>
      </w:pPr>
      <w:r>
        <w:rPr>
          <w:rStyle w:val="FootnoteReference"/>
        </w:rPr>
        <w:footnoteRef/>
      </w:r>
      <w:r>
        <w:t xml:space="preserve"> </w:t>
      </w:r>
      <w:r>
        <w:rPr>
          <w:i/>
        </w:rPr>
        <w:t xml:space="preserve">WUTC v. Puget Sound Energy, Inc., </w:t>
      </w:r>
      <w:r>
        <w:t>Docket UE-011570 and UG-011571 (consolidated), Twelfth Supplemental Order, Exhibit F to Settlement Attachment (June 20, 2002).</w:t>
      </w:r>
    </w:p>
  </w:footnote>
  <w:footnote w:id="3">
    <w:p w14:paraId="02A2CBDA" w14:textId="1A3719DD" w:rsidR="00602EC4" w:rsidRDefault="00602EC4" w:rsidP="00602EC4">
      <w:pPr>
        <w:pStyle w:val="FootnoteText"/>
      </w:pPr>
      <w:r w:rsidRPr="0066077A">
        <w:rPr>
          <w:rStyle w:val="FootnoteReference"/>
        </w:rPr>
        <w:footnoteRef/>
      </w:r>
      <w:r w:rsidR="00D52A94">
        <w:t xml:space="preserve"> </w:t>
      </w:r>
      <w:r w:rsidR="0066077A" w:rsidRPr="00D52A94">
        <w:rPr>
          <w:i/>
        </w:rPr>
        <w:t>In the Matter of Puget Sound Energy Report Identifying its 2016-2025 Ten-Year Achievable Electric Conservation Potential and Its 2016-2017 Electric Biennial Conservation Target Under RCW 19.285.040 and WAC 480-109-010</w:t>
      </w:r>
      <w:r w:rsidR="0066077A" w:rsidRPr="0069211F">
        <w:t>, Docket UE-152058, Order 01 (December 17, 2015).</w:t>
      </w:r>
    </w:p>
  </w:footnote>
  <w:footnote w:id="4">
    <w:p w14:paraId="3AA20A63" w14:textId="45BE18C8" w:rsidR="00AB470E" w:rsidRDefault="00AB470E" w:rsidP="00AB470E">
      <w:pPr>
        <w:pStyle w:val="FootnoteText"/>
      </w:pPr>
      <w:r>
        <w:rPr>
          <w:rStyle w:val="FootnoteReference"/>
        </w:rPr>
        <w:footnoteRef/>
      </w:r>
      <w:r w:rsidR="008716A1">
        <w:t xml:space="preserve"> </w:t>
      </w:r>
      <w:r>
        <w:t xml:space="preserve">Direct </w:t>
      </w:r>
      <w:r w:rsidR="00CA5655">
        <w:t xml:space="preserve">benefits to customers </w:t>
      </w:r>
      <w:r>
        <w:t xml:space="preserve">includes but is not limited to: customer incentives, rebates, bill credits, credits on purchases, payments to </w:t>
      </w:r>
      <w:r w:rsidR="00CA5655">
        <w:t>community action</w:t>
      </w:r>
      <w:r>
        <w:t xml:space="preserve"> agencies, free efficiency measures, and upstream incentives to partners or trade allies</w:t>
      </w:r>
      <w:r w:rsidR="00D52A94">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11EA5" w14:textId="07E958E6" w:rsidR="009B62BA" w:rsidRPr="00777586" w:rsidRDefault="009B62BA" w:rsidP="002C648F">
    <w:pPr>
      <w:pStyle w:val="Header"/>
      <w:rPr>
        <w:sz w:val="20"/>
        <w:szCs w:val="20"/>
      </w:rPr>
    </w:pPr>
    <w:r w:rsidRPr="00777586">
      <w:rPr>
        <w:sz w:val="20"/>
        <w:szCs w:val="20"/>
      </w:rPr>
      <w:t>D</w:t>
    </w:r>
    <w:r>
      <w:rPr>
        <w:sz w:val="20"/>
        <w:szCs w:val="20"/>
      </w:rPr>
      <w:t>OCKET</w:t>
    </w:r>
    <w:r w:rsidR="00CA2C70">
      <w:rPr>
        <w:sz w:val="20"/>
        <w:szCs w:val="20"/>
      </w:rPr>
      <w:t>S</w:t>
    </w:r>
    <w:r>
      <w:rPr>
        <w:sz w:val="20"/>
        <w:szCs w:val="20"/>
      </w:rPr>
      <w:t xml:space="preserve"> </w:t>
    </w:r>
    <w:r w:rsidRPr="00F22F14">
      <w:rPr>
        <w:sz w:val="20"/>
        <w:szCs w:val="20"/>
      </w:rPr>
      <w:t>UE-1</w:t>
    </w:r>
    <w:r w:rsidR="00B90DC3">
      <w:rPr>
        <w:sz w:val="20"/>
        <w:szCs w:val="20"/>
      </w:rPr>
      <w:t>52058</w:t>
    </w:r>
    <w:r>
      <w:rPr>
        <w:sz w:val="20"/>
        <w:szCs w:val="20"/>
      </w:rPr>
      <w:t xml:space="preserve"> </w:t>
    </w:r>
    <w:r w:rsidR="00720A28">
      <w:rPr>
        <w:sz w:val="20"/>
        <w:szCs w:val="20"/>
      </w:rPr>
      <w:t>&amp; UG-152075</w:t>
    </w:r>
  </w:p>
  <w:p w14:paraId="2F211EA6" w14:textId="0028197C" w:rsidR="009B62BA" w:rsidRPr="00777586" w:rsidRDefault="0081033E" w:rsidP="002C648F">
    <w:pPr>
      <w:pStyle w:val="Header"/>
      <w:rPr>
        <w:sz w:val="20"/>
        <w:szCs w:val="20"/>
      </w:rPr>
    </w:pPr>
    <w:r>
      <w:rPr>
        <w:sz w:val="20"/>
        <w:szCs w:val="20"/>
      </w:rPr>
      <w:t>January 26</w:t>
    </w:r>
    <w:r w:rsidR="00C61113">
      <w:rPr>
        <w:sz w:val="20"/>
        <w:szCs w:val="20"/>
      </w:rPr>
      <w:t>, 201</w:t>
    </w:r>
    <w:r w:rsidR="00EB25D0">
      <w:rPr>
        <w:sz w:val="20"/>
        <w:szCs w:val="20"/>
      </w:rPr>
      <w:t>7</w:t>
    </w:r>
  </w:p>
  <w:p w14:paraId="2F211EA7" w14:textId="77777777" w:rsidR="009B62BA" w:rsidRPr="00777586" w:rsidRDefault="009B62BA" w:rsidP="002C648F">
    <w:pPr>
      <w:pStyle w:val="Header"/>
      <w:rPr>
        <w:rStyle w:val="PageNumber"/>
        <w:sz w:val="20"/>
        <w:szCs w:val="20"/>
      </w:rPr>
    </w:pPr>
    <w:r w:rsidRPr="00777586">
      <w:rPr>
        <w:sz w:val="20"/>
        <w:szCs w:val="20"/>
      </w:rPr>
      <w:t xml:space="preserve">Page </w:t>
    </w:r>
    <w:r w:rsidRPr="00777586">
      <w:rPr>
        <w:rStyle w:val="PageNumber"/>
        <w:sz w:val="20"/>
        <w:szCs w:val="20"/>
      </w:rPr>
      <w:fldChar w:fldCharType="begin"/>
    </w:r>
    <w:r w:rsidRPr="00777586">
      <w:rPr>
        <w:rStyle w:val="PageNumber"/>
        <w:sz w:val="20"/>
        <w:szCs w:val="20"/>
      </w:rPr>
      <w:instrText xml:space="preserve"> PAGE </w:instrText>
    </w:r>
    <w:r w:rsidRPr="00777586">
      <w:rPr>
        <w:rStyle w:val="PageNumber"/>
        <w:sz w:val="20"/>
        <w:szCs w:val="20"/>
      </w:rPr>
      <w:fldChar w:fldCharType="separate"/>
    </w:r>
    <w:r w:rsidR="00EB25D0">
      <w:rPr>
        <w:rStyle w:val="PageNumber"/>
        <w:noProof/>
        <w:sz w:val="20"/>
        <w:szCs w:val="20"/>
      </w:rPr>
      <w:t>2</w:t>
    </w:r>
    <w:r w:rsidRPr="00777586">
      <w:rPr>
        <w:rStyle w:val="PageNumber"/>
        <w:sz w:val="20"/>
        <w:szCs w:val="20"/>
      </w:rPr>
      <w:fldChar w:fldCharType="end"/>
    </w:r>
  </w:p>
  <w:p w14:paraId="2F211EA8" w14:textId="77777777" w:rsidR="009B62BA" w:rsidRPr="00E05888" w:rsidRDefault="009B62BA" w:rsidP="00FF75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1151DB"/>
    <w:multiLevelType w:val="hybridMultilevel"/>
    <w:tmpl w:val="09E4B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936C12"/>
    <w:multiLevelType w:val="hybridMultilevel"/>
    <w:tmpl w:val="89DA0C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A32C44"/>
    <w:multiLevelType w:val="multilevel"/>
    <w:tmpl w:val="826874EC"/>
    <w:lvl w:ilvl="0">
      <w:start w:val="1"/>
      <w:numFmt w:val="decimal"/>
      <w:lvlText w:val="%1)"/>
      <w:lvlJc w:val="left"/>
      <w:pPr>
        <w:ind w:left="360" w:hanging="360"/>
      </w:pPr>
      <w:rPr>
        <w:rFonts w:hint="default"/>
      </w:rPr>
    </w:lvl>
    <w:lvl w:ilvl="1">
      <w:start w:val="1"/>
      <w:numFmt w:val="lowerLetter"/>
      <w:lvlText w:val="%2)"/>
      <w:lvlJc w:val="left"/>
      <w:pPr>
        <w:ind w:left="720" w:hanging="28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B93792C"/>
    <w:multiLevelType w:val="hybridMultilevel"/>
    <w:tmpl w:val="A0649F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5B416B"/>
    <w:multiLevelType w:val="hybridMultilevel"/>
    <w:tmpl w:val="E1286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A10716"/>
    <w:multiLevelType w:val="hybridMultilevel"/>
    <w:tmpl w:val="0F10570A"/>
    <w:lvl w:ilvl="0" w:tplc="04090001">
      <w:start w:val="1"/>
      <w:numFmt w:val="bullet"/>
      <w:lvlText w:val=""/>
      <w:lvlJc w:val="left"/>
      <w:pPr>
        <w:ind w:left="784" w:hanging="360"/>
      </w:pPr>
      <w:rPr>
        <w:rFonts w:ascii="Symbol" w:hAnsi="Symbol" w:hint="default"/>
      </w:rPr>
    </w:lvl>
    <w:lvl w:ilvl="1" w:tplc="04090003">
      <w:start w:val="1"/>
      <w:numFmt w:val="bullet"/>
      <w:lvlText w:val="o"/>
      <w:lvlJc w:val="left"/>
      <w:pPr>
        <w:ind w:left="1504" w:hanging="360"/>
      </w:pPr>
      <w:rPr>
        <w:rFonts w:ascii="Courier New" w:hAnsi="Courier New" w:cs="Courier New" w:hint="default"/>
      </w:rPr>
    </w:lvl>
    <w:lvl w:ilvl="2" w:tplc="04090005">
      <w:start w:val="1"/>
      <w:numFmt w:val="bullet"/>
      <w:lvlText w:val=""/>
      <w:lvlJc w:val="left"/>
      <w:pPr>
        <w:ind w:left="2224" w:hanging="360"/>
      </w:pPr>
      <w:rPr>
        <w:rFonts w:ascii="Wingdings" w:hAnsi="Wingdings" w:hint="default"/>
      </w:rPr>
    </w:lvl>
    <w:lvl w:ilvl="3" w:tplc="04090001">
      <w:start w:val="1"/>
      <w:numFmt w:val="bullet"/>
      <w:lvlText w:val=""/>
      <w:lvlJc w:val="left"/>
      <w:pPr>
        <w:ind w:left="2944" w:hanging="360"/>
      </w:pPr>
      <w:rPr>
        <w:rFonts w:ascii="Symbol" w:hAnsi="Symbol" w:hint="default"/>
      </w:rPr>
    </w:lvl>
    <w:lvl w:ilvl="4" w:tplc="04090003">
      <w:start w:val="1"/>
      <w:numFmt w:val="bullet"/>
      <w:lvlText w:val="o"/>
      <w:lvlJc w:val="left"/>
      <w:pPr>
        <w:ind w:left="3664" w:hanging="360"/>
      </w:pPr>
      <w:rPr>
        <w:rFonts w:ascii="Courier New" w:hAnsi="Courier New" w:cs="Courier New" w:hint="default"/>
      </w:rPr>
    </w:lvl>
    <w:lvl w:ilvl="5" w:tplc="04090005">
      <w:start w:val="1"/>
      <w:numFmt w:val="bullet"/>
      <w:lvlText w:val=""/>
      <w:lvlJc w:val="left"/>
      <w:pPr>
        <w:ind w:left="4384" w:hanging="360"/>
      </w:pPr>
      <w:rPr>
        <w:rFonts w:ascii="Wingdings" w:hAnsi="Wingdings" w:hint="default"/>
      </w:rPr>
    </w:lvl>
    <w:lvl w:ilvl="6" w:tplc="04090001">
      <w:start w:val="1"/>
      <w:numFmt w:val="bullet"/>
      <w:lvlText w:val=""/>
      <w:lvlJc w:val="left"/>
      <w:pPr>
        <w:ind w:left="5104" w:hanging="360"/>
      </w:pPr>
      <w:rPr>
        <w:rFonts w:ascii="Symbol" w:hAnsi="Symbol" w:hint="default"/>
      </w:rPr>
    </w:lvl>
    <w:lvl w:ilvl="7" w:tplc="04090003">
      <w:start w:val="1"/>
      <w:numFmt w:val="bullet"/>
      <w:lvlText w:val="o"/>
      <w:lvlJc w:val="left"/>
      <w:pPr>
        <w:ind w:left="5824" w:hanging="360"/>
      </w:pPr>
      <w:rPr>
        <w:rFonts w:ascii="Courier New" w:hAnsi="Courier New" w:cs="Courier New" w:hint="default"/>
      </w:rPr>
    </w:lvl>
    <w:lvl w:ilvl="8" w:tplc="04090005">
      <w:start w:val="1"/>
      <w:numFmt w:val="bullet"/>
      <w:lvlText w:val=""/>
      <w:lvlJc w:val="left"/>
      <w:pPr>
        <w:ind w:left="6544"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DF5"/>
    <w:rsid w:val="0000078C"/>
    <w:rsid w:val="00000FCF"/>
    <w:rsid w:val="00001805"/>
    <w:rsid w:val="000031D1"/>
    <w:rsid w:val="0000603F"/>
    <w:rsid w:val="000126E3"/>
    <w:rsid w:val="00013E26"/>
    <w:rsid w:val="00020EBD"/>
    <w:rsid w:val="00024AD3"/>
    <w:rsid w:val="00025FA6"/>
    <w:rsid w:val="00027B12"/>
    <w:rsid w:val="00030742"/>
    <w:rsid w:val="000347FD"/>
    <w:rsid w:val="00040CE3"/>
    <w:rsid w:val="00041921"/>
    <w:rsid w:val="00042271"/>
    <w:rsid w:val="000427DB"/>
    <w:rsid w:val="00043283"/>
    <w:rsid w:val="00046219"/>
    <w:rsid w:val="00047427"/>
    <w:rsid w:val="00054659"/>
    <w:rsid w:val="00057091"/>
    <w:rsid w:val="00057A1C"/>
    <w:rsid w:val="0006304C"/>
    <w:rsid w:val="0007323E"/>
    <w:rsid w:val="00082655"/>
    <w:rsid w:val="00086F2E"/>
    <w:rsid w:val="00091AC2"/>
    <w:rsid w:val="00092E6A"/>
    <w:rsid w:val="00093F47"/>
    <w:rsid w:val="00097036"/>
    <w:rsid w:val="0009761D"/>
    <w:rsid w:val="000A1774"/>
    <w:rsid w:val="000A302B"/>
    <w:rsid w:val="000A36EF"/>
    <w:rsid w:val="000A4CAF"/>
    <w:rsid w:val="000A4EDF"/>
    <w:rsid w:val="000A6695"/>
    <w:rsid w:val="000A7F7C"/>
    <w:rsid w:val="000B307D"/>
    <w:rsid w:val="000B6FA5"/>
    <w:rsid w:val="000C51A7"/>
    <w:rsid w:val="000C561A"/>
    <w:rsid w:val="000C641A"/>
    <w:rsid w:val="000C6F30"/>
    <w:rsid w:val="000D120B"/>
    <w:rsid w:val="000D2AAE"/>
    <w:rsid w:val="000D335F"/>
    <w:rsid w:val="000E2D0C"/>
    <w:rsid w:val="000E50B9"/>
    <w:rsid w:val="000E5A4A"/>
    <w:rsid w:val="000E7853"/>
    <w:rsid w:val="000F018D"/>
    <w:rsid w:val="000F05C4"/>
    <w:rsid w:val="000F07CE"/>
    <w:rsid w:val="000F14E1"/>
    <w:rsid w:val="000F2D3B"/>
    <w:rsid w:val="000F41CD"/>
    <w:rsid w:val="00100426"/>
    <w:rsid w:val="00100726"/>
    <w:rsid w:val="0010117B"/>
    <w:rsid w:val="00104197"/>
    <w:rsid w:val="00104E99"/>
    <w:rsid w:val="00105EA9"/>
    <w:rsid w:val="00106E5E"/>
    <w:rsid w:val="0011135E"/>
    <w:rsid w:val="00115F20"/>
    <w:rsid w:val="001162AB"/>
    <w:rsid w:val="001168EB"/>
    <w:rsid w:val="0012024F"/>
    <w:rsid w:val="00123CC4"/>
    <w:rsid w:val="00124A6F"/>
    <w:rsid w:val="001261D0"/>
    <w:rsid w:val="001363A7"/>
    <w:rsid w:val="00144549"/>
    <w:rsid w:val="00146617"/>
    <w:rsid w:val="00147639"/>
    <w:rsid w:val="00152793"/>
    <w:rsid w:val="00155EAD"/>
    <w:rsid w:val="001621A5"/>
    <w:rsid w:val="00162E85"/>
    <w:rsid w:val="00163505"/>
    <w:rsid w:val="00170495"/>
    <w:rsid w:val="001706F2"/>
    <w:rsid w:val="00170726"/>
    <w:rsid w:val="00170970"/>
    <w:rsid w:val="0017204A"/>
    <w:rsid w:val="00172D15"/>
    <w:rsid w:val="00177433"/>
    <w:rsid w:val="00180D93"/>
    <w:rsid w:val="00186DE5"/>
    <w:rsid w:val="001916C0"/>
    <w:rsid w:val="001923BA"/>
    <w:rsid w:val="00192AD1"/>
    <w:rsid w:val="00194217"/>
    <w:rsid w:val="00194C72"/>
    <w:rsid w:val="001B4AC2"/>
    <w:rsid w:val="001C41E2"/>
    <w:rsid w:val="001C424C"/>
    <w:rsid w:val="001C5930"/>
    <w:rsid w:val="001C78C3"/>
    <w:rsid w:val="001D0D50"/>
    <w:rsid w:val="001E3ACD"/>
    <w:rsid w:val="001F4BAA"/>
    <w:rsid w:val="001F5226"/>
    <w:rsid w:val="001F668E"/>
    <w:rsid w:val="001F7A6C"/>
    <w:rsid w:val="00202339"/>
    <w:rsid w:val="00204A52"/>
    <w:rsid w:val="0020635F"/>
    <w:rsid w:val="00220A9A"/>
    <w:rsid w:val="002215D4"/>
    <w:rsid w:val="002245E8"/>
    <w:rsid w:val="00225BAA"/>
    <w:rsid w:val="0022715D"/>
    <w:rsid w:val="00227F90"/>
    <w:rsid w:val="00231EF6"/>
    <w:rsid w:val="00233031"/>
    <w:rsid w:val="0023355B"/>
    <w:rsid w:val="002348AC"/>
    <w:rsid w:val="00236427"/>
    <w:rsid w:val="00240D31"/>
    <w:rsid w:val="00241B8C"/>
    <w:rsid w:val="00241FF3"/>
    <w:rsid w:val="00242044"/>
    <w:rsid w:val="00246541"/>
    <w:rsid w:val="00252D7E"/>
    <w:rsid w:val="0025719E"/>
    <w:rsid w:val="00257374"/>
    <w:rsid w:val="00262872"/>
    <w:rsid w:val="00267400"/>
    <w:rsid w:val="00270333"/>
    <w:rsid w:val="00270C65"/>
    <w:rsid w:val="00271B9B"/>
    <w:rsid w:val="00271BAD"/>
    <w:rsid w:val="00271DF6"/>
    <w:rsid w:val="00272EAF"/>
    <w:rsid w:val="00277399"/>
    <w:rsid w:val="002802F1"/>
    <w:rsid w:val="00280BD5"/>
    <w:rsid w:val="00280F8A"/>
    <w:rsid w:val="00281461"/>
    <w:rsid w:val="0028215A"/>
    <w:rsid w:val="00284E91"/>
    <w:rsid w:val="00286568"/>
    <w:rsid w:val="00291C96"/>
    <w:rsid w:val="00292DEB"/>
    <w:rsid w:val="00294540"/>
    <w:rsid w:val="002970C4"/>
    <w:rsid w:val="002A17DE"/>
    <w:rsid w:val="002A36C0"/>
    <w:rsid w:val="002A3F3D"/>
    <w:rsid w:val="002A41D7"/>
    <w:rsid w:val="002A49A6"/>
    <w:rsid w:val="002A67A9"/>
    <w:rsid w:val="002A7D14"/>
    <w:rsid w:val="002A7D27"/>
    <w:rsid w:val="002B1123"/>
    <w:rsid w:val="002B6C2B"/>
    <w:rsid w:val="002C0730"/>
    <w:rsid w:val="002C179B"/>
    <w:rsid w:val="002C40C5"/>
    <w:rsid w:val="002C5999"/>
    <w:rsid w:val="002C648F"/>
    <w:rsid w:val="002C74B0"/>
    <w:rsid w:val="002D3A0F"/>
    <w:rsid w:val="002D7FAC"/>
    <w:rsid w:val="002E69E9"/>
    <w:rsid w:val="002E7662"/>
    <w:rsid w:val="002E7CC5"/>
    <w:rsid w:val="002F156B"/>
    <w:rsid w:val="002F159A"/>
    <w:rsid w:val="002F303C"/>
    <w:rsid w:val="002F5A33"/>
    <w:rsid w:val="002F5A72"/>
    <w:rsid w:val="002F7D05"/>
    <w:rsid w:val="002F7FCC"/>
    <w:rsid w:val="003003E5"/>
    <w:rsid w:val="00304156"/>
    <w:rsid w:val="00304D53"/>
    <w:rsid w:val="003064E0"/>
    <w:rsid w:val="003109C9"/>
    <w:rsid w:val="003139AE"/>
    <w:rsid w:val="0031702E"/>
    <w:rsid w:val="00322A9D"/>
    <w:rsid w:val="00323D4A"/>
    <w:rsid w:val="0032544B"/>
    <w:rsid w:val="003326BC"/>
    <w:rsid w:val="003329DB"/>
    <w:rsid w:val="00332D84"/>
    <w:rsid w:val="003370CE"/>
    <w:rsid w:val="0033757E"/>
    <w:rsid w:val="00340117"/>
    <w:rsid w:val="003404BE"/>
    <w:rsid w:val="00341972"/>
    <w:rsid w:val="00343083"/>
    <w:rsid w:val="003432D1"/>
    <w:rsid w:val="00343B9D"/>
    <w:rsid w:val="003446F4"/>
    <w:rsid w:val="00346370"/>
    <w:rsid w:val="0035224A"/>
    <w:rsid w:val="003607EF"/>
    <w:rsid w:val="003614F9"/>
    <w:rsid w:val="003617FE"/>
    <w:rsid w:val="00362080"/>
    <w:rsid w:val="0036314D"/>
    <w:rsid w:val="00364EF9"/>
    <w:rsid w:val="00367F1C"/>
    <w:rsid w:val="003702DA"/>
    <w:rsid w:val="0037080B"/>
    <w:rsid w:val="00372101"/>
    <w:rsid w:val="003776C2"/>
    <w:rsid w:val="00385F85"/>
    <w:rsid w:val="0038660C"/>
    <w:rsid w:val="003904AE"/>
    <w:rsid w:val="00391AB8"/>
    <w:rsid w:val="003927A9"/>
    <w:rsid w:val="00394387"/>
    <w:rsid w:val="003A16A7"/>
    <w:rsid w:val="003A683D"/>
    <w:rsid w:val="003B1607"/>
    <w:rsid w:val="003B2045"/>
    <w:rsid w:val="003B26AE"/>
    <w:rsid w:val="003B741B"/>
    <w:rsid w:val="003C1B54"/>
    <w:rsid w:val="003C7708"/>
    <w:rsid w:val="003D21C9"/>
    <w:rsid w:val="003D3A3A"/>
    <w:rsid w:val="003D4240"/>
    <w:rsid w:val="003D5FE5"/>
    <w:rsid w:val="003E36BB"/>
    <w:rsid w:val="003E7551"/>
    <w:rsid w:val="003F05EC"/>
    <w:rsid w:val="003F09CE"/>
    <w:rsid w:val="003F1BDE"/>
    <w:rsid w:val="003F2771"/>
    <w:rsid w:val="004005B6"/>
    <w:rsid w:val="00405C03"/>
    <w:rsid w:val="004148E7"/>
    <w:rsid w:val="0042262E"/>
    <w:rsid w:val="004242A1"/>
    <w:rsid w:val="00433A8C"/>
    <w:rsid w:val="004358D6"/>
    <w:rsid w:val="00441BDD"/>
    <w:rsid w:val="0044594A"/>
    <w:rsid w:val="004511F7"/>
    <w:rsid w:val="004551A5"/>
    <w:rsid w:val="004563C6"/>
    <w:rsid w:val="00456917"/>
    <w:rsid w:val="00456E05"/>
    <w:rsid w:val="0045798A"/>
    <w:rsid w:val="004600EE"/>
    <w:rsid w:val="00460495"/>
    <w:rsid w:val="00462D91"/>
    <w:rsid w:val="00464CC7"/>
    <w:rsid w:val="00465007"/>
    <w:rsid w:val="00465904"/>
    <w:rsid w:val="00471B11"/>
    <w:rsid w:val="00473304"/>
    <w:rsid w:val="00473E34"/>
    <w:rsid w:val="004757F6"/>
    <w:rsid w:val="00476276"/>
    <w:rsid w:val="00482FF7"/>
    <w:rsid w:val="00483226"/>
    <w:rsid w:val="00484023"/>
    <w:rsid w:val="0048406A"/>
    <w:rsid w:val="00484C55"/>
    <w:rsid w:val="00491392"/>
    <w:rsid w:val="00491A1F"/>
    <w:rsid w:val="00491BD1"/>
    <w:rsid w:val="00491D88"/>
    <w:rsid w:val="00493923"/>
    <w:rsid w:val="00493DC1"/>
    <w:rsid w:val="00494B89"/>
    <w:rsid w:val="004A037C"/>
    <w:rsid w:val="004A2726"/>
    <w:rsid w:val="004A3142"/>
    <w:rsid w:val="004B2C53"/>
    <w:rsid w:val="004B424A"/>
    <w:rsid w:val="004B4DA1"/>
    <w:rsid w:val="004B4ED5"/>
    <w:rsid w:val="004C207B"/>
    <w:rsid w:val="004C2614"/>
    <w:rsid w:val="004C3E8A"/>
    <w:rsid w:val="004C3F6A"/>
    <w:rsid w:val="004C579D"/>
    <w:rsid w:val="004D2FEB"/>
    <w:rsid w:val="004D4B4E"/>
    <w:rsid w:val="004E443D"/>
    <w:rsid w:val="004F3666"/>
    <w:rsid w:val="004F36CA"/>
    <w:rsid w:val="004F3B65"/>
    <w:rsid w:val="004F5242"/>
    <w:rsid w:val="004F6E1B"/>
    <w:rsid w:val="004F77EA"/>
    <w:rsid w:val="005024F9"/>
    <w:rsid w:val="00505AB1"/>
    <w:rsid w:val="00511608"/>
    <w:rsid w:val="00512AEE"/>
    <w:rsid w:val="0051363C"/>
    <w:rsid w:val="00514B14"/>
    <w:rsid w:val="00514DF5"/>
    <w:rsid w:val="00514E29"/>
    <w:rsid w:val="00515633"/>
    <w:rsid w:val="00520170"/>
    <w:rsid w:val="00520CC1"/>
    <w:rsid w:val="00520D0B"/>
    <w:rsid w:val="00521DDB"/>
    <w:rsid w:val="00522C40"/>
    <w:rsid w:val="00524B4F"/>
    <w:rsid w:val="00526189"/>
    <w:rsid w:val="005426DF"/>
    <w:rsid w:val="005440CF"/>
    <w:rsid w:val="0055621D"/>
    <w:rsid w:val="0056341A"/>
    <w:rsid w:val="00566C61"/>
    <w:rsid w:val="005674D5"/>
    <w:rsid w:val="005720E6"/>
    <w:rsid w:val="005812B6"/>
    <w:rsid w:val="00582C07"/>
    <w:rsid w:val="0058597F"/>
    <w:rsid w:val="0059285C"/>
    <w:rsid w:val="00593784"/>
    <w:rsid w:val="005977C7"/>
    <w:rsid w:val="005A0A09"/>
    <w:rsid w:val="005A496B"/>
    <w:rsid w:val="005A4A28"/>
    <w:rsid w:val="005A60BD"/>
    <w:rsid w:val="005A68BB"/>
    <w:rsid w:val="005A7B7E"/>
    <w:rsid w:val="005B1B55"/>
    <w:rsid w:val="005B4088"/>
    <w:rsid w:val="005B75FE"/>
    <w:rsid w:val="005C26BC"/>
    <w:rsid w:val="005C3300"/>
    <w:rsid w:val="005C36BA"/>
    <w:rsid w:val="005D2A45"/>
    <w:rsid w:val="005D3A54"/>
    <w:rsid w:val="005D4DC5"/>
    <w:rsid w:val="005D5411"/>
    <w:rsid w:val="005D7576"/>
    <w:rsid w:val="005D7EE2"/>
    <w:rsid w:val="005E2430"/>
    <w:rsid w:val="005E3549"/>
    <w:rsid w:val="005E4477"/>
    <w:rsid w:val="005E6530"/>
    <w:rsid w:val="005E7610"/>
    <w:rsid w:val="005F0821"/>
    <w:rsid w:val="005F47B0"/>
    <w:rsid w:val="006017F3"/>
    <w:rsid w:val="006022B1"/>
    <w:rsid w:val="00602EC4"/>
    <w:rsid w:val="00603B41"/>
    <w:rsid w:val="00604FFF"/>
    <w:rsid w:val="00605644"/>
    <w:rsid w:val="0061209B"/>
    <w:rsid w:val="006135B4"/>
    <w:rsid w:val="00613C6E"/>
    <w:rsid w:val="00613F2D"/>
    <w:rsid w:val="0062084E"/>
    <w:rsid w:val="00624FC0"/>
    <w:rsid w:val="00625424"/>
    <w:rsid w:val="00630E56"/>
    <w:rsid w:val="00631270"/>
    <w:rsid w:val="00632EAB"/>
    <w:rsid w:val="006348A7"/>
    <w:rsid w:val="00645F4C"/>
    <w:rsid w:val="0064788E"/>
    <w:rsid w:val="00651161"/>
    <w:rsid w:val="0065149E"/>
    <w:rsid w:val="0065373E"/>
    <w:rsid w:val="006546F8"/>
    <w:rsid w:val="006559A9"/>
    <w:rsid w:val="00655B45"/>
    <w:rsid w:val="00657DEE"/>
    <w:rsid w:val="00657E4F"/>
    <w:rsid w:val="0066077A"/>
    <w:rsid w:val="00667C04"/>
    <w:rsid w:val="00667FB8"/>
    <w:rsid w:val="0067283D"/>
    <w:rsid w:val="006733D9"/>
    <w:rsid w:val="00673770"/>
    <w:rsid w:val="0068300C"/>
    <w:rsid w:val="00683250"/>
    <w:rsid w:val="00684EDC"/>
    <w:rsid w:val="0069211F"/>
    <w:rsid w:val="00695D26"/>
    <w:rsid w:val="006964DD"/>
    <w:rsid w:val="00697EBD"/>
    <w:rsid w:val="006A28C2"/>
    <w:rsid w:val="006A2A84"/>
    <w:rsid w:val="006A3269"/>
    <w:rsid w:val="006A5022"/>
    <w:rsid w:val="006A53CF"/>
    <w:rsid w:val="006A5F45"/>
    <w:rsid w:val="006A687B"/>
    <w:rsid w:val="006A6A1D"/>
    <w:rsid w:val="006B2981"/>
    <w:rsid w:val="006B44A2"/>
    <w:rsid w:val="006B5368"/>
    <w:rsid w:val="006B6CD0"/>
    <w:rsid w:val="006C19C3"/>
    <w:rsid w:val="006C1A2B"/>
    <w:rsid w:val="006C3A10"/>
    <w:rsid w:val="006C6F08"/>
    <w:rsid w:val="006D2279"/>
    <w:rsid w:val="006D4131"/>
    <w:rsid w:val="006D4BCC"/>
    <w:rsid w:val="006E0ACD"/>
    <w:rsid w:val="006E2FCC"/>
    <w:rsid w:val="006E356D"/>
    <w:rsid w:val="006E4159"/>
    <w:rsid w:val="006E4394"/>
    <w:rsid w:val="006E79D6"/>
    <w:rsid w:val="006F1159"/>
    <w:rsid w:val="006F7BF2"/>
    <w:rsid w:val="00701C72"/>
    <w:rsid w:val="00701D51"/>
    <w:rsid w:val="007043A0"/>
    <w:rsid w:val="007065F5"/>
    <w:rsid w:val="007110E6"/>
    <w:rsid w:val="00716014"/>
    <w:rsid w:val="00716B4A"/>
    <w:rsid w:val="007202F4"/>
    <w:rsid w:val="00720A28"/>
    <w:rsid w:val="007221E3"/>
    <w:rsid w:val="007228CB"/>
    <w:rsid w:val="0072391F"/>
    <w:rsid w:val="0072754F"/>
    <w:rsid w:val="007338D7"/>
    <w:rsid w:val="00735874"/>
    <w:rsid w:val="007364B4"/>
    <w:rsid w:val="0074247D"/>
    <w:rsid w:val="00744C90"/>
    <w:rsid w:val="007453CD"/>
    <w:rsid w:val="007507D2"/>
    <w:rsid w:val="00751109"/>
    <w:rsid w:val="00752C89"/>
    <w:rsid w:val="00754E12"/>
    <w:rsid w:val="00757194"/>
    <w:rsid w:val="00762296"/>
    <w:rsid w:val="00763616"/>
    <w:rsid w:val="00764E50"/>
    <w:rsid w:val="0076670E"/>
    <w:rsid w:val="007667B0"/>
    <w:rsid w:val="00767FFB"/>
    <w:rsid w:val="007711F0"/>
    <w:rsid w:val="00774C1D"/>
    <w:rsid w:val="00776B7B"/>
    <w:rsid w:val="00777EFE"/>
    <w:rsid w:val="0078584E"/>
    <w:rsid w:val="007868EA"/>
    <w:rsid w:val="00787019"/>
    <w:rsid w:val="00790F7E"/>
    <w:rsid w:val="00792708"/>
    <w:rsid w:val="00795DB7"/>
    <w:rsid w:val="00796228"/>
    <w:rsid w:val="00797A54"/>
    <w:rsid w:val="007A0722"/>
    <w:rsid w:val="007A2683"/>
    <w:rsid w:val="007A2B2C"/>
    <w:rsid w:val="007A36E7"/>
    <w:rsid w:val="007A3FFE"/>
    <w:rsid w:val="007A6C79"/>
    <w:rsid w:val="007A6DE8"/>
    <w:rsid w:val="007A76D8"/>
    <w:rsid w:val="007B0D24"/>
    <w:rsid w:val="007B20FB"/>
    <w:rsid w:val="007B431A"/>
    <w:rsid w:val="007B711E"/>
    <w:rsid w:val="007B7BB4"/>
    <w:rsid w:val="007C66EB"/>
    <w:rsid w:val="007C7855"/>
    <w:rsid w:val="007D0C27"/>
    <w:rsid w:val="007D1FCB"/>
    <w:rsid w:val="007D3D1A"/>
    <w:rsid w:val="007D409B"/>
    <w:rsid w:val="007D4283"/>
    <w:rsid w:val="007D50DE"/>
    <w:rsid w:val="007D674F"/>
    <w:rsid w:val="007D6A75"/>
    <w:rsid w:val="007E0EB5"/>
    <w:rsid w:val="007E55FF"/>
    <w:rsid w:val="007E5710"/>
    <w:rsid w:val="007E66AA"/>
    <w:rsid w:val="007F0A61"/>
    <w:rsid w:val="007F5144"/>
    <w:rsid w:val="00800F62"/>
    <w:rsid w:val="00803182"/>
    <w:rsid w:val="00803942"/>
    <w:rsid w:val="0081033E"/>
    <w:rsid w:val="008152F2"/>
    <w:rsid w:val="0081564A"/>
    <w:rsid w:val="00820643"/>
    <w:rsid w:val="00820A0A"/>
    <w:rsid w:val="00820CA8"/>
    <w:rsid w:val="008256DC"/>
    <w:rsid w:val="00832824"/>
    <w:rsid w:val="00832C63"/>
    <w:rsid w:val="00833F30"/>
    <w:rsid w:val="00837009"/>
    <w:rsid w:val="00842F1A"/>
    <w:rsid w:val="00845AFC"/>
    <w:rsid w:val="00845BDF"/>
    <w:rsid w:val="00846CE4"/>
    <w:rsid w:val="008503B1"/>
    <w:rsid w:val="00857EC5"/>
    <w:rsid w:val="00862939"/>
    <w:rsid w:val="00862FFC"/>
    <w:rsid w:val="0086422D"/>
    <w:rsid w:val="008716A1"/>
    <w:rsid w:val="00874457"/>
    <w:rsid w:val="008745FE"/>
    <w:rsid w:val="00876F19"/>
    <w:rsid w:val="008771C3"/>
    <w:rsid w:val="00880D77"/>
    <w:rsid w:val="008900C9"/>
    <w:rsid w:val="008A2CAB"/>
    <w:rsid w:val="008A4054"/>
    <w:rsid w:val="008A4EE5"/>
    <w:rsid w:val="008A7A4D"/>
    <w:rsid w:val="008B5111"/>
    <w:rsid w:val="008C08ED"/>
    <w:rsid w:val="008C6BB0"/>
    <w:rsid w:val="008D2D64"/>
    <w:rsid w:val="008D7425"/>
    <w:rsid w:val="008E026D"/>
    <w:rsid w:val="008E16BC"/>
    <w:rsid w:val="008E25F1"/>
    <w:rsid w:val="008E2A0E"/>
    <w:rsid w:val="008E41B9"/>
    <w:rsid w:val="008E4F35"/>
    <w:rsid w:val="008E517E"/>
    <w:rsid w:val="008E75AD"/>
    <w:rsid w:val="008E7DAB"/>
    <w:rsid w:val="008F0B1C"/>
    <w:rsid w:val="008F0F41"/>
    <w:rsid w:val="008F1CEC"/>
    <w:rsid w:val="008F50EB"/>
    <w:rsid w:val="008F651A"/>
    <w:rsid w:val="009003B9"/>
    <w:rsid w:val="009041C3"/>
    <w:rsid w:val="00904645"/>
    <w:rsid w:val="00905F90"/>
    <w:rsid w:val="00907168"/>
    <w:rsid w:val="0091069F"/>
    <w:rsid w:val="00915206"/>
    <w:rsid w:val="00920AFD"/>
    <w:rsid w:val="009249F0"/>
    <w:rsid w:val="0092524C"/>
    <w:rsid w:val="0092599F"/>
    <w:rsid w:val="009278CE"/>
    <w:rsid w:val="00930951"/>
    <w:rsid w:val="00931127"/>
    <w:rsid w:val="0093145C"/>
    <w:rsid w:val="00934318"/>
    <w:rsid w:val="00934A3C"/>
    <w:rsid w:val="009363BA"/>
    <w:rsid w:val="00936FF6"/>
    <w:rsid w:val="0094519D"/>
    <w:rsid w:val="00946F4E"/>
    <w:rsid w:val="00947A1D"/>
    <w:rsid w:val="00947AAF"/>
    <w:rsid w:val="00955688"/>
    <w:rsid w:val="00956BA6"/>
    <w:rsid w:val="00963D1F"/>
    <w:rsid w:val="009652E7"/>
    <w:rsid w:val="00965968"/>
    <w:rsid w:val="009702DA"/>
    <w:rsid w:val="009712CC"/>
    <w:rsid w:val="009742A7"/>
    <w:rsid w:val="00980023"/>
    <w:rsid w:val="00980095"/>
    <w:rsid w:val="009828A2"/>
    <w:rsid w:val="0098532A"/>
    <w:rsid w:val="00985D0D"/>
    <w:rsid w:val="00992B48"/>
    <w:rsid w:val="00993829"/>
    <w:rsid w:val="00993D47"/>
    <w:rsid w:val="0099446A"/>
    <w:rsid w:val="009A273D"/>
    <w:rsid w:val="009A6FAA"/>
    <w:rsid w:val="009B62BA"/>
    <w:rsid w:val="009C216D"/>
    <w:rsid w:val="009C29E7"/>
    <w:rsid w:val="009C3A9C"/>
    <w:rsid w:val="009C4479"/>
    <w:rsid w:val="009C48F3"/>
    <w:rsid w:val="009C4F77"/>
    <w:rsid w:val="009D3809"/>
    <w:rsid w:val="009D4411"/>
    <w:rsid w:val="009D5E9C"/>
    <w:rsid w:val="009D6358"/>
    <w:rsid w:val="009E6921"/>
    <w:rsid w:val="009F6AF0"/>
    <w:rsid w:val="009F7605"/>
    <w:rsid w:val="00A0516E"/>
    <w:rsid w:val="00A22171"/>
    <w:rsid w:val="00A22344"/>
    <w:rsid w:val="00A32572"/>
    <w:rsid w:val="00A33C8A"/>
    <w:rsid w:val="00A413E1"/>
    <w:rsid w:val="00A429A1"/>
    <w:rsid w:val="00A50F3F"/>
    <w:rsid w:val="00A523C6"/>
    <w:rsid w:val="00A55508"/>
    <w:rsid w:val="00A56593"/>
    <w:rsid w:val="00A633F2"/>
    <w:rsid w:val="00A72A8F"/>
    <w:rsid w:val="00A734AE"/>
    <w:rsid w:val="00A84FAF"/>
    <w:rsid w:val="00A90CDF"/>
    <w:rsid w:val="00A92875"/>
    <w:rsid w:val="00A92BA7"/>
    <w:rsid w:val="00A93116"/>
    <w:rsid w:val="00A94652"/>
    <w:rsid w:val="00A97758"/>
    <w:rsid w:val="00A97894"/>
    <w:rsid w:val="00A97A07"/>
    <w:rsid w:val="00AA20F7"/>
    <w:rsid w:val="00AA2EF9"/>
    <w:rsid w:val="00AA482F"/>
    <w:rsid w:val="00AA510D"/>
    <w:rsid w:val="00AB0136"/>
    <w:rsid w:val="00AB157C"/>
    <w:rsid w:val="00AB28F3"/>
    <w:rsid w:val="00AB470E"/>
    <w:rsid w:val="00AB4B14"/>
    <w:rsid w:val="00AC0212"/>
    <w:rsid w:val="00AC49E1"/>
    <w:rsid w:val="00AC4BD9"/>
    <w:rsid w:val="00AC6872"/>
    <w:rsid w:val="00AC6B2D"/>
    <w:rsid w:val="00AC7A6F"/>
    <w:rsid w:val="00AD4D61"/>
    <w:rsid w:val="00AD4E0E"/>
    <w:rsid w:val="00AE1F3A"/>
    <w:rsid w:val="00AE28EC"/>
    <w:rsid w:val="00AE2E47"/>
    <w:rsid w:val="00AE343A"/>
    <w:rsid w:val="00AE70A7"/>
    <w:rsid w:val="00AF628C"/>
    <w:rsid w:val="00AF717D"/>
    <w:rsid w:val="00B01ACF"/>
    <w:rsid w:val="00B0370F"/>
    <w:rsid w:val="00B04BF8"/>
    <w:rsid w:val="00B06DC7"/>
    <w:rsid w:val="00B10EF1"/>
    <w:rsid w:val="00B139B1"/>
    <w:rsid w:val="00B23225"/>
    <w:rsid w:val="00B24201"/>
    <w:rsid w:val="00B25711"/>
    <w:rsid w:val="00B25850"/>
    <w:rsid w:val="00B26F22"/>
    <w:rsid w:val="00B306DE"/>
    <w:rsid w:val="00B31400"/>
    <w:rsid w:val="00B3359A"/>
    <w:rsid w:val="00B33E84"/>
    <w:rsid w:val="00B411EB"/>
    <w:rsid w:val="00B41876"/>
    <w:rsid w:val="00B4496A"/>
    <w:rsid w:val="00B52629"/>
    <w:rsid w:val="00B526D8"/>
    <w:rsid w:val="00B64776"/>
    <w:rsid w:val="00B650C7"/>
    <w:rsid w:val="00B7396F"/>
    <w:rsid w:val="00B74277"/>
    <w:rsid w:val="00B7606F"/>
    <w:rsid w:val="00B83011"/>
    <w:rsid w:val="00B838ED"/>
    <w:rsid w:val="00B85C3E"/>
    <w:rsid w:val="00B87489"/>
    <w:rsid w:val="00B90DC3"/>
    <w:rsid w:val="00B938AD"/>
    <w:rsid w:val="00B93F9E"/>
    <w:rsid w:val="00B97781"/>
    <w:rsid w:val="00BA26E8"/>
    <w:rsid w:val="00BA441B"/>
    <w:rsid w:val="00BA4E08"/>
    <w:rsid w:val="00BA6F57"/>
    <w:rsid w:val="00BA77F6"/>
    <w:rsid w:val="00BA780E"/>
    <w:rsid w:val="00BB173D"/>
    <w:rsid w:val="00BB1C75"/>
    <w:rsid w:val="00BB3490"/>
    <w:rsid w:val="00BB5E73"/>
    <w:rsid w:val="00BB5ED3"/>
    <w:rsid w:val="00BB6C46"/>
    <w:rsid w:val="00BB6D0A"/>
    <w:rsid w:val="00BC1B2E"/>
    <w:rsid w:val="00BC2095"/>
    <w:rsid w:val="00BC434F"/>
    <w:rsid w:val="00BC59BE"/>
    <w:rsid w:val="00BC7C16"/>
    <w:rsid w:val="00BD0618"/>
    <w:rsid w:val="00BD5C3D"/>
    <w:rsid w:val="00BD6CA0"/>
    <w:rsid w:val="00BE2ACE"/>
    <w:rsid w:val="00BE498D"/>
    <w:rsid w:val="00BF3466"/>
    <w:rsid w:val="00BF3D13"/>
    <w:rsid w:val="00BF5E4A"/>
    <w:rsid w:val="00BF7B1B"/>
    <w:rsid w:val="00C00012"/>
    <w:rsid w:val="00C026E9"/>
    <w:rsid w:val="00C031DF"/>
    <w:rsid w:val="00C03B44"/>
    <w:rsid w:val="00C12B6F"/>
    <w:rsid w:val="00C14375"/>
    <w:rsid w:val="00C17C38"/>
    <w:rsid w:val="00C2775F"/>
    <w:rsid w:val="00C30885"/>
    <w:rsid w:val="00C406AA"/>
    <w:rsid w:val="00C40BED"/>
    <w:rsid w:val="00C438F9"/>
    <w:rsid w:val="00C516C4"/>
    <w:rsid w:val="00C531D9"/>
    <w:rsid w:val="00C5784F"/>
    <w:rsid w:val="00C61113"/>
    <w:rsid w:val="00C67384"/>
    <w:rsid w:val="00C73105"/>
    <w:rsid w:val="00C74B68"/>
    <w:rsid w:val="00C75312"/>
    <w:rsid w:val="00C75742"/>
    <w:rsid w:val="00C801A4"/>
    <w:rsid w:val="00C8153C"/>
    <w:rsid w:val="00C843D3"/>
    <w:rsid w:val="00C85128"/>
    <w:rsid w:val="00C85FA1"/>
    <w:rsid w:val="00C91FF7"/>
    <w:rsid w:val="00C948C5"/>
    <w:rsid w:val="00CA08E2"/>
    <w:rsid w:val="00CA2C70"/>
    <w:rsid w:val="00CA34AC"/>
    <w:rsid w:val="00CA45F4"/>
    <w:rsid w:val="00CA5322"/>
    <w:rsid w:val="00CA5655"/>
    <w:rsid w:val="00CA65F5"/>
    <w:rsid w:val="00CB3FE8"/>
    <w:rsid w:val="00CB403A"/>
    <w:rsid w:val="00CB42AA"/>
    <w:rsid w:val="00CB655F"/>
    <w:rsid w:val="00CC094F"/>
    <w:rsid w:val="00CC2E05"/>
    <w:rsid w:val="00CC6D50"/>
    <w:rsid w:val="00CD1FE9"/>
    <w:rsid w:val="00CD3FC6"/>
    <w:rsid w:val="00CD74CC"/>
    <w:rsid w:val="00CE086F"/>
    <w:rsid w:val="00CE2BB3"/>
    <w:rsid w:val="00CE3F94"/>
    <w:rsid w:val="00CE51EA"/>
    <w:rsid w:val="00CF2D60"/>
    <w:rsid w:val="00CF5C63"/>
    <w:rsid w:val="00CF5D55"/>
    <w:rsid w:val="00D010ED"/>
    <w:rsid w:val="00D01507"/>
    <w:rsid w:val="00D0152D"/>
    <w:rsid w:val="00D01A79"/>
    <w:rsid w:val="00D0379E"/>
    <w:rsid w:val="00D06B3E"/>
    <w:rsid w:val="00D07527"/>
    <w:rsid w:val="00D127E0"/>
    <w:rsid w:val="00D134F5"/>
    <w:rsid w:val="00D14912"/>
    <w:rsid w:val="00D23AE1"/>
    <w:rsid w:val="00D24828"/>
    <w:rsid w:val="00D37E51"/>
    <w:rsid w:val="00D477B0"/>
    <w:rsid w:val="00D5111E"/>
    <w:rsid w:val="00D51E8A"/>
    <w:rsid w:val="00D52A94"/>
    <w:rsid w:val="00D53155"/>
    <w:rsid w:val="00D60E7F"/>
    <w:rsid w:val="00D61F01"/>
    <w:rsid w:val="00D66B54"/>
    <w:rsid w:val="00D7134F"/>
    <w:rsid w:val="00D718C4"/>
    <w:rsid w:val="00D75620"/>
    <w:rsid w:val="00D75C47"/>
    <w:rsid w:val="00D81519"/>
    <w:rsid w:val="00D83AEA"/>
    <w:rsid w:val="00D87D4B"/>
    <w:rsid w:val="00D90789"/>
    <w:rsid w:val="00D910DE"/>
    <w:rsid w:val="00D91ABB"/>
    <w:rsid w:val="00D9474E"/>
    <w:rsid w:val="00DB6F04"/>
    <w:rsid w:val="00DC2128"/>
    <w:rsid w:val="00DC60B0"/>
    <w:rsid w:val="00DE6CE9"/>
    <w:rsid w:val="00DE7DEB"/>
    <w:rsid w:val="00DF27F5"/>
    <w:rsid w:val="00DF2C6C"/>
    <w:rsid w:val="00DF344C"/>
    <w:rsid w:val="00DF3F2B"/>
    <w:rsid w:val="00DF5FA6"/>
    <w:rsid w:val="00DF6ADE"/>
    <w:rsid w:val="00E02B1B"/>
    <w:rsid w:val="00E04F57"/>
    <w:rsid w:val="00E05888"/>
    <w:rsid w:val="00E06EB3"/>
    <w:rsid w:val="00E1104B"/>
    <w:rsid w:val="00E122FA"/>
    <w:rsid w:val="00E17064"/>
    <w:rsid w:val="00E203D1"/>
    <w:rsid w:val="00E239BC"/>
    <w:rsid w:val="00E23FC8"/>
    <w:rsid w:val="00E24DA3"/>
    <w:rsid w:val="00E24F64"/>
    <w:rsid w:val="00E27118"/>
    <w:rsid w:val="00E316CB"/>
    <w:rsid w:val="00E363F5"/>
    <w:rsid w:val="00E3641A"/>
    <w:rsid w:val="00E36649"/>
    <w:rsid w:val="00E45628"/>
    <w:rsid w:val="00E459B5"/>
    <w:rsid w:val="00E51953"/>
    <w:rsid w:val="00E51DCA"/>
    <w:rsid w:val="00E6146E"/>
    <w:rsid w:val="00E61812"/>
    <w:rsid w:val="00E63B8D"/>
    <w:rsid w:val="00E64CF5"/>
    <w:rsid w:val="00E654BE"/>
    <w:rsid w:val="00E7401F"/>
    <w:rsid w:val="00E80B4D"/>
    <w:rsid w:val="00E812CF"/>
    <w:rsid w:val="00E8228B"/>
    <w:rsid w:val="00E82FC5"/>
    <w:rsid w:val="00E83827"/>
    <w:rsid w:val="00E83F28"/>
    <w:rsid w:val="00E85664"/>
    <w:rsid w:val="00E865F4"/>
    <w:rsid w:val="00E901C0"/>
    <w:rsid w:val="00E90B63"/>
    <w:rsid w:val="00E9535E"/>
    <w:rsid w:val="00E95A72"/>
    <w:rsid w:val="00EA0CE0"/>
    <w:rsid w:val="00EA2CB5"/>
    <w:rsid w:val="00EA4BE8"/>
    <w:rsid w:val="00EA5094"/>
    <w:rsid w:val="00EB0C9C"/>
    <w:rsid w:val="00EB25D0"/>
    <w:rsid w:val="00EB4153"/>
    <w:rsid w:val="00EB4B12"/>
    <w:rsid w:val="00EB72D4"/>
    <w:rsid w:val="00EC23E9"/>
    <w:rsid w:val="00EC4490"/>
    <w:rsid w:val="00EC6592"/>
    <w:rsid w:val="00EC6F58"/>
    <w:rsid w:val="00EC725D"/>
    <w:rsid w:val="00ED2BC8"/>
    <w:rsid w:val="00ED5305"/>
    <w:rsid w:val="00EE1AEE"/>
    <w:rsid w:val="00EF1B6F"/>
    <w:rsid w:val="00EF20DB"/>
    <w:rsid w:val="00EF394A"/>
    <w:rsid w:val="00EF4187"/>
    <w:rsid w:val="00F075E4"/>
    <w:rsid w:val="00F1128F"/>
    <w:rsid w:val="00F13A37"/>
    <w:rsid w:val="00F13D87"/>
    <w:rsid w:val="00F14C6E"/>
    <w:rsid w:val="00F17292"/>
    <w:rsid w:val="00F22536"/>
    <w:rsid w:val="00F22F14"/>
    <w:rsid w:val="00F3080F"/>
    <w:rsid w:val="00F31A95"/>
    <w:rsid w:val="00F33C95"/>
    <w:rsid w:val="00F3503C"/>
    <w:rsid w:val="00F361C8"/>
    <w:rsid w:val="00F36888"/>
    <w:rsid w:val="00F41765"/>
    <w:rsid w:val="00F42228"/>
    <w:rsid w:val="00F45647"/>
    <w:rsid w:val="00F476C8"/>
    <w:rsid w:val="00F47B23"/>
    <w:rsid w:val="00F5398C"/>
    <w:rsid w:val="00F54F54"/>
    <w:rsid w:val="00F57AF7"/>
    <w:rsid w:val="00F62194"/>
    <w:rsid w:val="00F62B90"/>
    <w:rsid w:val="00F636D9"/>
    <w:rsid w:val="00F66820"/>
    <w:rsid w:val="00F67F4A"/>
    <w:rsid w:val="00F72C67"/>
    <w:rsid w:val="00F7673B"/>
    <w:rsid w:val="00F76A77"/>
    <w:rsid w:val="00F8031B"/>
    <w:rsid w:val="00F857AF"/>
    <w:rsid w:val="00F90AB3"/>
    <w:rsid w:val="00F94663"/>
    <w:rsid w:val="00F95341"/>
    <w:rsid w:val="00FA0DD0"/>
    <w:rsid w:val="00FA1568"/>
    <w:rsid w:val="00FA57A3"/>
    <w:rsid w:val="00FA5E32"/>
    <w:rsid w:val="00FA7B38"/>
    <w:rsid w:val="00FB0884"/>
    <w:rsid w:val="00FB2F88"/>
    <w:rsid w:val="00FB56F9"/>
    <w:rsid w:val="00FC5ECC"/>
    <w:rsid w:val="00FC66BD"/>
    <w:rsid w:val="00FD019B"/>
    <w:rsid w:val="00FD2DAA"/>
    <w:rsid w:val="00FD668C"/>
    <w:rsid w:val="00FD6D96"/>
    <w:rsid w:val="00FD7AB8"/>
    <w:rsid w:val="00FE5436"/>
    <w:rsid w:val="00FF0115"/>
    <w:rsid w:val="00FF16E1"/>
    <w:rsid w:val="00FF3FE9"/>
    <w:rsid w:val="00FF6599"/>
    <w:rsid w:val="00FF7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211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2E7"/>
    <w:rPr>
      <w:sz w:val="24"/>
      <w:szCs w:val="24"/>
    </w:rPr>
  </w:style>
  <w:style w:type="paragraph" w:styleId="Heading1">
    <w:name w:val="heading 1"/>
    <w:basedOn w:val="Normal"/>
    <w:next w:val="Normal"/>
    <w:link w:val="Heading1Char"/>
    <w:qFormat/>
    <w:rsid w:val="00204A52"/>
    <w:pPr>
      <w:spacing w:before="240" w:after="24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A4E08"/>
    <w:pPr>
      <w:tabs>
        <w:tab w:val="center" w:pos="4320"/>
        <w:tab w:val="right" w:pos="8640"/>
      </w:tabs>
    </w:pPr>
  </w:style>
  <w:style w:type="paragraph" w:styleId="Footer">
    <w:name w:val="footer"/>
    <w:basedOn w:val="Normal"/>
    <w:link w:val="FooterChar"/>
    <w:uiPriority w:val="99"/>
    <w:rsid w:val="00BA4E08"/>
    <w:pPr>
      <w:tabs>
        <w:tab w:val="center" w:pos="4320"/>
        <w:tab w:val="right" w:pos="8640"/>
      </w:tabs>
    </w:pPr>
  </w:style>
  <w:style w:type="character" w:styleId="PageNumber">
    <w:name w:val="page number"/>
    <w:basedOn w:val="DefaultParagraphFont"/>
    <w:rsid w:val="00BA4E08"/>
  </w:style>
  <w:style w:type="paragraph" w:styleId="FootnoteText">
    <w:name w:val="footnote text"/>
    <w:basedOn w:val="Normal"/>
    <w:link w:val="FootnoteTextChar"/>
    <w:uiPriority w:val="99"/>
    <w:rsid w:val="00A50F3F"/>
    <w:rPr>
      <w:sz w:val="20"/>
      <w:szCs w:val="20"/>
    </w:rPr>
  </w:style>
  <w:style w:type="character" w:customStyle="1" w:styleId="FootnoteTextChar">
    <w:name w:val="Footnote Text Char"/>
    <w:basedOn w:val="DefaultParagraphFont"/>
    <w:link w:val="FootnoteText"/>
    <w:uiPriority w:val="99"/>
    <w:rsid w:val="00A50F3F"/>
    <w:rPr>
      <w:rFonts w:ascii="Palatino Linotype" w:hAnsi="Palatino Linotype"/>
    </w:rPr>
  </w:style>
  <w:style w:type="character" w:styleId="FootnoteReference">
    <w:name w:val="footnote reference"/>
    <w:basedOn w:val="DefaultParagraphFont"/>
    <w:uiPriority w:val="99"/>
    <w:rsid w:val="00A50F3F"/>
    <w:rPr>
      <w:vertAlign w:val="superscript"/>
    </w:rPr>
  </w:style>
  <w:style w:type="character" w:styleId="CommentReference">
    <w:name w:val="annotation reference"/>
    <w:basedOn w:val="DefaultParagraphFont"/>
    <w:rsid w:val="00BF3D13"/>
    <w:rPr>
      <w:sz w:val="16"/>
      <w:szCs w:val="16"/>
    </w:rPr>
  </w:style>
  <w:style w:type="paragraph" w:styleId="CommentText">
    <w:name w:val="annotation text"/>
    <w:basedOn w:val="Normal"/>
    <w:link w:val="CommentTextChar"/>
    <w:rsid w:val="00BF3D13"/>
    <w:rPr>
      <w:sz w:val="20"/>
      <w:szCs w:val="20"/>
    </w:rPr>
  </w:style>
  <w:style w:type="character" w:customStyle="1" w:styleId="CommentTextChar">
    <w:name w:val="Comment Text Char"/>
    <w:basedOn w:val="DefaultParagraphFont"/>
    <w:link w:val="CommentText"/>
    <w:rsid w:val="00BF3D13"/>
    <w:rPr>
      <w:rFonts w:ascii="Palatino Linotype" w:hAnsi="Palatino Linotype"/>
    </w:rPr>
  </w:style>
  <w:style w:type="paragraph" w:styleId="CommentSubject">
    <w:name w:val="annotation subject"/>
    <w:basedOn w:val="CommentText"/>
    <w:next w:val="CommentText"/>
    <w:link w:val="CommentSubjectChar"/>
    <w:rsid w:val="00BF3D13"/>
    <w:rPr>
      <w:b/>
      <w:bCs/>
    </w:rPr>
  </w:style>
  <w:style w:type="character" w:customStyle="1" w:styleId="CommentSubjectChar">
    <w:name w:val="Comment Subject Char"/>
    <w:basedOn w:val="CommentTextChar"/>
    <w:link w:val="CommentSubject"/>
    <w:rsid w:val="00BF3D13"/>
    <w:rPr>
      <w:rFonts w:ascii="Palatino Linotype" w:hAnsi="Palatino Linotype"/>
      <w:b/>
      <w:bCs/>
    </w:rPr>
  </w:style>
  <w:style w:type="paragraph" w:styleId="Revision">
    <w:name w:val="Revision"/>
    <w:hidden/>
    <w:uiPriority w:val="99"/>
    <w:semiHidden/>
    <w:rsid w:val="00BF3D13"/>
    <w:rPr>
      <w:rFonts w:ascii="Palatino Linotype" w:hAnsi="Palatino Linotype"/>
      <w:sz w:val="24"/>
      <w:szCs w:val="24"/>
    </w:rPr>
  </w:style>
  <w:style w:type="paragraph" w:styleId="BalloonText">
    <w:name w:val="Balloon Text"/>
    <w:basedOn w:val="Normal"/>
    <w:link w:val="BalloonTextChar"/>
    <w:rsid w:val="00BF3D13"/>
    <w:rPr>
      <w:rFonts w:ascii="Tahoma" w:hAnsi="Tahoma" w:cs="Tahoma"/>
      <w:sz w:val="16"/>
      <w:szCs w:val="16"/>
    </w:rPr>
  </w:style>
  <w:style w:type="character" w:customStyle="1" w:styleId="BalloonTextChar">
    <w:name w:val="Balloon Text Char"/>
    <w:basedOn w:val="DefaultParagraphFont"/>
    <w:link w:val="BalloonText"/>
    <w:rsid w:val="00BF3D13"/>
    <w:rPr>
      <w:rFonts w:ascii="Tahoma" w:hAnsi="Tahoma" w:cs="Tahoma"/>
      <w:sz w:val="16"/>
      <w:szCs w:val="16"/>
    </w:rPr>
  </w:style>
  <w:style w:type="table" w:styleId="TableGrid">
    <w:name w:val="Table Grid"/>
    <w:basedOn w:val="TableNormal"/>
    <w:uiPriority w:val="59"/>
    <w:rsid w:val="00E856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List3">
    <w:name w:val="Table List 3"/>
    <w:basedOn w:val="TableNormal"/>
    <w:rsid w:val="002C073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ListParagraph">
    <w:name w:val="List Paragraph"/>
    <w:basedOn w:val="Normal"/>
    <w:uiPriority w:val="34"/>
    <w:qFormat/>
    <w:rsid w:val="003D21C9"/>
    <w:pPr>
      <w:ind w:left="720"/>
      <w:contextualSpacing/>
    </w:pPr>
    <w:rPr>
      <w:rFonts w:ascii="Calibri" w:eastAsia="Calibri" w:hAnsi="Calibri"/>
      <w:sz w:val="22"/>
      <w:szCs w:val="22"/>
    </w:rPr>
  </w:style>
  <w:style w:type="character" w:styleId="Hyperlink">
    <w:name w:val="Hyperlink"/>
    <w:basedOn w:val="DefaultParagraphFont"/>
    <w:uiPriority w:val="99"/>
    <w:unhideWhenUsed/>
    <w:rsid w:val="003D21C9"/>
    <w:rPr>
      <w:color w:val="0000FF"/>
      <w:u w:val="single"/>
    </w:rPr>
  </w:style>
  <w:style w:type="character" w:customStyle="1" w:styleId="Heading1Char">
    <w:name w:val="Heading 1 Char"/>
    <w:basedOn w:val="DefaultParagraphFont"/>
    <w:link w:val="Heading1"/>
    <w:rsid w:val="00204A52"/>
    <w:rPr>
      <w:b/>
      <w:sz w:val="24"/>
      <w:szCs w:val="24"/>
    </w:rPr>
  </w:style>
  <w:style w:type="paragraph" w:styleId="NoSpacing">
    <w:name w:val="No Spacing"/>
    <w:uiPriority w:val="1"/>
    <w:qFormat/>
    <w:rsid w:val="00520CC1"/>
    <w:rPr>
      <w:rFonts w:eastAsia="Calibri"/>
      <w:sz w:val="24"/>
      <w:szCs w:val="22"/>
    </w:rPr>
  </w:style>
  <w:style w:type="character" w:customStyle="1" w:styleId="HeaderChar">
    <w:name w:val="Header Char"/>
    <w:basedOn w:val="DefaultParagraphFont"/>
    <w:link w:val="Header"/>
    <w:rsid w:val="002C648F"/>
    <w:rPr>
      <w:sz w:val="24"/>
      <w:szCs w:val="24"/>
    </w:rPr>
  </w:style>
  <w:style w:type="character" w:customStyle="1" w:styleId="FooterChar">
    <w:name w:val="Footer Char"/>
    <w:basedOn w:val="DefaultParagraphFont"/>
    <w:link w:val="Footer"/>
    <w:uiPriority w:val="99"/>
    <w:rsid w:val="0036314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3762">
      <w:bodyDiv w:val="1"/>
      <w:marLeft w:val="0"/>
      <w:marRight w:val="0"/>
      <w:marTop w:val="0"/>
      <w:marBottom w:val="0"/>
      <w:divBdr>
        <w:top w:val="none" w:sz="0" w:space="0" w:color="auto"/>
        <w:left w:val="none" w:sz="0" w:space="0" w:color="auto"/>
        <w:bottom w:val="none" w:sz="0" w:space="0" w:color="auto"/>
        <w:right w:val="none" w:sz="0" w:space="0" w:color="auto"/>
      </w:divBdr>
    </w:div>
    <w:div w:id="125121471">
      <w:bodyDiv w:val="1"/>
      <w:marLeft w:val="0"/>
      <w:marRight w:val="0"/>
      <w:marTop w:val="0"/>
      <w:marBottom w:val="0"/>
      <w:divBdr>
        <w:top w:val="none" w:sz="0" w:space="0" w:color="auto"/>
        <w:left w:val="none" w:sz="0" w:space="0" w:color="auto"/>
        <w:bottom w:val="none" w:sz="0" w:space="0" w:color="auto"/>
        <w:right w:val="none" w:sz="0" w:space="0" w:color="auto"/>
      </w:divBdr>
    </w:div>
    <w:div w:id="515117943">
      <w:bodyDiv w:val="1"/>
      <w:marLeft w:val="0"/>
      <w:marRight w:val="0"/>
      <w:marTop w:val="0"/>
      <w:marBottom w:val="0"/>
      <w:divBdr>
        <w:top w:val="none" w:sz="0" w:space="0" w:color="auto"/>
        <w:left w:val="none" w:sz="0" w:space="0" w:color="auto"/>
        <w:bottom w:val="none" w:sz="0" w:space="0" w:color="auto"/>
        <w:right w:val="none" w:sz="0" w:space="0" w:color="auto"/>
      </w:divBdr>
    </w:div>
    <w:div w:id="635065244">
      <w:bodyDiv w:val="1"/>
      <w:marLeft w:val="0"/>
      <w:marRight w:val="0"/>
      <w:marTop w:val="0"/>
      <w:marBottom w:val="0"/>
      <w:divBdr>
        <w:top w:val="none" w:sz="0" w:space="0" w:color="auto"/>
        <w:left w:val="none" w:sz="0" w:space="0" w:color="auto"/>
        <w:bottom w:val="none" w:sz="0" w:space="0" w:color="auto"/>
        <w:right w:val="none" w:sz="0" w:space="0" w:color="auto"/>
      </w:divBdr>
    </w:div>
    <w:div w:id="791438944">
      <w:bodyDiv w:val="1"/>
      <w:marLeft w:val="0"/>
      <w:marRight w:val="0"/>
      <w:marTop w:val="0"/>
      <w:marBottom w:val="0"/>
      <w:divBdr>
        <w:top w:val="none" w:sz="0" w:space="0" w:color="auto"/>
        <w:left w:val="none" w:sz="0" w:space="0" w:color="auto"/>
        <w:bottom w:val="none" w:sz="0" w:space="0" w:color="auto"/>
        <w:right w:val="none" w:sz="0" w:space="0" w:color="auto"/>
      </w:divBdr>
    </w:div>
    <w:div w:id="812258013">
      <w:bodyDiv w:val="1"/>
      <w:marLeft w:val="0"/>
      <w:marRight w:val="0"/>
      <w:marTop w:val="0"/>
      <w:marBottom w:val="0"/>
      <w:divBdr>
        <w:top w:val="none" w:sz="0" w:space="0" w:color="auto"/>
        <w:left w:val="none" w:sz="0" w:space="0" w:color="auto"/>
        <w:bottom w:val="none" w:sz="0" w:space="0" w:color="auto"/>
        <w:right w:val="none" w:sz="0" w:space="0" w:color="auto"/>
      </w:divBdr>
    </w:div>
    <w:div w:id="1036202984">
      <w:bodyDiv w:val="1"/>
      <w:marLeft w:val="0"/>
      <w:marRight w:val="0"/>
      <w:marTop w:val="0"/>
      <w:marBottom w:val="0"/>
      <w:divBdr>
        <w:top w:val="none" w:sz="0" w:space="0" w:color="auto"/>
        <w:left w:val="none" w:sz="0" w:space="0" w:color="auto"/>
        <w:bottom w:val="none" w:sz="0" w:space="0" w:color="auto"/>
        <w:right w:val="none" w:sz="0" w:space="0" w:color="auto"/>
      </w:divBdr>
    </w:div>
    <w:div w:id="1244804308">
      <w:bodyDiv w:val="1"/>
      <w:marLeft w:val="0"/>
      <w:marRight w:val="0"/>
      <w:marTop w:val="0"/>
      <w:marBottom w:val="0"/>
      <w:divBdr>
        <w:top w:val="none" w:sz="0" w:space="0" w:color="auto"/>
        <w:left w:val="none" w:sz="0" w:space="0" w:color="auto"/>
        <w:bottom w:val="none" w:sz="0" w:space="0" w:color="auto"/>
        <w:right w:val="none" w:sz="0" w:space="0" w:color="auto"/>
      </w:divBdr>
    </w:div>
    <w:div w:id="1530797043">
      <w:bodyDiv w:val="1"/>
      <w:marLeft w:val="0"/>
      <w:marRight w:val="0"/>
      <w:marTop w:val="0"/>
      <w:marBottom w:val="0"/>
      <w:divBdr>
        <w:top w:val="none" w:sz="0" w:space="0" w:color="auto"/>
        <w:left w:val="none" w:sz="0" w:space="0" w:color="auto"/>
        <w:bottom w:val="none" w:sz="0" w:space="0" w:color="auto"/>
        <w:right w:val="none" w:sz="0" w:space="0" w:color="auto"/>
      </w:divBdr>
    </w:div>
    <w:div w:id="1539003075">
      <w:bodyDiv w:val="1"/>
      <w:marLeft w:val="0"/>
      <w:marRight w:val="0"/>
      <w:marTop w:val="0"/>
      <w:marBottom w:val="0"/>
      <w:divBdr>
        <w:top w:val="none" w:sz="0" w:space="0" w:color="auto"/>
        <w:left w:val="none" w:sz="0" w:space="0" w:color="auto"/>
        <w:bottom w:val="none" w:sz="0" w:space="0" w:color="auto"/>
        <w:right w:val="none" w:sz="0" w:space="0" w:color="auto"/>
      </w:divBdr>
    </w:div>
    <w:div w:id="1682702632">
      <w:bodyDiv w:val="1"/>
      <w:marLeft w:val="0"/>
      <w:marRight w:val="0"/>
      <w:marTop w:val="0"/>
      <w:marBottom w:val="0"/>
      <w:divBdr>
        <w:top w:val="none" w:sz="0" w:space="0" w:color="auto"/>
        <w:left w:val="none" w:sz="0" w:space="0" w:color="auto"/>
        <w:bottom w:val="none" w:sz="0" w:space="0" w:color="auto"/>
        <w:right w:val="none" w:sz="0" w:space="0" w:color="auto"/>
      </w:divBdr>
    </w:div>
    <w:div w:id="1790317808">
      <w:bodyDiv w:val="1"/>
      <w:marLeft w:val="0"/>
      <w:marRight w:val="0"/>
      <w:marTop w:val="0"/>
      <w:marBottom w:val="0"/>
      <w:divBdr>
        <w:top w:val="none" w:sz="0" w:space="0" w:color="auto"/>
        <w:left w:val="none" w:sz="0" w:space="0" w:color="auto"/>
        <w:bottom w:val="none" w:sz="0" w:space="0" w:color="auto"/>
        <w:right w:val="none" w:sz="0" w:space="0" w:color="auto"/>
      </w:divBdr>
    </w:div>
    <w:div w:id="189715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Prefix xmlns="dc463f71-b30c-4ab2-9473-d307f9d35888">UE</Prefix>
    <DocumentSetType xmlns="dc463f71-b30c-4ab2-9473-d307f9d35888">Open Meeting Memo</DocumentSetType>
    <Visibility xmlns="dc463f71-b30c-4ab2-9473-d307f9d35888">Full Visibility</Visibility>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2015-10-29T07:00:00+00:00</OpenedDate>
    <Date1 xmlns="dc463f71-b30c-4ab2-9473-d307f9d35888">2017-01-26T08:00:00+00:00</Date1>
    <IsDocumentOrder xmlns="dc463f71-b30c-4ab2-9473-d307f9d35888" xsi:nil="true"/>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152058</DocketNumber>
    <DelegatedOrder xmlns="dc463f71-b30c-4ab2-9473-d307f9d35888">false</DelegatedOrder>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E6A4A60542A124AB98CDF8163BEAA44" ma:contentTypeVersion="119" ma:contentTypeDescription="" ma:contentTypeScope="" ma:versionID="180ea560e64b53d3f14dc26120ae1cd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CE323-5B34-4132-8CFD-57B0A55F0070}">
  <ds:schemaRefs>
    <ds:schemaRef ds:uri="http://schemas.microsoft.com/office/2006/metadata/properties"/>
    <ds:schemaRef ds:uri="dc463f71-b30c-4ab2-9473-d307f9d35888"/>
    <ds:schemaRef ds:uri="http://schemas.microsoft.com/sharepoint/v3"/>
  </ds:schemaRefs>
</ds:datastoreItem>
</file>

<file path=customXml/itemProps2.xml><?xml version="1.0" encoding="utf-8"?>
<ds:datastoreItem xmlns:ds="http://schemas.openxmlformats.org/officeDocument/2006/customXml" ds:itemID="{61DF372F-5F23-4DD6-BCCA-FBFC671B0AFD}">
  <ds:schemaRefs>
    <ds:schemaRef ds:uri="http://schemas.microsoft.com/sharepoint/v3/contenttype/forms"/>
  </ds:schemaRefs>
</ds:datastoreItem>
</file>

<file path=customXml/itemProps3.xml><?xml version="1.0" encoding="utf-8"?>
<ds:datastoreItem xmlns:ds="http://schemas.openxmlformats.org/officeDocument/2006/customXml" ds:itemID="{D5F29030-1D37-4763-897C-2BB2470663E4}"/>
</file>

<file path=customXml/itemProps4.xml><?xml version="1.0" encoding="utf-8"?>
<ds:datastoreItem xmlns:ds="http://schemas.openxmlformats.org/officeDocument/2006/customXml" ds:itemID="{1A1F1E0A-1422-49BD-B51C-03879CF34454}"/>
</file>

<file path=customXml/itemProps5.xml><?xml version="1.0" encoding="utf-8"?>
<ds:datastoreItem xmlns:ds="http://schemas.openxmlformats.org/officeDocument/2006/customXml" ds:itemID="{2BAD3752-EE19-4686-B563-0EE62F5F9D42}">
  <ds:schemaRefs>
    <ds:schemaRef ds:uri="http://schemas.openxmlformats.org/officeDocument/2006/bibliography"/>
  </ds:schemaRefs>
</ds:datastoreItem>
</file>

<file path=customXml/itemProps6.xml><?xml version="1.0" encoding="utf-8"?>
<ds:datastoreItem xmlns:ds="http://schemas.openxmlformats.org/officeDocument/2006/customXml" ds:itemID="{9643F00C-15A5-4BB6-9E66-6D8AE7686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1653</Words>
  <Characters>9423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UE-152058 UG-152075 PSE ACP memo</vt:lpstr>
    </vt:vector>
  </TitlesOfParts>
  <LinksUpToDate>false</LinksUpToDate>
  <CharactersWithSpaces>11054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UE-152058 UG-152075 PSE ACP memo</dc:title>
  <dc:creator/>
  <cp:lastModifiedBy/>
  <cp:revision>1</cp:revision>
  <dcterms:created xsi:type="dcterms:W3CDTF">2017-03-17T15:57:00Z</dcterms:created>
  <dcterms:modified xsi:type="dcterms:W3CDTF">2017-03-17T15:57:00Z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0x0101006E56B4D1795A2E4DB2F0B01679ED314A002E6A4A60542A124AB98CDF8163BEAA44</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_docset_NoMedatataSyncRequired">
    <vt:lpwstr>False</vt:lpwstr>
  </property>
  <property fmtid="{D5CDD505-2E9C-101B-9397-08002B2CF9AE}" pid="7" name="IsEFSEC">
    <vt:bool>false</vt:bool>
  </property>
</Properties>
</file>