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6A" w:rsidRDefault="00C94814">
      <w:pPr>
        <w:rPr>
          <w:b/>
          <w:szCs w:val="24"/>
        </w:rPr>
      </w:pPr>
      <w:r>
        <w:rPr>
          <w:b/>
          <w:szCs w:val="24"/>
          <w:highlight w:val="yellow"/>
        </w:rPr>
        <w:t xml:space="preserve">   </w:t>
      </w:r>
    </w:p>
    <w:p w:rsidR="00841B6A" w:rsidRDefault="00C94814">
      <w:pPr>
        <w:tabs>
          <w:tab w:val="center" w:pos="4680"/>
          <w:tab w:val="right" w:pos="9360"/>
        </w:tabs>
        <w:ind w:left="4680" w:hanging="4680"/>
        <w:jc w:val="center"/>
        <w:rPr>
          <w:b/>
          <w:szCs w:val="24"/>
        </w:rPr>
      </w:pPr>
      <w:r>
        <w:rPr>
          <w:b/>
          <w:szCs w:val="24"/>
        </w:rPr>
        <w:t xml:space="preserve">BEFORE THE </w:t>
      </w:r>
    </w:p>
    <w:p w:rsidR="00841B6A" w:rsidRDefault="00841B6A">
      <w:pPr>
        <w:tabs>
          <w:tab w:val="center" w:pos="4680"/>
          <w:tab w:val="right" w:pos="9360"/>
        </w:tabs>
        <w:ind w:left="4680" w:hanging="4680"/>
        <w:jc w:val="center"/>
        <w:rPr>
          <w:b/>
          <w:szCs w:val="24"/>
        </w:rPr>
      </w:pPr>
    </w:p>
    <w:p w:rsidR="00841B6A" w:rsidRDefault="00C94814">
      <w:pPr>
        <w:tabs>
          <w:tab w:val="center" w:pos="4680"/>
          <w:tab w:val="right" w:pos="9360"/>
        </w:tabs>
        <w:ind w:left="4680" w:hanging="4680"/>
        <w:jc w:val="center"/>
        <w:rPr>
          <w:b/>
          <w:szCs w:val="24"/>
        </w:rPr>
      </w:pPr>
      <w:r>
        <w:rPr>
          <w:b/>
          <w:szCs w:val="24"/>
        </w:rPr>
        <w:t>WASHINGTON UTILITIES AND TRANSPORTATION COMMISSION</w:t>
      </w:r>
    </w:p>
    <w:p w:rsidR="00841B6A" w:rsidRDefault="00841B6A">
      <w:pPr>
        <w:tabs>
          <w:tab w:val="center" w:pos="4680"/>
          <w:tab w:val="right" w:pos="9360"/>
        </w:tabs>
        <w:ind w:left="4680" w:hanging="4680"/>
        <w:jc w:val="center"/>
        <w:rPr>
          <w:b/>
          <w:szCs w:val="24"/>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841B6A">
        <w:tc>
          <w:tcPr>
            <w:tcW w:w="4328" w:type="dxa"/>
            <w:tcBorders>
              <w:bottom w:val="single" w:sz="4" w:space="0" w:color="auto"/>
            </w:tcBorders>
          </w:tcPr>
          <w:p w:rsidR="00841B6A" w:rsidRDefault="00C94814">
            <w:pPr>
              <w:tabs>
                <w:tab w:val="left" w:pos="2160"/>
              </w:tabs>
              <w:spacing w:line="240" w:lineRule="auto"/>
              <w:rPr>
                <w:bCs/>
                <w:szCs w:val="24"/>
              </w:rPr>
            </w:pPr>
            <w:r>
              <w:rPr>
                <w:bCs/>
                <w:szCs w:val="24"/>
              </w:rPr>
              <w:t>WALLA WALLA COUNTRY CLUB,</w:t>
            </w:r>
          </w:p>
          <w:p w:rsidR="00841B6A" w:rsidRDefault="00841B6A">
            <w:pPr>
              <w:tabs>
                <w:tab w:val="left" w:pos="2160"/>
              </w:tabs>
              <w:spacing w:line="240" w:lineRule="auto"/>
              <w:rPr>
                <w:bCs/>
                <w:szCs w:val="24"/>
              </w:rPr>
            </w:pPr>
          </w:p>
          <w:p w:rsidR="00841B6A" w:rsidRDefault="00C94814">
            <w:pPr>
              <w:tabs>
                <w:tab w:val="left" w:pos="2160"/>
              </w:tabs>
              <w:spacing w:line="240" w:lineRule="auto"/>
              <w:rPr>
                <w:bCs/>
                <w:szCs w:val="24"/>
              </w:rPr>
            </w:pPr>
            <w:r>
              <w:rPr>
                <w:bCs/>
                <w:szCs w:val="24"/>
              </w:rPr>
              <w:tab/>
              <w:t>Complainant,</w:t>
            </w:r>
          </w:p>
          <w:p w:rsidR="00841B6A" w:rsidRDefault="00841B6A">
            <w:pPr>
              <w:tabs>
                <w:tab w:val="left" w:pos="2160"/>
              </w:tabs>
              <w:spacing w:line="240" w:lineRule="auto"/>
              <w:rPr>
                <w:bCs/>
                <w:szCs w:val="24"/>
              </w:rPr>
            </w:pPr>
          </w:p>
          <w:p w:rsidR="00841B6A" w:rsidRDefault="00C94814">
            <w:pPr>
              <w:spacing w:line="240" w:lineRule="auto"/>
              <w:ind w:firstLine="720"/>
              <w:rPr>
                <w:bCs/>
                <w:szCs w:val="24"/>
              </w:rPr>
            </w:pPr>
            <w:r>
              <w:rPr>
                <w:bCs/>
                <w:szCs w:val="24"/>
              </w:rPr>
              <w:t>v.</w:t>
            </w:r>
          </w:p>
          <w:p w:rsidR="00841B6A" w:rsidRDefault="00841B6A">
            <w:pPr>
              <w:spacing w:line="240" w:lineRule="auto"/>
              <w:rPr>
                <w:bCs/>
                <w:szCs w:val="24"/>
              </w:rPr>
            </w:pPr>
          </w:p>
          <w:p w:rsidR="00841B6A" w:rsidRDefault="00C94814">
            <w:pPr>
              <w:tabs>
                <w:tab w:val="left" w:pos="2160"/>
              </w:tabs>
              <w:spacing w:line="240" w:lineRule="auto"/>
              <w:rPr>
                <w:bCs/>
                <w:szCs w:val="24"/>
              </w:rPr>
            </w:pPr>
            <w:r>
              <w:rPr>
                <w:bCs/>
                <w:szCs w:val="24"/>
              </w:rPr>
              <w:t>PACIFIC POWER &amp; LIGHT</w:t>
            </w:r>
          </w:p>
          <w:p w:rsidR="00841B6A" w:rsidRDefault="00C94814">
            <w:pPr>
              <w:tabs>
                <w:tab w:val="left" w:pos="2160"/>
              </w:tabs>
              <w:spacing w:line="240" w:lineRule="auto"/>
              <w:rPr>
                <w:bCs/>
                <w:szCs w:val="24"/>
              </w:rPr>
            </w:pPr>
            <w:r>
              <w:rPr>
                <w:bCs/>
                <w:szCs w:val="24"/>
              </w:rPr>
              <w:t xml:space="preserve">COMPANY, </w:t>
            </w:r>
          </w:p>
          <w:p w:rsidR="00841B6A" w:rsidRDefault="00841B6A">
            <w:pPr>
              <w:tabs>
                <w:tab w:val="left" w:pos="2160"/>
              </w:tabs>
              <w:spacing w:line="240" w:lineRule="auto"/>
              <w:rPr>
                <w:bCs/>
                <w:szCs w:val="24"/>
              </w:rPr>
            </w:pPr>
          </w:p>
          <w:p w:rsidR="00841B6A" w:rsidRDefault="00C94814">
            <w:pPr>
              <w:tabs>
                <w:tab w:val="left" w:pos="2168"/>
              </w:tabs>
              <w:spacing w:line="240" w:lineRule="auto"/>
              <w:rPr>
                <w:snapToGrid w:val="0"/>
              </w:rPr>
            </w:pPr>
            <w:r>
              <w:rPr>
                <w:bCs/>
                <w:snapToGrid w:val="0"/>
              </w:rPr>
              <w:tab/>
              <w:t>Respondent.</w:t>
            </w:r>
          </w:p>
        </w:tc>
        <w:tc>
          <w:tcPr>
            <w:tcW w:w="276" w:type="dxa"/>
          </w:tcPr>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tc>
        <w:tc>
          <w:tcPr>
            <w:tcW w:w="4044" w:type="dxa"/>
          </w:tcPr>
          <w:p w:rsidR="00841B6A" w:rsidRDefault="00841B6A">
            <w:pPr>
              <w:spacing w:line="240" w:lineRule="auto"/>
            </w:pPr>
            <w:bookmarkStart w:id="0" w:name="CaseNumber"/>
            <w:bookmarkEnd w:id="0"/>
          </w:p>
          <w:p w:rsidR="00841B6A" w:rsidRDefault="00841B6A">
            <w:pPr>
              <w:spacing w:line="240" w:lineRule="auto"/>
            </w:pPr>
          </w:p>
          <w:p w:rsidR="00841B6A" w:rsidRDefault="00C94814">
            <w:pPr>
              <w:spacing w:line="240" w:lineRule="auto"/>
            </w:pPr>
            <w:r>
              <w:t>DOCKET UE-143932</w:t>
            </w:r>
          </w:p>
          <w:p w:rsidR="00841B6A" w:rsidRDefault="00841B6A">
            <w:pPr>
              <w:spacing w:line="240" w:lineRule="auto"/>
            </w:pPr>
          </w:p>
          <w:p w:rsidR="00841B6A" w:rsidRDefault="00841B6A">
            <w:pPr>
              <w:spacing w:line="240" w:lineRule="auto"/>
            </w:pPr>
          </w:p>
          <w:p w:rsidR="00841B6A" w:rsidRDefault="00841B6A">
            <w:pPr>
              <w:spacing w:line="240" w:lineRule="auto"/>
            </w:pPr>
          </w:p>
          <w:p w:rsidR="00841B6A" w:rsidRDefault="00841B6A">
            <w:pPr>
              <w:spacing w:line="240" w:lineRule="auto"/>
            </w:pPr>
          </w:p>
        </w:tc>
      </w:tr>
    </w:tbl>
    <w:p w:rsidR="00841B6A" w:rsidRDefault="00841B6A">
      <w:pPr>
        <w:suppressLineNumbers/>
        <w:rPr>
          <w:szCs w:val="24"/>
        </w:rPr>
      </w:pPr>
    </w:p>
    <w:p w:rsidR="00841B6A" w:rsidRDefault="00841B6A">
      <w:pPr>
        <w:pStyle w:val="center"/>
        <w:keepLines w:val="0"/>
        <w:widowControl w:val="0"/>
        <w:spacing w:before="0" w:line="240" w:lineRule="auto"/>
        <w:rPr>
          <w:b/>
        </w:rPr>
      </w:pPr>
    </w:p>
    <w:p w:rsidR="00841B6A" w:rsidRDefault="00C94814">
      <w:pPr>
        <w:pStyle w:val="center"/>
        <w:spacing w:before="0" w:line="240" w:lineRule="auto"/>
        <w:rPr>
          <w:b/>
        </w:rPr>
      </w:pPr>
      <w:r>
        <w:rPr>
          <w:b/>
        </w:rPr>
        <w:t>COMPLAINANT REBUTTAL TESTIMONY OF BRADLEY G. MULLINS</w:t>
      </w:r>
    </w:p>
    <w:p w:rsidR="00841B6A" w:rsidRDefault="00841B6A">
      <w:pPr>
        <w:pStyle w:val="center"/>
        <w:spacing w:before="0" w:line="240" w:lineRule="auto"/>
        <w:rPr>
          <w:b/>
        </w:rPr>
      </w:pPr>
    </w:p>
    <w:p w:rsidR="00841B6A" w:rsidRDefault="00C94814">
      <w:pPr>
        <w:pStyle w:val="center"/>
        <w:spacing w:before="0" w:line="240" w:lineRule="auto"/>
        <w:rPr>
          <w:b/>
        </w:rPr>
      </w:pPr>
      <w:r>
        <w:rPr>
          <w:b/>
        </w:rPr>
        <w:t xml:space="preserve">ON BEHALF OF </w:t>
      </w:r>
    </w:p>
    <w:p w:rsidR="00841B6A" w:rsidRDefault="00841B6A">
      <w:pPr>
        <w:pStyle w:val="center"/>
        <w:spacing w:before="0" w:line="240" w:lineRule="auto"/>
        <w:rPr>
          <w:b/>
        </w:rPr>
      </w:pPr>
    </w:p>
    <w:p w:rsidR="00841B6A" w:rsidRDefault="00C94814">
      <w:pPr>
        <w:pStyle w:val="center"/>
        <w:spacing w:before="0" w:line="240" w:lineRule="auto"/>
        <w:rPr>
          <w:b/>
        </w:rPr>
      </w:pPr>
      <w:r>
        <w:rPr>
          <w:b/>
        </w:rPr>
        <w:t>THE WALLA WALLA COUNTRY CLUB</w:t>
      </w:r>
    </w:p>
    <w:p w:rsidR="00841B6A" w:rsidRDefault="00841B6A">
      <w:pPr>
        <w:pStyle w:val="center"/>
        <w:keepLines w:val="0"/>
        <w:widowControl w:val="0"/>
        <w:spacing w:before="0" w:line="240" w:lineRule="auto"/>
        <w:rPr>
          <w:b/>
        </w:rPr>
      </w:pPr>
    </w:p>
    <w:p w:rsidR="00841B6A" w:rsidRDefault="00841B6A">
      <w:pPr>
        <w:pStyle w:val="center"/>
        <w:keepLines w:val="0"/>
        <w:widowControl w:val="0"/>
        <w:spacing w:before="0" w:line="240" w:lineRule="auto"/>
        <w:rPr>
          <w:b/>
        </w:rPr>
      </w:pPr>
    </w:p>
    <w:p w:rsidR="00841B6A" w:rsidRDefault="00C94814">
      <w:pPr>
        <w:pStyle w:val="center"/>
        <w:keepLines w:val="0"/>
        <w:widowControl w:val="0"/>
        <w:spacing w:before="0" w:line="240" w:lineRule="auto"/>
        <w:rPr>
          <w:b/>
        </w:rPr>
      </w:pPr>
      <w:r>
        <w:rPr>
          <w:b/>
        </w:rPr>
        <w:t>August 14, 2015</w:t>
      </w:r>
    </w:p>
    <w:p w:rsidR="00841B6A" w:rsidRDefault="00841B6A">
      <w:pPr>
        <w:pStyle w:val="center"/>
        <w:keepLines w:val="0"/>
        <w:widowControl w:val="0"/>
        <w:spacing w:before="0" w:line="240" w:lineRule="auto"/>
        <w:rPr>
          <w:b/>
        </w:rPr>
      </w:pPr>
    </w:p>
    <w:p w:rsidR="00841B6A" w:rsidRDefault="00841B6A">
      <w:pPr>
        <w:pStyle w:val="center"/>
        <w:keepLines w:val="0"/>
        <w:widowControl w:val="0"/>
        <w:spacing w:before="0" w:line="240" w:lineRule="auto"/>
        <w:rPr>
          <w:b/>
        </w:rPr>
        <w:sectPr w:rsidR="00841B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360" w:left="1440" w:header="720" w:footer="0" w:gutter="0"/>
          <w:pgNumType w:start="1"/>
          <w:cols w:space="720"/>
        </w:sectPr>
      </w:pPr>
    </w:p>
    <w:p w:rsidR="00841B6A" w:rsidRDefault="00841B6A">
      <w:pPr>
        <w:pStyle w:val="Q"/>
        <w:spacing w:after="0"/>
        <w:jc w:val="center"/>
      </w:pPr>
    </w:p>
    <w:p w:rsidR="00841B6A" w:rsidRDefault="00C94814">
      <w:pPr>
        <w:pStyle w:val="Q"/>
        <w:spacing w:after="0"/>
        <w:jc w:val="center"/>
      </w:pPr>
      <w:r>
        <w:t>TABLE OF CONTENTS TO THE</w:t>
      </w:r>
    </w:p>
    <w:p w:rsidR="00841B6A" w:rsidRDefault="00C94814">
      <w:pPr>
        <w:pStyle w:val="Q"/>
        <w:spacing w:after="0"/>
        <w:jc w:val="center"/>
      </w:pPr>
      <w:r>
        <w:t>REBUTTAL TESTIMONY OF BRADLEY G. MULLINS</w:t>
      </w:r>
    </w:p>
    <w:p w:rsidR="00841B6A" w:rsidRDefault="00C94814">
      <w:pPr>
        <w:pStyle w:val="TOC1"/>
        <w:rPr>
          <w:rFonts w:asciiTheme="minorHAnsi" w:eastAsiaTheme="minorEastAsia" w:hAnsiTheme="minorHAnsi" w:cstheme="minorBidi"/>
          <w:noProof/>
          <w:sz w:val="22"/>
          <w:szCs w:val="22"/>
        </w:rPr>
      </w:pPr>
      <w:r>
        <w:fldChar w:fldCharType="begin"/>
      </w:r>
      <w:r>
        <w:instrText xml:space="preserve"> TOC \o "1-1"  \t "Heading 2,2,Heading 3,3,_hdr2,2" </w:instrText>
      </w:r>
      <w:r>
        <w:fldChar w:fldCharType="separate"/>
      </w:r>
      <w:r>
        <w:rPr>
          <w:noProof/>
        </w:rPr>
        <w:t>I.</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_Toc427169086 \h </w:instrText>
      </w:r>
      <w:r>
        <w:rPr>
          <w:noProof/>
        </w:rPr>
      </w:r>
      <w:r>
        <w:rPr>
          <w:noProof/>
        </w:rPr>
        <w:fldChar w:fldCharType="separate"/>
      </w:r>
      <w:r w:rsidR="00DC1BB2">
        <w:rPr>
          <w:noProof/>
        </w:rPr>
        <w:t>1</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Stranded Costs Isues</w:t>
      </w:r>
      <w:r>
        <w:rPr>
          <w:noProof/>
        </w:rPr>
        <w:tab/>
      </w:r>
      <w:r>
        <w:rPr>
          <w:noProof/>
        </w:rPr>
        <w:fldChar w:fldCharType="begin"/>
      </w:r>
      <w:r>
        <w:rPr>
          <w:noProof/>
        </w:rPr>
        <w:instrText xml:space="preserve"> PAGEREF _Toc427169087 \h </w:instrText>
      </w:r>
      <w:r>
        <w:rPr>
          <w:noProof/>
        </w:rPr>
      </w:r>
      <w:r>
        <w:rPr>
          <w:noProof/>
        </w:rPr>
        <w:fldChar w:fldCharType="separate"/>
      </w:r>
      <w:r w:rsidR="00DC1BB2">
        <w:rPr>
          <w:noProof/>
        </w:rPr>
        <w:t>3</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Fair Value Issues</w:t>
      </w:r>
      <w:r>
        <w:rPr>
          <w:noProof/>
        </w:rPr>
        <w:tab/>
      </w:r>
      <w:r>
        <w:rPr>
          <w:noProof/>
        </w:rPr>
        <w:fldChar w:fldCharType="begin"/>
      </w:r>
      <w:r>
        <w:rPr>
          <w:noProof/>
        </w:rPr>
        <w:instrText xml:space="preserve"> PAGEREF _Toc427169088 \h </w:instrText>
      </w:r>
      <w:r>
        <w:rPr>
          <w:noProof/>
        </w:rPr>
      </w:r>
      <w:r>
        <w:rPr>
          <w:noProof/>
        </w:rPr>
        <w:fldChar w:fldCharType="separate"/>
      </w:r>
      <w:r w:rsidR="00DC1BB2">
        <w:rPr>
          <w:noProof/>
        </w:rPr>
        <w:t>4</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Competition Issues</w:t>
      </w:r>
      <w:r>
        <w:rPr>
          <w:noProof/>
        </w:rPr>
        <w:tab/>
      </w:r>
      <w:r>
        <w:rPr>
          <w:noProof/>
        </w:rPr>
        <w:fldChar w:fldCharType="begin"/>
      </w:r>
      <w:r>
        <w:rPr>
          <w:noProof/>
        </w:rPr>
        <w:instrText xml:space="preserve"> PAGEREF _Toc427169089 \h </w:instrText>
      </w:r>
      <w:r>
        <w:rPr>
          <w:noProof/>
        </w:rPr>
      </w:r>
      <w:r>
        <w:rPr>
          <w:noProof/>
        </w:rPr>
        <w:fldChar w:fldCharType="separate"/>
      </w:r>
      <w:r w:rsidR="00DC1BB2">
        <w:rPr>
          <w:noProof/>
        </w:rPr>
        <w:t>9</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V.</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_Toc427169094 \h </w:instrText>
      </w:r>
      <w:r>
        <w:rPr>
          <w:noProof/>
        </w:rPr>
      </w:r>
      <w:r>
        <w:rPr>
          <w:noProof/>
        </w:rPr>
        <w:fldChar w:fldCharType="separate"/>
      </w:r>
      <w:r w:rsidR="00DC1BB2">
        <w:rPr>
          <w:noProof/>
        </w:rPr>
        <w:t>11</w:t>
      </w:r>
      <w:r>
        <w:rPr>
          <w:noProof/>
        </w:rPr>
        <w:fldChar w:fldCharType="end"/>
      </w:r>
    </w:p>
    <w:p w:rsidR="00841B6A" w:rsidRDefault="00C94814">
      <w:pPr>
        <w:pStyle w:val="A"/>
        <w:spacing w:after="120"/>
      </w:pPr>
      <w:r>
        <w:fldChar w:fldCharType="end"/>
      </w:r>
    </w:p>
    <w:p w:rsidR="00841B6A" w:rsidRDefault="00C94814" w:rsidP="00654C8D">
      <w:pPr>
        <w:pStyle w:val="Q"/>
        <w:spacing w:after="0"/>
        <w:jc w:val="center"/>
      </w:pPr>
      <w:r>
        <w:t>EXHIBIT LIST</w:t>
      </w:r>
    </w:p>
    <w:p w:rsidR="00841B6A" w:rsidRDefault="00841B6A" w:rsidP="00654C8D">
      <w:pPr>
        <w:pStyle w:val="A"/>
      </w:pPr>
    </w:p>
    <w:p w:rsidR="00841B6A" w:rsidRDefault="00C94814" w:rsidP="00654C8D">
      <w:pPr>
        <w:pStyle w:val="A"/>
      </w:pPr>
      <w:r>
        <w:tab/>
        <w:t xml:space="preserve">Exh . No.___(BGM-7) – </w:t>
      </w:r>
      <w:r w:rsidR="00400DAC">
        <w:t>Company General Service Contract</w:t>
      </w:r>
    </w:p>
    <w:p w:rsidR="00841B6A" w:rsidRDefault="00C94814" w:rsidP="00654C8D">
      <w:pPr>
        <w:pStyle w:val="A"/>
        <w:sectPr w:rsidR="00841B6A">
          <w:headerReference w:type="default" r:id="rId15"/>
          <w:footerReference w:type="default" r:id="rId16"/>
          <w:pgSz w:w="12240" w:h="15840"/>
          <w:pgMar w:top="720" w:right="1440" w:bottom="1440" w:left="1440" w:header="720" w:footer="720" w:gutter="0"/>
          <w:pgNumType w:fmt="lowerRoman" w:start="1"/>
          <w:cols w:space="720"/>
          <w:docGrid w:linePitch="360"/>
        </w:sectPr>
      </w:pPr>
      <w:r>
        <w:tab/>
        <w:t>Exh. No.___(BGM-8</w:t>
      </w:r>
      <w:r w:rsidR="007119FD">
        <w:t>C</w:t>
      </w:r>
      <w:r>
        <w:t>) – Company Response</w:t>
      </w:r>
      <w:r w:rsidR="00400DAC">
        <w:t>s</w:t>
      </w:r>
      <w:r>
        <w:t xml:space="preserve"> to Club Data Request</w:t>
      </w:r>
      <w:r w:rsidR="00400DAC">
        <w:t>s</w:t>
      </w:r>
    </w:p>
    <w:p w:rsidR="00841B6A" w:rsidRDefault="00C94814">
      <w:pPr>
        <w:pStyle w:val="hdr"/>
      </w:pPr>
      <w:bookmarkStart w:id="3" w:name="_Toc427169086"/>
      <w:r>
        <w:lastRenderedPageBreak/>
        <w:t>Introduction</w:t>
      </w:r>
      <w:bookmarkEnd w:id="3"/>
    </w:p>
    <w:p w:rsidR="00841B6A" w:rsidRDefault="00C94814">
      <w:pPr>
        <w:pStyle w:val="Q"/>
      </w:pPr>
      <w:r>
        <w:t>Q.</w:t>
      </w:r>
      <w:r>
        <w:tab/>
        <w:t>PLEASE STATE YOUR NAME AND BUSINESS ADDRESS.</w:t>
      </w:r>
    </w:p>
    <w:p w:rsidR="00841B6A" w:rsidRDefault="00C94814">
      <w:pPr>
        <w:pStyle w:val="A"/>
        <w:rPr>
          <w:szCs w:val="24"/>
        </w:rPr>
      </w:pPr>
      <w:r>
        <w:rPr>
          <w:szCs w:val="24"/>
        </w:rPr>
        <w:t>A.</w:t>
      </w:r>
      <w:r>
        <w:rPr>
          <w:szCs w:val="24"/>
        </w:rPr>
        <w:tab/>
        <w:t>My name is Bradley G. Mullins, and my business address is 333 SW Taylor Street, Suite 400, Portland, Oregon 97204.</w:t>
      </w:r>
    </w:p>
    <w:p w:rsidR="00841B6A" w:rsidRDefault="00C94814">
      <w:pPr>
        <w:keepNext/>
        <w:keepLines/>
        <w:spacing w:after="240" w:line="240" w:lineRule="auto"/>
        <w:ind w:left="720" w:hanging="720"/>
        <w:outlineLvl w:val="2"/>
        <w:rPr>
          <w:b/>
          <w:bCs/>
          <w:szCs w:val="24"/>
        </w:rPr>
      </w:pPr>
      <w:r>
        <w:rPr>
          <w:b/>
          <w:szCs w:val="24"/>
        </w:rPr>
        <w:t>Q.</w:t>
      </w:r>
      <w:r>
        <w:rPr>
          <w:b/>
          <w:szCs w:val="24"/>
        </w:rPr>
        <w:tab/>
        <w:t>ARE YOU THE SAME BRADLEY G. MULLINS WHO PREVIOUSLY FILED TESTIMONY IN THIS PROCEEDING?</w:t>
      </w:r>
    </w:p>
    <w:p w:rsidR="00841B6A" w:rsidRDefault="00C94814">
      <w:pPr>
        <w:spacing w:line="480" w:lineRule="auto"/>
        <w:ind w:left="720" w:hanging="720"/>
        <w:rPr>
          <w:rFonts w:eastAsia="Calibri"/>
          <w:color w:val="FF0000"/>
          <w:szCs w:val="24"/>
        </w:rPr>
      </w:pPr>
      <w:r>
        <w:rPr>
          <w:rFonts w:eastAsia="Calibri"/>
          <w:szCs w:val="24"/>
        </w:rPr>
        <w:t>A.</w:t>
      </w:r>
      <w:r>
        <w:rPr>
          <w:rFonts w:eastAsia="Calibri"/>
          <w:szCs w:val="24"/>
        </w:rPr>
        <w:tab/>
        <w:t xml:space="preserve">Yes.  I filed Complainant Testimony on behalf of the Walla Walla Country Club (the “Club”), which is presently served by </w:t>
      </w:r>
      <w:r>
        <w:rPr>
          <w:rFonts w:eastAsia="Calibri"/>
          <w:szCs w:val="22"/>
        </w:rPr>
        <w:t xml:space="preserve">Pacific Power &amp; Light </w:t>
      </w:r>
      <w:r w:rsidR="00112BA8">
        <w:rPr>
          <w:rFonts w:eastAsia="Calibri"/>
          <w:szCs w:val="22"/>
        </w:rPr>
        <w:t xml:space="preserve">Company </w:t>
      </w:r>
      <w:r>
        <w:rPr>
          <w:rFonts w:eastAsia="Calibri"/>
          <w:szCs w:val="22"/>
        </w:rPr>
        <w:t>(“Pacific Power” or the “Company”)</w:t>
      </w:r>
      <w:r>
        <w:rPr>
          <w:rFonts w:eastAsia="Calibri"/>
          <w:szCs w:val="24"/>
        </w:rPr>
        <w:t xml:space="preserve">. </w:t>
      </w:r>
    </w:p>
    <w:p w:rsidR="00841B6A" w:rsidRDefault="00C94814">
      <w:pPr>
        <w:pStyle w:val="Q"/>
      </w:pPr>
      <w:r>
        <w:t>Q.</w:t>
      </w:r>
      <w:r>
        <w:tab/>
        <w:t>WHAT TOPICS WILL YOUR TESTIMONY ADDRESS?</w:t>
      </w:r>
    </w:p>
    <w:p w:rsidR="00841B6A" w:rsidRDefault="00C94814">
      <w:pPr>
        <w:pStyle w:val="A"/>
        <w:rPr>
          <w:szCs w:val="24"/>
        </w:rPr>
      </w:pPr>
      <w:r>
        <w:rPr>
          <w:szCs w:val="24"/>
        </w:rPr>
        <w:t>A.</w:t>
      </w:r>
      <w:r>
        <w:rPr>
          <w:szCs w:val="24"/>
        </w:rPr>
        <w:tab/>
        <w:t>My Rebuttal Testimony addresses matters raised by the Company</w:t>
      </w:r>
      <w:r w:rsidR="005818F6">
        <w:rPr>
          <w:szCs w:val="24"/>
        </w:rPr>
        <w:t xml:space="preserve"> in the Direct Testimony filing</w:t>
      </w:r>
      <w:r>
        <w:rPr>
          <w:szCs w:val="24"/>
        </w:rPr>
        <w:t xml:space="preserve"> of Mr. R. Bryce Dalley.  Specifically, my Complain</w:t>
      </w:r>
      <w:r w:rsidR="005818F6">
        <w:rPr>
          <w:szCs w:val="24"/>
        </w:rPr>
        <w:t>an</w:t>
      </w:r>
      <w:r>
        <w:rPr>
          <w:szCs w:val="24"/>
        </w:rPr>
        <w:t xml:space="preserve">t Rebuttal Testimony focuses </w:t>
      </w:r>
      <w:r w:rsidR="005818F6">
        <w:rPr>
          <w:szCs w:val="24"/>
        </w:rPr>
        <w:t xml:space="preserve">on </w:t>
      </w:r>
      <w:r>
        <w:rPr>
          <w:szCs w:val="24"/>
        </w:rPr>
        <w:t xml:space="preserve">the proper application of </w:t>
      </w:r>
      <w:r w:rsidR="005818F6">
        <w:rPr>
          <w:szCs w:val="24"/>
        </w:rPr>
        <w:t xml:space="preserve">the </w:t>
      </w:r>
      <w:r>
        <w:rPr>
          <w:szCs w:val="24"/>
        </w:rPr>
        <w:t xml:space="preserve">Company’s Net Removal Tariff, as contained in Rule 6 of Pacific Power’s General Rules and Regulations for Washington, to the Club’s request for permanent disconnection.  </w:t>
      </w:r>
    </w:p>
    <w:p w:rsidR="00841B6A" w:rsidRDefault="00C94814">
      <w:pPr>
        <w:pStyle w:val="Q"/>
      </w:pPr>
      <w:r>
        <w:t>Q.</w:t>
      </w:r>
      <w:r>
        <w:tab/>
        <w:t>ARE OTHER WITNESSES SUBMITTING REBUTTAL TESTIMONY ON BEHALF OF THE CLUB IN THIS PROCEEDING?</w:t>
      </w:r>
    </w:p>
    <w:p w:rsidR="00841B6A" w:rsidRDefault="00C94814">
      <w:pPr>
        <w:pStyle w:val="A"/>
        <w:rPr>
          <w:szCs w:val="24"/>
        </w:rPr>
      </w:pPr>
      <w:r>
        <w:rPr>
          <w:szCs w:val="24"/>
        </w:rPr>
        <w:t>A.</w:t>
      </w:r>
      <w:r>
        <w:rPr>
          <w:szCs w:val="24"/>
        </w:rPr>
        <w:tab/>
        <w:t xml:space="preserve">Yes.  Club Exhibit No.___(JCT-4T) contains the Complainant Rebuttal Testimony of Mr. Jeffrey C. Thomas, who in his capacity as Club General Manager will discuss issues related to electric service facilities located on Club property in the context of Company testimony.  In addition, Club Exhibit No.___(DJM-5T) contains the Complainant Rebuttal Testimony of Mr. David J. Marne, P.E., who will respond to issues concerning </w:t>
      </w:r>
      <w:r>
        <w:rPr>
          <w:szCs w:val="24"/>
        </w:rPr>
        <w:lastRenderedPageBreak/>
        <w:t xml:space="preserve">the National Electric Safety Code </w:t>
      </w:r>
      <w:r w:rsidR="00B5652A">
        <w:rPr>
          <w:szCs w:val="24"/>
        </w:rPr>
        <w:t xml:space="preserve">(“NESC”) </w:t>
      </w:r>
      <w:r>
        <w:rPr>
          <w:szCs w:val="24"/>
        </w:rPr>
        <w:t xml:space="preserve">and safety standards associated with permanent disconnection.  </w:t>
      </w:r>
    </w:p>
    <w:p w:rsidR="00841B6A" w:rsidRDefault="00C94814">
      <w:pPr>
        <w:pStyle w:val="Q"/>
      </w:pPr>
      <w:r>
        <w:t>Q</w:t>
      </w:r>
      <w:r>
        <w:tab/>
        <w:t>PLEASE PROVIDE AN OVERVIEW OF YOUR REBUTTAL TESTIMONY.</w:t>
      </w:r>
    </w:p>
    <w:p w:rsidR="00841B6A" w:rsidRDefault="00C94814" w:rsidP="00654C8D">
      <w:pPr>
        <w:pStyle w:val="A"/>
        <w:rPr>
          <w:szCs w:val="24"/>
        </w:rPr>
      </w:pPr>
      <w:r>
        <w:rPr>
          <w:szCs w:val="24"/>
        </w:rPr>
        <w:t>A.</w:t>
      </w:r>
      <w:r>
        <w:rPr>
          <w:szCs w:val="24"/>
        </w:rPr>
        <w:tab/>
        <w:t>This proceeding concerns the application of the Net Removal Tariff as it existed when the Club requested to be permanently disconnected from the Company’s system.</w:t>
      </w:r>
      <w:r w:rsidR="00400DAC">
        <w:rPr>
          <w:rStyle w:val="FootnoteReference"/>
          <w:szCs w:val="24"/>
        </w:rPr>
        <w:footnoteReference w:id="1"/>
      </w:r>
      <w:r w:rsidR="00400DAC">
        <w:rPr>
          <w:szCs w:val="24"/>
          <w:vertAlign w:val="superscript"/>
        </w:rPr>
        <w:t>/</w:t>
      </w:r>
      <w:r>
        <w:rPr>
          <w:szCs w:val="24"/>
        </w:rPr>
        <w:t xml:space="preserve">  It is not a proceeding to present allegations of additional stranded costs that are not currently reflected in the Net Removal Tariff.  Nor is it a proceeding to raise argument</w:t>
      </w:r>
      <w:r w:rsidR="00B5652A">
        <w:rPr>
          <w:szCs w:val="24"/>
        </w:rPr>
        <w:t>s</w:t>
      </w:r>
      <w:r>
        <w:rPr>
          <w:szCs w:val="24"/>
        </w:rPr>
        <w:t xml:space="preserve"> aimed at the Columbia Rural Electric Association (“Columbia REA</w:t>
      </w:r>
      <w:r w:rsidR="00B5652A">
        <w:rPr>
          <w:szCs w:val="24"/>
        </w:rPr>
        <w:t>”</w:t>
      </w:r>
      <w:r>
        <w:rPr>
          <w:szCs w:val="24"/>
        </w:rPr>
        <w:t xml:space="preserve">), as the Net Removal Tariff should be applied </w:t>
      </w:r>
      <w:r w:rsidR="00B5652A">
        <w:rPr>
          <w:szCs w:val="24"/>
        </w:rPr>
        <w:t>consistently,</w:t>
      </w:r>
      <w:r>
        <w:rPr>
          <w:szCs w:val="24"/>
        </w:rPr>
        <w:t xml:space="preserve"> regardless of the utility that the Club ultimately selects as its service provider.  Rather, this proceeding concerns the specific facts and circumstances surrounding the Club’s request for permanent disconnection and how the Net Removal Tariff should apply to that request. </w:t>
      </w:r>
    </w:p>
    <w:p w:rsidR="00841B6A" w:rsidRDefault="00C94814">
      <w:pPr>
        <w:pStyle w:val="A"/>
        <w:ind w:firstLine="720"/>
        <w:rPr>
          <w:szCs w:val="24"/>
        </w:rPr>
      </w:pPr>
      <w:r>
        <w:rPr>
          <w:szCs w:val="24"/>
        </w:rPr>
        <w:t>The facts are that no party will benefit if the facilities located on the Club property are removed through costly and invasive deconstruction activities, as advocated by the Company.  Removing the facilities will only serve to impose a large cost onto the Club, with no benefit to the Company relative to transferring the facilities at net book value.  As a result, it is in the public interest that a transfer occur in order to avoid these unnecessary costs</w:t>
      </w:r>
      <w:r w:rsidR="00B5652A">
        <w:rPr>
          <w:szCs w:val="24"/>
        </w:rPr>
        <w:t xml:space="preserve"> and invasive practices</w:t>
      </w:r>
      <w:r>
        <w:rPr>
          <w:szCs w:val="24"/>
        </w:rPr>
        <w:t xml:space="preserve">.  </w:t>
      </w:r>
    </w:p>
    <w:p w:rsidR="00841B6A" w:rsidRDefault="00C94814">
      <w:pPr>
        <w:pStyle w:val="A"/>
        <w:ind w:firstLine="720"/>
        <w:rPr>
          <w:szCs w:val="24"/>
        </w:rPr>
      </w:pPr>
      <w:r>
        <w:rPr>
          <w:szCs w:val="24"/>
        </w:rPr>
        <w:lastRenderedPageBreak/>
        <w:t xml:space="preserve">In terms of valuation, the Company </w:t>
      </w:r>
      <w:r w:rsidR="00B5652A">
        <w:rPr>
          <w:szCs w:val="24"/>
        </w:rPr>
        <w:t>offered</w:t>
      </w:r>
      <w:r>
        <w:rPr>
          <w:szCs w:val="24"/>
        </w:rPr>
        <w:t xml:space="preserve"> to sell facilities to the Club for an amount that exceed</w:t>
      </w:r>
      <w:r w:rsidR="00391D09">
        <w:rPr>
          <w:szCs w:val="24"/>
        </w:rPr>
        <w:t>ed</w:t>
      </w:r>
      <w:r>
        <w:rPr>
          <w:szCs w:val="24"/>
        </w:rPr>
        <w:t xml:space="preserve"> net book value</w:t>
      </w:r>
      <w:r w:rsidR="00391D09">
        <w:rPr>
          <w:szCs w:val="24"/>
        </w:rPr>
        <w:t xml:space="preserve"> (</w:t>
      </w:r>
      <w:r w:rsidR="00391D09" w:rsidRPr="00D70A02">
        <w:rPr>
          <w:szCs w:val="24"/>
          <w:u w:val="single"/>
        </w:rPr>
        <w:t>i.e.</w:t>
      </w:r>
      <w:r>
        <w:rPr>
          <w:szCs w:val="24"/>
        </w:rPr>
        <w:t>,</w:t>
      </w:r>
      <w:r w:rsidR="00391D09">
        <w:rPr>
          <w:szCs w:val="24"/>
        </w:rPr>
        <w:t xml:space="preserve"> $66,718, which equaled the contractor’s bid to remove the conduit),</w:t>
      </w:r>
      <w:r w:rsidR="00391D09" w:rsidRPr="00391D09">
        <w:rPr>
          <w:rStyle w:val="FootnoteReference"/>
          <w:szCs w:val="24"/>
        </w:rPr>
        <w:t xml:space="preserve"> </w:t>
      </w:r>
      <w:r w:rsidR="00391D09">
        <w:rPr>
          <w:rStyle w:val="FootnoteReference"/>
          <w:szCs w:val="24"/>
        </w:rPr>
        <w:footnoteReference w:id="2"/>
      </w:r>
      <w:r w:rsidR="00391D09" w:rsidRPr="00391D09">
        <w:rPr>
          <w:szCs w:val="24"/>
          <w:vertAlign w:val="superscript"/>
        </w:rPr>
        <w:t>/</w:t>
      </w:r>
      <w:r>
        <w:rPr>
          <w:szCs w:val="24"/>
        </w:rPr>
        <w:t xml:space="preserve"> </w:t>
      </w:r>
      <w:r w:rsidR="00B5652A">
        <w:rPr>
          <w:szCs w:val="24"/>
        </w:rPr>
        <w:t xml:space="preserve">which would </w:t>
      </w:r>
      <w:r>
        <w:rPr>
          <w:szCs w:val="24"/>
        </w:rPr>
        <w:t>resul</w:t>
      </w:r>
      <w:r w:rsidR="00B5652A">
        <w:rPr>
          <w:szCs w:val="24"/>
        </w:rPr>
        <w:t>t</w:t>
      </w:r>
      <w:r>
        <w:rPr>
          <w:szCs w:val="24"/>
        </w:rPr>
        <w:t xml:space="preserve"> in recognition of a book gain on the facilities that are removed from service pursuant to the Club’s request for permanent disconnection.  However, I disagree that the Company should be permitted to retain any gains from facilities that are removed from service pursuant to a request for permanent disconnection.  The Net Removal Tariff requires the Company to credit the “salvage” or resale value of facilities back to the departing customer.  Thus, to the extent the Company recognizes a gain as a result of selling facilities—regardless of whether the facilities are sold to the departing customer or a third party—that gain should be refunded back to the departing customer under the Net Removal Tariff. </w:t>
      </w:r>
    </w:p>
    <w:p w:rsidR="00841B6A" w:rsidRDefault="00C94814">
      <w:pPr>
        <w:pStyle w:val="A"/>
        <w:ind w:firstLine="720"/>
        <w:rPr>
          <w:szCs w:val="24"/>
        </w:rPr>
      </w:pPr>
      <w:r>
        <w:rPr>
          <w:szCs w:val="24"/>
        </w:rPr>
        <w:t>Finally, the Company’s claims that transferring the facilities at net book value will provide a competitive advantage to the Club’s new service provider are unfounded. The motivation behind transferring the facilities is to avoid expensive, invasive, and unnecessary deconstruction activities</w:t>
      </w:r>
      <w:r w:rsidR="00437D42">
        <w:rPr>
          <w:szCs w:val="24"/>
        </w:rPr>
        <w:t xml:space="preserve"> at the cost of the Club.</w:t>
      </w:r>
      <w:r>
        <w:rPr>
          <w:szCs w:val="24"/>
        </w:rPr>
        <w:t xml:space="preserve"> </w:t>
      </w:r>
    </w:p>
    <w:p w:rsidR="00841B6A" w:rsidRDefault="00C94814">
      <w:pPr>
        <w:pStyle w:val="A"/>
        <w:ind w:firstLine="720"/>
        <w:rPr>
          <w:szCs w:val="24"/>
        </w:rPr>
      </w:pPr>
      <w:r>
        <w:rPr>
          <w:szCs w:val="24"/>
        </w:rPr>
        <w:t xml:space="preserve">Accordingly, I continue </w:t>
      </w:r>
      <w:r w:rsidR="005818F6">
        <w:rPr>
          <w:szCs w:val="24"/>
        </w:rPr>
        <w:t xml:space="preserve">to </w:t>
      </w:r>
      <w:r>
        <w:rPr>
          <w:szCs w:val="24"/>
        </w:rPr>
        <w:t xml:space="preserve">recommend that the Commission find it to be in the public interest that the facilities be transferred to the </w:t>
      </w:r>
      <w:r w:rsidR="005818F6">
        <w:rPr>
          <w:szCs w:val="24"/>
        </w:rPr>
        <w:t>C</w:t>
      </w:r>
      <w:r>
        <w:rPr>
          <w:szCs w:val="24"/>
        </w:rPr>
        <w:t xml:space="preserve">lub at net book value, as discussed in my </w:t>
      </w:r>
      <w:r w:rsidR="00F87564">
        <w:rPr>
          <w:szCs w:val="24"/>
        </w:rPr>
        <w:t xml:space="preserve">Opening Complainant </w:t>
      </w:r>
      <w:bookmarkStart w:id="4" w:name="_GoBack"/>
      <w:bookmarkEnd w:id="4"/>
      <w:r>
        <w:rPr>
          <w:szCs w:val="24"/>
        </w:rPr>
        <w:t xml:space="preserve">Testimony. </w:t>
      </w:r>
    </w:p>
    <w:p w:rsidR="00841B6A" w:rsidRDefault="00C94814" w:rsidP="00654C8D">
      <w:pPr>
        <w:pStyle w:val="hdr"/>
      </w:pPr>
      <w:bookmarkStart w:id="5" w:name="_Toc427169087"/>
      <w:r>
        <w:lastRenderedPageBreak/>
        <w:t>Stranded Costs Issues</w:t>
      </w:r>
      <w:bookmarkEnd w:id="5"/>
    </w:p>
    <w:p w:rsidR="00841B6A" w:rsidRDefault="00C94814">
      <w:pPr>
        <w:pStyle w:val="Q"/>
      </w:pPr>
      <w:bookmarkStart w:id="6" w:name="_Toc400396396"/>
      <w:bookmarkEnd w:id="6"/>
      <w:r>
        <w:t>Q.</w:t>
      </w:r>
      <w:r>
        <w:tab/>
        <w:t>WHAT ARGUMENT HAS THE COMPANY PRESENTED REGARDING STRANDED COSTS?</w:t>
      </w:r>
    </w:p>
    <w:p w:rsidR="00841B6A" w:rsidRDefault="00C94814">
      <w:pPr>
        <w:pStyle w:val="A"/>
        <w:rPr>
          <w:szCs w:val="24"/>
        </w:rPr>
      </w:pPr>
      <w:r>
        <w:rPr>
          <w:szCs w:val="24"/>
        </w:rPr>
        <w:t>A.</w:t>
      </w:r>
      <w:r>
        <w:rPr>
          <w:szCs w:val="24"/>
        </w:rPr>
        <w:tab/>
        <w:t>The Company claims that the net book value calculations required under the Net Removal Tariff do not capture all the costs resulting from a permanent disconnection request.</w:t>
      </w:r>
      <w:r>
        <w:rPr>
          <w:rStyle w:val="FootnoteReference"/>
        </w:rPr>
        <w:footnoteReference w:id="3"/>
      </w:r>
      <w:r>
        <w:rPr>
          <w:vertAlign w:val="superscript"/>
        </w:rPr>
        <w:t>/</w:t>
      </w:r>
      <w:r>
        <w:rPr>
          <w:szCs w:val="24"/>
        </w:rPr>
        <w:t xml:space="preserve">  More specifically, the Company suggests that “additional stranded costs should be evaluated as part of the net removal tariff to ensure remaining customers are not negatively harmed by a departing customer.”</w:t>
      </w:r>
      <w:r>
        <w:rPr>
          <w:rStyle w:val="FootnoteReference"/>
        </w:rPr>
        <w:footnoteReference w:id="4"/>
      </w:r>
      <w:r>
        <w:rPr>
          <w:vertAlign w:val="superscript"/>
        </w:rPr>
        <w:t>/</w:t>
      </w:r>
    </w:p>
    <w:p w:rsidR="00841B6A" w:rsidRDefault="00C94814">
      <w:pPr>
        <w:pStyle w:val="Q"/>
      </w:pPr>
      <w:r>
        <w:t>Q.</w:t>
      </w:r>
      <w:r>
        <w:tab/>
        <w:t xml:space="preserve">DO YOU AGREE THAT ADDITIONAL STRANDED COSTS SHOULD BE EVALUATED IN THIS PROCEEDING? </w:t>
      </w:r>
    </w:p>
    <w:p w:rsidR="00841B6A" w:rsidRDefault="00C94814">
      <w:pPr>
        <w:pStyle w:val="A"/>
        <w:rPr>
          <w:szCs w:val="24"/>
        </w:rPr>
      </w:pPr>
      <w:r>
        <w:rPr>
          <w:szCs w:val="24"/>
        </w:rPr>
        <w:t>A.</w:t>
      </w:r>
      <w:r>
        <w:rPr>
          <w:szCs w:val="24"/>
        </w:rPr>
        <w:tab/>
        <w:t xml:space="preserve">No.  The controversial issues raised by the Company surrounding additional stranded costs have no bearing on how the Net Removal Tariff should be applied in this proceeding.  This proceeding concerns the application of the Net Removal Tariff as it currently exists.  To the extent that the Company now believes that there are other stranded investment costs not reflected in the Net Removal Tariff, </w:t>
      </w:r>
      <w:r w:rsidR="005818F6">
        <w:rPr>
          <w:szCs w:val="24"/>
        </w:rPr>
        <w:t>that</w:t>
      </w:r>
      <w:r>
        <w:rPr>
          <w:szCs w:val="24"/>
        </w:rPr>
        <w:t xml:space="preserve"> is not a reason to depart from the existing tariff and to charge the customer more than the amount authorized under the existing tariff. </w:t>
      </w:r>
    </w:p>
    <w:p w:rsidR="00841B6A" w:rsidRDefault="00C94814" w:rsidP="00654C8D">
      <w:pPr>
        <w:pStyle w:val="hdr"/>
      </w:pPr>
      <w:bookmarkStart w:id="7" w:name="_Toc427169088"/>
      <w:r>
        <w:lastRenderedPageBreak/>
        <w:t>Fair Value Issues</w:t>
      </w:r>
      <w:bookmarkEnd w:id="7"/>
    </w:p>
    <w:p w:rsidR="00841B6A" w:rsidRDefault="00C94814">
      <w:pPr>
        <w:pStyle w:val="Q"/>
      </w:pPr>
      <w:r>
        <w:t>Q.</w:t>
      </w:r>
      <w:r>
        <w:tab/>
        <w:t>WHAT ARE THE SPECIFIC FACILITIES UNDER REVIEW IN THIS PROCEEDING?</w:t>
      </w:r>
    </w:p>
    <w:p w:rsidR="00841B6A" w:rsidRDefault="00E258BE" w:rsidP="00654C8D">
      <w:pPr>
        <w:pStyle w:val="A"/>
      </w:pPr>
      <w:r>
        <w:t>A,</w:t>
      </w:r>
      <w:r>
        <w:tab/>
        <w:t>Exh. No.___(BGM-4</w:t>
      </w:r>
      <w:r w:rsidR="00D773E5">
        <w:t>C</w:t>
      </w:r>
      <w:r w:rsidR="00C94814">
        <w:t xml:space="preserve">) </w:t>
      </w:r>
      <w:r>
        <w:t>includes</w:t>
      </w:r>
      <w:r w:rsidR="00C94814">
        <w:t xml:space="preserve"> the Company’s most recent net book value calculation for the facilities under examination in this proceeding.</w:t>
      </w:r>
      <w:r>
        <w:rPr>
          <w:rStyle w:val="FootnoteReference"/>
        </w:rPr>
        <w:footnoteReference w:id="5"/>
      </w:r>
      <w:r w:rsidRPr="00654C8D">
        <w:rPr>
          <w:vertAlign w:val="superscript"/>
        </w:rPr>
        <w:t>/</w:t>
      </w:r>
      <w:r w:rsidR="00C94814">
        <w:t xml:space="preserve">  The list consists of a number of small capital items, including underground conduit, cables, meters and small transformers.  As can be noted from the </w:t>
      </w:r>
      <w:r w:rsidR="00B5652A">
        <w:t>e</w:t>
      </w:r>
      <w:r w:rsidR="00C94814">
        <w:t xml:space="preserve">xhibit, many of the facilities were built several decades ago.  For example, the list includes a wood pole, meter and overhead cable that </w:t>
      </w:r>
      <w:r w:rsidR="00F47425">
        <w:t>were</w:t>
      </w:r>
      <w:r w:rsidR="00C94814">
        <w:t xml:space="preserve"> constructed back in 1968.  In addition, the facilities in question are also relatively inexpensive pieces of equipment, with the majority of facilities costing less than a few hundred dollars.  </w:t>
      </w:r>
    </w:p>
    <w:p w:rsidR="00841B6A" w:rsidRDefault="00C94814" w:rsidP="00654C8D">
      <w:pPr>
        <w:pStyle w:val="Q"/>
      </w:pPr>
      <w:r>
        <w:t>Q.</w:t>
      </w:r>
      <w:r>
        <w:tab/>
        <w:t>WHY DOES THE COMPANY BELIEVE IT IS INAPPROPRIATE TO TRANSFER THE FACILITIES AT NET BOOK VALUE?</w:t>
      </w:r>
    </w:p>
    <w:p w:rsidR="00B5652A" w:rsidRDefault="00C94814">
      <w:pPr>
        <w:pStyle w:val="A"/>
      </w:pPr>
      <w:r>
        <w:t>A.</w:t>
      </w:r>
      <w:r>
        <w:tab/>
      </w:r>
      <w:r w:rsidR="00B5652A">
        <w:t xml:space="preserve">The Company now states that it does not agree to sell or transfer underground facilities to customers requesting permanent disconnection because such facilities must, according to the </w:t>
      </w:r>
      <w:r w:rsidR="005818F6">
        <w:t xml:space="preserve">Company’s interpretation of the </w:t>
      </w:r>
      <w:r w:rsidR="00B5652A">
        <w:t>NESC, be either removed or maintained—</w:t>
      </w:r>
      <w:r w:rsidR="00B5652A" w:rsidRPr="00654C8D">
        <w:rPr>
          <w:u w:val="single"/>
        </w:rPr>
        <w:t>i.e.</w:t>
      </w:r>
      <w:r w:rsidR="00B5652A">
        <w:t>, not abandoned via sale and transfer.</w:t>
      </w:r>
      <w:r w:rsidR="00B5652A">
        <w:rPr>
          <w:rStyle w:val="FootnoteReference"/>
        </w:rPr>
        <w:footnoteReference w:id="6"/>
      </w:r>
      <w:r w:rsidR="00B5652A" w:rsidRPr="003E7EE9">
        <w:rPr>
          <w:vertAlign w:val="superscript"/>
        </w:rPr>
        <w:t>/</w:t>
      </w:r>
      <w:r w:rsidR="00B5652A">
        <w:t xml:space="preserve">  </w:t>
      </w:r>
      <w:r w:rsidR="00BB0C3F">
        <w:t xml:space="preserve">A “non-abandonment” policy was not in effect in 2013, however, as seen in the Company’s General Service Contract which explicitly provided that the “Company may abandon in place” underground facilities “that are no </w:t>
      </w:r>
      <w:r w:rsidR="00BB0C3F">
        <w:lastRenderedPageBreak/>
        <w:t>longer useful to Company.”</w:t>
      </w:r>
      <w:r w:rsidR="00BB0C3F">
        <w:rPr>
          <w:rStyle w:val="FootnoteReference"/>
        </w:rPr>
        <w:footnoteReference w:id="7"/>
      </w:r>
      <w:r w:rsidR="00BB0C3F" w:rsidRPr="003E7EE9">
        <w:rPr>
          <w:vertAlign w:val="superscript"/>
        </w:rPr>
        <w:t>/</w:t>
      </w:r>
      <w:r w:rsidR="00BB0C3F">
        <w:t xml:space="preserve">  In fact, giv</w:t>
      </w:r>
      <w:r w:rsidR="005818F6">
        <w:t>en the five-</w:t>
      </w:r>
      <w:r w:rsidR="00BB0C3F">
        <w:t xml:space="preserve">year term of the General Service Contract cited, </w:t>
      </w:r>
      <w:r w:rsidR="008A2A06">
        <w:t>it appears t</w:t>
      </w:r>
      <w:r w:rsidR="00112BA8">
        <w:t xml:space="preserve">hat the Company </w:t>
      </w:r>
      <w:r w:rsidR="00004875">
        <w:t>will</w:t>
      </w:r>
      <w:r w:rsidR="00112BA8">
        <w:t xml:space="preserve"> still</w:t>
      </w:r>
      <w:r w:rsidR="008A2A06">
        <w:t xml:space="preserve"> allow for underground facility abandonment.</w:t>
      </w:r>
      <w:r w:rsidR="00B5652A">
        <w:tab/>
      </w:r>
    </w:p>
    <w:p w:rsidR="00841B6A" w:rsidRDefault="00B5652A" w:rsidP="00654C8D">
      <w:pPr>
        <w:pStyle w:val="A"/>
        <w:ind w:firstLine="720"/>
      </w:pPr>
      <w:r>
        <w:t>Moreover, t</w:t>
      </w:r>
      <w:r w:rsidR="00C94814">
        <w:t>he Company suggests that the Club will save “considerable expense” by acquiring the facilities at net book value.</w:t>
      </w:r>
      <w:r w:rsidR="00C94814">
        <w:rPr>
          <w:rStyle w:val="FootnoteReference"/>
        </w:rPr>
        <w:footnoteReference w:id="8"/>
      </w:r>
      <w:r w:rsidR="00C94814" w:rsidRPr="00654C8D">
        <w:rPr>
          <w:vertAlign w:val="superscript"/>
        </w:rPr>
        <w:t>/</w:t>
      </w:r>
      <w:r w:rsidR="00C94814">
        <w:t xml:space="preserve">  Accordingly, the Company implies that the facilities should be sold for an amount that exceeds the net book value, although no specific recommendation was made as to what the fair value should be.</w:t>
      </w:r>
      <w:r w:rsidR="00C94814">
        <w:rPr>
          <w:rStyle w:val="FootnoteReference"/>
        </w:rPr>
        <w:footnoteReference w:id="9"/>
      </w:r>
      <w:r w:rsidR="00C94814" w:rsidRPr="00654C8D">
        <w:rPr>
          <w:vertAlign w:val="superscript"/>
        </w:rPr>
        <w:t>/</w:t>
      </w:r>
      <w:r w:rsidR="00C94814">
        <w:t xml:space="preserve">  The Company admits that it has performed no evaluation of the market value of the removed facilities.</w:t>
      </w:r>
      <w:r w:rsidR="00C94814">
        <w:rPr>
          <w:rStyle w:val="FootnoteReference"/>
        </w:rPr>
        <w:footnoteReference w:id="10"/>
      </w:r>
      <w:r w:rsidR="00C94814" w:rsidRPr="00654C8D">
        <w:rPr>
          <w:vertAlign w:val="superscript"/>
        </w:rPr>
        <w:t>/</w:t>
      </w:r>
      <w:r w:rsidR="00C94814">
        <w:t xml:space="preserve">  Notwithstanding, the Company does suggests that it would cost $94,500 to construct new underground facilities.</w:t>
      </w:r>
      <w:r w:rsidR="00C94814">
        <w:rPr>
          <w:rStyle w:val="FootnoteReference"/>
        </w:rPr>
        <w:footnoteReference w:id="11"/>
      </w:r>
      <w:r w:rsidR="00C94814" w:rsidRPr="00654C8D">
        <w:rPr>
          <w:vertAlign w:val="superscript"/>
        </w:rPr>
        <w:t>/</w:t>
      </w:r>
      <w:r w:rsidR="00C94814">
        <w:t xml:space="preserve">  </w:t>
      </w:r>
    </w:p>
    <w:p w:rsidR="00841B6A" w:rsidRDefault="00C94814" w:rsidP="00654C8D">
      <w:pPr>
        <w:pStyle w:val="Q"/>
      </w:pPr>
      <w:r>
        <w:t xml:space="preserve">Q. </w:t>
      </w:r>
      <w:r>
        <w:tab/>
        <w:t>DO YOU AGREE THAT IT WOULD COST $94,500 TO RECONSTRUCT THE UNDERGROUND FACILITIES ON THE CLUB PROPERTY?</w:t>
      </w:r>
    </w:p>
    <w:p w:rsidR="00841B6A" w:rsidRDefault="00C94814">
      <w:pPr>
        <w:pStyle w:val="A"/>
      </w:pPr>
      <w:r>
        <w:t>A.</w:t>
      </w:r>
      <w:r>
        <w:tab/>
        <w:t xml:space="preserve">No.  The Company’s reference to the new construction cost does not </w:t>
      </w:r>
      <w:r w:rsidR="009C3617">
        <w:t xml:space="preserve">relate to nor </w:t>
      </w:r>
      <w:r>
        <w:t xml:space="preserve">account for the age of the facilities that </w:t>
      </w:r>
      <w:r w:rsidR="005818F6">
        <w:t>would be transferred.  A twenty-year-</w:t>
      </w:r>
      <w:r>
        <w:t>old transformer, for example, is less valuable than a brand new tr</w:t>
      </w:r>
      <w:r w:rsidR="005818F6">
        <w:t>ansformer.  Similarly, a twenty-year-</w:t>
      </w:r>
      <w:r>
        <w:t xml:space="preserve">old conduit and conductor </w:t>
      </w:r>
      <w:r w:rsidR="005818F6">
        <w:t>are</w:t>
      </w:r>
      <w:r>
        <w:t xml:space="preserve"> also less valuable than a brand new conduit and conductor.  None of the valuations presented by the Company, other than net book value, properly account for the age of the facilities to be transferred. </w:t>
      </w:r>
    </w:p>
    <w:p w:rsidR="00841B6A" w:rsidRDefault="00C94814">
      <w:pPr>
        <w:pStyle w:val="Q"/>
      </w:pPr>
      <w:r>
        <w:lastRenderedPageBreak/>
        <w:t>Q.</w:t>
      </w:r>
      <w:r>
        <w:tab/>
        <w:t xml:space="preserve">IS FAIR VALUE REFLECTED IN THE NET REMOVAL TARIFF? </w:t>
      </w:r>
    </w:p>
    <w:p w:rsidR="00841B6A" w:rsidRDefault="00C94814">
      <w:pPr>
        <w:pStyle w:val="A"/>
      </w:pPr>
      <w:r>
        <w:t xml:space="preserve">A.  </w:t>
      </w:r>
      <w:r>
        <w:tab/>
        <w:t xml:space="preserve">Yes.  As detailed in Table 1 of Exh. No.___(BGM-1T), the terms of the Net Removal Tariff require the Company to credit the “salvage value” of the removed facilities against the Net Removal Tariff </w:t>
      </w:r>
      <w:r w:rsidR="008A2A06">
        <w:t>c</w:t>
      </w:r>
      <w:r>
        <w:t>harge.  Salvage value, as it is commonly defined, represent</w:t>
      </w:r>
      <w:r w:rsidR="008A2A06">
        <w:t>s</w:t>
      </w:r>
      <w:r>
        <w:t xml:space="preserve"> the value of reselling or reusing an asset at the end of its useful life.  Thus, for purposes of the Net Removal Tariff, the salvage value, by definition, is equivalent to the market value of the removed facilities at the time that they are taken out of service, after considering both age and condition.</w:t>
      </w:r>
    </w:p>
    <w:p w:rsidR="00841B6A" w:rsidRDefault="00C94814">
      <w:pPr>
        <w:pStyle w:val="Q"/>
      </w:pPr>
      <w:r>
        <w:t>Q.</w:t>
      </w:r>
      <w:r>
        <w:tab/>
        <w:t xml:space="preserve">WHAT VALUE DID THE COMPANY ORIGINALLY ASSIGN TO THE FACILITIES? </w:t>
      </w:r>
    </w:p>
    <w:p w:rsidR="00841B6A" w:rsidRDefault="00C94814">
      <w:pPr>
        <w:pStyle w:val="A"/>
      </w:pPr>
      <w:r>
        <w:t>A.</w:t>
      </w:r>
      <w:r>
        <w:tab/>
        <w:t xml:space="preserve">The Company’s initial Net Removal Tariff </w:t>
      </w:r>
      <w:r w:rsidR="008A2A06">
        <w:t>c</w:t>
      </w:r>
      <w:r>
        <w:t xml:space="preserve">harge calculations assumed that the salvage value of the facilities located </w:t>
      </w:r>
      <w:r w:rsidR="0072749D">
        <w:t>on the Club property was only $</w:t>
      </w:r>
      <w:r w:rsidRPr="00B5652A">
        <w:t>1,7</w:t>
      </w:r>
      <w:r w:rsidR="008A2A06">
        <w:t>9</w:t>
      </w:r>
      <w:r w:rsidR="0072749D">
        <w:t>2</w:t>
      </w:r>
      <w:r w:rsidRPr="00B5652A">
        <w:t>,</w:t>
      </w:r>
      <w:r w:rsidR="005818F6">
        <w:rPr>
          <w:rStyle w:val="FootnoteReference"/>
        </w:rPr>
        <w:footnoteReference w:id="12"/>
      </w:r>
      <w:r w:rsidR="007D028B" w:rsidRPr="007D028B">
        <w:rPr>
          <w:vertAlign w:val="superscript"/>
        </w:rPr>
        <w:t>/</w:t>
      </w:r>
      <w:r>
        <w:t xml:space="preserve"> an amount that is nearly immate</w:t>
      </w:r>
      <w:r w:rsidR="00470448">
        <w:t>rial relative to the most recent</w:t>
      </w:r>
      <w:r>
        <w:t xml:space="preserve"> net book value calculation of $24,049.</w:t>
      </w:r>
      <w:r>
        <w:rPr>
          <w:rStyle w:val="FootnoteReference"/>
        </w:rPr>
        <w:footnoteReference w:id="13"/>
      </w:r>
      <w:r w:rsidRPr="00654C8D">
        <w:rPr>
          <w:vertAlign w:val="superscript"/>
        </w:rPr>
        <w:t>/</w:t>
      </w:r>
      <w:r>
        <w:t xml:space="preserve"> This valuation is in sharp contrast to the Company’s claims in Direct Testimony that the facilities should be valued at an amount above net book value.  It also demonstrated that the Club, in </w:t>
      </w:r>
      <w:r w:rsidR="008A2A06">
        <w:t xml:space="preserve">offering to </w:t>
      </w:r>
      <w:r>
        <w:t xml:space="preserve">pay the full net book value, </w:t>
      </w:r>
      <w:r w:rsidR="008A2A06">
        <w:t>would</w:t>
      </w:r>
      <w:r>
        <w:t xml:space="preserve"> more than compensat</w:t>
      </w:r>
      <w:r w:rsidR="008A2A06">
        <w:t>e</w:t>
      </w:r>
      <w:r>
        <w:t xml:space="preserve"> the Company for the fair value of the facilities.   </w:t>
      </w:r>
    </w:p>
    <w:p w:rsidR="00841B6A" w:rsidRDefault="00C94814" w:rsidP="00654C8D">
      <w:pPr>
        <w:pStyle w:val="Q"/>
      </w:pPr>
      <w:r>
        <w:lastRenderedPageBreak/>
        <w:t>Q.</w:t>
      </w:r>
      <w:r>
        <w:tab/>
        <w:t>DO YOU AGREE WITH HOW THE COMPANY HAS CHARACTERIZED SALVAGE VALUE IN ITS DIRECT TESTIMONY?</w:t>
      </w:r>
    </w:p>
    <w:p w:rsidR="00841B6A" w:rsidRDefault="00C94814">
      <w:pPr>
        <w:pStyle w:val="A"/>
      </w:pPr>
      <w:r>
        <w:t>A.</w:t>
      </w:r>
      <w:r>
        <w:tab/>
        <w:t xml:space="preserve">No.  </w:t>
      </w:r>
      <w:r w:rsidR="008A2A06">
        <w:t>T</w:t>
      </w:r>
      <w:r>
        <w:t>he Company suggests that the Net Removal Tariff charge calculation only includes a salvage value if the facilities can be reused in their current condition.</w:t>
      </w:r>
      <w:r w:rsidR="003E11CA">
        <w:rPr>
          <w:rStyle w:val="FootnoteReference"/>
        </w:rPr>
        <w:footnoteReference w:id="14"/>
      </w:r>
      <w:r w:rsidR="003E11CA" w:rsidRPr="003E7EE9">
        <w:rPr>
          <w:vertAlign w:val="superscript"/>
        </w:rPr>
        <w:t>/</w:t>
      </w:r>
      <w:r>
        <w:t xml:space="preserve">  I disagree with this characterization of salvage value, as it is not consistent with any accounting definition of salvage value that I am aware of.  As noted</w:t>
      </w:r>
      <w:r w:rsidR="003E11CA">
        <w:t>,</w:t>
      </w:r>
      <w:r>
        <w:t xml:space="preserve"> salvage value is defined as the value of selling, or the market value, of an asset at the time it is removed from service, even if the asset cannot be used by the Company in </w:t>
      </w:r>
      <w:r w:rsidR="007D028B">
        <w:t>its</w:t>
      </w:r>
      <w:r>
        <w:t xml:space="preserve"> current condition.  For example, even if a conductor cannot be reused by the Company in its current condition, it still may have value as scrap, depending on the market conditions for scrap metal. </w:t>
      </w:r>
    </w:p>
    <w:p w:rsidR="00841B6A" w:rsidRDefault="00C94814" w:rsidP="00654C8D">
      <w:pPr>
        <w:pStyle w:val="Q"/>
      </w:pPr>
      <w:r>
        <w:t>Q.</w:t>
      </w:r>
      <w:r>
        <w:tab/>
        <w:t>HOW SHOULD THE SALVAGE VALUE BE CALCULATED IF FACILITIES ARE ACTUALLY SOLD?</w:t>
      </w:r>
    </w:p>
    <w:p w:rsidR="00841B6A" w:rsidRDefault="00C94814">
      <w:pPr>
        <w:pStyle w:val="A"/>
      </w:pPr>
      <w:r>
        <w:t>A.</w:t>
      </w:r>
      <w:r>
        <w:tab/>
        <w:t>The design of the Net Removal Tariff formula, which deducts salvage value from net book value, protects the Company against recognition of a book loss on assets that are removed pursuant to a request for permanent disconnection</w:t>
      </w:r>
      <w:r w:rsidR="00896364">
        <w:t xml:space="preserve"> under Rule 6</w:t>
      </w:r>
      <w:r>
        <w:t>.  Absent any compensation under the Net Removal Tarif</w:t>
      </w:r>
      <w:r w:rsidR="00D970CD">
        <w:t>f</w:t>
      </w:r>
      <w:r>
        <w:t xml:space="preserve">, the </w:t>
      </w:r>
      <w:r w:rsidR="00D970CD">
        <w:t>C</w:t>
      </w:r>
      <w:r>
        <w:t xml:space="preserve">ompany would recognize a net loss on the removed assets equal to net book value minus salvage value.  The formula, however, also restricts the Company from recognizing any book gains on the removed assets as well. </w:t>
      </w:r>
      <w:r w:rsidR="00D970CD">
        <w:t xml:space="preserve"> </w:t>
      </w:r>
      <w:r>
        <w:t xml:space="preserve">To the extent that the salvage value exceeds net book value in the Net Removal Tariff calculation, the resulting book gain </w:t>
      </w:r>
      <w:r w:rsidR="00D970CD">
        <w:t>should be</w:t>
      </w:r>
      <w:r>
        <w:t xml:space="preserve"> credited back to the departing customer pursuant to the terms of the tariff.  </w:t>
      </w:r>
    </w:p>
    <w:p w:rsidR="00841B6A" w:rsidRDefault="00C94814" w:rsidP="00654C8D">
      <w:pPr>
        <w:pStyle w:val="A"/>
        <w:ind w:firstLine="720"/>
      </w:pPr>
      <w:r>
        <w:lastRenderedPageBreak/>
        <w:t xml:space="preserve">Provided that the facilities are actually sold—whether it be to the departing customer, a scrap metal recycler, or some other third party—the salvage value should be equal to the actual sales price of the facilities.  Thus, any amount paid by the departing customer to acquire the removed facilities must be credited back to the departing customer as salvage value in the Net Removal Tariff charge calculation.  The net result is that the departing customer should never pay any more or less than the net book value as a result of the Net Removal Tariff charge.  </w:t>
      </w:r>
    </w:p>
    <w:p w:rsidR="00841B6A" w:rsidRDefault="00C94814" w:rsidP="00654C8D">
      <w:pPr>
        <w:pStyle w:val="A"/>
        <w:ind w:firstLine="720"/>
      </w:pPr>
      <w:r>
        <w:t xml:space="preserve">Table </w:t>
      </w:r>
      <w:r w:rsidR="00BD6776">
        <w:t>3</w:t>
      </w:r>
      <w:r>
        <w:t xml:space="preserve">, below, provides an illustration </w:t>
      </w:r>
      <w:r w:rsidR="00D970CD">
        <w:t xml:space="preserve">of </w:t>
      </w:r>
      <w:r>
        <w:t xml:space="preserve">how the sale of the facilities to the departing customer would impact the amount ultimately paid by the departing customer under the Net Removal Tariff. </w:t>
      </w:r>
    </w:p>
    <w:p w:rsidR="00841B6A" w:rsidRDefault="00C94814" w:rsidP="00654C8D">
      <w:pPr>
        <w:pStyle w:val="fig1head"/>
      </w:pPr>
      <w:r>
        <w:t xml:space="preserve">Table </w:t>
      </w:r>
      <w:r w:rsidR="00BD6776">
        <w:t>3</w:t>
      </w:r>
    </w:p>
    <w:p w:rsidR="00841B6A" w:rsidRDefault="00C94814" w:rsidP="00654C8D">
      <w:pPr>
        <w:pStyle w:val="fig2head"/>
      </w:pPr>
      <w:r>
        <w:t>Impact of Transfer Price on Net Removal Tariff Charge Calculation</w:t>
      </w:r>
    </w:p>
    <w:p w:rsidR="00841B6A" w:rsidRDefault="00C94814" w:rsidP="00654C8D">
      <w:pPr>
        <w:pStyle w:val="fig3fig"/>
      </w:pPr>
      <w:r>
        <w:rPr>
          <w:noProof/>
        </w:rPr>
        <w:drawing>
          <wp:inline distT="0" distB="0" distL="0" distR="0" wp14:anchorId="158DDBFC" wp14:editId="7E3D13B2">
            <wp:extent cx="521017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1914525"/>
                    </a:xfrm>
                    <a:prstGeom prst="rect">
                      <a:avLst/>
                    </a:prstGeom>
                    <a:noFill/>
                    <a:ln>
                      <a:noFill/>
                    </a:ln>
                  </pic:spPr>
                </pic:pic>
              </a:graphicData>
            </a:graphic>
          </wp:inline>
        </w:drawing>
      </w:r>
    </w:p>
    <w:p w:rsidR="00841B6A" w:rsidRDefault="00C94814" w:rsidP="00654C8D">
      <w:pPr>
        <w:pStyle w:val="Q"/>
      </w:pPr>
      <w:r>
        <w:t>Q</w:t>
      </w:r>
      <w:r>
        <w:tab/>
        <w:t xml:space="preserve">PLEASE PROVIDE AN OVERVIEW OF TABLE </w:t>
      </w:r>
      <w:r w:rsidR="00BD6776">
        <w:t>3</w:t>
      </w:r>
      <w:r>
        <w:t>.</w:t>
      </w:r>
    </w:p>
    <w:p w:rsidR="00841B6A" w:rsidRDefault="00C94814">
      <w:pPr>
        <w:pStyle w:val="A"/>
      </w:pPr>
      <w:r>
        <w:t>A.</w:t>
      </w:r>
      <w:r>
        <w:tab/>
        <w:t xml:space="preserve">Table </w:t>
      </w:r>
      <w:r w:rsidR="00BD6776">
        <w:t>3</w:t>
      </w:r>
      <w:r w:rsidR="007E762A">
        <w:t xml:space="preserve"> is an illustration of</w:t>
      </w:r>
      <w:r>
        <w:t xml:space="preserve"> how the amount paid by the departing customer to acquire the removed facilities impacts the Net Removal Tariff charge calculation.  As discussed above, the salvage value represents the sales price to the departing customer.   </w:t>
      </w:r>
    </w:p>
    <w:p w:rsidR="00841B6A" w:rsidRDefault="00C94814" w:rsidP="00654C8D">
      <w:pPr>
        <w:pStyle w:val="A"/>
        <w:ind w:firstLine="720"/>
      </w:pPr>
      <w:r>
        <w:lastRenderedPageBreak/>
        <w:t xml:space="preserve">Assuming that the facilities are transferred at net book value (center column), there is no Net Removal Tariff charge, as the salvage value equals the net book value.  If the facilities were to be transferred for $50,000 (right column), the amount paid by the departing customer would be offset by a Net Removal Tariff refund of $25,951, resulting in a net payment of $24,049.  Similarly, if the facilities were to be transferred for only $10,000 (left column), the departing customer would have to pay an additional Net Removal Tariff charge of $14,049, resulting in a net payment of $24,049. </w:t>
      </w:r>
      <w:r w:rsidR="007E762A">
        <w:t xml:space="preserve"> </w:t>
      </w:r>
      <w:r>
        <w:t xml:space="preserve">Accordingly, regardless of what fair value is assigned to the facilities that are removed from service, the net amount paid by a customer pursuant to the Net Removal Tariff should never be more or less than net book value. </w:t>
      </w:r>
    </w:p>
    <w:p w:rsidR="00841B6A" w:rsidRDefault="00C94814" w:rsidP="00654C8D">
      <w:pPr>
        <w:pStyle w:val="Q"/>
      </w:pPr>
      <w:r>
        <w:t>Q.</w:t>
      </w:r>
      <w:r>
        <w:tab/>
        <w:t>PLEASE SUMMARIZE.</w:t>
      </w:r>
    </w:p>
    <w:p w:rsidR="00841B6A" w:rsidRDefault="00C94814">
      <w:pPr>
        <w:pStyle w:val="A"/>
      </w:pPr>
      <w:r>
        <w:t>A.</w:t>
      </w:r>
      <w:r>
        <w:tab/>
        <w:t xml:space="preserve">I disagree that the Club should be required to pay any more than net book value to acquire the facilities that will be removed from service pursuant to its request for permanent disconnection.  The Net Removal Tariff calculation should not permit the Company to recognize gains as a result of selling the facilities that are removed from service as a result of the Club’s request.  Because the Club is required under the terms of the Net Removal Tariff to take full cost responsibility over the facilities located on its property, it would be unfair to provide the Company with a gain on the facilities, as the full rate base of those is being paid for by the Club. </w:t>
      </w:r>
    </w:p>
    <w:p w:rsidR="00841B6A" w:rsidRPr="00654C8D" w:rsidRDefault="00C94814" w:rsidP="00654C8D">
      <w:pPr>
        <w:pStyle w:val="hdr"/>
      </w:pPr>
      <w:bookmarkStart w:id="8" w:name="_Toc427169089"/>
      <w:r>
        <w:lastRenderedPageBreak/>
        <w:t>Competition Issues</w:t>
      </w:r>
      <w:bookmarkEnd w:id="8"/>
    </w:p>
    <w:p w:rsidR="00841B6A" w:rsidRDefault="00C94814" w:rsidP="00654C8D">
      <w:pPr>
        <w:pStyle w:val="Q"/>
      </w:pPr>
      <w:r>
        <w:t>Q.</w:t>
      </w:r>
      <w:r>
        <w:tab/>
        <w:t>WILL SELLING THE FACILITIES PROVIDE AN UNFAIR ADVANTAGE TO THE CLUB’S NEW SERVICE PROVIDER?</w:t>
      </w:r>
    </w:p>
    <w:p w:rsidR="00841B6A" w:rsidRDefault="00C94814">
      <w:pPr>
        <w:pStyle w:val="A"/>
      </w:pPr>
      <w:r>
        <w:t>A.</w:t>
      </w:r>
      <w:r>
        <w:tab/>
        <w:t xml:space="preserve">No.  Certainly, the objective of </w:t>
      </w:r>
      <w:r w:rsidR="00BD7D9F">
        <w:t xml:space="preserve">Rule 6 is to </w:t>
      </w:r>
      <w:r>
        <w:t>effectuat</w:t>
      </w:r>
      <w:r w:rsidR="00BD7D9F">
        <w:t>e</w:t>
      </w:r>
      <w:r>
        <w:t xml:space="preserve"> a fair transfer price </w:t>
      </w:r>
      <w:r w:rsidR="00BD7D9F">
        <w:t>without regard to</w:t>
      </w:r>
      <w:r>
        <w:t xml:space="preserve"> the cost of interconnection with the new service provider.  Rather, the objective is motivated entirely by avoiding costly, invasive, and unnecessary deconstruction activities on Club property, including the golf course.   </w:t>
      </w:r>
    </w:p>
    <w:p w:rsidR="00841B6A" w:rsidRDefault="00C94814">
      <w:pPr>
        <w:pStyle w:val="Q"/>
      </w:pPr>
      <w:r>
        <w:t>Q.</w:t>
      </w:r>
      <w:r>
        <w:tab/>
        <w:t>ARE COMPETITIVE CONCERNS A VALID REASON TO REMOVE FACILITIES UNDER A REQUEST FOR PERMANENT DISCONNECTION?</w:t>
      </w:r>
    </w:p>
    <w:p w:rsidR="00841B6A" w:rsidRDefault="00C94814" w:rsidP="00654C8D">
      <w:pPr>
        <w:pStyle w:val="A"/>
      </w:pPr>
      <w:r>
        <w:t>A.</w:t>
      </w:r>
      <w:r>
        <w:tab/>
        <w:t xml:space="preserve">No. </w:t>
      </w:r>
      <w:r w:rsidR="00D970CD">
        <w:t xml:space="preserve"> </w:t>
      </w:r>
      <w:r>
        <w:t>The Company claims that, due to exclusive service areas in other states, it does not face “operational concerns related to customer requests for permanent disconnection arising from competition with other utilities for customers.”</w:t>
      </w:r>
      <w:r>
        <w:rPr>
          <w:rStyle w:val="FootnoteReference"/>
        </w:rPr>
        <w:footnoteReference w:id="15"/>
      </w:r>
      <w:r>
        <w:rPr>
          <w:vertAlign w:val="superscript"/>
        </w:rPr>
        <w:t>/</w:t>
      </w:r>
      <w:r>
        <w:t xml:space="preserve">  I disagree with the Company’s framing of competitive utility issues in Washington as “operational concerns” justifying a necessary facilities removal in relation to a permanent disconnection request.  When the Commission approved the Net Removal Tariff, the Company testified that “operational concerns” justifying facilities removal involved only the scenario in which the Company or its customers would otherwise have to “absorb” facilities costs.</w:t>
      </w:r>
      <w:r>
        <w:rPr>
          <w:rStyle w:val="FootnoteReference"/>
        </w:rPr>
        <w:footnoteReference w:id="16"/>
      </w:r>
      <w:r>
        <w:rPr>
          <w:vertAlign w:val="superscript"/>
        </w:rPr>
        <w:t>/</w:t>
      </w:r>
      <w:r>
        <w:t xml:space="preserve"> Suggesting that it is a valid operational concern to remove facilities in order to prevent competition is an improper interpretation of the Net Removal Tariff, </w:t>
      </w:r>
      <w:r w:rsidRPr="00654C8D">
        <w:t xml:space="preserve">which, according to my understanding, was not </w:t>
      </w:r>
      <w:r>
        <w:t>established as a tool that would allow the Company to thwart competition from alternative utility providers.</w:t>
      </w:r>
    </w:p>
    <w:p w:rsidR="00841B6A" w:rsidRDefault="00C94814">
      <w:pPr>
        <w:pStyle w:val="Q"/>
      </w:pPr>
      <w:r>
        <w:lastRenderedPageBreak/>
        <w:t>Q.</w:t>
      </w:r>
      <w:r>
        <w:tab/>
        <w:t xml:space="preserve">DO “COMPETITIVE PRACTICES,” AS DESCRIBED BY THE COMPANY, SUPPORT ITS ALLEGED JUSTIFICATION FOR REMOVAL OF THE CLUB FACILITIES? </w:t>
      </w:r>
    </w:p>
    <w:p w:rsidR="00841B6A" w:rsidRDefault="00C94814">
      <w:pPr>
        <w:pStyle w:val="A"/>
      </w:pPr>
      <w:r>
        <w:t>A.</w:t>
      </w:r>
      <w:r>
        <w:tab/>
        <w:t>No.  The Company suggests that a “primary policy issue[] in this proceeding—</w:t>
      </w:r>
      <w:r w:rsidR="00D970CD">
        <w:t xml:space="preserve">[is] </w:t>
      </w:r>
      <w:r>
        <w:t xml:space="preserve">whether Columbia REA should enjoy a competitive advantage </w:t>
      </w:r>
      <w:r>
        <w:rPr>
          <w:i/>
        </w:rPr>
        <w:t>at the expense of remaining Pacific Power customers</w:t>
      </w:r>
      <w:r>
        <w:t>.”</w:t>
      </w:r>
      <w:r>
        <w:rPr>
          <w:rStyle w:val="FootnoteReference"/>
        </w:rPr>
        <w:footnoteReference w:id="17"/>
      </w:r>
      <w:r>
        <w:rPr>
          <w:vertAlign w:val="superscript"/>
        </w:rPr>
        <w:t>/</w:t>
      </w:r>
      <w:r>
        <w:t xml:space="preserve">  When asked to describe some of the competitive practices allegedly employed by Columbia REA, the Company explains that Columbia REA has used “media ads” and other means to offer “rates that are lower than Pacific Power’s authorized rates,” and to guarantee such lower rates for up to five years.</w:t>
      </w:r>
      <w:r>
        <w:rPr>
          <w:rStyle w:val="FootnoteReference"/>
        </w:rPr>
        <w:footnoteReference w:id="18"/>
      </w:r>
      <w:r>
        <w:rPr>
          <w:vertAlign w:val="superscript"/>
        </w:rPr>
        <w:t xml:space="preserve">/ </w:t>
      </w:r>
      <w:r>
        <w:t xml:space="preserve"> In other words, the Company is suggesting that the provision in the Net Removal Tariff </w:t>
      </w:r>
      <w:r w:rsidR="00D970CD">
        <w:t xml:space="preserve">for </w:t>
      </w:r>
      <w:r>
        <w:t xml:space="preserve">removal of facilities should be used to address its “operational concerns” of competitors publicly offering guaranteed lower electric service rates.  Other than making it cost prohibitive for the </w:t>
      </w:r>
      <w:r w:rsidR="00D970CD">
        <w:t>C</w:t>
      </w:r>
      <w:r>
        <w:t>lub to switch to a local service provider, removing the facilities located on the Club property will produce no operational benefit to the Company’s rem</w:t>
      </w:r>
      <w:r w:rsidR="00D970CD">
        <w:t>ain</w:t>
      </w:r>
      <w:r w:rsidR="00112BA8">
        <w:t>ing customers.</w:t>
      </w:r>
      <w:r>
        <w:t xml:space="preserve">  Accordingly, I disagree that competition is a valid operational concern for the Company </w:t>
      </w:r>
      <w:r w:rsidR="007E762A">
        <w:t xml:space="preserve">to </w:t>
      </w:r>
      <w:r>
        <w:t xml:space="preserve">require the removal of facilities in question, pursuant to the Net Removal Tariff.  </w:t>
      </w:r>
    </w:p>
    <w:p w:rsidR="00841B6A" w:rsidRDefault="00C94814">
      <w:pPr>
        <w:pStyle w:val="hdr"/>
      </w:pPr>
      <w:bookmarkStart w:id="9" w:name="_Toc427151269"/>
      <w:bookmarkStart w:id="10" w:name="_Toc427151270"/>
      <w:bookmarkStart w:id="11" w:name="_Toc427169090"/>
      <w:bookmarkStart w:id="12" w:name="_Toc427151271"/>
      <w:bookmarkStart w:id="13" w:name="_Toc427169091"/>
      <w:bookmarkStart w:id="14" w:name="_Toc427151272"/>
      <w:bookmarkStart w:id="15" w:name="_Toc427169092"/>
      <w:bookmarkStart w:id="16" w:name="_Toc427151273"/>
      <w:bookmarkStart w:id="17" w:name="_Toc427169093"/>
      <w:bookmarkStart w:id="18" w:name="_Toc427169094"/>
      <w:bookmarkEnd w:id="9"/>
      <w:bookmarkEnd w:id="10"/>
      <w:bookmarkEnd w:id="11"/>
      <w:bookmarkEnd w:id="12"/>
      <w:bookmarkEnd w:id="13"/>
      <w:bookmarkEnd w:id="14"/>
      <w:bookmarkEnd w:id="15"/>
      <w:bookmarkEnd w:id="16"/>
      <w:bookmarkEnd w:id="17"/>
      <w:r>
        <w:t>Conclusion</w:t>
      </w:r>
      <w:bookmarkEnd w:id="18"/>
    </w:p>
    <w:p w:rsidR="00841B6A" w:rsidRDefault="00C94814">
      <w:pPr>
        <w:pStyle w:val="Q"/>
      </w:pPr>
      <w:r>
        <w:t>Q.</w:t>
      </w:r>
      <w:r>
        <w:tab/>
        <w:t>PLEASE SUMMARIZE YOUR RECOMMENDATIONS.</w:t>
      </w:r>
    </w:p>
    <w:p w:rsidR="00841B6A" w:rsidRDefault="00C94814">
      <w:pPr>
        <w:pStyle w:val="A"/>
        <w:rPr>
          <w:szCs w:val="24"/>
        </w:rPr>
      </w:pPr>
      <w:r>
        <w:t>A.</w:t>
      </w:r>
      <w:r>
        <w:tab/>
        <w:t xml:space="preserve">The Commission should reject the Company’s claim that competitive practices constitute an “operational concern” that would mandate removal of facilities located on the Club property under the terms of </w:t>
      </w:r>
      <w:r w:rsidR="00112BA8">
        <w:t xml:space="preserve">the </w:t>
      </w:r>
      <w:r>
        <w:t>Net Removal Tariff</w:t>
      </w:r>
      <w:r>
        <w:rPr>
          <w:szCs w:val="24"/>
        </w:rPr>
        <w:t xml:space="preserve">.  The Company has advanced no </w:t>
      </w:r>
      <w:r>
        <w:rPr>
          <w:szCs w:val="24"/>
        </w:rPr>
        <w:lastRenderedPageBreak/>
        <w:t xml:space="preserve">evidence that the Commission approved the Net Removal Tariff on such a basis.  In addition, the competitive practices of Columbia REA are not at issue in this proceeding, which concerns the application of the existing Net Removal Tariff </w:t>
      </w:r>
      <w:r w:rsidR="00A362EC">
        <w:rPr>
          <w:szCs w:val="24"/>
        </w:rPr>
        <w:t xml:space="preserve">(Rule 6) </w:t>
      </w:r>
      <w:r>
        <w:rPr>
          <w:szCs w:val="24"/>
        </w:rPr>
        <w:t xml:space="preserve">to the Club’s request for permanent disconnection. </w:t>
      </w:r>
    </w:p>
    <w:p w:rsidR="00841B6A" w:rsidRDefault="00C94814">
      <w:pPr>
        <w:pStyle w:val="A"/>
        <w:ind w:firstLine="720"/>
        <w:rPr>
          <w:szCs w:val="24"/>
        </w:rPr>
      </w:pPr>
      <w:r>
        <w:rPr>
          <w:szCs w:val="24"/>
        </w:rPr>
        <w:t xml:space="preserve">In this case, it is in the public interest to require the facilities located on the Club property to be transferred at net book value.  The Company’s existing ratepayers will be no better off if the facilities are removed through the costly, invasive, and unnecessary deconstruction activities proposed by the Company.  </w:t>
      </w:r>
    </w:p>
    <w:p w:rsidR="00841B6A" w:rsidRDefault="00C94814">
      <w:pPr>
        <w:pStyle w:val="A"/>
        <w:ind w:firstLine="720"/>
        <w:rPr>
          <w:szCs w:val="24"/>
        </w:rPr>
      </w:pPr>
      <w:r>
        <w:rPr>
          <w:szCs w:val="24"/>
        </w:rPr>
        <w:t>Finally, the Company</w:t>
      </w:r>
      <w:r w:rsidR="007E762A">
        <w:rPr>
          <w:szCs w:val="24"/>
        </w:rPr>
        <w:t>’s</w:t>
      </w:r>
      <w:r>
        <w:rPr>
          <w:szCs w:val="24"/>
        </w:rPr>
        <w:t xml:space="preserve"> discussion of additional stranded costs is entirely irrelevant to the application of the exi</w:t>
      </w:r>
      <w:r w:rsidR="007E762A">
        <w:rPr>
          <w:szCs w:val="24"/>
        </w:rPr>
        <w:t>sting Net Removal Tariff, and</w:t>
      </w:r>
      <w:r>
        <w:rPr>
          <w:szCs w:val="24"/>
        </w:rPr>
        <w:t xml:space="preserve"> should </w:t>
      </w:r>
      <w:r w:rsidR="007E762A">
        <w:rPr>
          <w:szCs w:val="24"/>
        </w:rPr>
        <w:t xml:space="preserve">therefore </w:t>
      </w:r>
      <w:r>
        <w:rPr>
          <w:szCs w:val="24"/>
        </w:rPr>
        <w:t xml:space="preserve">be disregarded.  </w:t>
      </w:r>
    </w:p>
    <w:p w:rsidR="00841B6A" w:rsidRDefault="00C94814">
      <w:pPr>
        <w:pStyle w:val="Q"/>
      </w:pPr>
      <w:r>
        <w:t>Q.</w:t>
      </w:r>
      <w:r>
        <w:tab/>
        <w:t>DOES THIS CONCLUDE YOUR TESTIMONY?</w:t>
      </w:r>
    </w:p>
    <w:p w:rsidR="00841B6A" w:rsidRDefault="00C94814">
      <w:pPr>
        <w:pStyle w:val="A"/>
        <w:rPr>
          <w:szCs w:val="24"/>
        </w:rPr>
      </w:pPr>
      <w:r>
        <w:rPr>
          <w:szCs w:val="24"/>
        </w:rPr>
        <w:t>A.</w:t>
      </w:r>
      <w:r>
        <w:rPr>
          <w:szCs w:val="24"/>
        </w:rPr>
        <w:tab/>
        <w:t>Yes.</w:t>
      </w:r>
    </w:p>
    <w:sectPr w:rsidR="00841B6A" w:rsidSect="007D028B">
      <w:footerReference w:type="default" r:id="rId18"/>
      <w:pgSz w:w="12240" w:h="15840"/>
      <w:pgMar w:top="1440" w:right="1440" w:bottom="225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6A" w:rsidRDefault="00C94814">
      <w:pPr>
        <w:spacing w:line="240" w:lineRule="auto"/>
      </w:pPr>
      <w:r>
        <w:separator/>
      </w:r>
    </w:p>
  </w:endnote>
  <w:endnote w:type="continuationSeparator" w:id="0">
    <w:p w:rsidR="00841B6A" w:rsidRDefault="00C94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B6A" w:rsidRDefault="00841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tabs>
        <w:tab w:val="center" w:pos="4320"/>
        <w:tab w:val="right" w:pos="8640"/>
      </w:tabs>
      <w:rPr>
        <w:szCs w:val="24"/>
      </w:rPr>
    </w:pPr>
  </w:p>
  <w:p w:rsidR="00841B6A" w:rsidRDefault="00841B6A">
    <w:pPr>
      <w:tabs>
        <w:tab w:val="center" w:pos="4320"/>
        <w:tab w:val="right" w:pos="8640"/>
      </w:tabs>
      <w:rPr>
        <w:szCs w:val="24"/>
      </w:rPr>
    </w:pPr>
  </w:p>
  <w:p w:rsidR="00841B6A" w:rsidRDefault="00841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Footer"/>
      <w:tabs>
        <w:tab w:val="right" w:pos="8730"/>
      </w:tabs>
      <w:ind w:left="-634" w:right="-90"/>
      <w:rPr>
        <w:b/>
        <w:sz w:val="20"/>
        <w:u w:val="single"/>
      </w:rPr>
    </w:pPr>
    <w:r>
      <w:rPr>
        <w:b/>
        <w:sz w:val="20"/>
        <w:u w:val="single"/>
      </w:rPr>
      <w:t>____________________________________________________________________________________________</w:t>
    </w:r>
  </w:p>
  <w:p w:rsidR="00841B6A" w:rsidRDefault="00841B6A">
    <w:pPr>
      <w:pStyle w:val="Footer"/>
      <w:ind w:left="-630" w:hanging="4"/>
      <w:rPr>
        <w:sz w:val="10"/>
        <w:szCs w:val="10"/>
      </w:rPr>
    </w:pPr>
  </w:p>
  <w:p w:rsidR="00841B6A" w:rsidRDefault="00C94814">
    <w:pPr>
      <w:pStyle w:val="Footer"/>
      <w:ind w:left="-630" w:hanging="4"/>
    </w:pPr>
    <w:r>
      <w:t>Prefiled Direct Testimony of</w:t>
    </w:r>
    <w:r>
      <w:tab/>
      <w:t>Exhibit No. ___(EMM-1CT)</w:t>
    </w:r>
  </w:p>
  <w:p w:rsidR="00841B6A" w:rsidRDefault="00C94814">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pStyle w:val="Footer"/>
      <w:jc w:val="right"/>
    </w:pPr>
  </w:p>
  <w:p w:rsidR="00841B6A" w:rsidRDefault="00C94814">
    <w:pPr>
      <w:pStyle w:val="Footer"/>
      <w:tabs>
        <w:tab w:val="right" w:pos="9334"/>
      </w:tabs>
    </w:pPr>
    <w:r>
      <w:t xml:space="preserve">Rebuttal Testimony of Bradley G. Mullins       </w:t>
    </w:r>
    <w:r>
      <w:tab/>
      <w:t>Exhibit No.__(BGM-6T)</w:t>
    </w:r>
  </w:p>
  <w:p w:rsidR="00841B6A" w:rsidRDefault="00C94814">
    <w:pPr>
      <w:pStyle w:val="Footer"/>
      <w:tabs>
        <w:tab w:val="right" w:pos="9334"/>
      </w:tabs>
      <w:rPr>
        <w:szCs w:val="24"/>
      </w:rPr>
    </w:pPr>
    <w:r>
      <w:rPr>
        <w:szCs w:val="24"/>
      </w:rPr>
      <w:t xml:space="preserve">Docket </w:t>
    </w:r>
    <w:r>
      <w:rPr>
        <w:smallCaps/>
      </w:rPr>
      <w:t>UE-143932</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F87564">
      <w:rPr>
        <w:rStyle w:val="PageNumber"/>
        <w:noProof/>
      </w:rPr>
      <w:t>i</w:t>
    </w:r>
    <w:r>
      <w:rPr>
        <w:rStyle w:val="PageNumber"/>
      </w:rPr>
      <w:fldChar w:fldCharType="end"/>
    </w:r>
  </w:p>
  <w:p w:rsidR="00841B6A" w:rsidRDefault="00841B6A">
    <w:pPr>
      <w:pStyle w:val="Foote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pStyle w:val="Footer"/>
      <w:jc w:val="right"/>
    </w:pPr>
  </w:p>
  <w:p w:rsidR="00841B6A" w:rsidRDefault="00C94814">
    <w:pPr>
      <w:pStyle w:val="Footer"/>
      <w:tabs>
        <w:tab w:val="right" w:pos="9334"/>
      </w:tabs>
      <w:spacing w:line="240" w:lineRule="auto"/>
    </w:pPr>
    <w:r>
      <w:t>Rebuttal Testimony of Bradley G. Mullins</w:t>
    </w:r>
    <w:r>
      <w:tab/>
    </w:r>
    <w:r>
      <w:tab/>
      <w:t>Exhibit No.__(BGM-6T)</w:t>
    </w:r>
  </w:p>
  <w:p w:rsidR="00841B6A" w:rsidRDefault="00C94814">
    <w:pPr>
      <w:pStyle w:val="Footer"/>
      <w:tabs>
        <w:tab w:val="right" w:pos="9334"/>
      </w:tabs>
      <w:spacing w:line="240" w:lineRule="auto"/>
    </w:pPr>
    <w:r>
      <w:rPr>
        <w:szCs w:val="24"/>
      </w:rPr>
      <w:t xml:space="preserve">Docket </w:t>
    </w:r>
    <w:r>
      <w:rPr>
        <w:smallCaps/>
      </w:rPr>
      <w:t xml:space="preserve">UE-143932 </w:t>
    </w: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F87564">
      <w:rPr>
        <w:rStyle w:val="PageNumber"/>
        <w:noProof/>
      </w:rPr>
      <w:t>3</w:t>
    </w:r>
    <w:r>
      <w:rPr>
        <w:rStyle w:val="PageNumber"/>
      </w:rPr>
      <w:fldChar w:fldCharType="end"/>
    </w:r>
  </w:p>
  <w:p w:rsidR="00841B6A" w:rsidRDefault="00841B6A">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6A" w:rsidRDefault="00C94814">
      <w:pPr>
        <w:spacing w:line="240" w:lineRule="auto"/>
      </w:pPr>
      <w:r>
        <w:separator/>
      </w:r>
    </w:p>
  </w:footnote>
  <w:footnote w:type="continuationSeparator" w:id="0">
    <w:p w:rsidR="00841B6A" w:rsidRDefault="00C94814">
      <w:pPr>
        <w:spacing w:line="240" w:lineRule="auto"/>
      </w:pPr>
      <w:r>
        <w:continuationSeparator/>
      </w:r>
    </w:p>
  </w:footnote>
  <w:footnote w:id="1">
    <w:p w:rsidR="00400DAC" w:rsidRDefault="00400DAC">
      <w:pPr>
        <w:pStyle w:val="FootnoteText"/>
      </w:pPr>
      <w:r>
        <w:rPr>
          <w:rStyle w:val="FootnoteReference"/>
        </w:rPr>
        <w:footnoteRef/>
      </w:r>
      <w:r>
        <w:rPr>
          <w:vertAlign w:val="superscript"/>
        </w:rPr>
        <w:t>/</w:t>
      </w:r>
      <w:r>
        <w:tab/>
        <w:t xml:space="preserve">The Company explains that it began including net book value in cost calculations related to the Net </w:t>
      </w:r>
      <w:r w:rsidR="005818F6">
        <w:t>R</w:t>
      </w:r>
      <w:r>
        <w:t xml:space="preserve">emoval </w:t>
      </w:r>
      <w:r w:rsidR="005818F6">
        <w:t>T</w:t>
      </w:r>
      <w:r>
        <w:t xml:space="preserve">ariff in late 2012.  Exh. No.___(RBD-1T) at 18:18-19.  My testimony does not contain any legal conclusions as to the ultimate propriety of the Company’s practice of progressively interpreting the Net Removal Tariff, or as to the tariff’s application to the sale and transfer of facilities absent removal.  My testimony addresses issues of fair valuation under the Company’s </w:t>
      </w:r>
      <w:r w:rsidR="004B7E46">
        <w:t>application of the Net Removal T</w:t>
      </w:r>
      <w:r>
        <w:t>ariff.</w:t>
      </w:r>
    </w:p>
  </w:footnote>
  <w:footnote w:id="2">
    <w:p w:rsidR="00391D09" w:rsidRDefault="00391D09" w:rsidP="00391D09">
      <w:pPr>
        <w:pStyle w:val="FootnoteText"/>
      </w:pPr>
      <w:r>
        <w:rPr>
          <w:rStyle w:val="FootnoteReference"/>
        </w:rPr>
        <w:footnoteRef/>
      </w:r>
      <w:r w:rsidRPr="00391D09">
        <w:rPr>
          <w:vertAlign w:val="superscript"/>
        </w:rPr>
        <w:t>/</w:t>
      </w:r>
      <w:r>
        <w:t xml:space="preserve"> </w:t>
      </w:r>
      <w:r>
        <w:tab/>
        <w:t>Complaint of the Walla Walla Country Club (“Complaint”), Exh. D.</w:t>
      </w:r>
    </w:p>
  </w:footnote>
  <w:footnote w:id="3">
    <w:p w:rsidR="00841B6A" w:rsidRDefault="00C94814">
      <w:pPr>
        <w:pStyle w:val="FootnoteText"/>
      </w:pPr>
      <w:r>
        <w:rPr>
          <w:rStyle w:val="FootnoteReference"/>
        </w:rPr>
        <w:footnoteRef/>
      </w:r>
      <w:r>
        <w:rPr>
          <w:sz w:val="24"/>
          <w:vertAlign w:val="superscript"/>
        </w:rPr>
        <w:t>/</w:t>
      </w:r>
      <w:r>
        <w:tab/>
      </w:r>
      <w:r w:rsidR="00B5652A">
        <w:t xml:space="preserve">Exh. No.___(RBD-1T) at </w:t>
      </w:r>
      <w:r>
        <w:t>24:12-13.</w:t>
      </w:r>
    </w:p>
  </w:footnote>
  <w:footnote w:id="4">
    <w:p w:rsidR="00841B6A" w:rsidRDefault="00C94814">
      <w:pPr>
        <w:pStyle w:val="FootnoteText"/>
      </w:pPr>
      <w:r>
        <w:rPr>
          <w:rStyle w:val="FootnoteReference"/>
        </w:rPr>
        <w:footnoteRef/>
      </w:r>
      <w:r>
        <w:rPr>
          <w:sz w:val="24"/>
          <w:vertAlign w:val="superscript"/>
        </w:rPr>
        <w:t>/</w:t>
      </w:r>
      <w:r>
        <w:tab/>
      </w:r>
      <w:r>
        <w:rPr>
          <w:u w:val="single"/>
        </w:rPr>
        <w:t>Id.</w:t>
      </w:r>
      <w:r>
        <w:t xml:space="preserve"> at 25:15-16.</w:t>
      </w:r>
    </w:p>
  </w:footnote>
  <w:footnote w:id="5">
    <w:p w:rsidR="00E258BE" w:rsidRDefault="00E258BE" w:rsidP="00E258BE">
      <w:pPr>
        <w:pStyle w:val="FootnoteText"/>
      </w:pPr>
      <w:r>
        <w:rPr>
          <w:rStyle w:val="FootnoteReference"/>
        </w:rPr>
        <w:footnoteRef/>
      </w:r>
      <w:r w:rsidR="005818F6" w:rsidRPr="005818F6">
        <w:rPr>
          <w:vertAlign w:val="superscript"/>
        </w:rPr>
        <w:t>/</w:t>
      </w:r>
      <w:r w:rsidRPr="005818F6">
        <w:rPr>
          <w:vertAlign w:val="superscript"/>
        </w:rPr>
        <w:t xml:space="preserve"> </w:t>
      </w:r>
      <w:r>
        <w:tab/>
        <w:t>Exh. No.___(BGM-4C) (Company Response to Club Data Request (“DR”) 081, Exh. N).</w:t>
      </w:r>
      <w:r w:rsidR="00D773E5">
        <w:t xml:space="preserve">  </w:t>
      </w:r>
      <w:r w:rsidR="00D773E5" w:rsidRPr="00D773E5">
        <w:rPr>
          <w:u w:val="single"/>
        </w:rPr>
        <w:t>See also</w:t>
      </w:r>
      <w:r w:rsidR="00D773E5">
        <w:t xml:space="preserve"> Complaint, Exh. D (containing the original 2013 calculation for the same facilities); Exh. No__(BGM-8C) (Company Response to Club DR 090, Exh. O) (contrasting 2013 and 2015 net book value calculations)</w:t>
      </w:r>
      <w:r w:rsidR="00D647EA">
        <w:t xml:space="preserve"> (including a duplicate copy of Exh. O, enlarged over two pages to allow for easy reading)</w:t>
      </w:r>
      <w:r w:rsidR="00D773E5">
        <w:t>.</w:t>
      </w:r>
    </w:p>
  </w:footnote>
  <w:footnote w:id="6">
    <w:p w:rsidR="00B5652A" w:rsidRPr="00654C8D" w:rsidRDefault="00B5652A" w:rsidP="00B5652A">
      <w:pPr>
        <w:pStyle w:val="FootnoteText"/>
      </w:pPr>
      <w:r>
        <w:rPr>
          <w:rStyle w:val="FootnoteReference"/>
        </w:rPr>
        <w:footnoteRef/>
      </w:r>
      <w:r w:rsidRPr="003E7EE9">
        <w:rPr>
          <w:sz w:val="24"/>
          <w:vertAlign w:val="superscript"/>
        </w:rPr>
        <w:t>/</w:t>
      </w:r>
      <w:r>
        <w:t xml:space="preserve"> </w:t>
      </w:r>
      <w:r>
        <w:tab/>
      </w:r>
      <w:r w:rsidR="00E258BE">
        <w:t xml:space="preserve">Exh. No.___(RBD-1T) at </w:t>
      </w:r>
      <w:r w:rsidR="00BB0C3F">
        <w:t>16:9-13.</w:t>
      </w:r>
    </w:p>
  </w:footnote>
  <w:footnote w:id="7">
    <w:p w:rsidR="00BB0C3F" w:rsidRDefault="00BB0C3F" w:rsidP="00BB0C3F">
      <w:pPr>
        <w:pStyle w:val="FootnoteText"/>
      </w:pPr>
      <w:r>
        <w:rPr>
          <w:rStyle w:val="FootnoteReference"/>
        </w:rPr>
        <w:footnoteRef/>
      </w:r>
      <w:r>
        <w:t xml:space="preserve"> </w:t>
      </w:r>
      <w:r>
        <w:tab/>
        <w:t>Exh. No.___(BGM-7).</w:t>
      </w:r>
    </w:p>
  </w:footnote>
  <w:footnote w:id="8">
    <w:p w:rsidR="00841B6A" w:rsidRDefault="00C94814">
      <w:pPr>
        <w:pStyle w:val="FootnoteText"/>
      </w:pPr>
      <w:r>
        <w:rPr>
          <w:rStyle w:val="FootnoteReference"/>
        </w:rPr>
        <w:footnoteRef/>
      </w:r>
      <w:r w:rsidRPr="00654C8D">
        <w:rPr>
          <w:sz w:val="24"/>
          <w:szCs w:val="24"/>
          <w:vertAlign w:val="superscript"/>
        </w:rPr>
        <w:t>/</w:t>
      </w:r>
      <w:r>
        <w:t xml:space="preserve"> </w:t>
      </w:r>
      <w:r>
        <w:tab/>
      </w:r>
      <w:r w:rsidR="005818F6">
        <w:t>Exh. No.___(RBD-1T)</w:t>
      </w:r>
      <w:r>
        <w:t xml:space="preserve"> at 26:1-17.</w:t>
      </w:r>
    </w:p>
  </w:footnote>
  <w:footnote w:id="9">
    <w:p w:rsidR="00841B6A" w:rsidRPr="00654C8D" w:rsidRDefault="00C94814">
      <w:pPr>
        <w:pStyle w:val="FootnoteText"/>
        <w:rPr>
          <w:u w:val="single"/>
        </w:rPr>
      </w:pPr>
      <w:r>
        <w:rPr>
          <w:rStyle w:val="FootnoteReference"/>
        </w:rPr>
        <w:footnoteRef/>
      </w:r>
      <w:r w:rsidRPr="00654C8D">
        <w:rPr>
          <w:sz w:val="24"/>
          <w:vertAlign w:val="superscript"/>
        </w:rPr>
        <w:t>/</w:t>
      </w:r>
      <w:r>
        <w:t xml:space="preserve"> </w:t>
      </w:r>
      <w:r>
        <w:tab/>
      </w:r>
      <w:r>
        <w:rPr>
          <w:u w:val="single"/>
        </w:rPr>
        <w:t>Id.</w:t>
      </w:r>
    </w:p>
  </w:footnote>
  <w:footnote w:id="10">
    <w:p w:rsidR="00841B6A" w:rsidRDefault="00C94814">
      <w:pPr>
        <w:pStyle w:val="FootnoteText"/>
      </w:pPr>
      <w:r>
        <w:rPr>
          <w:rStyle w:val="FootnoteReference"/>
        </w:rPr>
        <w:footnoteRef/>
      </w:r>
      <w:r w:rsidR="005818F6" w:rsidRPr="005818F6">
        <w:rPr>
          <w:vertAlign w:val="superscript"/>
        </w:rPr>
        <w:t>/</w:t>
      </w:r>
      <w:r>
        <w:t xml:space="preserve"> </w:t>
      </w:r>
      <w:r>
        <w:tab/>
        <w:t>Exh. No.___(BGM-8</w:t>
      </w:r>
      <w:r w:rsidR="00D773E5">
        <w:t>C</w:t>
      </w:r>
      <w:r>
        <w:t>)</w:t>
      </w:r>
      <w:r w:rsidR="008A2A06">
        <w:t xml:space="preserve"> (Company </w:t>
      </w:r>
      <w:r w:rsidR="00E258BE">
        <w:t>Response to Club DR</w:t>
      </w:r>
      <w:r w:rsidR="008A2A06">
        <w:t xml:space="preserve"> 088)</w:t>
      </w:r>
      <w:r>
        <w:t>.</w:t>
      </w:r>
    </w:p>
  </w:footnote>
  <w:footnote w:id="11">
    <w:p w:rsidR="00841B6A" w:rsidRPr="00654C8D" w:rsidRDefault="00C94814">
      <w:pPr>
        <w:pStyle w:val="FootnoteText"/>
        <w:rPr>
          <w:u w:val="single"/>
        </w:rPr>
      </w:pPr>
      <w:r>
        <w:rPr>
          <w:rStyle w:val="FootnoteReference"/>
        </w:rPr>
        <w:footnoteRef/>
      </w:r>
      <w:r w:rsidRPr="00654C8D">
        <w:rPr>
          <w:sz w:val="24"/>
          <w:vertAlign w:val="superscript"/>
        </w:rPr>
        <w:t>/</w:t>
      </w:r>
      <w:r>
        <w:t xml:space="preserve"> </w:t>
      </w:r>
      <w:r>
        <w:tab/>
        <w:t>Exh. No.___(RBD-1T) at 26:1-7</w:t>
      </w:r>
      <w:r w:rsidR="007D028B" w:rsidRPr="007D028B">
        <w:t>.</w:t>
      </w:r>
    </w:p>
  </w:footnote>
  <w:footnote w:id="12">
    <w:p w:rsidR="005818F6" w:rsidRPr="007D028B" w:rsidRDefault="005818F6">
      <w:pPr>
        <w:pStyle w:val="FootnoteText"/>
      </w:pPr>
      <w:r>
        <w:rPr>
          <w:rStyle w:val="FootnoteReference"/>
        </w:rPr>
        <w:footnoteRef/>
      </w:r>
      <w:r w:rsidR="007D028B" w:rsidRPr="007D028B">
        <w:rPr>
          <w:vertAlign w:val="superscript"/>
        </w:rPr>
        <w:t>/</w:t>
      </w:r>
      <w:r w:rsidR="007D028B">
        <w:rPr>
          <w:vertAlign w:val="superscript"/>
        </w:rPr>
        <w:tab/>
      </w:r>
      <w:r w:rsidR="007D028B">
        <w:t>Complaint, Exh. D.</w:t>
      </w:r>
    </w:p>
  </w:footnote>
  <w:footnote w:id="13">
    <w:p w:rsidR="00841B6A" w:rsidRDefault="00C94814">
      <w:pPr>
        <w:pStyle w:val="FootnoteText"/>
      </w:pPr>
      <w:r>
        <w:rPr>
          <w:rStyle w:val="FootnoteReference"/>
        </w:rPr>
        <w:footnoteRef/>
      </w:r>
      <w:r w:rsidRPr="00654C8D">
        <w:rPr>
          <w:vertAlign w:val="superscript"/>
        </w:rPr>
        <w:t>/</w:t>
      </w:r>
      <w:r>
        <w:t xml:space="preserve"> </w:t>
      </w:r>
      <w:r>
        <w:tab/>
      </w:r>
      <w:r w:rsidR="00470448">
        <w:t xml:space="preserve">Exh. No.___(RBD-1T) at 26:9.  </w:t>
      </w:r>
      <w:r w:rsidR="00470448">
        <w:rPr>
          <w:u w:val="single"/>
        </w:rPr>
        <w:t>S</w:t>
      </w:r>
      <w:r w:rsidR="00470448" w:rsidRPr="00E258BE">
        <w:rPr>
          <w:u w:val="single"/>
        </w:rPr>
        <w:t>ee also</w:t>
      </w:r>
      <w:r w:rsidR="00470448">
        <w:t xml:space="preserve"> </w:t>
      </w:r>
      <w:r w:rsidR="00E258BE">
        <w:t xml:space="preserve">Exh. No.___(BGM-4C) (Company Response to Club DR 081, Exh. N); </w:t>
      </w:r>
      <w:r>
        <w:t>Exh. No__(BGM-</w:t>
      </w:r>
      <w:r w:rsidR="008A2A06">
        <w:t>8</w:t>
      </w:r>
      <w:r w:rsidR="00D773E5">
        <w:t>C</w:t>
      </w:r>
      <w:r>
        <w:t>)</w:t>
      </w:r>
      <w:r w:rsidR="008A2A06">
        <w:t xml:space="preserve"> (Company Response to Club DR 090</w:t>
      </w:r>
      <w:r w:rsidR="00D773E5">
        <w:t>, Exh. O</w:t>
      </w:r>
      <w:r w:rsidR="008A2A06">
        <w:t>)</w:t>
      </w:r>
      <w:r w:rsidR="00E258BE">
        <w:t xml:space="preserve"> (</w:t>
      </w:r>
      <w:r w:rsidR="00D773E5">
        <w:t>contrasting 2013 and 2015 net book value calculations)</w:t>
      </w:r>
      <w:r w:rsidR="008A2A06">
        <w:t>.</w:t>
      </w:r>
      <w:r>
        <w:t xml:space="preserve"> </w:t>
      </w:r>
    </w:p>
  </w:footnote>
  <w:footnote w:id="14">
    <w:p w:rsidR="003E11CA" w:rsidRPr="00654C8D" w:rsidRDefault="003E11CA" w:rsidP="003E11CA">
      <w:pPr>
        <w:pStyle w:val="FootnoteText"/>
      </w:pPr>
      <w:r>
        <w:rPr>
          <w:rStyle w:val="FootnoteReference"/>
        </w:rPr>
        <w:footnoteRef/>
      </w:r>
      <w:r w:rsidRPr="003E7EE9">
        <w:rPr>
          <w:sz w:val="24"/>
          <w:vertAlign w:val="superscript"/>
        </w:rPr>
        <w:t>/</w:t>
      </w:r>
      <w:r>
        <w:t xml:space="preserve"> </w:t>
      </w:r>
      <w:r>
        <w:tab/>
        <w:t>Exh. No.___(RBD-1T) at 20:5-16.</w:t>
      </w:r>
    </w:p>
  </w:footnote>
  <w:footnote w:id="15">
    <w:p w:rsidR="00841B6A" w:rsidRDefault="00C94814">
      <w:pPr>
        <w:pStyle w:val="FootnoteText"/>
      </w:pPr>
      <w:r>
        <w:rPr>
          <w:rStyle w:val="FootnoteReference"/>
        </w:rPr>
        <w:footnoteRef/>
      </w:r>
      <w:r>
        <w:rPr>
          <w:sz w:val="24"/>
          <w:vertAlign w:val="superscript"/>
        </w:rPr>
        <w:t>/</w:t>
      </w:r>
      <w:r>
        <w:tab/>
      </w:r>
      <w:r w:rsidR="00D970CD" w:rsidRPr="00654C8D">
        <w:rPr>
          <w:u w:val="single"/>
        </w:rPr>
        <w:t>Id.</w:t>
      </w:r>
      <w:r>
        <w:t xml:space="preserve"> at 3:9-12</w:t>
      </w:r>
      <w:r w:rsidR="00D970CD">
        <w:t>.</w:t>
      </w:r>
    </w:p>
  </w:footnote>
  <w:footnote w:id="16">
    <w:p w:rsidR="00841B6A" w:rsidRDefault="00C94814">
      <w:pPr>
        <w:pStyle w:val="FootnoteText"/>
      </w:pPr>
      <w:r>
        <w:rPr>
          <w:rStyle w:val="FootnoteReference"/>
        </w:rPr>
        <w:footnoteRef/>
      </w:r>
      <w:r>
        <w:rPr>
          <w:sz w:val="24"/>
          <w:vertAlign w:val="superscript"/>
        </w:rPr>
        <w:t>/</w:t>
      </w:r>
      <w:r>
        <w:tab/>
      </w:r>
      <w:r>
        <w:rPr>
          <w:u w:val="single"/>
        </w:rPr>
        <w:t>See</w:t>
      </w:r>
      <w:r>
        <w:t xml:space="preserve"> Exh. No. ___(BGM-1CT) at 5-6.  </w:t>
      </w:r>
    </w:p>
  </w:footnote>
  <w:footnote w:id="17">
    <w:p w:rsidR="00841B6A" w:rsidRDefault="00C94814">
      <w:pPr>
        <w:pStyle w:val="FootnoteText"/>
      </w:pPr>
      <w:r>
        <w:rPr>
          <w:rStyle w:val="FootnoteReference"/>
        </w:rPr>
        <w:footnoteRef/>
      </w:r>
      <w:r>
        <w:rPr>
          <w:sz w:val="24"/>
          <w:vertAlign w:val="superscript"/>
        </w:rPr>
        <w:t>/</w:t>
      </w:r>
      <w:r>
        <w:tab/>
        <w:t>Exh. No. ___(RBD-1T) at 10:1-2 (emphasis added)</w:t>
      </w:r>
      <w:r w:rsidR="00112BA8">
        <w:t>.</w:t>
      </w:r>
    </w:p>
  </w:footnote>
  <w:footnote w:id="18">
    <w:p w:rsidR="00841B6A" w:rsidRDefault="00C94814">
      <w:pPr>
        <w:pStyle w:val="FootnoteText"/>
      </w:pPr>
      <w:r>
        <w:rPr>
          <w:rStyle w:val="FootnoteReference"/>
        </w:rPr>
        <w:footnoteRef/>
      </w:r>
      <w:r>
        <w:rPr>
          <w:sz w:val="24"/>
          <w:vertAlign w:val="superscript"/>
        </w:rPr>
        <w:t>/</w:t>
      </w:r>
      <w:r>
        <w:tab/>
      </w:r>
      <w:r>
        <w:rPr>
          <w:u w:val="single"/>
        </w:rPr>
        <w:t>Id.</w:t>
      </w:r>
      <w:r>
        <w:t xml:space="preserve"> at 6:20-7:4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Header"/>
    </w:pPr>
    <w:r>
      <w:rPr>
        <w:rStyle w:val="PageNumber"/>
      </w:rPr>
      <w:fldChar w:fldCharType="begin"/>
    </w:r>
    <w:r>
      <w:rPr>
        <w:rStyle w:val="PageNumber"/>
      </w:rPr>
      <w:instrText xml:space="preserve"> NUMPAGES </w:instrText>
    </w:r>
    <w:r>
      <w:rPr>
        <w:rStyle w:val="PageNumber"/>
      </w:rPr>
      <w:fldChar w:fldCharType="separate"/>
    </w:r>
    <w:r w:rsidR="00DC1BB2">
      <w:rPr>
        <w:rStyle w:val="PageNumber"/>
        <w:noProof/>
      </w:rPr>
      <w:t>13</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autoSpaceDE w:val="0"/>
      <w:autoSpaceDN w:val="0"/>
      <w:adjustRightInd w:val="0"/>
      <w:spacing w:line="240" w:lineRule="auto"/>
      <w:jc w:val="right"/>
      <w:rPr>
        <w:bCs/>
        <w:szCs w:val="24"/>
      </w:rPr>
    </w:pPr>
    <w:r>
      <w:rPr>
        <w:bCs/>
        <w:szCs w:val="24"/>
      </w:rPr>
      <w:t>Exhibit No.__(BGM-6T)</w:t>
    </w:r>
  </w:p>
  <w:p w:rsidR="00841B6A" w:rsidRDefault="00C94814">
    <w:pPr>
      <w:jc w:val="right"/>
      <w:rPr>
        <w:szCs w:val="24"/>
      </w:rPr>
    </w:pPr>
    <w:r>
      <w:rPr>
        <w:szCs w:val="24"/>
      </w:rPr>
      <w:t xml:space="preserve">Docket </w:t>
    </w:r>
    <w:r>
      <w:rPr>
        <w:smallCaps/>
      </w:rPr>
      <w:t>UE-143932</w:t>
    </w:r>
  </w:p>
  <w:p w:rsidR="00841B6A" w:rsidRDefault="00C94814">
    <w:pPr>
      <w:pStyle w:val="Header"/>
      <w:jc w:val="right"/>
    </w:pPr>
    <w:r>
      <w:rPr>
        <w:bCs/>
        <w:szCs w:val="24"/>
      </w:rPr>
      <w:t xml:space="preserve">Witness:  Bradley G. Mullins </w:t>
    </w:r>
  </w:p>
  <w:p w:rsidR="00841B6A" w:rsidRDefault="00841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Header"/>
      <w:jc w:val="right"/>
      <w:rPr>
        <w:b/>
        <w:i/>
      </w:rPr>
    </w:pPr>
    <w:r>
      <w:rPr>
        <w:b/>
        <w:i/>
        <w:color w:val="FF0000"/>
        <w:sz w:val="20"/>
      </w:rPr>
      <w:t>CONFIDENTIAL ATTORNEY-CLIENT PRIVILEGED/ATTORNEY WORK PRODUCT</w:t>
    </w:r>
  </w:p>
  <w:p w:rsidR="00841B6A" w:rsidRDefault="00841B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43FC836A"/>
    <w:lvl w:ilvl="0" w:tplc="1F240192">
      <w:start w:val="1"/>
      <w:numFmt w:val="upperRoman"/>
      <w:pStyle w:val="hdr"/>
      <w:lvlText w:val="%1."/>
      <w:lvlJc w:val="righ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5">
    <w:nsid w:val="5B144911"/>
    <w:multiLevelType w:val="hybridMultilevel"/>
    <w:tmpl w:val="12103340"/>
    <w:lvl w:ilvl="0" w:tplc="A7A88992">
      <w:start w:val="1"/>
      <w:numFmt w:val="upperLetter"/>
      <w:pStyle w:val="hdr2"/>
      <w:lvlText w:val="%1."/>
      <w:lvlJc w:val="left"/>
      <w:pPr>
        <w:ind w:left="360" w:hanging="360"/>
      </w:pPr>
      <w:rPr>
        <w:rFonts w:hint="default"/>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FC87BA2"/>
    <w:multiLevelType w:val="hybridMultilevel"/>
    <w:tmpl w:val="78ACBFC6"/>
    <w:lvl w:ilvl="0" w:tplc="AA4EE476">
      <w:start w:val="1"/>
      <w:numFmt w:val="decimal"/>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2"/>
  </w:num>
  <w:num w:numId="3">
    <w:abstractNumId w:val="0"/>
  </w:num>
  <w:num w:numId="4">
    <w:abstractNumId w:val="7"/>
  </w:num>
  <w:num w:numId="5">
    <w:abstractNumId w:val="6"/>
  </w:num>
  <w:num w:numId="6">
    <w:abstractNumId w:val="1"/>
  </w:num>
  <w:num w:numId="7">
    <w:abstractNumId w:val="3"/>
  </w:num>
  <w:num w:numId="8">
    <w:abstractNumId w:val="8"/>
  </w:num>
  <w:num w:numId="9">
    <w:abstractNumId w:val="5"/>
  </w:num>
  <w:num w:numId="10">
    <w:abstractNumId w:val="5"/>
    <w:lvlOverride w:ilvl="0">
      <w:startOverride w:val="1"/>
    </w:lvlOverride>
  </w:num>
  <w:num w:numId="11">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GM">
    <w15:presenceInfo w15:providerId="None" w15:userId="B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
  <w:rsids>
    <w:rsidRoot w:val="00841B6A"/>
    <w:rsid w:val="00004875"/>
    <w:rsid w:val="00112BA8"/>
    <w:rsid w:val="00391D09"/>
    <w:rsid w:val="003E11CA"/>
    <w:rsid w:val="00400DAC"/>
    <w:rsid w:val="00437D42"/>
    <w:rsid w:val="00470448"/>
    <w:rsid w:val="004B7E46"/>
    <w:rsid w:val="005818F6"/>
    <w:rsid w:val="00654C8D"/>
    <w:rsid w:val="0068229E"/>
    <w:rsid w:val="007119FD"/>
    <w:rsid w:val="0072749D"/>
    <w:rsid w:val="007D028B"/>
    <w:rsid w:val="007E762A"/>
    <w:rsid w:val="00841B6A"/>
    <w:rsid w:val="00896364"/>
    <w:rsid w:val="008A2A06"/>
    <w:rsid w:val="008B0B72"/>
    <w:rsid w:val="009C3617"/>
    <w:rsid w:val="00A362EC"/>
    <w:rsid w:val="00B5652A"/>
    <w:rsid w:val="00BB0C3F"/>
    <w:rsid w:val="00BD6776"/>
    <w:rsid w:val="00BD7D9F"/>
    <w:rsid w:val="00C94814"/>
    <w:rsid w:val="00D647EA"/>
    <w:rsid w:val="00D70A02"/>
    <w:rsid w:val="00D773E5"/>
    <w:rsid w:val="00D970CD"/>
    <w:rsid w:val="00DC1BB2"/>
    <w:rsid w:val="00E258BE"/>
    <w:rsid w:val="00EF4AAE"/>
    <w:rsid w:val="00F47425"/>
    <w:rsid w:val="00F8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Times New Roman" w:eastAsia="Times New Roman" w:hAnsi="Times New Roman"/>
      <w:sz w:val="24"/>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3"/>
    <w:next w:val="A"/>
    <w:link w:val="QChar"/>
    <w:qFormat/>
    <w:pPr>
      <w:spacing w:before="0" w:after="240" w:line="240" w:lineRule="auto"/>
      <w:ind w:left="720" w:hanging="720"/>
    </w:pPr>
    <w:rPr>
      <w:rFonts w:ascii="Times New Roman" w:hAnsi="Times New Roman"/>
      <w:b/>
      <w:color w:val="auto"/>
    </w:rPr>
  </w:style>
  <w:style w:type="character" w:customStyle="1" w:styleId="QChar">
    <w:name w:val="_Q Char"/>
    <w:link w:val="Q"/>
    <w:rPr>
      <w:rFonts w:ascii="Times New Roman" w:eastAsia="Times New Roman" w:hAnsi="Times New Roman" w:cs="Times New Roman"/>
      <w:b/>
      <w:sz w:val="24"/>
      <w:szCs w:val="24"/>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olinequote">
    <w:name w:val="_o.line.quote"/>
    <w:basedOn w:val="Normal"/>
    <w:qFormat/>
    <w:pPr>
      <w:spacing w:after="240" w:line="240" w:lineRule="auto"/>
      <w:ind w:left="1872" w:right="720"/>
      <w:jc w:val="both"/>
    </w:pPr>
    <w:rPr>
      <w:rFonts w:eastAsia="Calibri"/>
      <w:szCs w:val="22"/>
    </w:rPr>
  </w:style>
  <w:style w:type="paragraph" w:customStyle="1" w:styleId="hdr">
    <w:name w:val="_hdr"/>
    <w:basedOn w:val="Heading1"/>
    <w:next w:val="Q"/>
    <w:qFormat/>
    <w:pPr>
      <w:keepNext/>
      <w:keepLines/>
      <w:numPr>
        <w:numId w:val="3"/>
      </w:numPr>
      <w:spacing w:line="480" w:lineRule="auto"/>
      <w:ind w:left="720"/>
    </w:pPr>
    <w:rPr>
      <w:b/>
      <w:caps/>
      <w:szCs w:val="24"/>
    </w:rPr>
  </w:style>
  <w:style w:type="paragraph" w:customStyle="1" w:styleId="fig">
    <w:name w:val="_fig"/>
    <w:basedOn w:val="Normal"/>
    <w:qFormat/>
    <w:pPr>
      <w:keepNext/>
      <w:keepLines/>
      <w:spacing w:after="240" w:line="240" w:lineRule="auto"/>
      <w:ind w:left="720"/>
      <w:contextualSpacing/>
      <w:jc w:val="center"/>
    </w:pPr>
    <w:rPr>
      <w:rFonts w:eastAsia="Calibri"/>
      <w:b/>
      <w:szCs w:val="22"/>
    </w:rPr>
  </w:style>
  <w:style w:type="paragraph" w:customStyle="1" w:styleId="A">
    <w:name w:val="_A"/>
    <w:basedOn w:val="Normal"/>
    <w:qFormat/>
    <w:pPr>
      <w:spacing w:line="480" w:lineRule="auto"/>
      <w:ind w:left="720" w:hanging="720"/>
    </w:pPr>
    <w:rPr>
      <w:rFonts w:eastAsia="Calibri"/>
      <w:szCs w:val="22"/>
    </w:rPr>
  </w:style>
  <w:style w:type="paragraph" w:styleId="FootnoteText">
    <w:name w:val="footnote text"/>
    <w:basedOn w:val="Normal"/>
    <w:link w:val="FootnoteTextChar"/>
    <w:uiPriority w:val="99"/>
    <w:unhideWhenUsed/>
    <w:qFormat/>
    <w:pPr>
      <w:spacing w:line="240" w:lineRule="auto"/>
      <w:ind w:left="720" w:hanging="720"/>
    </w:pPr>
    <w:rPr>
      <w:rFonts w:eastAsia="Calibri"/>
      <w:sz w:val="20"/>
    </w:rPr>
  </w:style>
  <w:style w:type="character" w:customStyle="1" w:styleId="FootnoteTextChar">
    <w:name w:val="Footnote Text Char"/>
    <w:link w:val="FootnoteText"/>
    <w:uiPriority w:val="99"/>
    <w:rPr>
      <w:rFonts w:ascii="Times New Roman" w:hAnsi="Times New Roman"/>
      <w:sz w:val="20"/>
      <w:szCs w:val="20"/>
    </w:rPr>
  </w:style>
  <w:style w:type="character" w:styleId="FootnoteReference">
    <w:name w:val="footnote reference"/>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leader="dot" w:pos="8928"/>
      </w:tabs>
      <w:spacing w:before="240" w:after="240" w:line="240" w:lineRule="auto"/>
    </w:pPr>
  </w:style>
  <w:style w:type="character" w:styleId="Hyperlink">
    <w:name w:val="Hyperlink"/>
    <w:uiPriority w:val="99"/>
    <w:unhideWhenUsed/>
    <w:rPr>
      <w:color w:val="0000FF"/>
      <w:u w:val="single"/>
    </w:rPr>
  </w:style>
  <w:style w:type="paragraph" w:styleId="TOC9">
    <w:name w:val="toc 9"/>
    <w:basedOn w:val="Normal"/>
    <w:next w:val="Normal"/>
    <w:autoRedefine/>
    <w:uiPriority w:val="39"/>
    <w:unhideWhenUsed/>
    <w:pPr>
      <w:spacing w:after="100"/>
      <w:ind w:left="1920"/>
    </w:pPr>
  </w:style>
  <w:style w:type="paragraph" w:styleId="TOCHeading">
    <w:name w:val="TOC Heading"/>
    <w:basedOn w:val="Heading1"/>
    <w:next w:val="Normal"/>
    <w:uiPriority w:val="39"/>
    <w:unhideWhenUsed/>
    <w:qFormat/>
    <w:pPr>
      <w:keepNext/>
      <w:keepLines/>
      <w:numPr>
        <w:numId w:val="0"/>
      </w:numPr>
      <w:spacing w:before="240" w:line="240" w:lineRule="exact"/>
      <w:jc w:val="left"/>
      <w:outlineLvl w:val="9"/>
    </w:pPr>
    <w:rPr>
      <w:rFonts w:ascii="Cambria" w:hAnsi="Cambria"/>
      <w:color w:val="365F91"/>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customStyle="1" w:styleId="hdr2">
    <w:name w:val="_hdr2"/>
    <w:basedOn w:val="Heading2"/>
    <w:next w:val="Q"/>
    <w:qFormat/>
    <w:pPr>
      <w:numPr>
        <w:numId w:val="9"/>
      </w:numPr>
      <w:tabs>
        <w:tab w:val="left" w:leader="underscore" w:pos="288"/>
      </w:tabs>
      <w:spacing w:before="0" w:line="480" w:lineRule="auto"/>
    </w:pPr>
    <w:rPr>
      <w:rFonts w:ascii="Times New Roman" w:hAnsi="Times New Roman"/>
      <w:b/>
      <w:color w:val="auto"/>
      <w:sz w:val="24"/>
      <w:u w:val="single"/>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paragraph" w:styleId="TOC2">
    <w:name w:val="toc 2"/>
    <w:basedOn w:val="Normal"/>
    <w:next w:val="Normal"/>
    <w:autoRedefine/>
    <w:uiPriority w:val="39"/>
    <w:unhideWhenUsed/>
    <w:pPr>
      <w:tabs>
        <w:tab w:val="left" w:pos="1008"/>
        <w:tab w:val="right" w:leader="dot" w:pos="8928"/>
      </w:tabs>
      <w:spacing w:line="240" w:lineRule="auto"/>
      <w:ind w:left="720"/>
    </w:pPr>
  </w:style>
  <w:style w:type="paragraph" w:styleId="TOC3">
    <w:name w:val="toc 3"/>
    <w:basedOn w:val="Normal"/>
    <w:next w:val="Normal"/>
    <w:autoRedefine/>
    <w:uiPriority w:val="39"/>
    <w:unhideWhenUsed/>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pPr>
      <w:spacing w:after="100" w:line="259" w:lineRule="auto"/>
      <w:ind w:left="1540"/>
    </w:pPr>
    <w:rPr>
      <w:rFonts w:ascii="Calibri" w:hAnsi="Calibri"/>
      <w:sz w:val="22"/>
      <w:szCs w:val="22"/>
    </w:rPr>
  </w:style>
  <w:style w:type="paragraph" w:styleId="Revision">
    <w:name w:val="Revision"/>
    <w:hidden/>
    <w:uiPriority w:val="99"/>
    <w:semiHidden/>
    <w:rPr>
      <w:rFonts w:ascii="Times New Roman" w:eastAsia="Times New Roman" w:hAnsi="Times New Roman"/>
      <w:sz w:val="24"/>
    </w:rPr>
  </w:style>
  <w:style w:type="paragraph" w:customStyle="1" w:styleId="fig1head">
    <w:name w:val="_fig1head"/>
    <w:basedOn w:val="Normal"/>
    <w:next w:val="Normal"/>
    <w:pPr>
      <w:keepNext/>
      <w:suppressLineNumbers/>
      <w:tabs>
        <w:tab w:val="left" w:pos="720"/>
      </w:tabs>
      <w:spacing w:line="240" w:lineRule="auto"/>
      <w:ind w:left="720"/>
      <w:jc w:val="center"/>
    </w:pPr>
    <w:rPr>
      <w:rFonts w:eastAsia="Calibri"/>
      <w:b/>
      <w:szCs w:val="22"/>
    </w:rPr>
  </w:style>
  <w:style w:type="paragraph" w:customStyle="1" w:styleId="fig2head">
    <w:name w:val="_fig2head"/>
    <w:basedOn w:val="fig1head"/>
    <w:next w:val="Normal"/>
    <w:rPr>
      <w:b w:val="0"/>
      <w:u w:val="single"/>
    </w:rPr>
  </w:style>
  <w:style w:type="paragraph" w:customStyle="1" w:styleId="fig3fig">
    <w:name w:val="_fig3fig"/>
    <w:basedOn w:val="fig1head"/>
    <w:next w:val="A"/>
    <w:pPr>
      <w:keepNext w:val="0"/>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Times New Roman" w:eastAsia="Times New Roman" w:hAnsi="Times New Roman"/>
      <w:sz w:val="24"/>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3"/>
    <w:next w:val="A"/>
    <w:link w:val="QChar"/>
    <w:qFormat/>
    <w:pPr>
      <w:spacing w:before="0" w:after="240" w:line="240" w:lineRule="auto"/>
      <w:ind w:left="720" w:hanging="720"/>
    </w:pPr>
    <w:rPr>
      <w:rFonts w:ascii="Times New Roman" w:hAnsi="Times New Roman"/>
      <w:b/>
      <w:color w:val="auto"/>
    </w:rPr>
  </w:style>
  <w:style w:type="character" w:customStyle="1" w:styleId="QChar">
    <w:name w:val="_Q Char"/>
    <w:link w:val="Q"/>
    <w:rPr>
      <w:rFonts w:ascii="Times New Roman" w:eastAsia="Times New Roman" w:hAnsi="Times New Roman" w:cs="Times New Roman"/>
      <w:b/>
      <w:sz w:val="24"/>
      <w:szCs w:val="24"/>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olinequote">
    <w:name w:val="_o.line.quote"/>
    <w:basedOn w:val="Normal"/>
    <w:qFormat/>
    <w:pPr>
      <w:spacing w:after="240" w:line="240" w:lineRule="auto"/>
      <w:ind w:left="1872" w:right="720"/>
      <w:jc w:val="both"/>
    </w:pPr>
    <w:rPr>
      <w:rFonts w:eastAsia="Calibri"/>
      <w:szCs w:val="22"/>
    </w:rPr>
  </w:style>
  <w:style w:type="paragraph" w:customStyle="1" w:styleId="hdr">
    <w:name w:val="_hdr"/>
    <w:basedOn w:val="Heading1"/>
    <w:next w:val="Q"/>
    <w:qFormat/>
    <w:pPr>
      <w:keepNext/>
      <w:keepLines/>
      <w:numPr>
        <w:numId w:val="3"/>
      </w:numPr>
      <w:spacing w:line="480" w:lineRule="auto"/>
      <w:ind w:left="720"/>
    </w:pPr>
    <w:rPr>
      <w:b/>
      <w:caps/>
      <w:szCs w:val="24"/>
    </w:rPr>
  </w:style>
  <w:style w:type="paragraph" w:customStyle="1" w:styleId="fig">
    <w:name w:val="_fig"/>
    <w:basedOn w:val="Normal"/>
    <w:qFormat/>
    <w:pPr>
      <w:keepNext/>
      <w:keepLines/>
      <w:spacing w:after="240" w:line="240" w:lineRule="auto"/>
      <w:ind w:left="720"/>
      <w:contextualSpacing/>
      <w:jc w:val="center"/>
    </w:pPr>
    <w:rPr>
      <w:rFonts w:eastAsia="Calibri"/>
      <w:b/>
      <w:szCs w:val="22"/>
    </w:rPr>
  </w:style>
  <w:style w:type="paragraph" w:customStyle="1" w:styleId="A">
    <w:name w:val="_A"/>
    <w:basedOn w:val="Normal"/>
    <w:qFormat/>
    <w:pPr>
      <w:spacing w:line="480" w:lineRule="auto"/>
      <w:ind w:left="720" w:hanging="720"/>
    </w:pPr>
    <w:rPr>
      <w:rFonts w:eastAsia="Calibri"/>
      <w:szCs w:val="22"/>
    </w:rPr>
  </w:style>
  <w:style w:type="paragraph" w:styleId="FootnoteText">
    <w:name w:val="footnote text"/>
    <w:basedOn w:val="Normal"/>
    <w:link w:val="FootnoteTextChar"/>
    <w:uiPriority w:val="99"/>
    <w:unhideWhenUsed/>
    <w:qFormat/>
    <w:pPr>
      <w:spacing w:line="240" w:lineRule="auto"/>
      <w:ind w:left="720" w:hanging="720"/>
    </w:pPr>
    <w:rPr>
      <w:rFonts w:eastAsia="Calibri"/>
      <w:sz w:val="20"/>
    </w:rPr>
  </w:style>
  <w:style w:type="character" w:customStyle="1" w:styleId="FootnoteTextChar">
    <w:name w:val="Footnote Text Char"/>
    <w:link w:val="FootnoteText"/>
    <w:uiPriority w:val="99"/>
    <w:rPr>
      <w:rFonts w:ascii="Times New Roman" w:hAnsi="Times New Roman"/>
      <w:sz w:val="20"/>
      <w:szCs w:val="20"/>
    </w:rPr>
  </w:style>
  <w:style w:type="character" w:styleId="FootnoteReference">
    <w:name w:val="footnote reference"/>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leader="dot" w:pos="8928"/>
      </w:tabs>
      <w:spacing w:before="240" w:after="240" w:line="240" w:lineRule="auto"/>
    </w:pPr>
  </w:style>
  <w:style w:type="character" w:styleId="Hyperlink">
    <w:name w:val="Hyperlink"/>
    <w:uiPriority w:val="99"/>
    <w:unhideWhenUsed/>
    <w:rPr>
      <w:color w:val="0000FF"/>
      <w:u w:val="single"/>
    </w:rPr>
  </w:style>
  <w:style w:type="paragraph" w:styleId="TOC9">
    <w:name w:val="toc 9"/>
    <w:basedOn w:val="Normal"/>
    <w:next w:val="Normal"/>
    <w:autoRedefine/>
    <w:uiPriority w:val="39"/>
    <w:unhideWhenUsed/>
    <w:pPr>
      <w:spacing w:after="100"/>
      <w:ind w:left="1920"/>
    </w:pPr>
  </w:style>
  <w:style w:type="paragraph" w:styleId="TOCHeading">
    <w:name w:val="TOC Heading"/>
    <w:basedOn w:val="Heading1"/>
    <w:next w:val="Normal"/>
    <w:uiPriority w:val="39"/>
    <w:unhideWhenUsed/>
    <w:qFormat/>
    <w:pPr>
      <w:keepNext/>
      <w:keepLines/>
      <w:numPr>
        <w:numId w:val="0"/>
      </w:numPr>
      <w:spacing w:before="240" w:line="240" w:lineRule="exact"/>
      <w:jc w:val="left"/>
      <w:outlineLvl w:val="9"/>
    </w:pPr>
    <w:rPr>
      <w:rFonts w:ascii="Cambria" w:hAnsi="Cambria"/>
      <w:color w:val="365F91"/>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customStyle="1" w:styleId="hdr2">
    <w:name w:val="_hdr2"/>
    <w:basedOn w:val="Heading2"/>
    <w:next w:val="Q"/>
    <w:qFormat/>
    <w:pPr>
      <w:numPr>
        <w:numId w:val="9"/>
      </w:numPr>
      <w:tabs>
        <w:tab w:val="left" w:leader="underscore" w:pos="288"/>
      </w:tabs>
      <w:spacing w:before="0" w:line="480" w:lineRule="auto"/>
    </w:pPr>
    <w:rPr>
      <w:rFonts w:ascii="Times New Roman" w:hAnsi="Times New Roman"/>
      <w:b/>
      <w:color w:val="auto"/>
      <w:sz w:val="24"/>
      <w:u w:val="single"/>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paragraph" w:styleId="TOC2">
    <w:name w:val="toc 2"/>
    <w:basedOn w:val="Normal"/>
    <w:next w:val="Normal"/>
    <w:autoRedefine/>
    <w:uiPriority w:val="39"/>
    <w:unhideWhenUsed/>
    <w:pPr>
      <w:tabs>
        <w:tab w:val="left" w:pos="1008"/>
        <w:tab w:val="right" w:leader="dot" w:pos="8928"/>
      </w:tabs>
      <w:spacing w:line="240" w:lineRule="auto"/>
      <w:ind w:left="720"/>
    </w:pPr>
  </w:style>
  <w:style w:type="paragraph" w:styleId="TOC3">
    <w:name w:val="toc 3"/>
    <w:basedOn w:val="Normal"/>
    <w:next w:val="Normal"/>
    <w:autoRedefine/>
    <w:uiPriority w:val="39"/>
    <w:unhideWhenUsed/>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pPr>
      <w:spacing w:after="100" w:line="259" w:lineRule="auto"/>
      <w:ind w:left="1540"/>
    </w:pPr>
    <w:rPr>
      <w:rFonts w:ascii="Calibri" w:hAnsi="Calibri"/>
      <w:sz w:val="22"/>
      <w:szCs w:val="22"/>
    </w:rPr>
  </w:style>
  <w:style w:type="paragraph" w:styleId="Revision">
    <w:name w:val="Revision"/>
    <w:hidden/>
    <w:uiPriority w:val="99"/>
    <w:semiHidden/>
    <w:rPr>
      <w:rFonts w:ascii="Times New Roman" w:eastAsia="Times New Roman" w:hAnsi="Times New Roman"/>
      <w:sz w:val="24"/>
    </w:rPr>
  </w:style>
  <w:style w:type="paragraph" w:customStyle="1" w:styleId="fig1head">
    <w:name w:val="_fig1head"/>
    <w:basedOn w:val="Normal"/>
    <w:next w:val="Normal"/>
    <w:pPr>
      <w:keepNext/>
      <w:suppressLineNumbers/>
      <w:tabs>
        <w:tab w:val="left" w:pos="720"/>
      </w:tabs>
      <w:spacing w:line="240" w:lineRule="auto"/>
      <w:ind w:left="720"/>
      <w:jc w:val="center"/>
    </w:pPr>
    <w:rPr>
      <w:rFonts w:eastAsia="Calibri"/>
      <w:b/>
      <w:szCs w:val="22"/>
    </w:rPr>
  </w:style>
  <w:style w:type="paragraph" w:customStyle="1" w:styleId="fig2head">
    <w:name w:val="_fig2head"/>
    <w:basedOn w:val="fig1head"/>
    <w:next w:val="Normal"/>
    <w:rPr>
      <w:b w:val="0"/>
      <w:u w:val="single"/>
    </w:rPr>
  </w:style>
  <w:style w:type="paragraph" w:customStyle="1" w:styleId="fig3fig">
    <w:name w:val="_fig3fig"/>
    <w:basedOn w:val="fig1head"/>
    <w:next w:val="A"/>
    <w:pPr>
      <w:keepNext w:val="0"/>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8223">
      <w:bodyDiv w:val="1"/>
      <w:marLeft w:val="0"/>
      <w:marRight w:val="0"/>
      <w:marTop w:val="0"/>
      <w:marBottom w:val="0"/>
      <w:divBdr>
        <w:top w:val="none" w:sz="0" w:space="0" w:color="auto"/>
        <w:left w:val="none" w:sz="0" w:space="0" w:color="auto"/>
        <w:bottom w:val="none" w:sz="0" w:space="0" w:color="auto"/>
        <w:right w:val="none" w:sz="0" w:space="0" w:color="auto"/>
      </w:divBdr>
    </w:div>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692923004">
      <w:bodyDiv w:val="1"/>
      <w:marLeft w:val="0"/>
      <w:marRight w:val="0"/>
      <w:marTop w:val="0"/>
      <w:marBottom w:val="0"/>
      <w:divBdr>
        <w:top w:val="none" w:sz="0" w:space="0" w:color="auto"/>
        <w:left w:val="none" w:sz="0" w:space="0" w:color="auto"/>
        <w:bottom w:val="none" w:sz="0" w:space="0" w:color="auto"/>
        <w:right w:val="none" w:sz="0" w:space="0" w:color="auto"/>
      </w:divBdr>
      <w:divsChild>
        <w:div w:id="54547146">
          <w:marLeft w:val="0"/>
          <w:marRight w:val="0"/>
          <w:marTop w:val="0"/>
          <w:marBottom w:val="0"/>
          <w:divBdr>
            <w:top w:val="none" w:sz="0" w:space="0" w:color="auto"/>
            <w:left w:val="none" w:sz="0" w:space="0" w:color="auto"/>
            <w:bottom w:val="none" w:sz="0" w:space="0" w:color="auto"/>
            <w:right w:val="none" w:sz="0" w:space="0" w:color="auto"/>
          </w:divBdr>
        </w:div>
        <w:div w:id="2054040779">
          <w:marLeft w:val="0"/>
          <w:marRight w:val="0"/>
          <w:marTop w:val="0"/>
          <w:marBottom w:val="0"/>
          <w:divBdr>
            <w:top w:val="none" w:sz="0" w:space="0" w:color="auto"/>
            <w:left w:val="none" w:sz="0" w:space="0" w:color="auto"/>
            <w:bottom w:val="none" w:sz="0" w:space="0" w:color="auto"/>
            <w:right w:val="none" w:sz="0" w:space="0" w:color="auto"/>
          </w:divBdr>
        </w:div>
      </w:divsChild>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1AE92B-0053-4321-B544-1ACE924309A8}"/>
</file>

<file path=customXml/itemProps2.xml><?xml version="1.0" encoding="utf-8"?>
<ds:datastoreItem xmlns:ds="http://schemas.openxmlformats.org/officeDocument/2006/customXml" ds:itemID="{B96E73A6-1A85-4FD7-8122-3E1E806373E9}"/>
</file>

<file path=customXml/itemProps3.xml><?xml version="1.0" encoding="utf-8"?>
<ds:datastoreItem xmlns:ds="http://schemas.openxmlformats.org/officeDocument/2006/customXml" ds:itemID="{E97AAD70-D960-4617-A174-FAD8DD657153}"/>
</file>

<file path=customXml/itemProps4.xml><?xml version="1.0" encoding="utf-8"?>
<ds:datastoreItem xmlns:ds="http://schemas.openxmlformats.org/officeDocument/2006/customXml" ds:itemID="{9FE44C32-27F4-4170-8EDD-52F478D3A428}"/>
</file>

<file path=customXml/itemProps5.xml><?xml version="1.0" encoding="utf-8"?>
<ds:datastoreItem xmlns:ds="http://schemas.openxmlformats.org/officeDocument/2006/customXml" ds:itemID="{5EB83A50-2523-44B4-8209-7E262EBD4289}"/>
</file>

<file path=docProps/app.xml><?xml version="1.0" encoding="utf-8"?>
<Properties xmlns="http://schemas.openxmlformats.org/officeDocument/2006/extended-properties" xmlns:vt="http://schemas.openxmlformats.org/officeDocument/2006/docPropsVTypes">
  <Template>UE 286 - Mullins Rebuttal Testimony (7-1-14)</Template>
  <TotalTime>218</TotalTime>
  <Pages>15</Pages>
  <Words>2957</Words>
  <Characters>15440</Characters>
  <Application>Microsoft Office Word</Application>
  <DocSecurity>0</DocSecurity>
  <Lines>308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28</cp:revision>
  <cp:lastPrinted>2015-08-13T14:29:00Z</cp:lastPrinted>
  <dcterms:created xsi:type="dcterms:W3CDTF">2015-08-13T14:34:00Z</dcterms:created>
  <dcterms:modified xsi:type="dcterms:W3CDTF">2015-08-14T17:05:00Z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