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ingle"/>
        <w:widowControl w:val="0"/>
        <w:ind w:left="4680" w:firstLine="0"/>
        <w:jc w:val="right"/>
        <w:rPr>
          <w:rStyle w:val="Strong"/>
        </w:rPr>
      </w:pPr>
      <w:r>
        <w:rPr>
          <w:rStyle w:val="Strong"/>
        </w:rPr>
        <w:t>EXHIBIT NO. ___(DWS-8T)</w:t>
      </w:r>
      <w:r>
        <w:rPr>
          <w:rStyle w:val="Strong"/>
        </w:rPr>
        <w:br/>
        <w:t xml:space="preserve">DOCKET NOS. UE-111048 and </w:t>
      </w:r>
      <w:r>
        <w:rPr>
          <w:rStyle w:val="Strong"/>
        </w:rPr>
        <w:br/>
        <w:t>UG-111049 (</w:t>
      </w:r>
      <w:r>
        <w:rPr>
          <w:rStyle w:val="Strong"/>
          <w:i/>
        </w:rPr>
        <w:t>Consolidated</w:t>
      </w:r>
      <w:r>
        <w:rPr>
          <w:rStyle w:val="Strong"/>
        </w:rPr>
        <w:t>)</w:t>
      </w:r>
      <w:r>
        <w:rPr>
          <w:rStyle w:val="Strong"/>
        </w:rPr>
        <w:br/>
        <w:t xml:space="preserve">2011 PSE GENERAL </w:t>
      </w:r>
      <w:smartTag w:uri="urn:schemas-microsoft-com:office:smarttags" w:element="stockticker">
        <w:r>
          <w:rPr>
            <w:rStyle w:val="Strong"/>
          </w:rPr>
          <w:t>RATE</w:t>
        </w:r>
      </w:smartTag>
      <w:r>
        <w:rPr>
          <w:rStyle w:val="Strong"/>
        </w:rPr>
        <w:t xml:space="preserve"> CASE</w:t>
      </w:r>
      <w:r>
        <w:rPr>
          <w:rStyle w:val="Strong"/>
        </w:rPr>
        <w:br/>
        <w:t>WITNESS:  Donald W. Schoenbeck</w:t>
      </w:r>
    </w:p>
    <w:p>
      <w:pPr>
        <w:pStyle w:val="Style5"/>
        <w:keepLines w:val="0"/>
        <w:widowControl w:val="0"/>
        <w:spacing w:before="0" w:line="240" w:lineRule="auto"/>
        <w:rPr>
          <w:b/>
        </w:rPr>
      </w:pPr>
    </w:p>
    <w:p>
      <w:pPr>
        <w:pStyle w:val="Style5"/>
        <w:keepLines w:val="0"/>
        <w:widowControl w:val="0"/>
        <w:spacing w:before="0" w:line="240" w:lineRule="auto"/>
        <w:rPr>
          <w:b/>
        </w:rPr>
      </w:pPr>
    </w:p>
    <w:p>
      <w:pPr>
        <w:pStyle w:val="Style5"/>
        <w:keepLines w:val="0"/>
        <w:widowControl w:val="0"/>
        <w:spacing w:before="0" w:line="240" w:lineRule="auto"/>
        <w:rPr>
          <w:b/>
        </w:rPr>
      </w:pPr>
    </w:p>
    <w:p>
      <w:pPr>
        <w:pStyle w:val="Style5"/>
        <w:keepLines w:val="0"/>
        <w:widowControl w:val="0"/>
        <w:spacing w:before="0" w:line="240" w:lineRule="auto"/>
        <w:rPr>
          <w:b/>
        </w:rPr>
      </w:pPr>
    </w:p>
    <w:p>
      <w:pPr>
        <w:pStyle w:val="Style5"/>
        <w:keepLines w:val="0"/>
        <w:widowControl w:val="0"/>
        <w:spacing w:before="0" w:line="240" w:lineRule="auto"/>
        <w:rPr>
          <w:b/>
        </w:rPr>
      </w:pPr>
    </w:p>
    <w:p>
      <w:pPr>
        <w:pStyle w:val="Style5"/>
        <w:keepLines w:val="0"/>
        <w:widowControl w:val="0"/>
        <w:spacing w:before="0" w:line="240" w:lineRule="auto"/>
        <w:rPr>
          <w:b/>
        </w:rPr>
      </w:pPr>
      <w:r>
        <w:rPr>
          <w:b/>
        </w:rPr>
        <w:t>BEFORE THE</w:t>
      </w:r>
    </w:p>
    <w:p>
      <w:pPr>
        <w:pStyle w:val="Style5"/>
        <w:keepLines w:val="0"/>
        <w:widowControl w:val="0"/>
        <w:spacing w:before="0" w:line="240" w:lineRule="auto"/>
        <w:rPr>
          <w:b/>
        </w:rPr>
      </w:pPr>
      <w:smartTag w:uri="urn:schemas-microsoft-com:office:smarttags" w:element="State">
        <w:smartTag w:uri="urn:schemas-microsoft-com:office:smarttags" w:element="place">
          <w:r>
            <w:rPr>
              <w:b/>
            </w:rPr>
            <w:t>WASHINGTON</w:t>
          </w:r>
        </w:smartTag>
      </w:smartTag>
      <w:r>
        <w:rPr>
          <w:b/>
        </w:rPr>
        <w:t xml:space="preserve"> UTILITIES AND TRANSPORTATION COMMISSION</w:t>
      </w:r>
    </w:p>
    <w:p>
      <w:pPr>
        <w:pStyle w:val="Style5"/>
        <w:keepLines w:val="0"/>
        <w:widowControl w:val="0"/>
        <w:spacing w:before="0" w:line="240" w:lineRule="auto"/>
        <w:rPr>
          <w:b/>
        </w:rPr>
      </w:pPr>
    </w:p>
    <w:p>
      <w:pPr>
        <w:pStyle w:val="Style5"/>
        <w:keepLines w:val="0"/>
        <w:widowControl w:val="0"/>
        <w:spacing w:before="0" w:line="240" w:lineRule="auto"/>
        <w:rPr>
          <w:b/>
        </w:rPr>
      </w:pPr>
    </w:p>
    <w:p>
      <w:pPr>
        <w:pStyle w:val="Style5"/>
        <w:keepLines w:val="0"/>
        <w:widowControl w:val="0"/>
        <w:spacing w:before="0" w:line="240" w:lineRule="auto"/>
        <w:rPr>
          <w:b/>
        </w:rPr>
      </w:pPr>
    </w:p>
    <w:tbl>
      <w:tblPr>
        <w:tblW w:w="0" w:type="auto"/>
        <w:tblInd w:w="-8" w:type="dxa"/>
        <w:tblLayout w:type="fixed"/>
        <w:tblCellMar>
          <w:left w:w="0" w:type="dxa"/>
          <w:right w:w="0" w:type="dxa"/>
        </w:tblCellMar>
        <w:tblLook w:val="0000" w:firstRow="0" w:lastRow="0" w:firstColumn="0" w:lastColumn="0" w:noHBand="0" w:noVBand="0"/>
      </w:tblPr>
      <w:tblGrid>
        <w:gridCol w:w="5102"/>
        <w:gridCol w:w="130"/>
        <w:gridCol w:w="4423"/>
      </w:tblGrid>
      <w:tr>
        <w:trPr>
          <w:cantSplit/>
        </w:trPr>
        <w:tc>
          <w:tcPr>
            <w:tcW w:w="5102" w:type="dxa"/>
            <w:tcBorders>
              <w:bottom w:val="single" w:sz="4" w:space="0" w:color="auto"/>
              <w:right w:val="single" w:sz="4" w:space="0" w:color="auto"/>
            </w:tcBorders>
          </w:tcPr>
          <w:p>
            <w:pPr>
              <w:pStyle w:val="Style68"/>
              <w:widowControl w:val="0"/>
              <w:rPr>
                <w:b/>
                <w:sz w:val="24"/>
              </w:rPr>
            </w:pPr>
            <w:smartTag w:uri="urn:schemas-microsoft-com:office:smarttags" w:element="State">
              <w:smartTag w:uri="urn:schemas-microsoft-com:office:smarttags" w:element="place">
                <w:r>
                  <w:rPr>
                    <w:b/>
                    <w:sz w:val="24"/>
                  </w:rPr>
                  <w:t>WASHINGTON</w:t>
                </w:r>
              </w:smartTag>
            </w:smartTag>
            <w:r>
              <w:rPr>
                <w:b/>
                <w:sz w:val="24"/>
              </w:rPr>
              <w:t xml:space="preserve"> UTILITIES AND</w:t>
            </w:r>
          </w:p>
          <w:p>
            <w:pPr>
              <w:pStyle w:val="Style68"/>
              <w:widowControl w:val="0"/>
              <w:rPr>
                <w:b/>
                <w:sz w:val="24"/>
              </w:rPr>
            </w:pPr>
            <w:r>
              <w:rPr>
                <w:b/>
                <w:sz w:val="24"/>
              </w:rPr>
              <w:t>TRANSPORTATION COMMISSION,</w:t>
            </w:r>
          </w:p>
          <w:p>
            <w:pPr>
              <w:pStyle w:val="Style68"/>
              <w:widowControl w:val="0"/>
              <w:rPr>
                <w:b/>
                <w:sz w:val="24"/>
              </w:rPr>
            </w:pPr>
          </w:p>
          <w:p>
            <w:pPr>
              <w:pStyle w:val="Style68"/>
              <w:widowControl w:val="0"/>
              <w:tabs>
                <w:tab w:val="left" w:pos="2168"/>
                <w:tab w:val="left" w:pos="4550"/>
              </w:tabs>
              <w:ind w:right="360"/>
              <w:jc w:val="right"/>
              <w:rPr>
                <w:b/>
                <w:sz w:val="24"/>
              </w:rPr>
            </w:pPr>
            <w:r>
              <w:rPr>
                <w:b/>
                <w:sz w:val="24"/>
              </w:rPr>
              <w:t>Complainant,</w:t>
            </w:r>
          </w:p>
          <w:p>
            <w:pPr>
              <w:pStyle w:val="Style68"/>
              <w:widowControl w:val="0"/>
              <w:rPr>
                <w:b/>
                <w:sz w:val="24"/>
              </w:rPr>
            </w:pPr>
          </w:p>
          <w:p>
            <w:pPr>
              <w:pStyle w:val="Style68"/>
              <w:widowControl w:val="0"/>
              <w:rPr>
                <w:b/>
                <w:sz w:val="24"/>
              </w:rPr>
            </w:pPr>
            <w:r>
              <w:rPr>
                <w:b/>
                <w:sz w:val="24"/>
              </w:rPr>
              <w:tab/>
              <w:t>v.</w:t>
            </w:r>
          </w:p>
          <w:p>
            <w:pPr>
              <w:pStyle w:val="Style68"/>
              <w:widowControl w:val="0"/>
              <w:rPr>
                <w:b/>
                <w:sz w:val="24"/>
              </w:rPr>
            </w:pPr>
          </w:p>
          <w:p>
            <w:pPr>
              <w:pStyle w:val="Style68"/>
              <w:widowControl w:val="0"/>
              <w:rPr>
                <w:b/>
                <w:sz w:val="24"/>
              </w:rPr>
            </w:pPr>
            <w:r>
              <w:rPr>
                <w:b/>
                <w:sz w:val="24"/>
              </w:rPr>
              <w:t>PUGET SOUND ENERGY, INC.,</w:t>
            </w:r>
          </w:p>
          <w:p>
            <w:pPr>
              <w:pStyle w:val="Style68"/>
              <w:widowControl w:val="0"/>
              <w:rPr>
                <w:b/>
                <w:sz w:val="24"/>
              </w:rPr>
            </w:pPr>
          </w:p>
          <w:p>
            <w:pPr>
              <w:pStyle w:val="Style68"/>
              <w:widowControl w:val="0"/>
              <w:tabs>
                <w:tab w:val="left" w:pos="2168"/>
              </w:tabs>
              <w:ind w:right="360"/>
              <w:jc w:val="right"/>
              <w:rPr>
                <w:b/>
                <w:sz w:val="24"/>
              </w:rPr>
            </w:pPr>
            <w:r>
              <w:rPr>
                <w:b/>
                <w:sz w:val="24"/>
              </w:rPr>
              <w:t>Respondent.</w:t>
            </w:r>
          </w:p>
          <w:p>
            <w:pPr>
              <w:pStyle w:val="Style68"/>
              <w:widowControl w:val="0"/>
              <w:tabs>
                <w:tab w:val="left" w:pos="1440"/>
              </w:tabs>
              <w:rPr>
                <w:b/>
                <w:sz w:val="24"/>
              </w:rPr>
            </w:pPr>
          </w:p>
        </w:tc>
        <w:tc>
          <w:tcPr>
            <w:tcW w:w="130" w:type="dxa"/>
            <w:tcBorders>
              <w:left w:val="single" w:sz="4" w:space="0" w:color="auto"/>
            </w:tcBorders>
          </w:tcPr>
          <w:p>
            <w:pPr>
              <w:widowControl w:val="0"/>
              <w:rPr>
                <w:b/>
              </w:rPr>
            </w:pPr>
          </w:p>
        </w:tc>
        <w:tc>
          <w:tcPr>
            <w:tcW w:w="4423" w:type="dxa"/>
            <w:vAlign w:val="center"/>
          </w:tcPr>
          <w:p>
            <w:pPr>
              <w:pStyle w:val="Style68"/>
              <w:widowControl w:val="0"/>
              <w:ind w:left="202"/>
              <w:rPr>
                <w:b/>
                <w:sz w:val="24"/>
              </w:rPr>
            </w:pPr>
            <w:r>
              <w:rPr>
                <w:b/>
                <w:sz w:val="24"/>
              </w:rPr>
              <w:t>Docket Nos. UE-111048 and UG-111049 (</w:t>
            </w:r>
            <w:r>
              <w:rPr>
                <w:b/>
                <w:i/>
                <w:sz w:val="24"/>
              </w:rPr>
              <w:t>Consolidated</w:t>
            </w:r>
            <w:r>
              <w:rPr>
                <w:b/>
                <w:sz w:val="24"/>
              </w:rPr>
              <w:t>)</w:t>
            </w:r>
          </w:p>
        </w:tc>
      </w:tr>
    </w:tbl>
    <w:p>
      <w:pPr>
        <w:pStyle w:val="Style5"/>
        <w:keepLines w:val="0"/>
        <w:widowControl w:val="0"/>
        <w:spacing w:before="0" w:line="240" w:lineRule="auto"/>
        <w:rPr>
          <w:b/>
        </w:rPr>
      </w:pPr>
    </w:p>
    <w:p>
      <w:pPr>
        <w:pStyle w:val="Style5"/>
        <w:keepLines w:val="0"/>
        <w:widowControl w:val="0"/>
        <w:spacing w:before="0" w:line="240" w:lineRule="auto"/>
        <w:rPr>
          <w:b/>
        </w:rPr>
      </w:pPr>
    </w:p>
    <w:p>
      <w:pPr>
        <w:pStyle w:val="Style5"/>
        <w:keepLines w:val="0"/>
        <w:widowControl w:val="0"/>
        <w:spacing w:before="0" w:line="240" w:lineRule="auto"/>
        <w:rPr>
          <w:b/>
        </w:rPr>
      </w:pPr>
    </w:p>
    <w:p>
      <w:pPr>
        <w:pStyle w:val="Style5"/>
        <w:spacing w:before="0" w:line="240" w:lineRule="auto"/>
        <w:rPr>
          <w:b/>
        </w:rPr>
      </w:pPr>
      <w:r>
        <w:rPr>
          <w:b/>
        </w:rPr>
        <w:t>PREFILED DIRECT TESTIMONY OF</w:t>
      </w:r>
    </w:p>
    <w:p>
      <w:pPr>
        <w:pStyle w:val="Style5"/>
        <w:spacing w:before="0" w:line="240" w:lineRule="auto"/>
        <w:rPr>
          <w:b/>
        </w:rPr>
      </w:pPr>
      <w:r>
        <w:rPr>
          <w:b/>
        </w:rPr>
        <w:br/>
        <w:t>DONALD W. SCHOENBECK</w:t>
      </w:r>
    </w:p>
    <w:p>
      <w:pPr>
        <w:pStyle w:val="Style5"/>
        <w:spacing w:before="0" w:line="240" w:lineRule="auto"/>
        <w:rPr>
          <w:b/>
        </w:rPr>
      </w:pPr>
      <w:r>
        <w:rPr>
          <w:b/>
        </w:rPr>
        <w:br/>
        <w:t xml:space="preserve">ON BEHALF OF </w:t>
      </w:r>
    </w:p>
    <w:p>
      <w:pPr>
        <w:pStyle w:val="Style5"/>
        <w:spacing w:before="0" w:line="240" w:lineRule="auto"/>
        <w:rPr>
          <w:b/>
        </w:rPr>
      </w:pPr>
    </w:p>
    <w:p>
      <w:pPr>
        <w:pStyle w:val="Style5"/>
        <w:spacing w:before="0" w:line="240" w:lineRule="auto"/>
        <w:rPr>
          <w:b/>
        </w:rPr>
      </w:pPr>
      <w:r>
        <w:rPr>
          <w:b/>
        </w:rPr>
        <w:t>NORTHWEST INDUSTRIAL GAS USERS</w:t>
      </w:r>
    </w:p>
    <w:p>
      <w:pPr>
        <w:pStyle w:val="Style5"/>
        <w:keepLines w:val="0"/>
        <w:widowControl w:val="0"/>
        <w:spacing w:before="0" w:line="240" w:lineRule="auto"/>
        <w:rPr>
          <w:b/>
        </w:rPr>
      </w:pPr>
    </w:p>
    <w:p>
      <w:pPr>
        <w:pStyle w:val="Style5"/>
        <w:keepLines w:val="0"/>
        <w:widowControl w:val="0"/>
        <w:spacing w:before="0" w:line="240" w:lineRule="auto"/>
        <w:rPr>
          <w:b/>
        </w:rPr>
      </w:pPr>
    </w:p>
    <w:p>
      <w:pPr>
        <w:pStyle w:val="Style5"/>
        <w:keepLines w:val="0"/>
        <w:widowControl w:val="0"/>
        <w:spacing w:before="0" w:line="240" w:lineRule="auto"/>
        <w:rPr>
          <w:b/>
        </w:rPr>
      </w:pPr>
    </w:p>
    <w:p>
      <w:pPr>
        <w:pStyle w:val="Style5"/>
        <w:keepLines w:val="0"/>
        <w:widowControl w:val="0"/>
        <w:spacing w:before="0" w:line="240" w:lineRule="auto"/>
        <w:rPr>
          <w:b/>
        </w:rPr>
      </w:pPr>
    </w:p>
    <w:p>
      <w:pPr>
        <w:pStyle w:val="Style5"/>
        <w:keepLines w:val="0"/>
        <w:widowControl w:val="0"/>
        <w:spacing w:before="0" w:line="240" w:lineRule="auto"/>
        <w:rPr>
          <w:b/>
        </w:rPr>
      </w:pPr>
    </w:p>
    <w:p>
      <w:pPr>
        <w:pStyle w:val="Style5"/>
        <w:keepLines w:val="0"/>
        <w:widowControl w:val="0"/>
        <w:spacing w:before="0" w:line="240" w:lineRule="auto"/>
        <w:rPr>
          <w:b/>
        </w:rPr>
      </w:pPr>
    </w:p>
    <w:p>
      <w:pPr>
        <w:pStyle w:val="Style5"/>
        <w:keepLines w:val="0"/>
        <w:widowControl w:val="0"/>
        <w:spacing w:before="0" w:line="240" w:lineRule="auto"/>
        <w:rPr>
          <w:b/>
        </w:rPr>
      </w:pPr>
    </w:p>
    <w:p>
      <w:pPr>
        <w:pStyle w:val="Style5"/>
        <w:keepLines w:val="0"/>
        <w:widowControl w:val="0"/>
        <w:spacing w:before="0" w:line="240" w:lineRule="auto"/>
        <w:rPr>
          <w:b/>
        </w:rPr>
      </w:pPr>
    </w:p>
    <w:p>
      <w:pPr>
        <w:pStyle w:val="Style5"/>
        <w:keepLines w:val="0"/>
        <w:widowControl w:val="0"/>
        <w:spacing w:before="0" w:line="240" w:lineRule="auto"/>
        <w:rPr>
          <w:b/>
        </w:rPr>
      </w:pPr>
    </w:p>
    <w:p>
      <w:pPr>
        <w:pStyle w:val="Style5"/>
        <w:keepLines w:val="0"/>
        <w:widowControl w:val="0"/>
        <w:spacing w:before="0" w:line="240" w:lineRule="auto"/>
        <w:rPr>
          <w:b/>
        </w:rPr>
      </w:pPr>
      <w:r>
        <w:rPr>
          <w:b/>
        </w:rPr>
        <w:t>December 7, 2011</w:t>
      </w:r>
    </w:p>
    <w:p>
      <w:pPr>
        <w:pStyle w:val="Style5"/>
        <w:keepLines w:val="0"/>
        <w:widowControl w:val="0"/>
        <w:spacing w:before="0" w:line="240" w:lineRule="auto"/>
        <w:rPr>
          <w:b/>
        </w:rPr>
        <w:sectPr>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2160" w:header="720" w:footer="864" w:gutter="0"/>
          <w:pgNumType w:start="1"/>
          <w:cols w:space="720"/>
        </w:sectPr>
      </w:pPr>
    </w:p>
    <w:p>
      <w:pPr>
        <w:pStyle w:val="Style10"/>
        <w:keepNext w:val="0"/>
        <w:keepLines w:val="0"/>
        <w:widowControl w:val="0"/>
        <w:spacing w:after="240" w:line="240" w:lineRule="auto"/>
        <w:rPr>
          <w:rStyle w:val="Strong"/>
          <w:b/>
        </w:rPr>
      </w:pPr>
      <w:r>
        <w:rPr>
          <w:rStyle w:val="Strong"/>
          <w:b/>
        </w:rPr>
        <w:lastRenderedPageBreak/>
        <w:t>PUGET SOUND ENERGY, INC.</w:t>
      </w:r>
    </w:p>
    <w:p>
      <w:pPr>
        <w:pStyle w:val="Style10"/>
        <w:keepNext w:val="0"/>
        <w:keepLines w:val="0"/>
        <w:widowControl w:val="0"/>
        <w:spacing w:after="240" w:line="240" w:lineRule="auto"/>
        <w:ind w:left="540" w:right="540"/>
        <w:rPr>
          <w:rStyle w:val="Strong"/>
          <w:b/>
        </w:rPr>
      </w:pPr>
      <w:r>
        <w:rPr>
          <w:rStyle w:val="Strong"/>
          <w:b/>
        </w:rPr>
        <w:t>PREFILED DIRECT TESTIMONY</w:t>
      </w:r>
      <w:r>
        <w:rPr>
          <w:b w:val="0"/>
          <w:color w:val="000000"/>
        </w:rPr>
        <w:t xml:space="preserve"> </w:t>
      </w:r>
      <w:r>
        <w:rPr>
          <w:rStyle w:val="Strong"/>
          <w:b/>
        </w:rPr>
        <w:t>OF</w:t>
      </w:r>
      <w:r>
        <w:rPr>
          <w:rStyle w:val="Strong"/>
          <w:b/>
        </w:rPr>
        <w:br/>
        <w:t>DONALD W. SCHOENBECK</w:t>
      </w:r>
    </w:p>
    <w:p>
      <w:pPr>
        <w:pStyle w:val="TOC1"/>
        <w:ind w:firstLine="0"/>
        <w:jc w:val="center"/>
        <w:rPr>
          <w:rStyle w:val="Strong"/>
          <w:b w:val="0"/>
          <w:color w:val="000000"/>
        </w:rPr>
      </w:pPr>
      <w:r>
        <w:rPr>
          <w:rStyle w:val="Strong"/>
          <w:b w:val="0"/>
          <w:color w:val="000000"/>
        </w:rPr>
        <w:t>CONTENTS</w:t>
      </w:r>
    </w:p>
    <w:p>
      <w:pPr>
        <w:pStyle w:val="TOC1"/>
        <w:rPr>
          <w:rFonts w:asciiTheme="minorHAnsi" w:eastAsiaTheme="minorEastAsia" w:hAnsiTheme="minorHAnsi" w:cstheme="minorBidi"/>
          <w:color w:val="auto"/>
          <w:sz w:val="22"/>
          <w:szCs w:val="22"/>
          <w:lang w:eastAsia="en-US"/>
        </w:rPr>
      </w:pPr>
      <w:r>
        <w:t>I.</w:t>
      </w:r>
      <w:r>
        <w:rPr>
          <w:rFonts w:asciiTheme="minorHAnsi" w:eastAsiaTheme="minorEastAsia" w:hAnsiTheme="minorHAnsi" w:cstheme="minorBidi"/>
          <w:color w:val="auto"/>
          <w:sz w:val="22"/>
          <w:szCs w:val="22"/>
          <w:lang w:eastAsia="en-US"/>
        </w:rPr>
        <w:tab/>
      </w:r>
      <w:r>
        <w:t>INTRODUCTION AND SUMMARY</w:t>
      </w:r>
      <w:r>
        <w:rPr>
          <w:webHidden/>
          <w:color w:val="auto"/>
        </w:rPr>
        <w:tab/>
        <w:t>1</w:t>
      </w:r>
    </w:p>
    <w:p>
      <w:pPr>
        <w:pStyle w:val="TOC1"/>
        <w:rPr>
          <w:rFonts w:asciiTheme="minorHAnsi" w:eastAsiaTheme="minorEastAsia" w:hAnsiTheme="minorHAnsi" w:cstheme="minorBidi"/>
          <w:color w:val="auto"/>
          <w:sz w:val="22"/>
          <w:szCs w:val="22"/>
          <w:lang w:eastAsia="en-US"/>
        </w:rPr>
      </w:pPr>
      <w:r>
        <w:t>II.</w:t>
      </w:r>
      <w:r>
        <w:rPr>
          <w:rFonts w:asciiTheme="minorHAnsi" w:eastAsiaTheme="minorEastAsia" w:hAnsiTheme="minorHAnsi" w:cstheme="minorBidi"/>
          <w:color w:val="auto"/>
          <w:sz w:val="22"/>
          <w:szCs w:val="22"/>
          <w:lang w:eastAsia="en-US"/>
        </w:rPr>
        <w:tab/>
      </w:r>
      <w:r>
        <w:t>PSE’S CSA RATE PROPOSAL</w:t>
      </w:r>
      <w:r>
        <w:rPr>
          <w:webHidden/>
          <w:color w:val="auto"/>
        </w:rPr>
        <w:tab/>
        <w:t>5</w:t>
      </w:r>
    </w:p>
    <w:p>
      <w:pPr>
        <w:pStyle w:val="TOC1"/>
        <w:rPr>
          <w:rFonts w:asciiTheme="minorHAnsi" w:eastAsiaTheme="minorEastAsia" w:hAnsiTheme="minorHAnsi" w:cstheme="minorBidi"/>
          <w:color w:val="auto"/>
          <w:sz w:val="22"/>
          <w:szCs w:val="22"/>
          <w:lang w:eastAsia="en-US"/>
        </w:rPr>
      </w:pPr>
      <w:r>
        <w:t>III.</w:t>
      </w:r>
      <w:r>
        <w:rPr>
          <w:rFonts w:asciiTheme="minorHAnsi" w:eastAsiaTheme="minorEastAsia" w:hAnsiTheme="minorHAnsi" w:cstheme="minorBidi"/>
          <w:color w:val="auto"/>
          <w:sz w:val="22"/>
          <w:szCs w:val="22"/>
          <w:lang w:eastAsia="en-US"/>
        </w:rPr>
        <w:tab/>
      </w:r>
      <w:r>
        <w:t>ALLOCATION OF DISTRIBUTION MAIN COSTS</w:t>
      </w:r>
      <w:r>
        <w:rPr>
          <w:webHidden/>
          <w:color w:val="auto"/>
        </w:rPr>
        <w:tab/>
        <w:t>8</w:t>
      </w:r>
    </w:p>
    <w:p>
      <w:pPr>
        <w:pStyle w:val="TOC1"/>
        <w:rPr>
          <w:rFonts w:asciiTheme="minorHAnsi" w:eastAsiaTheme="minorEastAsia" w:hAnsiTheme="minorHAnsi" w:cstheme="minorBidi"/>
          <w:color w:val="auto"/>
          <w:sz w:val="22"/>
          <w:szCs w:val="22"/>
          <w:lang w:eastAsia="en-US"/>
        </w:rPr>
      </w:pPr>
      <w:r>
        <w:t>IV.</w:t>
      </w:r>
      <w:r>
        <w:rPr>
          <w:rFonts w:asciiTheme="minorHAnsi" w:eastAsiaTheme="minorEastAsia" w:hAnsiTheme="minorHAnsi" w:cstheme="minorBidi"/>
          <w:color w:val="auto"/>
          <w:sz w:val="22"/>
          <w:szCs w:val="22"/>
          <w:lang w:eastAsia="en-US"/>
        </w:rPr>
        <w:tab/>
      </w:r>
      <w:r>
        <w:t>RATE SPREAD</w:t>
      </w:r>
      <w:r>
        <w:rPr>
          <w:webHidden/>
          <w:color w:val="auto"/>
        </w:rPr>
        <w:tab/>
        <w:t>13</w:t>
      </w:r>
    </w:p>
    <w:p>
      <w:pPr>
        <w:pStyle w:val="TOC1"/>
        <w:rPr>
          <w:rFonts w:asciiTheme="minorHAnsi" w:eastAsiaTheme="minorEastAsia" w:hAnsiTheme="minorHAnsi" w:cstheme="minorBidi"/>
          <w:color w:val="auto"/>
          <w:sz w:val="22"/>
          <w:szCs w:val="22"/>
          <w:lang w:eastAsia="en-US"/>
        </w:rPr>
      </w:pPr>
      <w:r>
        <w:t>V.</w:t>
      </w:r>
      <w:r>
        <w:rPr>
          <w:rFonts w:asciiTheme="minorHAnsi" w:eastAsiaTheme="minorEastAsia" w:hAnsiTheme="minorHAnsi" w:cstheme="minorBidi"/>
          <w:color w:val="auto"/>
          <w:sz w:val="22"/>
          <w:szCs w:val="22"/>
          <w:lang w:eastAsia="en-US"/>
        </w:rPr>
        <w:tab/>
      </w:r>
      <w:r>
        <w:t>INDUSTRIAL RATE DESIGN</w:t>
      </w:r>
      <w:r>
        <w:rPr>
          <w:webHidden/>
          <w:color w:val="auto"/>
        </w:rPr>
        <w:tab/>
        <w:t>14</w:t>
      </w:r>
    </w:p>
    <w:p>
      <w:pPr>
        <w:pStyle w:val="Style10"/>
        <w:keepNext w:val="0"/>
        <w:keepLines w:val="0"/>
        <w:widowControl w:val="0"/>
        <w:spacing w:after="240" w:line="480" w:lineRule="auto"/>
        <w:sectPr>
          <w:headerReference w:type="default" r:id="rId14"/>
          <w:footerReference w:type="default" r:id="rId15"/>
          <w:footerReference w:type="first" r:id="rId16"/>
          <w:pgSz w:w="12240" w:h="15840" w:code="1"/>
          <w:pgMar w:top="1440" w:right="1440" w:bottom="1440" w:left="2160" w:header="864" w:footer="576" w:gutter="0"/>
          <w:pgNumType w:fmt="lowerRoman" w:start="1"/>
          <w:cols w:space="720"/>
        </w:sectPr>
      </w:pPr>
    </w:p>
    <w:p>
      <w:pPr>
        <w:pStyle w:val="Style10"/>
        <w:keepNext w:val="0"/>
        <w:keepLines w:val="0"/>
        <w:widowControl w:val="0"/>
        <w:spacing w:after="240" w:line="480" w:lineRule="auto"/>
        <w:ind w:left="540" w:right="540"/>
        <w:rPr>
          <w:szCs w:val="24"/>
        </w:rPr>
      </w:pPr>
      <w:r>
        <w:rPr>
          <w:szCs w:val="24"/>
        </w:rPr>
        <w:lastRenderedPageBreak/>
        <w:t>PUGET SOUND ENERGY, INC.</w:t>
      </w:r>
    </w:p>
    <w:p>
      <w:pPr>
        <w:pStyle w:val="Style10"/>
        <w:keepNext w:val="0"/>
        <w:keepLines w:val="0"/>
        <w:widowControl w:val="0"/>
        <w:spacing w:after="240" w:line="240" w:lineRule="auto"/>
        <w:ind w:left="540" w:right="540"/>
        <w:rPr>
          <w:rStyle w:val="Strong"/>
          <w:b/>
        </w:rPr>
      </w:pPr>
      <w:bookmarkStart w:id="7" w:name="_Toc117411518"/>
      <w:bookmarkStart w:id="8" w:name="_Toc125892215"/>
      <w:r>
        <w:rPr>
          <w:rStyle w:val="Strong"/>
          <w:b/>
        </w:rPr>
        <w:t>PREFILED DIRECT TESTIMONY</w:t>
      </w:r>
      <w:r>
        <w:rPr>
          <w:b w:val="0"/>
          <w:color w:val="000000"/>
        </w:rPr>
        <w:t xml:space="preserve"> </w:t>
      </w:r>
      <w:r>
        <w:rPr>
          <w:rStyle w:val="Strong"/>
          <w:b/>
        </w:rPr>
        <w:t>OF</w:t>
      </w:r>
      <w:r>
        <w:rPr>
          <w:rStyle w:val="Strong"/>
          <w:b/>
        </w:rPr>
        <w:br/>
        <w:t>DONALD W. SCHOENBECK</w:t>
      </w:r>
    </w:p>
    <w:p>
      <w:pPr>
        <w:pStyle w:val="Heading1"/>
      </w:pPr>
      <w:bookmarkStart w:id="9" w:name="_Toc530981222"/>
      <w:bookmarkStart w:id="10" w:name="_Toc530989798"/>
      <w:bookmarkStart w:id="11" w:name="_Toc127352133"/>
      <w:bookmarkStart w:id="12" w:name="_Toc310174485"/>
      <w:r>
        <w:t>I.</w:t>
      </w:r>
      <w:r>
        <w:tab/>
        <w:t>INTRODUCTION</w:t>
      </w:r>
      <w:bookmarkEnd w:id="9"/>
      <w:bookmarkEnd w:id="10"/>
      <w:bookmarkEnd w:id="11"/>
      <w:r>
        <w:t xml:space="preserve"> AND SUMMARY</w:t>
      </w:r>
      <w:bookmarkEnd w:id="12"/>
    </w:p>
    <w:bookmarkEnd w:id="7"/>
    <w:bookmarkEnd w:id="8"/>
    <w:p>
      <w:pPr>
        <w:pStyle w:val="Style42"/>
        <w:keepNext w:val="0"/>
        <w:widowControl w:val="0"/>
        <w:spacing w:before="120"/>
      </w:pPr>
      <w:r>
        <w:t>Q.</w:t>
      </w:r>
      <w:r>
        <w:tab/>
        <w:t>PLEASE STATE YOUR NAME AND BUSINESS ADDRESS.</w:t>
      </w:r>
    </w:p>
    <w:p>
      <w:pPr>
        <w:pStyle w:val="Style43"/>
        <w:widowControl w:val="0"/>
        <w:rPr>
          <w:szCs w:val="24"/>
        </w:rPr>
      </w:pPr>
      <w:r>
        <w:t>A.</w:t>
      </w:r>
      <w:r>
        <w:tab/>
        <w:t xml:space="preserve">My name is Donald W. Schoenbeck.  I am a member of Regulatory &amp; Cogeneration Services, Inc. (“RCS”), a utility rate and economic consulting firm.  My business address is </w:t>
      </w:r>
      <w:smartTag w:uri="urn:schemas-microsoft-com:office:smarttags" w:element="address">
        <w:smartTag w:uri="urn:schemas-microsoft-com:office:smarttags" w:element="Street">
          <w:r>
            <w:t>900 Washington Street, Suite 780</w:t>
          </w:r>
        </w:smartTag>
        <w:r>
          <w:t xml:space="preserve">, </w:t>
        </w:r>
        <w:smartTag w:uri="urn:schemas-microsoft-com:office:smarttags" w:element="City">
          <w:r>
            <w:t>Vancouver</w:t>
          </w:r>
        </w:smartTag>
        <w:r>
          <w:t xml:space="preserve">, </w:t>
        </w:r>
        <w:smartTag w:uri="urn:schemas-microsoft-com:office:smarttags" w:element="State">
          <w:r>
            <w:t>WA</w:t>
          </w:r>
        </w:smartTag>
        <w:r>
          <w:t xml:space="preserve"> </w:t>
        </w:r>
        <w:smartTag w:uri="urn:schemas-microsoft-com:office:smarttags" w:element="PostalCode">
          <w:r>
            <w:t>98660</w:t>
          </w:r>
        </w:smartTag>
      </w:smartTag>
      <w:r>
        <w:t xml:space="preserve">. </w:t>
      </w:r>
    </w:p>
    <w:p>
      <w:pPr>
        <w:pStyle w:val="Style42"/>
        <w:keepNext w:val="0"/>
        <w:widowControl w:val="0"/>
        <w:spacing w:before="120"/>
      </w:pPr>
      <w:r>
        <w:t>Q.</w:t>
      </w:r>
      <w:r>
        <w:tab/>
      </w:r>
      <w:r>
        <w:rPr>
          <w:bCs/>
        </w:rPr>
        <w:t>PLEASE DESCRIBE YOUR BACKGROUND AND EXPERIENCE.</w:t>
      </w:r>
    </w:p>
    <w:p>
      <w:pPr>
        <w:pStyle w:val="Style43"/>
        <w:widowControl w:val="0"/>
        <w:rPr>
          <w:snapToGrid w:val="0"/>
        </w:rPr>
      </w:pPr>
      <w:r>
        <w:t>A.</w:t>
      </w:r>
      <w:r>
        <w:tab/>
        <w:t>I’ve been involved in the electric and gas utility industries for over 35 years.  For the majority of this time, I have provided consulting services for large industrial customers addressing regulatory and contractual matters.  I have appeared before the Washington Utilities and Transportation Commission (“Commission”) on many occasions, including several proceedings regarding the establishment of charges for customers of Puget Sound Energy (“PSE” or the “Company”).  A further description of my educational background and work experience can be found in Exhibit No. ___ (DWS-2) in this proceeding</w:t>
      </w:r>
      <w:r>
        <w:rPr>
          <w:snapToGrid w:val="0"/>
        </w:rPr>
        <w:t>.</w:t>
      </w:r>
    </w:p>
    <w:p>
      <w:pPr>
        <w:spacing w:line="480" w:lineRule="auto"/>
        <w:ind w:left="720" w:hanging="720"/>
        <w:rPr>
          <w:b/>
          <w:bCs/>
        </w:rPr>
      </w:pPr>
      <w:r>
        <w:rPr>
          <w:b/>
          <w:bCs/>
        </w:rPr>
        <w:t>Q.</w:t>
      </w:r>
      <w:r>
        <w:tab/>
      </w:r>
      <w:r>
        <w:rPr>
          <w:b/>
          <w:bCs/>
        </w:rPr>
        <w:t>ON WHOSE BEHALF ARE YOU SUBMITTING THIS TESTIMONY?</w:t>
      </w:r>
    </w:p>
    <w:p>
      <w:pPr>
        <w:spacing w:line="480" w:lineRule="auto"/>
        <w:ind w:left="720" w:hanging="720"/>
      </w:pPr>
      <w:r>
        <w:rPr>
          <w:bCs/>
        </w:rPr>
        <w:t>A.</w:t>
      </w:r>
      <w:r>
        <w:rPr>
          <w:b/>
          <w:bCs/>
        </w:rPr>
        <w:tab/>
      </w:r>
      <w:r>
        <w:rPr>
          <w:bCs/>
        </w:rPr>
        <w:t xml:space="preserve">This testimony </w:t>
      </w:r>
      <w:r>
        <w:t xml:space="preserve">is on behalf of the Northwest Industrial Gas Users (“NWIGU”).  NWIGU is a trade association whose members are large industrial customers served by gas utilities throughout the </w:t>
      </w:r>
      <w:smartTag w:uri="urn:schemas-microsoft-com:office:smarttags" w:element="place">
        <w:r>
          <w:t>Pacific Northwest</w:t>
        </w:r>
      </w:smartTag>
      <w:r>
        <w:t>, including Puget Sound Energy.</w:t>
      </w:r>
    </w:p>
    <w:p>
      <w:pPr>
        <w:spacing w:line="480" w:lineRule="auto"/>
        <w:ind w:left="720" w:hanging="720"/>
        <w:rPr>
          <w:b/>
          <w:bCs/>
        </w:rPr>
      </w:pPr>
      <w:r>
        <w:rPr>
          <w:b/>
          <w:bCs/>
        </w:rPr>
        <w:t>Q.</w:t>
      </w:r>
      <w:r>
        <w:tab/>
      </w:r>
      <w:r>
        <w:rPr>
          <w:b/>
          <w:bCs/>
        </w:rPr>
        <w:t>WHAT TOPICS WILL YOUR TESTIMONY ADDRESS?</w:t>
      </w:r>
    </w:p>
    <w:p>
      <w:pPr>
        <w:spacing w:line="480" w:lineRule="auto"/>
        <w:ind w:left="720" w:hanging="720"/>
      </w:pPr>
      <w:r>
        <w:rPr>
          <w:bCs/>
        </w:rPr>
        <w:t>A.</w:t>
      </w:r>
      <w:r>
        <w:tab/>
        <w:t xml:space="preserve"> I will discuss PSE’s conservation savings adjustment (“CSA”) rate proposal, allocation of distribution mains within its cost- of- service study, rate spread and industrial rate design matters.  My testimony will not address revenue requirement issues at this time.  This silence should not be construed as acceptance by NWIGU of the Company’s proposed increase amount.  NWIGU reserves the right to address revenue requirement matters in cross-examination of other witnesses and in its briefs.  </w:t>
      </w:r>
    </w:p>
    <w:p>
      <w:pPr>
        <w:spacing w:line="240" w:lineRule="auto"/>
        <w:ind w:left="720" w:hanging="720"/>
      </w:pPr>
      <w:r>
        <w:rPr>
          <w:b/>
          <w:bCs/>
        </w:rPr>
        <w:t>Q.</w:t>
      </w:r>
      <w:r>
        <w:tab/>
      </w:r>
      <w:r>
        <w:rPr>
          <w:b/>
          <w:bCs/>
        </w:rPr>
        <w:t>PLEASE BRIEFLY SUMMARIZE YOUR FINDINGS AND RECOMMENDATIONS ADDRESSED IN THIS TESTIMONY.</w:t>
      </w:r>
      <w:r>
        <w:t xml:space="preserve"> </w:t>
      </w:r>
    </w:p>
    <w:p>
      <w:pPr>
        <w:suppressLineNumbers/>
        <w:spacing w:line="240" w:lineRule="auto"/>
        <w:ind w:left="720" w:hanging="720"/>
        <w:rPr>
          <w:b/>
          <w:bCs/>
        </w:rPr>
      </w:pPr>
    </w:p>
    <w:p>
      <w:pPr>
        <w:spacing w:line="480" w:lineRule="auto"/>
        <w:ind w:left="720" w:hanging="720"/>
      </w:pPr>
      <w:r>
        <w:rPr>
          <w:bCs/>
        </w:rPr>
        <w:t>A.</w:t>
      </w:r>
      <w:r>
        <w:tab/>
        <w:t>The Commission should reject the Company’s CSA rate proposal.  It is simply another attempt by the Company to impose automatic annual rate increases on customers with no corresponding benefit for the customers.  However, if the Commission approves the mechanism, NWIGU recommends a superior grouping of rate schedules--based on the fixed margin charges of the various customer classes--as shown by the following table.</w:t>
      </w:r>
    </w:p>
    <w:tbl>
      <w:tblPr>
        <w:tblW w:w="3057" w:type="dxa"/>
        <w:jc w:val="center"/>
        <w:tblInd w:w="108" w:type="dxa"/>
        <w:tblLook w:val="04A0" w:firstRow="1" w:lastRow="0" w:firstColumn="1" w:lastColumn="0" w:noHBand="0" w:noVBand="1"/>
      </w:tblPr>
      <w:tblGrid>
        <w:gridCol w:w="741"/>
        <w:gridCol w:w="1158"/>
        <w:gridCol w:w="1158"/>
      </w:tblGrid>
      <w:tr>
        <w:trPr>
          <w:trHeight w:val="300"/>
          <w:jc w:val="center"/>
        </w:trPr>
        <w:tc>
          <w:tcPr>
            <w:tcW w:w="3057" w:type="dxa"/>
            <w:gridSpan w:val="3"/>
            <w:tcBorders>
              <w:top w:val="nil"/>
              <w:left w:val="nil"/>
              <w:bottom w:val="nil"/>
              <w:right w:val="nil"/>
            </w:tcBorders>
            <w:shd w:val="clear" w:color="auto" w:fill="auto"/>
            <w:noWrap/>
            <w:vAlign w:val="bottom"/>
            <w:hideMark/>
          </w:tcPr>
          <w:p>
            <w:pPr>
              <w:spacing w:line="240" w:lineRule="auto"/>
              <w:ind w:firstLine="0"/>
              <w:jc w:val="center"/>
              <w:rPr>
                <w:color w:val="000000"/>
                <w:sz w:val="20"/>
                <w:lang w:eastAsia="en-US"/>
              </w:rPr>
            </w:pPr>
            <w:r>
              <w:rPr>
                <w:color w:val="000000"/>
                <w:sz w:val="20"/>
                <w:lang w:eastAsia="en-US"/>
              </w:rPr>
              <w:t>Rate Schedule Grouping Comparison</w:t>
            </w:r>
          </w:p>
        </w:tc>
      </w:tr>
      <w:tr>
        <w:trPr>
          <w:trHeight w:val="300"/>
          <w:jc w:val="center"/>
        </w:trPr>
        <w:tc>
          <w:tcPr>
            <w:tcW w:w="741" w:type="dxa"/>
            <w:tcBorders>
              <w:top w:val="nil"/>
              <w:left w:val="nil"/>
              <w:bottom w:val="nil"/>
              <w:right w:val="nil"/>
            </w:tcBorders>
            <w:shd w:val="clear" w:color="auto" w:fill="auto"/>
            <w:noWrap/>
            <w:vAlign w:val="bottom"/>
            <w:hideMark/>
          </w:tcPr>
          <w:p>
            <w:pPr>
              <w:spacing w:line="240" w:lineRule="auto"/>
              <w:ind w:firstLine="0"/>
              <w:jc w:val="center"/>
              <w:rPr>
                <w:color w:val="000000"/>
                <w:sz w:val="20"/>
                <w:lang w:eastAsia="en-US"/>
              </w:rPr>
            </w:pPr>
            <w:r>
              <w:rPr>
                <w:color w:val="000000"/>
                <w:sz w:val="20"/>
                <w:lang w:eastAsia="en-US"/>
              </w:rPr>
              <w:t>Group</w:t>
            </w:r>
          </w:p>
        </w:tc>
        <w:tc>
          <w:tcPr>
            <w:tcW w:w="1158" w:type="dxa"/>
            <w:tcBorders>
              <w:top w:val="nil"/>
              <w:left w:val="nil"/>
              <w:bottom w:val="nil"/>
              <w:right w:val="nil"/>
            </w:tcBorders>
            <w:shd w:val="clear" w:color="auto" w:fill="auto"/>
            <w:noWrap/>
            <w:vAlign w:val="bottom"/>
            <w:hideMark/>
          </w:tcPr>
          <w:p>
            <w:pPr>
              <w:spacing w:line="240" w:lineRule="auto"/>
              <w:ind w:firstLine="0"/>
              <w:jc w:val="center"/>
              <w:rPr>
                <w:color w:val="000000"/>
                <w:sz w:val="20"/>
                <w:lang w:eastAsia="en-US"/>
              </w:rPr>
            </w:pPr>
            <w:r>
              <w:rPr>
                <w:color w:val="000000"/>
                <w:sz w:val="20"/>
                <w:lang w:eastAsia="en-US"/>
              </w:rPr>
              <w:t>PSE</w:t>
            </w:r>
          </w:p>
        </w:tc>
        <w:tc>
          <w:tcPr>
            <w:tcW w:w="1158" w:type="dxa"/>
            <w:tcBorders>
              <w:top w:val="nil"/>
              <w:left w:val="nil"/>
              <w:bottom w:val="nil"/>
              <w:right w:val="nil"/>
            </w:tcBorders>
            <w:shd w:val="clear" w:color="auto" w:fill="auto"/>
            <w:noWrap/>
            <w:vAlign w:val="bottom"/>
            <w:hideMark/>
          </w:tcPr>
          <w:p>
            <w:pPr>
              <w:spacing w:line="240" w:lineRule="auto"/>
              <w:ind w:firstLine="0"/>
              <w:jc w:val="center"/>
              <w:rPr>
                <w:color w:val="000000"/>
                <w:sz w:val="20"/>
                <w:lang w:eastAsia="en-US"/>
              </w:rPr>
            </w:pPr>
            <w:r>
              <w:rPr>
                <w:color w:val="000000"/>
                <w:sz w:val="20"/>
                <w:lang w:eastAsia="en-US"/>
              </w:rPr>
              <w:t>NWIGU</w:t>
            </w:r>
          </w:p>
        </w:tc>
      </w:tr>
      <w:tr>
        <w:trPr>
          <w:trHeight w:val="300"/>
          <w:jc w:val="center"/>
        </w:trPr>
        <w:tc>
          <w:tcPr>
            <w:tcW w:w="741" w:type="dxa"/>
            <w:tcBorders>
              <w:top w:val="nil"/>
              <w:left w:val="nil"/>
              <w:bottom w:val="nil"/>
              <w:right w:val="nil"/>
            </w:tcBorders>
            <w:shd w:val="clear" w:color="auto" w:fill="auto"/>
            <w:noWrap/>
            <w:vAlign w:val="bottom"/>
            <w:hideMark/>
          </w:tcPr>
          <w:p>
            <w:pPr>
              <w:spacing w:line="240" w:lineRule="auto"/>
              <w:ind w:firstLine="0"/>
              <w:jc w:val="center"/>
              <w:rPr>
                <w:color w:val="000000"/>
                <w:sz w:val="20"/>
                <w:lang w:eastAsia="en-US"/>
              </w:rPr>
            </w:pPr>
            <w:r>
              <w:rPr>
                <w:color w:val="000000"/>
                <w:sz w:val="20"/>
                <w:lang w:eastAsia="en-US"/>
              </w:rPr>
              <w:t>1</w:t>
            </w:r>
          </w:p>
        </w:tc>
        <w:tc>
          <w:tcPr>
            <w:tcW w:w="1158" w:type="dxa"/>
            <w:tcBorders>
              <w:top w:val="nil"/>
              <w:left w:val="nil"/>
              <w:bottom w:val="nil"/>
              <w:right w:val="nil"/>
            </w:tcBorders>
            <w:shd w:val="clear" w:color="auto" w:fill="auto"/>
            <w:noWrap/>
            <w:vAlign w:val="bottom"/>
            <w:hideMark/>
          </w:tcPr>
          <w:p>
            <w:pPr>
              <w:spacing w:line="240" w:lineRule="auto"/>
              <w:ind w:firstLine="0"/>
              <w:jc w:val="center"/>
              <w:rPr>
                <w:color w:val="000000"/>
                <w:sz w:val="20"/>
                <w:lang w:eastAsia="en-US"/>
              </w:rPr>
            </w:pPr>
            <w:r>
              <w:rPr>
                <w:color w:val="000000"/>
                <w:sz w:val="20"/>
                <w:lang w:eastAsia="en-US"/>
              </w:rPr>
              <w:t>23, 57</w:t>
            </w:r>
          </w:p>
        </w:tc>
        <w:tc>
          <w:tcPr>
            <w:tcW w:w="1158" w:type="dxa"/>
            <w:tcBorders>
              <w:top w:val="nil"/>
              <w:left w:val="nil"/>
              <w:bottom w:val="nil"/>
              <w:right w:val="nil"/>
            </w:tcBorders>
            <w:shd w:val="clear" w:color="auto" w:fill="auto"/>
            <w:noWrap/>
            <w:vAlign w:val="bottom"/>
            <w:hideMark/>
          </w:tcPr>
          <w:p>
            <w:pPr>
              <w:spacing w:line="240" w:lineRule="auto"/>
              <w:ind w:firstLine="0"/>
              <w:jc w:val="center"/>
              <w:rPr>
                <w:color w:val="000000"/>
                <w:sz w:val="20"/>
                <w:lang w:eastAsia="en-US"/>
              </w:rPr>
            </w:pPr>
            <w:r>
              <w:rPr>
                <w:color w:val="000000"/>
                <w:sz w:val="20"/>
                <w:lang w:eastAsia="en-US"/>
              </w:rPr>
              <w:t>23, 57, 31</w:t>
            </w:r>
          </w:p>
        </w:tc>
      </w:tr>
      <w:tr>
        <w:trPr>
          <w:trHeight w:val="300"/>
          <w:jc w:val="center"/>
        </w:trPr>
        <w:tc>
          <w:tcPr>
            <w:tcW w:w="741" w:type="dxa"/>
            <w:tcBorders>
              <w:top w:val="nil"/>
              <w:left w:val="nil"/>
              <w:bottom w:val="nil"/>
              <w:right w:val="nil"/>
            </w:tcBorders>
            <w:shd w:val="clear" w:color="auto" w:fill="auto"/>
            <w:noWrap/>
            <w:vAlign w:val="bottom"/>
            <w:hideMark/>
          </w:tcPr>
          <w:p>
            <w:pPr>
              <w:spacing w:line="240" w:lineRule="auto"/>
              <w:ind w:firstLine="0"/>
              <w:jc w:val="center"/>
              <w:rPr>
                <w:color w:val="000000"/>
                <w:sz w:val="20"/>
                <w:lang w:eastAsia="en-US"/>
              </w:rPr>
            </w:pPr>
            <w:r>
              <w:rPr>
                <w:color w:val="000000"/>
                <w:sz w:val="20"/>
                <w:lang w:eastAsia="en-US"/>
              </w:rPr>
              <w:t>2</w:t>
            </w:r>
          </w:p>
        </w:tc>
        <w:tc>
          <w:tcPr>
            <w:tcW w:w="1158" w:type="dxa"/>
            <w:tcBorders>
              <w:top w:val="nil"/>
              <w:left w:val="nil"/>
              <w:bottom w:val="nil"/>
              <w:right w:val="nil"/>
            </w:tcBorders>
            <w:shd w:val="clear" w:color="auto" w:fill="auto"/>
            <w:noWrap/>
            <w:vAlign w:val="bottom"/>
            <w:hideMark/>
          </w:tcPr>
          <w:p>
            <w:pPr>
              <w:spacing w:line="240" w:lineRule="auto"/>
              <w:ind w:firstLine="0"/>
              <w:jc w:val="center"/>
              <w:rPr>
                <w:color w:val="000000"/>
                <w:sz w:val="20"/>
                <w:lang w:eastAsia="en-US"/>
              </w:rPr>
            </w:pPr>
            <w:r>
              <w:rPr>
                <w:color w:val="000000"/>
                <w:sz w:val="20"/>
                <w:lang w:eastAsia="en-US"/>
              </w:rPr>
              <w:t>31, 41</w:t>
            </w:r>
          </w:p>
        </w:tc>
        <w:tc>
          <w:tcPr>
            <w:tcW w:w="1158" w:type="dxa"/>
            <w:tcBorders>
              <w:top w:val="nil"/>
              <w:left w:val="nil"/>
              <w:bottom w:val="nil"/>
              <w:right w:val="nil"/>
            </w:tcBorders>
            <w:shd w:val="clear" w:color="auto" w:fill="auto"/>
            <w:noWrap/>
            <w:vAlign w:val="bottom"/>
            <w:hideMark/>
          </w:tcPr>
          <w:p>
            <w:pPr>
              <w:spacing w:line="240" w:lineRule="auto"/>
              <w:ind w:firstLine="0"/>
              <w:jc w:val="center"/>
              <w:rPr>
                <w:color w:val="000000"/>
                <w:sz w:val="20"/>
                <w:lang w:eastAsia="en-US"/>
              </w:rPr>
            </w:pPr>
            <w:r>
              <w:rPr>
                <w:color w:val="000000"/>
                <w:sz w:val="20"/>
                <w:lang w:eastAsia="en-US"/>
              </w:rPr>
              <w:t>41, 86</w:t>
            </w:r>
          </w:p>
        </w:tc>
      </w:tr>
      <w:tr>
        <w:trPr>
          <w:trHeight w:val="300"/>
          <w:jc w:val="center"/>
        </w:trPr>
        <w:tc>
          <w:tcPr>
            <w:tcW w:w="741" w:type="dxa"/>
            <w:tcBorders>
              <w:top w:val="nil"/>
              <w:left w:val="nil"/>
              <w:bottom w:val="nil"/>
              <w:right w:val="nil"/>
            </w:tcBorders>
            <w:shd w:val="clear" w:color="auto" w:fill="auto"/>
            <w:noWrap/>
            <w:vAlign w:val="bottom"/>
            <w:hideMark/>
          </w:tcPr>
          <w:p>
            <w:pPr>
              <w:spacing w:line="240" w:lineRule="auto"/>
              <w:ind w:firstLine="0"/>
              <w:jc w:val="center"/>
              <w:rPr>
                <w:color w:val="000000"/>
                <w:sz w:val="20"/>
                <w:lang w:eastAsia="en-US"/>
              </w:rPr>
            </w:pPr>
            <w:r>
              <w:rPr>
                <w:color w:val="000000"/>
                <w:sz w:val="20"/>
                <w:lang w:eastAsia="en-US"/>
              </w:rPr>
              <w:t>3</w:t>
            </w:r>
          </w:p>
        </w:tc>
        <w:tc>
          <w:tcPr>
            <w:tcW w:w="1158" w:type="dxa"/>
            <w:tcBorders>
              <w:top w:val="nil"/>
              <w:left w:val="nil"/>
              <w:bottom w:val="nil"/>
              <w:right w:val="nil"/>
            </w:tcBorders>
            <w:shd w:val="clear" w:color="auto" w:fill="auto"/>
            <w:noWrap/>
            <w:vAlign w:val="bottom"/>
            <w:hideMark/>
          </w:tcPr>
          <w:p>
            <w:pPr>
              <w:spacing w:line="240" w:lineRule="auto"/>
              <w:ind w:firstLine="0"/>
              <w:jc w:val="center"/>
              <w:rPr>
                <w:color w:val="000000"/>
                <w:sz w:val="20"/>
                <w:lang w:eastAsia="en-US"/>
              </w:rPr>
            </w:pPr>
            <w:r>
              <w:rPr>
                <w:color w:val="000000"/>
                <w:sz w:val="20"/>
                <w:lang w:eastAsia="en-US"/>
              </w:rPr>
              <w:t>85, 86, 87</w:t>
            </w:r>
          </w:p>
        </w:tc>
        <w:tc>
          <w:tcPr>
            <w:tcW w:w="1158" w:type="dxa"/>
            <w:tcBorders>
              <w:top w:val="nil"/>
              <w:left w:val="nil"/>
              <w:bottom w:val="nil"/>
              <w:right w:val="nil"/>
            </w:tcBorders>
            <w:shd w:val="clear" w:color="auto" w:fill="auto"/>
            <w:noWrap/>
            <w:vAlign w:val="bottom"/>
            <w:hideMark/>
          </w:tcPr>
          <w:p>
            <w:pPr>
              <w:spacing w:line="240" w:lineRule="auto"/>
              <w:ind w:firstLine="0"/>
              <w:jc w:val="center"/>
              <w:rPr>
                <w:color w:val="000000"/>
                <w:sz w:val="20"/>
                <w:lang w:eastAsia="en-US"/>
              </w:rPr>
            </w:pPr>
            <w:r>
              <w:rPr>
                <w:color w:val="000000"/>
                <w:sz w:val="20"/>
                <w:lang w:eastAsia="en-US"/>
              </w:rPr>
              <w:t>85, 87</w:t>
            </w:r>
          </w:p>
        </w:tc>
      </w:tr>
    </w:tbl>
    <w:p>
      <w:pPr>
        <w:spacing w:line="480" w:lineRule="auto"/>
        <w:ind w:left="720" w:hanging="720"/>
        <w:jc w:val="center"/>
      </w:pPr>
    </w:p>
    <w:p>
      <w:pPr>
        <w:spacing w:line="480" w:lineRule="auto"/>
        <w:ind w:left="720"/>
      </w:pPr>
      <w:r>
        <w:t>In determining the cost of serving each customer class of a gas distribution company, one of the most critical factors is the classification and allocation of distribution main investment.  The Company’s main allocation proposal in this proceeding does not make any direct assignment of mains to large users as it had done several proceedings prior to the 2009 general rate case.  The Company’s proposed allocation method in this case only segments mains by size with regard to the investment considered to be volumetric.  The portion of main investment considered to be demand related is allocated to all customers.  As a result, the Company’s cost study assigns far too much main investment to Schedule 85, 87 and contract customers (“Large Users”).  NWIGU recommends that if the Company is going to use a general allocation approach for assigning main investment, no costs associated with mains less than 4 inches in diameter should be assigned to Large Users.  The following table compares the resulting revenue to cost ratio (“parity ratio”) for major customer classes based on the Company’s proposed method and the NWIGU recommended main allocation approach.</w:t>
      </w:r>
    </w:p>
    <w:p>
      <w:pPr>
        <w:spacing w:line="480" w:lineRule="auto"/>
        <w:ind w:left="720" w:hanging="720"/>
        <w:jc w:val="center"/>
        <w:rPr>
          <w:sz w:val="20"/>
          <w:lang w:eastAsia="en-US"/>
        </w:rPr>
      </w:pPr>
      <w:r>
        <w:rPr>
          <w:sz w:val="20"/>
          <w:lang w:eastAsia="en-US"/>
        </w:rPr>
        <w:t>Parity Ratio Comparison</w:t>
      </w:r>
    </w:p>
    <w:p>
      <w:pPr>
        <w:tabs>
          <w:tab w:val="left" w:pos="2571"/>
          <w:tab w:val="left" w:pos="3337"/>
        </w:tabs>
        <w:spacing w:line="240" w:lineRule="auto"/>
        <w:ind w:left="93" w:firstLine="0"/>
        <w:jc w:val="center"/>
        <w:rPr>
          <w:sz w:val="20"/>
          <w:lang w:eastAsia="en-US"/>
        </w:rPr>
      </w:pPr>
      <w:r>
        <w:rPr>
          <w:sz w:val="20"/>
          <w:lang w:eastAsia="en-US"/>
        </w:rPr>
        <w:tab/>
        <w:t xml:space="preserve">  PSE</w:t>
      </w:r>
      <w:r>
        <w:rPr>
          <w:sz w:val="20"/>
          <w:lang w:eastAsia="en-US"/>
        </w:rPr>
        <w:tab/>
        <w:t>NWIGU</w:t>
      </w:r>
    </w:p>
    <w:p>
      <w:pPr>
        <w:tabs>
          <w:tab w:val="left" w:pos="2571"/>
          <w:tab w:val="left" w:pos="3337"/>
        </w:tabs>
        <w:spacing w:line="240" w:lineRule="auto"/>
        <w:ind w:left="93" w:firstLine="0"/>
        <w:jc w:val="center"/>
        <w:rPr>
          <w:sz w:val="20"/>
          <w:lang w:eastAsia="en-US"/>
        </w:rPr>
      </w:pPr>
      <w:r>
        <w:rPr>
          <w:sz w:val="20"/>
          <w:lang w:eastAsia="en-US"/>
        </w:rPr>
        <w:t xml:space="preserve">    Class</w:t>
      </w:r>
      <w:r>
        <w:rPr>
          <w:sz w:val="20"/>
          <w:lang w:eastAsia="en-US"/>
        </w:rPr>
        <w:tab/>
        <w:t>Study</w:t>
      </w:r>
      <w:r>
        <w:rPr>
          <w:sz w:val="20"/>
          <w:lang w:eastAsia="en-US"/>
        </w:rPr>
        <w:tab/>
        <w:t>Study</w:t>
      </w:r>
    </w:p>
    <w:p>
      <w:pPr>
        <w:tabs>
          <w:tab w:val="left" w:pos="2571"/>
          <w:tab w:val="left" w:pos="3337"/>
        </w:tabs>
        <w:spacing w:line="240" w:lineRule="auto"/>
        <w:ind w:left="93" w:firstLine="0"/>
        <w:jc w:val="center"/>
        <w:rPr>
          <w:sz w:val="20"/>
          <w:lang w:eastAsia="en-US"/>
        </w:rPr>
      </w:pPr>
      <w:r>
        <w:rPr>
          <w:sz w:val="20"/>
          <w:lang w:eastAsia="en-US"/>
        </w:rPr>
        <w:t>Residential</w:t>
      </w:r>
      <w:r>
        <w:rPr>
          <w:sz w:val="20"/>
          <w:lang w:eastAsia="en-US"/>
        </w:rPr>
        <w:tab/>
        <w:t>0.98</w:t>
      </w:r>
      <w:r>
        <w:rPr>
          <w:sz w:val="20"/>
          <w:lang w:eastAsia="en-US"/>
        </w:rPr>
        <w:tab/>
        <w:t>0.98</w:t>
      </w:r>
    </w:p>
    <w:p>
      <w:pPr>
        <w:tabs>
          <w:tab w:val="left" w:pos="2571"/>
          <w:tab w:val="left" w:pos="3337"/>
        </w:tabs>
        <w:spacing w:line="240" w:lineRule="auto"/>
        <w:ind w:left="93" w:firstLine="0"/>
        <w:jc w:val="center"/>
        <w:rPr>
          <w:sz w:val="20"/>
          <w:lang w:eastAsia="en-US"/>
        </w:rPr>
      </w:pPr>
      <w:r>
        <w:rPr>
          <w:sz w:val="20"/>
          <w:lang w:eastAsia="en-US"/>
        </w:rPr>
        <w:t>C&amp;I (31,61)</w:t>
      </w:r>
      <w:r>
        <w:rPr>
          <w:sz w:val="20"/>
          <w:lang w:eastAsia="en-US"/>
        </w:rPr>
        <w:tab/>
        <w:t>0.96</w:t>
      </w:r>
      <w:r>
        <w:rPr>
          <w:sz w:val="20"/>
          <w:lang w:eastAsia="en-US"/>
        </w:rPr>
        <w:tab/>
        <w:t>0.95</w:t>
      </w:r>
    </w:p>
    <w:p>
      <w:pPr>
        <w:tabs>
          <w:tab w:val="left" w:pos="2571"/>
          <w:tab w:val="left" w:pos="3337"/>
        </w:tabs>
        <w:spacing w:line="240" w:lineRule="auto"/>
        <w:ind w:left="93" w:firstLine="0"/>
        <w:jc w:val="center"/>
        <w:rPr>
          <w:sz w:val="20"/>
          <w:lang w:eastAsia="en-US"/>
        </w:rPr>
      </w:pPr>
      <w:r>
        <w:rPr>
          <w:sz w:val="20"/>
          <w:lang w:eastAsia="en-US"/>
        </w:rPr>
        <w:t>Schedule 41</w:t>
      </w:r>
      <w:r>
        <w:rPr>
          <w:sz w:val="20"/>
          <w:lang w:eastAsia="en-US"/>
        </w:rPr>
        <w:tab/>
        <w:t>1.24</w:t>
      </w:r>
      <w:r>
        <w:rPr>
          <w:sz w:val="20"/>
          <w:lang w:eastAsia="en-US"/>
        </w:rPr>
        <w:tab/>
        <w:t>1.22</w:t>
      </w:r>
    </w:p>
    <w:p>
      <w:pPr>
        <w:tabs>
          <w:tab w:val="left" w:pos="2571"/>
          <w:tab w:val="left" w:pos="3337"/>
        </w:tabs>
        <w:spacing w:line="240" w:lineRule="auto"/>
        <w:ind w:left="93" w:firstLine="0"/>
        <w:jc w:val="center"/>
        <w:rPr>
          <w:sz w:val="20"/>
          <w:lang w:eastAsia="en-US"/>
        </w:rPr>
      </w:pPr>
      <w:r>
        <w:rPr>
          <w:sz w:val="20"/>
          <w:lang w:eastAsia="en-US"/>
        </w:rPr>
        <w:t>Schedule 85</w:t>
      </w:r>
      <w:r>
        <w:rPr>
          <w:sz w:val="20"/>
          <w:lang w:eastAsia="en-US"/>
        </w:rPr>
        <w:tab/>
        <w:t>1.21</w:t>
      </w:r>
      <w:r>
        <w:rPr>
          <w:sz w:val="20"/>
          <w:lang w:eastAsia="en-US"/>
        </w:rPr>
        <w:tab/>
        <w:t>1.57</w:t>
      </w:r>
    </w:p>
    <w:p>
      <w:pPr>
        <w:tabs>
          <w:tab w:val="left" w:pos="2571"/>
          <w:tab w:val="left" w:pos="3337"/>
        </w:tabs>
        <w:spacing w:line="240" w:lineRule="auto"/>
        <w:ind w:left="93" w:firstLine="0"/>
        <w:jc w:val="center"/>
        <w:rPr>
          <w:sz w:val="20"/>
          <w:lang w:eastAsia="en-US"/>
        </w:rPr>
      </w:pPr>
      <w:r>
        <w:rPr>
          <w:sz w:val="20"/>
          <w:lang w:eastAsia="en-US"/>
        </w:rPr>
        <w:t>Schedule 86</w:t>
      </w:r>
      <w:r>
        <w:rPr>
          <w:sz w:val="20"/>
          <w:lang w:eastAsia="en-US"/>
        </w:rPr>
        <w:tab/>
        <w:t>1.57</w:t>
      </w:r>
      <w:r>
        <w:rPr>
          <w:sz w:val="20"/>
          <w:lang w:eastAsia="en-US"/>
        </w:rPr>
        <w:tab/>
        <w:t>1.54</w:t>
      </w:r>
    </w:p>
    <w:p>
      <w:pPr>
        <w:tabs>
          <w:tab w:val="left" w:pos="2571"/>
          <w:tab w:val="left" w:pos="3337"/>
        </w:tabs>
        <w:spacing w:line="240" w:lineRule="auto"/>
        <w:ind w:left="93" w:firstLine="0"/>
        <w:jc w:val="center"/>
        <w:rPr>
          <w:sz w:val="20"/>
          <w:lang w:eastAsia="en-US"/>
        </w:rPr>
      </w:pPr>
      <w:r>
        <w:rPr>
          <w:sz w:val="20"/>
          <w:lang w:eastAsia="en-US"/>
        </w:rPr>
        <w:t>Schedule 87</w:t>
      </w:r>
      <w:r>
        <w:rPr>
          <w:sz w:val="20"/>
          <w:lang w:eastAsia="en-US"/>
        </w:rPr>
        <w:tab/>
        <w:t>0.87</w:t>
      </w:r>
      <w:r>
        <w:rPr>
          <w:sz w:val="20"/>
          <w:lang w:eastAsia="en-US"/>
        </w:rPr>
        <w:tab/>
        <w:t>0.99</w:t>
      </w:r>
    </w:p>
    <w:p>
      <w:pPr>
        <w:tabs>
          <w:tab w:val="left" w:pos="2571"/>
          <w:tab w:val="left" w:pos="3337"/>
        </w:tabs>
        <w:spacing w:line="240" w:lineRule="auto"/>
        <w:ind w:left="93" w:firstLine="0"/>
        <w:jc w:val="center"/>
        <w:rPr>
          <w:sz w:val="20"/>
          <w:lang w:eastAsia="en-US"/>
        </w:rPr>
      </w:pPr>
      <w:r>
        <w:rPr>
          <w:sz w:val="20"/>
          <w:lang w:eastAsia="en-US"/>
        </w:rPr>
        <w:t>Contracts</w:t>
      </w:r>
      <w:r>
        <w:rPr>
          <w:sz w:val="20"/>
          <w:lang w:eastAsia="en-US"/>
        </w:rPr>
        <w:tab/>
        <w:t>0.73</w:t>
      </w:r>
      <w:r>
        <w:rPr>
          <w:sz w:val="20"/>
          <w:lang w:eastAsia="en-US"/>
        </w:rPr>
        <w:tab/>
        <w:t>0.87</w:t>
      </w:r>
    </w:p>
    <w:p>
      <w:pPr>
        <w:tabs>
          <w:tab w:val="left" w:pos="2571"/>
          <w:tab w:val="left" w:pos="3337"/>
        </w:tabs>
        <w:spacing w:line="240" w:lineRule="auto"/>
        <w:ind w:left="93" w:firstLine="0"/>
        <w:jc w:val="center"/>
        <w:rPr>
          <w:sz w:val="20"/>
          <w:lang w:eastAsia="en-US"/>
        </w:rPr>
      </w:pPr>
      <w:r>
        <w:rPr>
          <w:sz w:val="20"/>
          <w:lang w:eastAsia="en-US"/>
        </w:rPr>
        <w:t>Rentals</w:t>
      </w:r>
      <w:r>
        <w:rPr>
          <w:sz w:val="20"/>
          <w:lang w:eastAsia="en-US"/>
        </w:rPr>
        <w:tab/>
        <w:t>1.97</w:t>
      </w:r>
      <w:r>
        <w:rPr>
          <w:sz w:val="20"/>
          <w:lang w:eastAsia="en-US"/>
        </w:rPr>
        <w:tab/>
        <w:t>1.97</w:t>
      </w:r>
    </w:p>
    <w:p>
      <w:pPr>
        <w:tabs>
          <w:tab w:val="left" w:pos="2571"/>
          <w:tab w:val="left" w:pos="3337"/>
        </w:tabs>
        <w:spacing w:line="240" w:lineRule="auto"/>
        <w:ind w:left="93" w:firstLine="0"/>
        <w:jc w:val="center"/>
        <w:rPr>
          <w:sz w:val="20"/>
          <w:lang w:eastAsia="en-US"/>
        </w:rPr>
      </w:pPr>
      <w:r>
        <w:rPr>
          <w:sz w:val="20"/>
          <w:lang w:eastAsia="en-US"/>
        </w:rPr>
        <w:t>Total:</w:t>
      </w:r>
      <w:r>
        <w:rPr>
          <w:sz w:val="20"/>
          <w:lang w:eastAsia="en-US"/>
        </w:rPr>
        <w:tab/>
        <w:t>1.00</w:t>
      </w:r>
      <w:r>
        <w:rPr>
          <w:sz w:val="20"/>
          <w:lang w:eastAsia="en-US"/>
        </w:rPr>
        <w:tab/>
        <w:t>1.00</w:t>
      </w:r>
    </w:p>
    <w:p>
      <w:pPr>
        <w:spacing w:line="480" w:lineRule="auto"/>
        <w:ind w:left="720" w:hanging="720"/>
        <w:jc w:val="center"/>
      </w:pPr>
    </w:p>
    <w:p>
      <w:pPr>
        <w:spacing w:line="480" w:lineRule="auto"/>
        <w:ind w:left="720" w:hanging="720"/>
      </w:pPr>
      <w:r>
        <w:t xml:space="preserve">  </w:t>
      </w:r>
      <w:r>
        <w:tab/>
      </w:r>
      <w:r>
        <w:tab/>
        <w:t>The Company’s rate spread attempts to move certain customer classes closer to a cost-based rate level.  While NWIGU appreciates the Company’s acknowledgement of the current rate disparities, the NWIGU recommended cost study should be used to determine rate spread in this proceeding.  The parity ratios from the NWIGU study indicate that no class should receive an above average margin increase.  The residential class and Schedules 31, 61 and 87 should receive an average increase and the remaining schedules should be assigned a below average increase or no increase at all.  The following table summarizes and compares the NWIGU rate spread recommendation with the Company’s proposal.</w:t>
      </w:r>
      <w:r>
        <w:tab/>
      </w:r>
    </w:p>
    <w:p>
      <w:pPr>
        <w:spacing w:line="240" w:lineRule="auto"/>
        <w:ind w:left="93" w:firstLine="0"/>
        <w:jc w:val="center"/>
        <w:rPr>
          <w:sz w:val="20"/>
          <w:lang w:eastAsia="en-US"/>
        </w:rPr>
      </w:pPr>
      <w:r>
        <w:rPr>
          <w:sz w:val="20"/>
          <w:lang w:eastAsia="en-US"/>
        </w:rPr>
        <w:t>Rate Spread Comparison</w:t>
      </w:r>
    </w:p>
    <w:p>
      <w:pPr>
        <w:tabs>
          <w:tab w:val="left" w:pos="1494"/>
          <w:tab w:val="left" w:pos="2648"/>
          <w:tab w:val="left" w:pos="3632"/>
          <w:tab w:val="left" w:pos="4900"/>
          <w:tab w:val="left" w:pos="5974"/>
        </w:tabs>
        <w:spacing w:line="240" w:lineRule="auto"/>
        <w:ind w:left="93" w:firstLine="0"/>
        <w:jc w:val="center"/>
        <w:rPr>
          <w:sz w:val="20"/>
          <w:lang w:eastAsia="en-US"/>
        </w:rPr>
      </w:pPr>
      <w:r>
        <w:rPr>
          <w:sz w:val="20"/>
          <w:lang w:eastAsia="en-US"/>
        </w:rPr>
        <w:t>($000)</w:t>
      </w:r>
    </w:p>
    <w:p>
      <w:pPr>
        <w:tabs>
          <w:tab w:val="left" w:pos="1494"/>
          <w:tab w:val="left" w:pos="3632"/>
          <w:tab w:val="left" w:pos="5974"/>
        </w:tabs>
        <w:spacing w:line="240" w:lineRule="auto"/>
        <w:ind w:left="93" w:firstLine="0"/>
        <w:rPr>
          <w:sz w:val="20"/>
          <w:lang w:eastAsia="en-US"/>
        </w:rPr>
      </w:pPr>
      <w:r>
        <w:rPr>
          <w:sz w:val="20"/>
          <w:lang w:eastAsia="en-US"/>
        </w:rPr>
        <w:t xml:space="preserve">                                                       </w:t>
      </w:r>
      <w:r>
        <w:rPr>
          <w:sz w:val="20"/>
          <w:u w:val="single"/>
          <w:lang w:eastAsia="en-US"/>
        </w:rPr>
        <w:t>PSE Proposal</w:t>
      </w:r>
      <w:r>
        <w:rPr>
          <w:sz w:val="20"/>
          <w:lang w:eastAsia="en-US"/>
        </w:rPr>
        <w:t xml:space="preserve">              </w:t>
      </w:r>
      <w:r>
        <w:rPr>
          <w:sz w:val="20"/>
          <w:u w:val="single"/>
          <w:lang w:eastAsia="en-US"/>
        </w:rPr>
        <w:t>NWIGU Recommendation</w:t>
      </w:r>
    </w:p>
    <w:p>
      <w:pPr>
        <w:tabs>
          <w:tab w:val="left" w:pos="1494"/>
          <w:tab w:val="left" w:pos="2648"/>
          <w:tab w:val="left" w:pos="3632"/>
          <w:tab w:val="left" w:pos="4900"/>
          <w:tab w:val="left" w:pos="5974"/>
        </w:tabs>
        <w:spacing w:line="240" w:lineRule="auto"/>
        <w:ind w:left="93" w:firstLine="0"/>
        <w:rPr>
          <w:sz w:val="20"/>
          <w:lang w:eastAsia="en-US"/>
        </w:rPr>
      </w:pPr>
      <w:r>
        <w:rPr>
          <w:sz w:val="20"/>
          <w:lang w:eastAsia="en-US"/>
        </w:rPr>
        <w:tab/>
        <w:t xml:space="preserve">                   Change in</w:t>
      </w:r>
      <w:r>
        <w:rPr>
          <w:sz w:val="20"/>
          <w:lang w:eastAsia="en-US"/>
        </w:rPr>
        <w:tab/>
        <w:t>Margin</w:t>
      </w:r>
      <w:r>
        <w:rPr>
          <w:sz w:val="20"/>
          <w:lang w:eastAsia="en-US"/>
        </w:rPr>
        <w:tab/>
        <w:t>Change in</w:t>
      </w:r>
      <w:r>
        <w:rPr>
          <w:sz w:val="20"/>
          <w:lang w:eastAsia="en-US"/>
        </w:rPr>
        <w:tab/>
        <w:t xml:space="preserve"> Margin</w:t>
      </w:r>
      <w:r>
        <w:rPr>
          <w:sz w:val="20"/>
          <w:lang w:eastAsia="en-US"/>
        </w:rPr>
        <w:tab/>
        <w:t xml:space="preserve">   Margin</w:t>
      </w:r>
    </w:p>
    <w:p>
      <w:pPr>
        <w:tabs>
          <w:tab w:val="left" w:pos="1494"/>
          <w:tab w:val="left" w:pos="2648"/>
          <w:tab w:val="left" w:pos="3632"/>
          <w:tab w:val="left" w:pos="4900"/>
          <w:tab w:val="left" w:pos="5974"/>
        </w:tabs>
        <w:spacing w:line="240" w:lineRule="auto"/>
        <w:ind w:left="93" w:firstLine="0"/>
        <w:rPr>
          <w:sz w:val="20"/>
          <w:lang w:eastAsia="en-US"/>
        </w:rPr>
      </w:pPr>
      <w:r>
        <w:rPr>
          <w:sz w:val="20"/>
          <w:lang w:eastAsia="en-US"/>
        </w:rPr>
        <w:t xml:space="preserve">                         Class</w:t>
      </w:r>
      <w:r>
        <w:rPr>
          <w:sz w:val="20"/>
          <w:lang w:eastAsia="en-US"/>
        </w:rPr>
        <w:tab/>
        <w:t xml:space="preserve"> Margin</w:t>
      </w:r>
      <w:r>
        <w:rPr>
          <w:sz w:val="20"/>
          <w:lang w:eastAsia="en-US"/>
        </w:rPr>
        <w:tab/>
        <w:t>Increase</w:t>
      </w:r>
      <w:r>
        <w:rPr>
          <w:sz w:val="20"/>
          <w:lang w:eastAsia="en-US"/>
        </w:rPr>
        <w:tab/>
        <w:t xml:space="preserve"> Margin</w:t>
      </w:r>
      <w:r>
        <w:rPr>
          <w:sz w:val="20"/>
          <w:lang w:eastAsia="en-US"/>
        </w:rPr>
        <w:tab/>
        <w:t>Increase</w:t>
      </w:r>
      <w:r>
        <w:rPr>
          <w:sz w:val="20"/>
          <w:lang w:eastAsia="en-US"/>
        </w:rPr>
        <w:tab/>
        <w:t>Difference</w:t>
      </w:r>
    </w:p>
    <w:p>
      <w:pPr>
        <w:tabs>
          <w:tab w:val="left" w:pos="1494"/>
          <w:tab w:val="left" w:pos="2648"/>
          <w:tab w:val="left" w:pos="3632"/>
          <w:tab w:val="left" w:pos="4900"/>
          <w:tab w:val="left" w:pos="5974"/>
        </w:tabs>
        <w:spacing w:line="240" w:lineRule="auto"/>
        <w:ind w:left="93" w:firstLine="0"/>
        <w:rPr>
          <w:sz w:val="20"/>
          <w:lang w:eastAsia="en-US"/>
        </w:rPr>
      </w:pPr>
      <w:r>
        <w:rPr>
          <w:sz w:val="20"/>
          <w:lang w:eastAsia="en-US"/>
        </w:rPr>
        <w:t xml:space="preserve">                    Residential</w:t>
      </w:r>
      <w:r>
        <w:rPr>
          <w:sz w:val="20"/>
          <w:lang w:eastAsia="en-US"/>
        </w:rPr>
        <w:tab/>
        <w:t xml:space="preserve">$23,171 </w:t>
      </w:r>
      <w:r>
        <w:rPr>
          <w:sz w:val="20"/>
          <w:lang w:eastAsia="en-US"/>
        </w:rPr>
        <w:tab/>
        <w:t xml:space="preserve">  8.0%</w:t>
      </w:r>
      <w:r>
        <w:rPr>
          <w:sz w:val="20"/>
          <w:lang w:eastAsia="en-US"/>
        </w:rPr>
        <w:tab/>
        <w:t>$23,599</w:t>
      </w:r>
      <w:r>
        <w:rPr>
          <w:sz w:val="20"/>
          <w:lang w:eastAsia="en-US"/>
        </w:rPr>
        <w:tab/>
        <w:t xml:space="preserve">   8.2%</w:t>
      </w:r>
      <w:r>
        <w:rPr>
          <w:sz w:val="20"/>
          <w:lang w:eastAsia="en-US"/>
        </w:rPr>
        <w:tab/>
        <w:t xml:space="preserve">     $428</w:t>
      </w:r>
    </w:p>
    <w:p>
      <w:pPr>
        <w:tabs>
          <w:tab w:val="left" w:pos="1494"/>
          <w:tab w:val="left" w:pos="2648"/>
          <w:tab w:val="left" w:pos="3632"/>
          <w:tab w:val="left" w:pos="4900"/>
          <w:tab w:val="left" w:pos="5974"/>
        </w:tabs>
        <w:spacing w:line="240" w:lineRule="auto"/>
        <w:ind w:left="93" w:firstLine="0"/>
        <w:rPr>
          <w:sz w:val="20"/>
          <w:lang w:eastAsia="en-US"/>
        </w:rPr>
      </w:pPr>
      <w:r>
        <w:rPr>
          <w:sz w:val="20"/>
          <w:lang w:eastAsia="en-US"/>
        </w:rPr>
        <w:t xml:space="preserve">                    C&amp;I (31, 61)</w:t>
      </w:r>
      <w:r>
        <w:rPr>
          <w:sz w:val="20"/>
          <w:lang w:eastAsia="en-US"/>
        </w:rPr>
        <w:tab/>
        <w:t xml:space="preserve">  $6,840 </w:t>
      </w:r>
      <w:r>
        <w:rPr>
          <w:sz w:val="20"/>
          <w:lang w:eastAsia="en-US"/>
        </w:rPr>
        <w:tab/>
        <w:t xml:space="preserve">  8.0%</w:t>
      </w:r>
      <w:r>
        <w:rPr>
          <w:sz w:val="20"/>
          <w:lang w:eastAsia="en-US"/>
        </w:rPr>
        <w:tab/>
        <w:t xml:space="preserve">  $6,966</w:t>
      </w:r>
      <w:r>
        <w:rPr>
          <w:sz w:val="20"/>
          <w:lang w:eastAsia="en-US"/>
        </w:rPr>
        <w:tab/>
        <w:t xml:space="preserve">   8.2%</w:t>
      </w:r>
      <w:r>
        <w:rPr>
          <w:sz w:val="20"/>
          <w:lang w:eastAsia="en-US"/>
        </w:rPr>
        <w:tab/>
        <w:t xml:space="preserve">     $126</w:t>
      </w:r>
    </w:p>
    <w:p>
      <w:pPr>
        <w:tabs>
          <w:tab w:val="left" w:pos="1494"/>
          <w:tab w:val="left" w:pos="2648"/>
          <w:tab w:val="left" w:pos="3632"/>
          <w:tab w:val="left" w:pos="4900"/>
          <w:tab w:val="left" w:pos="5974"/>
        </w:tabs>
        <w:spacing w:line="240" w:lineRule="auto"/>
        <w:ind w:left="93" w:firstLine="0"/>
        <w:rPr>
          <w:sz w:val="20"/>
          <w:lang w:eastAsia="en-US"/>
        </w:rPr>
      </w:pPr>
      <w:r>
        <w:rPr>
          <w:sz w:val="20"/>
          <w:lang w:eastAsia="en-US"/>
        </w:rPr>
        <w:t xml:space="preserve">                    Schedule 41</w:t>
      </w:r>
      <w:r>
        <w:rPr>
          <w:sz w:val="20"/>
          <w:lang w:eastAsia="en-US"/>
        </w:rPr>
        <w:tab/>
        <w:t xml:space="preserve">     $729 </w:t>
      </w:r>
      <w:r>
        <w:rPr>
          <w:sz w:val="20"/>
          <w:lang w:eastAsia="en-US"/>
        </w:rPr>
        <w:tab/>
        <w:t xml:space="preserve">  4.0%</w:t>
      </w:r>
      <w:r>
        <w:rPr>
          <w:sz w:val="20"/>
          <w:lang w:eastAsia="en-US"/>
        </w:rPr>
        <w:tab/>
        <w:t xml:space="preserve">     $742</w:t>
      </w:r>
      <w:r>
        <w:rPr>
          <w:sz w:val="20"/>
          <w:lang w:eastAsia="en-US"/>
        </w:rPr>
        <w:tab/>
        <w:t xml:space="preserve">   4.1%</w:t>
      </w:r>
      <w:r>
        <w:rPr>
          <w:sz w:val="20"/>
          <w:lang w:eastAsia="en-US"/>
        </w:rPr>
        <w:tab/>
        <w:t xml:space="preserve">       $13</w:t>
      </w:r>
    </w:p>
    <w:p>
      <w:pPr>
        <w:tabs>
          <w:tab w:val="left" w:pos="1494"/>
          <w:tab w:val="left" w:pos="2648"/>
          <w:tab w:val="left" w:pos="3632"/>
          <w:tab w:val="left" w:pos="4900"/>
          <w:tab w:val="left" w:pos="5974"/>
        </w:tabs>
        <w:spacing w:line="240" w:lineRule="auto"/>
        <w:ind w:left="93" w:firstLine="0"/>
        <w:rPr>
          <w:sz w:val="20"/>
          <w:lang w:eastAsia="en-US"/>
        </w:rPr>
      </w:pPr>
      <w:r>
        <w:rPr>
          <w:sz w:val="20"/>
          <w:lang w:eastAsia="en-US"/>
        </w:rPr>
        <w:t xml:space="preserve">                    Schedule 85</w:t>
      </w:r>
      <w:r>
        <w:rPr>
          <w:sz w:val="20"/>
          <w:lang w:eastAsia="en-US"/>
        </w:rPr>
        <w:tab/>
        <w:t xml:space="preserve">     $343</w:t>
      </w:r>
      <w:r>
        <w:rPr>
          <w:sz w:val="20"/>
          <w:lang w:eastAsia="en-US"/>
        </w:rPr>
        <w:tab/>
        <w:t xml:space="preserve">  4.0%</w:t>
      </w:r>
      <w:r>
        <w:rPr>
          <w:sz w:val="20"/>
          <w:lang w:eastAsia="en-US"/>
        </w:rPr>
        <w:tab/>
        <w:t xml:space="preserve">         $0</w:t>
      </w:r>
      <w:r>
        <w:rPr>
          <w:sz w:val="20"/>
          <w:lang w:eastAsia="en-US"/>
        </w:rPr>
        <w:tab/>
        <w:t xml:space="preserve">   0.0%</w:t>
      </w:r>
      <w:r>
        <w:rPr>
          <w:sz w:val="20"/>
          <w:lang w:eastAsia="en-US"/>
        </w:rPr>
        <w:tab/>
        <w:t xml:space="preserve">    -$343</w:t>
      </w:r>
    </w:p>
    <w:p>
      <w:pPr>
        <w:tabs>
          <w:tab w:val="left" w:pos="1494"/>
          <w:tab w:val="left" w:pos="2648"/>
          <w:tab w:val="left" w:pos="3632"/>
          <w:tab w:val="left" w:pos="4900"/>
          <w:tab w:val="left" w:pos="5974"/>
        </w:tabs>
        <w:spacing w:line="240" w:lineRule="auto"/>
        <w:ind w:left="93" w:firstLine="0"/>
        <w:rPr>
          <w:sz w:val="20"/>
          <w:lang w:eastAsia="en-US"/>
        </w:rPr>
      </w:pPr>
      <w:r>
        <w:rPr>
          <w:sz w:val="20"/>
          <w:lang w:eastAsia="en-US"/>
        </w:rPr>
        <w:t xml:space="preserve">                    Schedule 86</w:t>
      </w:r>
      <w:r>
        <w:rPr>
          <w:sz w:val="20"/>
          <w:lang w:eastAsia="en-US"/>
        </w:rPr>
        <w:tab/>
        <w:t xml:space="preserve">         $0</w:t>
      </w:r>
      <w:r>
        <w:rPr>
          <w:sz w:val="20"/>
          <w:lang w:eastAsia="en-US"/>
        </w:rPr>
        <w:tab/>
        <w:t xml:space="preserve">  0.0%</w:t>
      </w:r>
      <w:r>
        <w:rPr>
          <w:sz w:val="20"/>
          <w:lang w:eastAsia="en-US"/>
        </w:rPr>
        <w:tab/>
        <w:t xml:space="preserve">         $0</w:t>
      </w:r>
      <w:r>
        <w:rPr>
          <w:sz w:val="20"/>
          <w:lang w:eastAsia="en-US"/>
        </w:rPr>
        <w:tab/>
        <w:t xml:space="preserve">   0.0%</w:t>
      </w:r>
      <w:r>
        <w:rPr>
          <w:sz w:val="20"/>
          <w:lang w:eastAsia="en-US"/>
        </w:rPr>
        <w:tab/>
        <w:t xml:space="preserve">         $0</w:t>
      </w:r>
    </w:p>
    <w:p>
      <w:pPr>
        <w:tabs>
          <w:tab w:val="left" w:pos="1494"/>
          <w:tab w:val="left" w:pos="2648"/>
          <w:tab w:val="left" w:pos="3632"/>
          <w:tab w:val="left" w:pos="4900"/>
          <w:tab w:val="left" w:pos="5974"/>
        </w:tabs>
        <w:spacing w:line="240" w:lineRule="auto"/>
        <w:ind w:left="93" w:firstLine="0"/>
        <w:rPr>
          <w:sz w:val="20"/>
          <w:lang w:eastAsia="en-US"/>
        </w:rPr>
      </w:pPr>
      <w:r>
        <w:rPr>
          <w:sz w:val="20"/>
          <w:lang w:eastAsia="en-US"/>
        </w:rPr>
        <w:t xml:space="preserve">                    Schedule 87</w:t>
      </w:r>
      <w:r>
        <w:rPr>
          <w:sz w:val="20"/>
          <w:lang w:eastAsia="en-US"/>
        </w:rPr>
        <w:tab/>
        <w:t xml:space="preserve">     $702 </w:t>
      </w:r>
      <w:r>
        <w:rPr>
          <w:sz w:val="20"/>
          <w:lang w:eastAsia="en-US"/>
        </w:rPr>
        <w:tab/>
        <w:t>12.0%</w:t>
      </w:r>
      <w:r>
        <w:rPr>
          <w:sz w:val="20"/>
          <w:lang w:eastAsia="en-US"/>
        </w:rPr>
        <w:tab/>
        <w:t xml:space="preserve">     $477</w:t>
      </w:r>
      <w:r>
        <w:rPr>
          <w:sz w:val="20"/>
          <w:lang w:eastAsia="en-US"/>
        </w:rPr>
        <w:tab/>
        <w:t xml:space="preserve">   8.2%</w:t>
      </w:r>
      <w:r>
        <w:rPr>
          <w:sz w:val="20"/>
          <w:lang w:eastAsia="en-US"/>
        </w:rPr>
        <w:tab/>
        <w:t xml:space="preserve">    -$225</w:t>
      </w:r>
    </w:p>
    <w:p>
      <w:pPr>
        <w:tabs>
          <w:tab w:val="left" w:pos="1494"/>
          <w:tab w:val="left" w:pos="2648"/>
          <w:tab w:val="left" w:pos="3632"/>
          <w:tab w:val="left" w:pos="4900"/>
          <w:tab w:val="left" w:pos="5974"/>
        </w:tabs>
        <w:spacing w:line="240" w:lineRule="auto"/>
        <w:ind w:left="93" w:firstLine="0"/>
        <w:rPr>
          <w:sz w:val="20"/>
          <w:lang w:eastAsia="en-US"/>
        </w:rPr>
      </w:pPr>
      <w:r>
        <w:rPr>
          <w:sz w:val="20"/>
          <w:lang w:eastAsia="en-US"/>
        </w:rPr>
        <w:t xml:space="preserve">                    Rentals</w:t>
      </w:r>
      <w:r>
        <w:rPr>
          <w:sz w:val="20"/>
          <w:lang w:eastAsia="en-US"/>
        </w:rPr>
        <w:tab/>
        <w:t xml:space="preserve">         $0</w:t>
      </w:r>
      <w:r>
        <w:rPr>
          <w:sz w:val="20"/>
          <w:lang w:eastAsia="en-US"/>
        </w:rPr>
        <w:tab/>
        <w:t xml:space="preserve">  0.0%</w:t>
      </w:r>
      <w:r>
        <w:rPr>
          <w:sz w:val="20"/>
          <w:lang w:eastAsia="en-US"/>
        </w:rPr>
        <w:tab/>
        <w:t xml:space="preserve">         $0</w:t>
      </w:r>
      <w:r>
        <w:rPr>
          <w:sz w:val="20"/>
          <w:lang w:eastAsia="en-US"/>
        </w:rPr>
        <w:tab/>
        <w:t xml:space="preserve">   0.0%</w:t>
      </w:r>
      <w:r>
        <w:rPr>
          <w:sz w:val="20"/>
          <w:lang w:eastAsia="en-US"/>
        </w:rPr>
        <w:tab/>
        <w:t xml:space="preserve">         $0</w:t>
      </w:r>
    </w:p>
    <w:p>
      <w:pPr>
        <w:tabs>
          <w:tab w:val="left" w:pos="1494"/>
          <w:tab w:val="left" w:pos="2648"/>
          <w:tab w:val="left" w:pos="3632"/>
          <w:tab w:val="left" w:pos="4900"/>
          <w:tab w:val="left" w:pos="5974"/>
        </w:tabs>
        <w:spacing w:line="240" w:lineRule="auto"/>
        <w:ind w:left="93" w:firstLine="0"/>
        <w:rPr>
          <w:sz w:val="20"/>
          <w:lang w:eastAsia="en-US"/>
        </w:rPr>
      </w:pPr>
      <w:r>
        <w:rPr>
          <w:sz w:val="20"/>
          <w:lang w:eastAsia="en-US"/>
        </w:rPr>
        <w:t xml:space="preserve">                       Total:                   $31,784 </w:t>
      </w:r>
      <w:r>
        <w:rPr>
          <w:sz w:val="20"/>
          <w:lang w:eastAsia="en-US"/>
        </w:rPr>
        <w:tab/>
        <w:t xml:space="preserve">  7.5%</w:t>
      </w:r>
      <w:r>
        <w:rPr>
          <w:sz w:val="20"/>
          <w:lang w:eastAsia="en-US"/>
        </w:rPr>
        <w:tab/>
        <w:t xml:space="preserve">$31,784 </w:t>
      </w:r>
      <w:r>
        <w:rPr>
          <w:sz w:val="20"/>
          <w:lang w:eastAsia="en-US"/>
        </w:rPr>
        <w:tab/>
        <w:t xml:space="preserve">   7.5%</w:t>
      </w:r>
      <w:r>
        <w:rPr>
          <w:sz w:val="20"/>
          <w:lang w:eastAsia="en-US"/>
        </w:rPr>
        <w:tab/>
        <w:t xml:space="preserve">         $0</w:t>
      </w:r>
    </w:p>
    <w:p>
      <w:pPr>
        <w:suppressLineNumbers/>
        <w:spacing w:line="480" w:lineRule="auto"/>
        <w:ind w:left="720" w:hanging="720"/>
      </w:pPr>
    </w:p>
    <w:p>
      <w:pPr>
        <w:pStyle w:val="Style43"/>
        <w:widowControl w:val="0"/>
      </w:pPr>
      <w:r>
        <w:tab/>
        <w:t xml:space="preserve"> </w:t>
      </w:r>
      <w:r>
        <w:tab/>
        <w:t>The Company’s large customer rate design proposal in this case applied an equal percentage increase to all Schedule 87 delivery-related charges and consistent with past practices, the Company used the resulting demand charge for Schedules 85 and 86 as well.  As the Company is proposing no increase to Schedule 86, other charges on this rate schedule were reduced to offset the revenue gain from the higher demand rate.  As NWIGU is recommending no increase be assigned to both Schedules 86 and 85, NWIGU believes a superior rate design is to simply not change the existing Schedule 86 and 85 delivery charges and the Schedule 87 demand charges.  The remaining Schedule 87 basic and volumetric charges should be increased by a uniform percentage to achieve the schedule’s revenue target.</w:t>
      </w:r>
    </w:p>
    <w:p>
      <w:pPr>
        <w:pStyle w:val="Heading1"/>
      </w:pPr>
      <w:bookmarkStart w:id="13" w:name="_Toc310174486"/>
      <w:r>
        <w:t>II.</w:t>
      </w:r>
      <w:r>
        <w:tab/>
        <w:t>PSE’S CSA RATE PROPOSAL</w:t>
      </w:r>
      <w:bookmarkEnd w:id="13"/>
    </w:p>
    <w:p>
      <w:pPr>
        <w:ind w:firstLine="0"/>
        <w:rPr>
          <w:b/>
        </w:rPr>
      </w:pPr>
      <w:r>
        <w:rPr>
          <w:b/>
        </w:rPr>
        <w:t>Q.</w:t>
      </w:r>
      <w:r>
        <w:rPr>
          <w:b/>
        </w:rPr>
        <w:tab/>
        <w:t>PLEASE BRIEFLY DESCRIBE PSE’S CSA RATE PROPOSAL.</w:t>
      </w:r>
    </w:p>
    <w:p>
      <w:pPr>
        <w:ind w:left="720" w:hanging="720"/>
      </w:pPr>
      <w:r>
        <w:rPr>
          <w:b/>
        </w:rPr>
        <w:t>A.</w:t>
      </w:r>
      <w:r>
        <w:rPr>
          <w:b/>
        </w:rPr>
        <w:tab/>
      </w:r>
      <w:r>
        <w:t>The CSA rate proposal seeks recovery of the Company’s claimed revenue loss (“unrecovered costs”) from implementing the Company’s conservation programs that are not already reflected in deriving the rate schedule charges.  The Company is proposing to collect 75% of the unrecovered costs in the subsequent year (beginning May 1</w:t>
      </w:r>
      <w:r>
        <w:rPr>
          <w:vertAlign w:val="superscript"/>
        </w:rPr>
        <w:t>st</w:t>
      </w:r>
      <w:r>
        <w:t xml:space="preserve"> of each year) and the remaining 25% in the following year.  Also under the Company’s proposal there is an earnings test so that the Company will not earn beyond its authorized rate of return because of the CSA charges and the conservation saving is subject to third party verification.  As shown by Exhibit __ (JAP-19), the Company is proposing to collect from customers $2.0 million associated with unrecovered fixed gas costs from 2011.  The Company’s proposed CSA rate charges would collect $1.5 million from May 1, 2012 through April 30, 2012 and the remaining $0.5 million would be collected in the following year.</w:t>
      </w:r>
    </w:p>
    <w:p>
      <w:pPr>
        <w:suppressLineNumbers/>
        <w:spacing w:line="240" w:lineRule="auto"/>
        <w:ind w:left="720" w:hanging="720"/>
      </w:pPr>
    </w:p>
    <w:p>
      <w:pPr>
        <w:spacing w:line="240" w:lineRule="auto"/>
        <w:ind w:left="720" w:hanging="720"/>
        <w:rPr>
          <w:b/>
        </w:rPr>
      </w:pPr>
      <w:r>
        <w:rPr>
          <w:b/>
        </w:rPr>
        <w:t>Q.</w:t>
      </w:r>
      <w:r>
        <w:rPr>
          <w:b/>
        </w:rPr>
        <w:tab/>
        <w:t>IS THE PROPOSED CSA COST RECOVERY IN ADDITION TO THE GENERAL RATE INCREASE BEING SOUGHT BY THE COMPANY?</w:t>
      </w:r>
    </w:p>
    <w:p>
      <w:pPr>
        <w:suppressLineNumbers/>
        <w:spacing w:line="240" w:lineRule="auto"/>
        <w:ind w:left="720" w:hanging="720"/>
        <w:rPr>
          <w:b/>
        </w:rPr>
      </w:pPr>
    </w:p>
    <w:p>
      <w:pPr>
        <w:spacing w:line="480" w:lineRule="auto"/>
        <w:ind w:left="720" w:hanging="720"/>
      </w:pPr>
      <w:r>
        <w:rPr>
          <w:b/>
        </w:rPr>
        <w:t>A.</w:t>
      </w:r>
      <w:r>
        <w:rPr>
          <w:b/>
        </w:rPr>
        <w:tab/>
      </w:r>
      <w:r>
        <w:t xml:space="preserve">Yes.  The Company’s claimed $31.9 million gas revenue deficiency does not include the amount the Company is seeking under the CSA mechanism.  Taken together, the Company’s total instant proposal in this proceeding is an increase in gas margins of $33.4 million ($31.9 million + $1.5 million = $33.4 million) with additional amounts from unrecovered costs due to conservation programs in 2011 ($0.5 million) and other subsequent years to follow. </w:t>
      </w:r>
    </w:p>
    <w:p>
      <w:pPr>
        <w:spacing w:line="480" w:lineRule="auto"/>
        <w:ind w:left="720" w:hanging="720"/>
      </w:pPr>
      <w:r>
        <w:rPr>
          <w:b/>
        </w:rPr>
        <w:t>/ / /</w:t>
      </w:r>
    </w:p>
    <w:p>
      <w:pPr>
        <w:spacing w:line="480" w:lineRule="auto"/>
        <w:ind w:left="720" w:hanging="720"/>
      </w:pPr>
      <w:r>
        <w:t>/ / /</w:t>
      </w:r>
    </w:p>
    <w:p>
      <w:pPr>
        <w:spacing w:line="240" w:lineRule="auto"/>
        <w:ind w:left="720" w:hanging="720"/>
        <w:rPr>
          <w:b/>
        </w:rPr>
      </w:pPr>
      <w:r>
        <w:rPr>
          <w:b/>
        </w:rPr>
        <w:t>Q.</w:t>
      </w:r>
      <w:r>
        <w:tab/>
      </w:r>
      <w:r>
        <w:rPr>
          <w:b/>
        </w:rPr>
        <w:t>DOES THE COMPANY CLAIM THERE ARE CUSTOMER BENEFITS FROM THE CSA MECHANISM?</w:t>
      </w:r>
    </w:p>
    <w:p>
      <w:pPr>
        <w:suppressLineNumbers/>
        <w:spacing w:line="240" w:lineRule="auto"/>
        <w:ind w:left="720" w:hanging="720"/>
        <w:rPr>
          <w:b/>
        </w:rPr>
      </w:pPr>
    </w:p>
    <w:p>
      <w:pPr>
        <w:spacing w:line="480" w:lineRule="auto"/>
        <w:ind w:left="720" w:hanging="720"/>
      </w:pPr>
      <w:r>
        <w:rPr>
          <w:b/>
        </w:rPr>
        <w:t>A.</w:t>
      </w:r>
      <w:r>
        <w:tab/>
        <w:t>Yes.  The Company claims there are three benefits from the CSA.  These are: more stable and predictable rates, maintaining or improving the Company’s credit rating which will reduce borrowing costs, and greater customer scrutiny of conservation program expenditures.</w:t>
      </w:r>
    </w:p>
    <w:p>
      <w:pPr>
        <w:spacing w:line="480" w:lineRule="auto"/>
        <w:ind w:left="720" w:hanging="720"/>
        <w:rPr>
          <w:b/>
        </w:rPr>
      </w:pPr>
      <w:r>
        <w:rPr>
          <w:b/>
        </w:rPr>
        <w:t>Q.</w:t>
      </w:r>
      <w:r>
        <w:tab/>
      </w:r>
      <w:r>
        <w:rPr>
          <w:b/>
        </w:rPr>
        <w:t>DOES NWIGU AGREE WITH THE COMPANY’S CLAIMED BENEFITS?</w:t>
      </w:r>
    </w:p>
    <w:p>
      <w:pPr>
        <w:spacing w:line="480" w:lineRule="auto"/>
        <w:ind w:left="720" w:hanging="720"/>
      </w:pPr>
      <w:r>
        <w:rPr>
          <w:b/>
        </w:rPr>
        <w:t>A.</w:t>
      </w:r>
      <w:r>
        <w:rPr>
          <w:b/>
        </w:rPr>
        <w:tab/>
      </w:r>
      <w:r>
        <w:t xml:space="preserve">No.  NWIGU views the CSA proposal as yet another attempt by the Company to impose automatic rate increases on its customers with no corresponding tangible benefit.  The implementation of the CSA will not result in more stable or predictable rates because the Company has proposed no “stay out” period as part of its proposal.  PSE customers have been barraged with rate filings for the past many years, and it is highly likely that this will continue.  Accordingly, the implementation of the CSA will only “pancake” on top of the otherwise applicable rate changes.  In response to a data request (Public Counsel 255), PSE has acknowledged that it is not possible to quantify the impact of the CSA on the Company’s cost of capital.  Similarly, the Company’s third claimed benefit is also impossible to quantify because it is based on a rather unique perspective that greater customer involvement will occur if the mechanism is adopted.  PSE has had the Conservation Resource Advisory Group (“CRAG”) in place for many years.  The singular focus of this group is to review PSE’s conservation program.  PSE’s third claimed benefit is in essence suggesting that CRAG will do a better job than they are currently doing.  Frankly, NWIGU finds all of PSE’s claimed benefits to be highly speculative. </w:t>
      </w:r>
    </w:p>
    <w:p>
      <w:pPr>
        <w:spacing w:line="240" w:lineRule="auto"/>
        <w:ind w:left="720" w:hanging="720"/>
        <w:rPr>
          <w:b/>
        </w:rPr>
      </w:pPr>
      <w:r>
        <w:rPr>
          <w:b/>
        </w:rPr>
        <w:t>Q.</w:t>
      </w:r>
      <w:r>
        <w:tab/>
      </w:r>
      <w:r>
        <w:rPr>
          <w:b/>
        </w:rPr>
        <w:t>DOES NWIGU HAVE ANY OTHER CONCERNS WITH THE CSA PROPOSAL?</w:t>
      </w:r>
    </w:p>
    <w:p>
      <w:pPr>
        <w:suppressLineNumbers/>
        <w:spacing w:line="240" w:lineRule="auto"/>
        <w:ind w:left="720" w:hanging="720"/>
        <w:rPr>
          <w:b/>
        </w:rPr>
      </w:pPr>
    </w:p>
    <w:p>
      <w:pPr>
        <w:spacing w:line="480" w:lineRule="auto"/>
        <w:ind w:left="720" w:hanging="720"/>
      </w:pPr>
      <w:r>
        <w:rPr>
          <w:b/>
        </w:rPr>
        <w:t>A.</w:t>
      </w:r>
      <w:r>
        <w:tab/>
        <w:t>Yes.  As was also the case with regard to PSE’s Pipeline Integrity Program, NWIGU considers the CSA to be a single issue rate making mechanism that should not be permitted except under extraordinary circumstances.  As PSE has made no showing that extraordinary circumstances exist and PSE has not been able to show any quantifiable benefit, the Commission should reject the Company’s</w:t>
      </w:r>
      <w:r>
        <w:rPr>
          <w:b/>
        </w:rPr>
        <w:t xml:space="preserve"> </w:t>
      </w:r>
      <w:r>
        <w:t>CSA proposal.</w:t>
      </w:r>
    </w:p>
    <w:p>
      <w:pPr>
        <w:spacing w:line="240" w:lineRule="auto"/>
        <w:ind w:left="720" w:hanging="720"/>
        <w:rPr>
          <w:b/>
        </w:rPr>
      </w:pPr>
      <w:r>
        <w:rPr>
          <w:b/>
        </w:rPr>
        <w:t>Q.</w:t>
      </w:r>
      <w:r>
        <w:tab/>
      </w:r>
      <w:r>
        <w:rPr>
          <w:b/>
        </w:rPr>
        <w:t>IF THE COMMISSION WERE TO ADOPT THE MECHANISM OVER NWIGU’S OBJECTION, WOULD YOU RECOMMEND ANY CHANGES TO THE COMPANY PROPOSAL?</w:t>
      </w:r>
    </w:p>
    <w:p>
      <w:pPr>
        <w:suppressLineNumbers/>
        <w:spacing w:line="240" w:lineRule="auto"/>
        <w:ind w:left="720" w:hanging="720"/>
        <w:rPr>
          <w:b/>
        </w:rPr>
      </w:pPr>
    </w:p>
    <w:p>
      <w:pPr>
        <w:spacing w:line="480" w:lineRule="auto"/>
        <w:ind w:left="720" w:hanging="720"/>
      </w:pPr>
      <w:r>
        <w:rPr>
          <w:b/>
        </w:rPr>
        <w:t>A.</w:t>
      </w:r>
      <w:r>
        <w:tab/>
        <w:t>Yes.  Under the Company’s proposal, the rate schedules are grouped into three rate categories for deriving the fixed cost margins and subsequent cost recovery.  An examination of the individual rate schedule margins within these groupings suggest a superior categorization than that proposed by the Company.  Under the Company proposal, Group 1 consists of Schedule 23 and 53 customers, Group 2 consists of Schedule 31 and 41 customers and Group 3 contains customers on Schedule 85, 86 and 87.  For Group 2, the current customer margin paid under Schedule 31 is 31.5 cents per therm while the Schedule 41 customer margin is only 17.0 cents per therm.  For Group 3, the current customer margins are 9.3 cents per therm for Schedule 85, 17.5 cents per therm for Schedule 86 and 5.4 cents per therm for Schedule 87.  Given these specific margins, a superior grouping approach would be to combine rate schedules with similar margins to minimize inequities within a group.  This approach suggests including Schedule 31 customers in Group 1 and Schedule 86 customers with Schedule 41 customers.  The NWIGU grouping recommendation is summarized in the following table with the PSE proposal.</w:t>
      </w:r>
    </w:p>
    <w:tbl>
      <w:tblPr>
        <w:tblW w:w="3057" w:type="dxa"/>
        <w:jc w:val="center"/>
        <w:tblInd w:w="108" w:type="dxa"/>
        <w:tblLook w:val="04A0" w:firstRow="1" w:lastRow="0" w:firstColumn="1" w:lastColumn="0" w:noHBand="0" w:noVBand="1"/>
      </w:tblPr>
      <w:tblGrid>
        <w:gridCol w:w="741"/>
        <w:gridCol w:w="1158"/>
        <w:gridCol w:w="1158"/>
      </w:tblGrid>
      <w:tr>
        <w:trPr>
          <w:trHeight w:val="300"/>
          <w:jc w:val="center"/>
        </w:trPr>
        <w:tc>
          <w:tcPr>
            <w:tcW w:w="3057" w:type="dxa"/>
            <w:gridSpan w:val="3"/>
            <w:tcBorders>
              <w:top w:val="nil"/>
              <w:left w:val="nil"/>
              <w:bottom w:val="nil"/>
              <w:right w:val="nil"/>
            </w:tcBorders>
            <w:shd w:val="clear" w:color="auto" w:fill="auto"/>
            <w:noWrap/>
            <w:vAlign w:val="bottom"/>
            <w:hideMark/>
          </w:tcPr>
          <w:p>
            <w:pPr>
              <w:spacing w:line="240" w:lineRule="auto"/>
              <w:ind w:firstLine="0"/>
              <w:jc w:val="center"/>
              <w:rPr>
                <w:color w:val="000000"/>
                <w:sz w:val="20"/>
                <w:lang w:eastAsia="en-US"/>
              </w:rPr>
            </w:pPr>
            <w:r>
              <w:rPr>
                <w:color w:val="000000"/>
                <w:sz w:val="20"/>
                <w:lang w:eastAsia="en-US"/>
              </w:rPr>
              <w:t>Rate Schedule Grouping Comparison</w:t>
            </w:r>
          </w:p>
        </w:tc>
      </w:tr>
      <w:tr>
        <w:trPr>
          <w:trHeight w:val="300"/>
          <w:jc w:val="center"/>
        </w:trPr>
        <w:tc>
          <w:tcPr>
            <w:tcW w:w="741" w:type="dxa"/>
            <w:tcBorders>
              <w:top w:val="nil"/>
              <w:left w:val="nil"/>
              <w:bottom w:val="nil"/>
              <w:right w:val="nil"/>
            </w:tcBorders>
            <w:shd w:val="clear" w:color="auto" w:fill="auto"/>
            <w:noWrap/>
            <w:vAlign w:val="bottom"/>
            <w:hideMark/>
          </w:tcPr>
          <w:p>
            <w:pPr>
              <w:spacing w:line="240" w:lineRule="auto"/>
              <w:ind w:firstLine="0"/>
              <w:jc w:val="center"/>
              <w:rPr>
                <w:color w:val="000000"/>
                <w:sz w:val="20"/>
                <w:lang w:eastAsia="en-US"/>
              </w:rPr>
            </w:pPr>
            <w:r>
              <w:rPr>
                <w:color w:val="000000"/>
                <w:sz w:val="20"/>
                <w:lang w:eastAsia="en-US"/>
              </w:rPr>
              <w:t>Group</w:t>
            </w:r>
          </w:p>
        </w:tc>
        <w:tc>
          <w:tcPr>
            <w:tcW w:w="1158" w:type="dxa"/>
            <w:tcBorders>
              <w:top w:val="nil"/>
              <w:left w:val="nil"/>
              <w:bottom w:val="nil"/>
              <w:right w:val="nil"/>
            </w:tcBorders>
            <w:shd w:val="clear" w:color="auto" w:fill="auto"/>
            <w:noWrap/>
            <w:vAlign w:val="bottom"/>
            <w:hideMark/>
          </w:tcPr>
          <w:p>
            <w:pPr>
              <w:spacing w:line="240" w:lineRule="auto"/>
              <w:ind w:firstLine="0"/>
              <w:jc w:val="center"/>
              <w:rPr>
                <w:color w:val="000000"/>
                <w:sz w:val="20"/>
                <w:lang w:eastAsia="en-US"/>
              </w:rPr>
            </w:pPr>
            <w:r>
              <w:rPr>
                <w:color w:val="000000"/>
                <w:sz w:val="20"/>
                <w:lang w:eastAsia="en-US"/>
              </w:rPr>
              <w:t>PSE</w:t>
            </w:r>
          </w:p>
        </w:tc>
        <w:tc>
          <w:tcPr>
            <w:tcW w:w="1158" w:type="dxa"/>
            <w:tcBorders>
              <w:top w:val="nil"/>
              <w:left w:val="nil"/>
              <w:bottom w:val="nil"/>
              <w:right w:val="nil"/>
            </w:tcBorders>
            <w:shd w:val="clear" w:color="auto" w:fill="auto"/>
            <w:noWrap/>
            <w:vAlign w:val="bottom"/>
            <w:hideMark/>
          </w:tcPr>
          <w:p>
            <w:pPr>
              <w:spacing w:line="240" w:lineRule="auto"/>
              <w:ind w:firstLine="0"/>
              <w:jc w:val="center"/>
              <w:rPr>
                <w:color w:val="000000"/>
                <w:sz w:val="20"/>
                <w:lang w:eastAsia="en-US"/>
              </w:rPr>
            </w:pPr>
            <w:r>
              <w:rPr>
                <w:color w:val="000000"/>
                <w:sz w:val="20"/>
                <w:lang w:eastAsia="en-US"/>
              </w:rPr>
              <w:t>NWIGU</w:t>
            </w:r>
          </w:p>
        </w:tc>
      </w:tr>
      <w:tr>
        <w:trPr>
          <w:trHeight w:val="300"/>
          <w:jc w:val="center"/>
        </w:trPr>
        <w:tc>
          <w:tcPr>
            <w:tcW w:w="741" w:type="dxa"/>
            <w:tcBorders>
              <w:top w:val="nil"/>
              <w:left w:val="nil"/>
              <w:bottom w:val="nil"/>
              <w:right w:val="nil"/>
            </w:tcBorders>
            <w:shd w:val="clear" w:color="auto" w:fill="auto"/>
            <w:noWrap/>
            <w:vAlign w:val="bottom"/>
            <w:hideMark/>
          </w:tcPr>
          <w:p>
            <w:pPr>
              <w:spacing w:line="240" w:lineRule="auto"/>
              <w:ind w:firstLine="0"/>
              <w:jc w:val="center"/>
              <w:rPr>
                <w:color w:val="000000"/>
                <w:sz w:val="20"/>
                <w:lang w:eastAsia="en-US"/>
              </w:rPr>
            </w:pPr>
            <w:r>
              <w:rPr>
                <w:color w:val="000000"/>
                <w:sz w:val="20"/>
                <w:lang w:eastAsia="en-US"/>
              </w:rPr>
              <w:t>1</w:t>
            </w:r>
          </w:p>
        </w:tc>
        <w:tc>
          <w:tcPr>
            <w:tcW w:w="1158" w:type="dxa"/>
            <w:tcBorders>
              <w:top w:val="nil"/>
              <w:left w:val="nil"/>
              <w:bottom w:val="nil"/>
              <w:right w:val="nil"/>
            </w:tcBorders>
            <w:shd w:val="clear" w:color="auto" w:fill="auto"/>
            <w:noWrap/>
            <w:vAlign w:val="bottom"/>
            <w:hideMark/>
          </w:tcPr>
          <w:p>
            <w:pPr>
              <w:spacing w:line="240" w:lineRule="auto"/>
              <w:ind w:firstLine="0"/>
              <w:jc w:val="center"/>
              <w:rPr>
                <w:color w:val="000000"/>
                <w:sz w:val="20"/>
                <w:lang w:eastAsia="en-US"/>
              </w:rPr>
            </w:pPr>
            <w:r>
              <w:rPr>
                <w:color w:val="000000"/>
                <w:sz w:val="20"/>
                <w:lang w:eastAsia="en-US"/>
              </w:rPr>
              <w:t>23, 57</w:t>
            </w:r>
          </w:p>
        </w:tc>
        <w:tc>
          <w:tcPr>
            <w:tcW w:w="1158" w:type="dxa"/>
            <w:tcBorders>
              <w:top w:val="nil"/>
              <w:left w:val="nil"/>
              <w:bottom w:val="nil"/>
              <w:right w:val="nil"/>
            </w:tcBorders>
            <w:shd w:val="clear" w:color="auto" w:fill="auto"/>
            <w:noWrap/>
            <w:vAlign w:val="bottom"/>
            <w:hideMark/>
          </w:tcPr>
          <w:p>
            <w:pPr>
              <w:spacing w:line="240" w:lineRule="auto"/>
              <w:ind w:firstLine="0"/>
              <w:jc w:val="center"/>
              <w:rPr>
                <w:color w:val="000000"/>
                <w:sz w:val="20"/>
                <w:lang w:eastAsia="en-US"/>
              </w:rPr>
            </w:pPr>
            <w:r>
              <w:rPr>
                <w:color w:val="000000"/>
                <w:sz w:val="20"/>
                <w:lang w:eastAsia="en-US"/>
              </w:rPr>
              <w:t>23, 57, 31</w:t>
            </w:r>
          </w:p>
        </w:tc>
      </w:tr>
      <w:tr>
        <w:trPr>
          <w:trHeight w:val="300"/>
          <w:jc w:val="center"/>
        </w:trPr>
        <w:tc>
          <w:tcPr>
            <w:tcW w:w="741" w:type="dxa"/>
            <w:tcBorders>
              <w:top w:val="nil"/>
              <w:left w:val="nil"/>
              <w:bottom w:val="nil"/>
              <w:right w:val="nil"/>
            </w:tcBorders>
            <w:shd w:val="clear" w:color="auto" w:fill="auto"/>
            <w:noWrap/>
            <w:vAlign w:val="bottom"/>
            <w:hideMark/>
          </w:tcPr>
          <w:p>
            <w:pPr>
              <w:spacing w:line="240" w:lineRule="auto"/>
              <w:ind w:firstLine="0"/>
              <w:jc w:val="center"/>
              <w:rPr>
                <w:color w:val="000000"/>
                <w:sz w:val="20"/>
                <w:lang w:eastAsia="en-US"/>
              </w:rPr>
            </w:pPr>
            <w:r>
              <w:rPr>
                <w:color w:val="000000"/>
                <w:sz w:val="20"/>
                <w:lang w:eastAsia="en-US"/>
              </w:rPr>
              <w:t>2</w:t>
            </w:r>
          </w:p>
        </w:tc>
        <w:tc>
          <w:tcPr>
            <w:tcW w:w="1158" w:type="dxa"/>
            <w:tcBorders>
              <w:top w:val="nil"/>
              <w:left w:val="nil"/>
              <w:bottom w:val="nil"/>
              <w:right w:val="nil"/>
            </w:tcBorders>
            <w:shd w:val="clear" w:color="auto" w:fill="auto"/>
            <w:noWrap/>
            <w:vAlign w:val="bottom"/>
            <w:hideMark/>
          </w:tcPr>
          <w:p>
            <w:pPr>
              <w:spacing w:line="240" w:lineRule="auto"/>
              <w:ind w:firstLine="0"/>
              <w:jc w:val="center"/>
              <w:rPr>
                <w:color w:val="000000"/>
                <w:sz w:val="20"/>
                <w:lang w:eastAsia="en-US"/>
              </w:rPr>
            </w:pPr>
            <w:r>
              <w:rPr>
                <w:color w:val="000000"/>
                <w:sz w:val="20"/>
                <w:lang w:eastAsia="en-US"/>
              </w:rPr>
              <w:t>31, 41</w:t>
            </w:r>
          </w:p>
        </w:tc>
        <w:tc>
          <w:tcPr>
            <w:tcW w:w="1158" w:type="dxa"/>
            <w:tcBorders>
              <w:top w:val="nil"/>
              <w:left w:val="nil"/>
              <w:bottom w:val="nil"/>
              <w:right w:val="nil"/>
            </w:tcBorders>
            <w:shd w:val="clear" w:color="auto" w:fill="auto"/>
            <w:noWrap/>
            <w:vAlign w:val="bottom"/>
            <w:hideMark/>
          </w:tcPr>
          <w:p>
            <w:pPr>
              <w:spacing w:line="240" w:lineRule="auto"/>
              <w:ind w:firstLine="0"/>
              <w:jc w:val="center"/>
              <w:rPr>
                <w:color w:val="000000"/>
                <w:sz w:val="20"/>
                <w:lang w:eastAsia="en-US"/>
              </w:rPr>
            </w:pPr>
            <w:r>
              <w:rPr>
                <w:color w:val="000000"/>
                <w:sz w:val="20"/>
                <w:lang w:eastAsia="en-US"/>
              </w:rPr>
              <w:t>41, 86</w:t>
            </w:r>
          </w:p>
        </w:tc>
      </w:tr>
      <w:tr>
        <w:trPr>
          <w:trHeight w:val="300"/>
          <w:jc w:val="center"/>
        </w:trPr>
        <w:tc>
          <w:tcPr>
            <w:tcW w:w="741" w:type="dxa"/>
            <w:tcBorders>
              <w:top w:val="nil"/>
              <w:left w:val="nil"/>
              <w:bottom w:val="nil"/>
              <w:right w:val="nil"/>
            </w:tcBorders>
            <w:shd w:val="clear" w:color="auto" w:fill="auto"/>
            <w:noWrap/>
            <w:vAlign w:val="bottom"/>
            <w:hideMark/>
          </w:tcPr>
          <w:p>
            <w:pPr>
              <w:spacing w:line="240" w:lineRule="auto"/>
              <w:ind w:firstLine="0"/>
              <w:jc w:val="center"/>
              <w:rPr>
                <w:color w:val="000000"/>
                <w:sz w:val="20"/>
                <w:lang w:eastAsia="en-US"/>
              </w:rPr>
            </w:pPr>
            <w:r>
              <w:rPr>
                <w:color w:val="000000"/>
                <w:sz w:val="20"/>
                <w:lang w:eastAsia="en-US"/>
              </w:rPr>
              <w:t>3</w:t>
            </w:r>
          </w:p>
        </w:tc>
        <w:tc>
          <w:tcPr>
            <w:tcW w:w="1158" w:type="dxa"/>
            <w:tcBorders>
              <w:top w:val="nil"/>
              <w:left w:val="nil"/>
              <w:bottom w:val="nil"/>
              <w:right w:val="nil"/>
            </w:tcBorders>
            <w:shd w:val="clear" w:color="auto" w:fill="auto"/>
            <w:noWrap/>
            <w:vAlign w:val="bottom"/>
            <w:hideMark/>
          </w:tcPr>
          <w:p>
            <w:pPr>
              <w:spacing w:line="240" w:lineRule="auto"/>
              <w:ind w:firstLine="0"/>
              <w:jc w:val="center"/>
              <w:rPr>
                <w:color w:val="000000"/>
                <w:sz w:val="20"/>
                <w:lang w:eastAsia="en-US"/>
              </w:rPr>
            </w:pPr>
            <w:r>
              <w:rPr>
                <w:color w:val="000000"/>
                <w:sz w:val="20"/>
                <w:lang w:eastAsia="en-US"/>
              </w:rPr>
              <w:t>85, 86, 87</w:t>
            </w:r>
          </w:p>
        </w:tc>
        <w:tc>
          <w:tcPr>
            <w:tcW w:w="1158" w:type="dxa"/>
            <w:tcBorders>
              <w:top w:val="nil"/>
              <w:left w:val="nil"/>
              <w:bottom w:val="nil"/>
              <w:right w:val="nil"/>
            </w:tcBorders>
            <w:shd w:val="clear" w:color="auto" w:fill="auto"/>
            <w:noWrap/>
            <w:vAlign w:val="bottom"/>
            <w:hideMark/>
          </w:tcPr>
          <w:p>
            <w:pPr>
              <w:spacing w:line="240" w:lineRule="auto"/>
              <w:ind w:firstLine="0"/>
              <w:jc w:val="center"/>
              <w:rPr>
                <w:color w:val="000000"/>
                <w:sz w:val="20"/>
                <w:lang w:eastAsia="en-US"/>
              </w:rPr>
            </w:pPr>
            <w:r>
              <w:rPr>
                <w:color w:val="000000"/>
                <w:sz w:val="20"/>
                <w:lang w:eastAsia="en-US"/>
              </w:rPr>
              <w:t>85, 87</w:t>
            </w:r>
          </w:p>
        </w:tc>
      </w:tr>
    </w:tbl>
    <w:p>
      <w:pPr>
        <w:spacing w:line="480" w:lineRule="auto"/>
        <w:ind w:left="720" w:hanging="720"/>
      </w:pPr>
    </w:p>
    <w:p>
      <w:pPr>
        <w:pStyle w:val="Heading1"/>
      </w:pPr>
      <w:bookmarkStart w:id="14" w:name="_Toc310174487"/>
      <w:r>
        <w:t>III.</w:t>
      </w:r>
      <w:r>
        <w:tab/>
        <w:t>ALLOCATION OF DISTRIBUTION MAIN COSTS</w:t>
      </w:r>
      <w:bookmarkEnd w:id="14"/>
    </w:p>
    <w:p>
      <w:pPr>
        <w:pStyle w:val="Style42"/>
        <w:keepNext w:val="0"/>
        <w:widowControl w:val="0"/>
        <w:spacing w:before="120" w:line="240" w:lineRule="auto"/>
      </w:pPr>
      <w:r>
        <w:t>Q.</w:t>
      </w:r>
      <w:r>
        <w:tab/>
        <w:t>HAS THE COMPANY PREPARED A COST-OF-SERVICE STUDY FOR THIS PROCEEDING?</w:t>
      </w:r>
    </w:p>
    <w:p>
      <w:pPr>
        <w:pStyle w:val="Style43"/>
      </w:pPr>
      <w:r>
        <w:t>A.</w:t>
      </w:r>
      <w:r>
        <w:tab/>
        <w:t>Yes.  As it has done in the last several proceedings, the Company has submitted two cost studies in its supplemental exhibits.  One study includes gas costs (see JKP-5) while the second study excludes gas costs (see JKP-4).  As this case is addressing margin or non-gas costs, all cost-of-service results presented in the remainder of my testimony will refer to cost studies that have gas costs excluded.</w:t>
      </w:r>
    </w:p>
    <w:p>
      <w:pPr>
        <w:pStyle w:val="Style42"/>
        <w:keepNext w:val="0"/>
        <w:widowControl w:val="0"/>
        <w:spacing w:before="120" w:line="240" w:lineRule="auto"/>
      </w:pPr>
      <w:r>
        <w:t>Q.</w:t>
      </w:r>
      <w:r>
        <w:tab/>
        <w:t>IN PERFORMING THE NON GAS COST STUDY, DID PSE ALLOCATE COSTS IN THE SAME MANNER AS THE LAST PROCEEDING?</w:t>
      </w:r>
    </w:p>
    <w:p>
      <w:pPr>
        <w:pStyle w:val="Style43"/>
        <w:widowControl w:val="0"/>
      </w:pPr>
      <w:r>
        <w:t>A.</w:t>
      </w:r>
      <w:r>
        <w:tab/>
        <w:t xml:space="preserve">Yes.  In this proceeding, PSE has allocated main costs in the same manner as it did in the last two proceedings.  While there have been limited collaborative efforts to achieve a consensus on how the cost study should be conducted over the past several years, no agreement has been achieved.  PSE’s method uses a peak and average calculation to classify mains into demand-related and commodity related portions.  PSE uses a design day peak demand factor to allocate main investment costs classified to demand.  With regard to the volumetric portion, PSE has segmented the investment into three categories (based on 2010 replacement costs): mains less than 2 inches in diameter (“small mains”), mains 2 to 3 inches (“medium mains”) and mains larger than 3 inches (“large mains”).  PSE is proposing no allocation of the small mains to the Large Users, 33% of the medium main investment is allocated to all users, the remaining 67% of the medium investment is allocated to all users except Schedule 87 and contracts, and the large mains are allocated to all classes.  </w:t>
      </w:r>
    </w:p>
    <w:p>
      <w:pPr>
        <w:pStyle w:val="Style42"/>
        <w:keepNext w:val="0"/>
        <w:widowControl w:val="0"/>
        <w:spacing w:before="120" w:line="240" w:lineRule="auto"/>
      </w:pPr>
      <w:r>
        <w:t>Q.</w:t>
      </w:r>
      <w:r>
        <w:tab/>
        <w:t>IS THE COMPANY’S PROPOSAL AN APPROPRIATE METHOD OF ASSIGNING MAIN INVESTMENT TO LARGE USERS?</w:t>
      </w:r>
    </w:p>
    <w:p>
      <w:pPr>
        <w:pStyle w:val="Style43"/>
        <w:widowControl w:val="0"/>
        <w:rPr>
          <w:rFonts w:ascii="Arial" w:hAnsi="Arial" w:cs="Arial"/>
          <w:sz w:val="20"/>
          <w:lang w:eastAsia="en-US"/>
        </w:rPr>
      </w:pPr>
      <w:r>
        <w:t>A.</w:t>
      </w:r>
      <w:r>
        <w:tab/>
        <w:t xml:space="preserve">No.  NWIGU objected to this method in both the 2009 and 2010 proceedings and continues to do so.  It can be easily shown that the amount of main investment assigned to Large Users is too high.  Large Users are primarily served through mains that are at least 4 inches in diameter.  In fact, in prior proceedings, the Company has testified that no Schedule 87 customer is connected to either medium or small mains.  The Company’s testimony stated there are several Schedule 85 customers connected to medium mains but the associated volume delivered to these customers was only about 15% of the class volume.  So, to now allocate the cost of medium mains using 100% of this class’s volume is inappropriate, and it makes a substantial difference in the amount of investment assigned to this class and the resulting parity ratio. </w:t>
      </w:r>
    </w:p>
    <w:p>
      <w:pPr>
        <w:pStyle w:val="Style43"/>
        <w:widowControl w:val="0"/>
      </w:pPr>
      <w:r>
        <w:tab/>
        <w:t>Further, a substantial portion of PSE’s main investment--44%--is for mains with a diameter less than 4 inches with the remaining associated with the large main category as shown by the following table.</w:t>
      </w:r>
      <w:r>
        <w:tab/>
      </w:r>
    </w:p>
    <w:tbl>
      <w:tblPr>
        <w:tblW w:w="4816" w:type="dxa"/>
        <w:jc w:val="center"/>
        <w:tblInd w:w="108" w:type="dxa"/>
        <w:tblLook w:val="04A0" w:firstRow="1" w:lastRow="0" w:firstColumn="1" w:lastColumn="0" w:noHBand="0" w:noVBand="1"/>
      </w:tblPr>
      <w:tblGrid>
        <w:gridCol w:w="1631"/>
        <w:gridCol w:w="1280"/>
        <w:gridCol w:w="923"/>
        <w:gridCol w:w="982"/>
      </w:tblGrid>
      <w:tr>
        <w:trPr>
          <w:trHeight w:val="255"/>
          <w:jc w:val="center"/>
        </w:trPr>
        <w:tc>
          <w:tcPr>
            <w:tcW w:w="4816" w:type="dxa"/>
            <w:gridSpan w:val="4"/>
            <w:tcBorders>
              <w:top w:val="nil"/>
              <w:left w:val="nil"/>
              <w:bottom w:val="nil"/>
              <w:right w:val="nil"/>
            </w:tcBorders>
            <w:shd w:val="clear" w:color="auto" w:fill="auto"/>
            <w:noWrap/>
            <w:vAlign w:val="bottom"/>
            <w:hideMark/>
          </w:tcPr>
          <w:p>
            <w:pPr>
              <w:spacing w:line="240" w:lineRule="auto"/>
              <w:ind w:firstLine="0"/>
              <w:jc w:val="center"/>
              <w:rPr>
                <w:sz w:val="20"/>
                <w:lang w:eastAsia="en-US"/>
              </w:rPr>
            </w:pPr>
            <w:r>
              <w:rPr>
                <w:sz w:val="20"/>
                <w:lang w:eastAsia="en-US"/>
              </w:rPr>
              <w:t>PSE Main Investment</w:t>
            </w:r>
          </w:p>
        </w:tc>
      </w:tr>
      <w:tr>
        <w:trPr>
          <w:trHeight w:val="255"/>
          <w:jc w:val="center"/>
        </w:trPr>
        <w:tc>
          <w:tcPr>
            <w:tcW w:w="4816" w:type="dxa"/>
            <w:gridSpan w:val="4"/>
            <w:tcBorders>
              <w:top w:val="nil"/>
              <w:left w:val="nil"/>
              <w:bottom w:val="nil"/>
              <w:right w:val="nil"/>
            </w:tcBorders>
            <w:shd w:val="clear" w:color="auto" w:fill="auto"/>
            <w:noWrap/>
            <w:vAlign w:val="bottom"/>
            <w:hideMark/>
          </w:tcPr>
          <w:p>
            <w:pPr>
              <w:spacing w:line="240" w:lineRule="auto"/>
              <w:ind w:firstLine="0"/>
              <w:jc w:val="center"/>
              <w:rPr>
                <w:sz w:val="20"/>
                <w:lang w:eastAsia="en-US"/>
              </w:rPr>
            </w:pPr>
            <w:r>
              <w:rPr>
                <w:sz w:val="20"/>
                <w:lang w:eastAsia="en-US"/>
              </w:rPr>
              <w:t>(Millions $)</w:t>
            </w:r>
          </w:p>
        </w:tc>
      </w:tr>
      <w:tr>
        <w:trPr>
          <w:trHeight w:val="765"/>
          <w:jc w:val="center"/>
        </w:trPr>
        <w:tc>
          <w:tcPr>
            <w:tcW w:w="1631" w:type="dxa"/>
            <w:tcBorders>
              <w:top w:val="nil"/>
              <w:left w:val="nil"/>
              <w:bottom w:val="nil"/>
              <w:right w:val="nil"/>
            </w:tcBorders>
            <w:shd w:val="clear" w:color="auto" w:fill="auto"/>
            <w:vAlign w:val="bottom"/>
            <w:hideMark/>
          </w:tcPr>
          <w:p>
            <w:pPr>
              <w:spacing w:line="240" w:lineRule="auto"/>
              <w:ind w:firstLine="0"/>
              <w:rPr>
                <w:sz w:val="20"/>
                <w:lang w:eastAsia="en-US"/>
              </w:rPr>
            </w:pPr>
            <w:r>
              <w:rPr>
                <w:sz w:val="20"/>
                <w:lang w:eastAsia="en-US"/>
              </w:rPr>
              <w:t>Size - Diameter</w:t>
            </w:r>
          </w:p>
        </w:tc>
        <w:tc>
          <w:tcPr>
            <w:tcW w:w="1280" w:type="dxa"/>
            <w:tcBorders>
              <w:top w:val="nil"/>
              <w:left w:val="nil"/>
              <w:bottom w:val="nil"/>
              <w:right w:val="nil"/>
            </w:tcBorders>
            <w:shd w:val="clear" w:color="auto" w:fill="auto"/>
            <w:vAlign w:val="bottom"/>
            <w:hideMark/>
          </w:tcPr>
          <w:p>
            <w:pPr>
              <w:spacing w:line="240" w:lineRule="auto"/>
              <w:ind w:firstLine="0"/>
              <w:jc w:val="center"/>
              <w:rPr>
                <w:sz w:val="20"/>
                <w:lang w:eastAsia="en-US"/>
              </w:rPr>
            </w:pPr>
            <w:r>
              <w:rPr>
                <w:sz w:val="20"/>
                <w:lang w:eastAsia="en-US"/>
              </w:rPr>
              <w:t>Replacement Cost</w:t>
            </w:r>
          </w:p>
        </w:tc>
        <w:tc>
          <w:tcPr>
            <w:tcW w:w="923" w:type="dxa"/>
            <w:tcBorders>
              <w:top w:val="nil"/>
              <w:left w:val="nil"/>
              <w:bottom w:val="nil"/>
              <w:right w:val="nil"/>
            </w:tcBorders>
            <w:shd w:val="clear" w:color="auto" w:fill="auto"/>
            <w:vAlign w:val="bottom"/>
            <w:hideMark/>
          </w:tcPr>
          <w:p>
            <w:pPr>
              <w:spacing w:line="240" w:lineRule="auto"/>
              <w:ind w:firstLine="0"/>
              <w:jc w:val="center"/>
              <w:rPr>
                <w:sz w:val="20"/>
                <w:lang w:eastAsia="en-US"/>
              </w:rPr>
            </w:pPr>
            <w:r>
              <w:rPr>
                <w:sz w:val="20"/>
                <w:lang w:eastAsia="en-US"/>
              </w:rPr>
              <w:t>Percent</w:t>
            </w:r>
          </w:p>
        </w:tc>
        <w:tc>
          <w:tcPr>
            <w:tcW w:w="982" w:type="dxa"/>
            <w:tcBorders>
              <w:top w:val="nil"/>
              <w:left w:val="nil"/>
              <w:bottom w:val="nil"/>
              <w:right w:val="nil"/>
            </w:tcBorders>
            <w:shd w:val="clear" w:color="auto" w:fill="auto"/>
            <w:vAlign w:val="bottom"/>
            <w:hideMark/>
          </w:tcPr>
          <w:p>
            <w:pPr>
              <w:spacing w:line="240" w:lineRule="auto"/>
              <w:ind w:firstLine="0"/>
              <w:jc w:val="center"/>
              <w:rPr>
                <w:sz w:val="20"/>
                <w:lang w:eastAsia="en-US"/>
              </w:rPr>
            </w:pPr>
            <w:r>
              <w:rPr>
                <w:sz w:val="20"/>
                <w:lang w:eastAsia="en-US"/>
              </w:rPr>
              <w:t>Approx. Gross Plant</w:t>
            </w:r>
          </w:p>
        </w:tc>
      </w:tr>
      <w:tr>
        <w:trPr>
          <w:trHeight w:val="255"/>
          <w:jc w:val="center"/>
        </w:trPr>
        <w:tc>
          <w:tcPr>
            <w:tcW w:w="1631" w:type="dxa"/>
            <w:tcBorders>
              <w:top w:val="nil"/>
              <w:left w:val="nil"/>
              <w:bottom w:val="nil"/>
              <w:right w:val="nil"/>
            </w:tcBorders>
            <w:shd w:val="clear" w:color="auto" w:fill="auto"/>
            <w:noWrap/>
            <w:vAlign w:val="bottom"/>
            <w:hideMark/>
          </w:tcPr>
          <w:p>
            <w:pPr>
              <w:spacing w:line="240" w:lineRule="auto"/>
              <w:ind w:firstLine="0"/>
              <w:rPr>
                <w:sz w:val="20"/>
                <w:lang w:eastAsia="en-US"/>
              </w:rPr>
            </w:pPr>
            <w:r>
              <w:rPr>
                <w:sz w:val="20"/>
                <w:lang w:eastAsia="en-US"/>
              </w:rPr>
              <w:t>Small &lt;2</w:t>
            </w:r>
          </w:p>
        </w:tc>
        <w:tc>
          <w:tcPr>
            <w:tcW w:w="1280" w:type="dxa"/>
            <w:tcBorders>
              <w:top w:val="nil"/>
              <w:left w:val="nil"/>
              <w:bottom w:val="nil"/>
              <w:right w:val="nil"/>
            </w:tcBorders>
            <w:shd w:val="clear" w:color="auto" w:fill="auto"/>
            <w:noWrap/>
            <w:vAlign w:val="bottom"/>
            <w:hideMark/>
          </w:tcPr>
          <w:p>
            <w:pPr>
              <w:spacing w:line="240" w:lineRule="auto"/>
              <w:ind w:firstLine="0"/>
              <w:jc w:val="center"/>
              <w:rPr>
                <w:sz w:val="20"/>
                <w:lang w:eastAsia="en-US"/>
              </w:rPr>
            </w:pPr>
            <w:r>
              <w:rPr>
                <w:sz w:val="20"/>
                <w:lang w:eastAsia="en-US"/>
              </w:rPr>
              <w:t xml:space="preserve">$480.2 </w:t>
            </w:r>
          </w:p>
        </w:tc>
        <w:tc>
          <w:tcPr>
            <w:tcW w:w="923" w:type="dxa"/>
            <w:tcBorders>
              <w:top w:val="nil"/>
              <w:left w:val="nil"/>
              <w:bottom w:val="nil"/>
              <w:right w:val="nil"/>
            </w:tcBorders>
            <w:shd w:val="clear" w:color="auto" w:fill="auto"/>
            <w:noWrap/>
            <w:vAlign w:val="bottom"/>
            <w:hideMark/>
          </w:tcPr>
          <w:p>
            <w:pPr>
              <w:spacing w:line="240" w:lineRule="auto"/>
              <w:ind w:firstLine="0"/>
              <w:jc w:val="center"/>
              <w:rPr>
                <w:sz w:val="20"/>
                <w:lang w:eastAsia="en-US"/>
              </w:rPr>
            </w:pPr>
            <w:r>
              <w:rPr>
                <w:sz w:val="20"/>
                <w:lang w:eastAsia="en-US"/>
              </w:rPr>
              <w:t>19%</w:t>
            </w:r>
          </w:p>
        </w:tc>
        <w:tc>
          <w:tcPr>
            <w:tcW w:w="982" w:type="dxa"/>
            <w:tcBorders>
              <w:top w:val="nil"/>
              <w:left w:val="nil"/>
              <w:bottom w:val="nil"/>
              <w:right w:val="nil"/>
            </w:tcBorders>
            <w:shd w:val="clear" w:color="auto" w:fill="auto"/>
            <w:noWrap/>
            <w:vAlign w:val="bottom"/>
            <w:hideMark/>
          </w:tcPr>
          <w:p>
            <w:pPr>
              <w:spacing w:line="240" w:lineRule="auto"/>
              <w:ind w:firstLine="0"/>
              <w:jc w:val="right"/>
              <w:rPr>
                <w:sz w:val="20"/>
                <w:lang w:eastAsia="en-US"/>
              </w:rPr>
            </w:pPr>
            <w:r>
              <w:rPr>
                <w:sz w:val="20"/>
                <w:lang w:eastAsia="en-US"/>
              </w:rPr>
              <w:t>$255.0</w:t>
            </w:r>
          </w:p>
        </w:tc>
      </w:tr>
      <w:tr>
        <w:trPr>
          <w:trHeight w:val="255"/>
          <w:jc w:val="center"/>
        </w:trPr>
        <w:tc>
          <w:tcPr>
            <w:tcW w:w="1631" w:type="dxa"/>
            <w:tcBorders>
              <w:top w:val="nil"/>
              <w:left w:val="nil"/>
              <w:bottom w:val="nil"/>
              <w:right w:val="nil"/>
            </w:tcBorders>
            <w:shd w:val="clear" w:color="auto" w:fill="auto"/>
            <w:noWrap/>
            <w:vAlign w:val="bottom"/>
            <w:hideMark/>
          </w:tcPr>
          <w:p>
            <w:pPr>
              <w:spacing w:line="240" w:lineRule="auto"/>
              <w:ind w:firstLine="0"/>
              <w:rPr>
                <w:sz w:val="20"/>
                <w:lang w:eastAsia="en-US"/>
              </w:rPr>
            </w:pPr>
            <w:r>
              <w:rPr>
                <w:sz w:val="20"/>
                <w:lang w:eastAsia="en-US"/>
              </w:rPr>
              <w:t>Medium 2-3</w:t>
            </w:r>
          </w:p>
        </w:tc>
        <w:tc>
          <w:tcPr>
            <w:tcW w:w="1280" w:type="dxa"/>
            <w:tcBorders>
              <w:top w:val="nil"/>
              <w:left w:val="nil"/>
              <w:bottom w:val="nil"/>
              <w:right w:val="nil"/>
            </w:tcBorders>
            <w:shd w:val="clear" w:color="auto" w:fill="auto"/>
            <w:noWrap/>
            <w:vAlign w:val="bottom"/>
            <w:hideMark/>
          </w:tcPr>
          <w:p>
            <w:pPr>
              <w:spacing w:line="240" w:lineRule="auto"/>
              <w:ind w:firstLine="0"/>
              <w:jc w:val="center"/>
              <w:rPr>
                <w:sz w:val="20"/>
                <w:lang w:eastAsia="en-US"/>
              </w:rPr>
            </w:pPr>
            <w:r>
              <w:rPr>
                <w:sz w:val="20"/>
                <w:lang w:eastAsia="en-US"/>
              </w:rPr>
              <w:t xml:space="preserve">$637.9 </w:t>
            </w:r>
          </w:p>
        </w:tc>
        <w:tc>
          <w:tcPr>
            <w:tcW w:w="923" w:type="dxa"/>
            <w:tcBorders>
              <w:top w:val="nil"/>
              <w:left w:val="nil"/>
              <w:bottom w:val="nil"/>
              <w:right w:val="nil"/>
            </w:tcBorders>
            <w:shd w:val="clear" w:color="auto" w:fill="auto"/>
            <w:noWrap/>
            <w:vAlign w:val="bottom"/>
            <w:hideMark/>
          </w:tcPr>
          <w:p>
            <w:pPr>
              <w:spacing w:line="240" w:lineRule="auto"/>
              <w:ind w:firstLine="0"/>
              <w:jc w:val="center"/>
              <w:rPr>
                <w:sz w:val="20"/>
                <w:lang w:eastAsia="en-US"/>
              </w:rPr>
            </w:pPr>
            <w:r>
              <w:rPr>
                <w:sz w:val="20"/>
                <w:lang w:eastAsia="en-US"/>
              </w:rPr>
              <w:t>25%</w:t>
            </w:r>
          </w:p>
        </w:tc>
        <w:tc>
          <w:tcPr>
            <w:tcW w:w="982" w:type="dxa"/>
            <w:tcBorders>
              <w:top w:val="nil"/>
              <w:left w:val="nil"/>
              <w:bottom w:val="nil"/>
              <w:right w:val="nil"/>
            </w:tcBorders>
            <w:shd w:val="clear" w:color="auto" w:fill="auto"/>
            <w:noWrap/>
            <w:vAlign w:val="bottom"/>
            <w:hideMark/>
          </w:tcPr>
          <w:p>
            <w:pPr>
              <w:spacing w:line="240" w:lineRule="auto"/>
              <w:ind w:firstLine="0"/>
              <w:jc w:val="right"/>
              <w:rPr>
                <w:sz w:val="20"/>
                <w:lang w:eastAsia="en-US"/>
              </w:rPr>
            </w:pPr>
            <w:r>
              <w:rPr>
                <w:sz w:val="20"/>
                <w:lang w:eastAsia="en-US"/>
              </w:rPr>
              <w:t>$338.7</w:t>
            </w:r>
          </w:p>
        </w:tc>
      </w:tr>
      <w:tr>
        <w:trPr>
          <w:trHeight w:val="255"/>
          <w:jc w:val="center"/>
        </w:trPr>
        <w:tc>
          <w:tcPr>
            <w:tcW w:w="1631" w:type="dxa"/>
            <w:tcBorders>
              <w:top w:val="nil"/>
              <w:left w:val="nil"/>
              <w:bottom w:val="nil"/>
              <w:right w:val="nil"/>
            </w:tcBorders>
            <w:shd w:val="clear" w:color="auto" w:fill="auto"/>
            <w:noWrap/>
            <w:vAlign w:val="bottom"/>
            <w:hideMark/>
          </w:tcPr>
          <w:p>
            <w:pPr>
              <w:spacing w:line="240" w:lineRule="auto"/>
              <w:ind w:firstLine="0"/>
              <w:rPr>
                <w:sz w:val="20"/>
                <w:lang w:eastAsia="en-US"/>
              </w:rPr>
            </w:pPr>
            <w:r>
              <w:rPr>
                <w:sz w:val="20"/>
                <w:lang w:eastAsia="en-US"/>
              </w:rPr>
              <w:t>Large &gt;3</w:t>
            </w:r>
          </w:p>
        </w:tc>
        <w:tc>
          <w:tcPr>
            <w:tcW w:w="1280" w:type="dxa"/>
            <w:tcBorders>
              <w:top w:val="nil"/>
              <w:left w:val="nil"/>
              <w:bottom w:val="nil"/>
              <w:right w:val="nil"/>
            </w:tcBorders>
            <w:shd w:val="clear" w:color="auto" w:fill="auto"/>
            <w:noWrap/>
            <w:vAlign w:val="bottom"/>
            <w:hideMark/>
          </w:tcPr>
          <w:p>
            <w:pPr>
              <w:spacing w:line="240" w:lineRule="auto"/>
              <w:ind w:firstLine="0"/>
              <w:jc w:val="center"/>
              <w:rPr>
                <w:sz w:val="20"/>
                <w:lang w:eastAsia="en-US"/>
              </w:rPr>
            </w:pPr>
            <w:r>
              <w:rPr>
                <w:sz w:val="20"/>
                <w:lang w:eastAsia="en-US"/>
              </w:rPr>
              <w:t xml:space="preserve">$1,406.5 </w:t>
            </w:r>
          </w:p>
        </w:tc>
        <w:tc>
          <w:tcPr>
            <w:tcW w:w="923" w:type="dxa"/>
            <w:tcBorders>
              <w:top w:val="nil"/>
              <w:left w:val="nil"/>
              <w:bottom w:val="nil"/>
              <w:right w:val="nil"/>
            </w:tcBorders>
            <w:shd w:val="clear" w:color="auto" w:fill="auto"/>
            <w:noWrap/>
            <w:vAlign w:val="bottom"/>
            <w:hideMark/>
          </w:tcPr>
          <w:p>
            <w:pPr>
              <w:spacing w:line="240" w:lineRule="auto"/>
              <w:ind w:firstLine="0"/>
              <w:jc w:val="center"/>
              <w:rPr>
                <w:sz w:val="20"/>
                <w:lang w:eastAsia="en-US"/>
              </w:rPr>
            </w:pPr>
            <w:r>
              <w:rPr>
                <w:sz w:val="20"/>
                <w:lang w:eastAsia="en-US"/>
              </w:rPr>
              <w:t>56%</w:t>
            </w:r>
          </w:p>
        </w:tc>
        <w:tc>
          <w:tcPr>
            <w:tcW w:w="982" w:type="dxa"/>
            <w:tcBorders>
              <w:top w:val="nil"/>
              <w:left w:val="nil"/>
              <w:bottom w:val="nil"/>
              <w:right w:val="nil"/>
            </w:tcBorders>
            <w:shd w:val="clear" w:color="auto" w:fill="auto"/>
            <w:noWrap/>
            <w:vAlign w:val="bottom"/>
            <w:hideMark/>
          </w:tcPr>
          <w:p>
            <w:pPr>
              <w:spacing w:line="240" w:lineRule="auto"/>
              <w:ind w:firstLine="0"/>
              <w:jc w:val="right"/>
              <w:rPr>
                <w:sz w:val="20"/>
                <w:lang w:eastAsia="en-US"/>
              </w:rPr>
            </w:pPr>
            <w:r>
              <w:rPr>
                <w:sz w:val="20"/>
                <w:lang w:eastAsia="en-US"/>
              </w:rPr>
              <w:t>$746.9</w:t>
            </w:r>
          </w:p>
        </w:tc>
      </w:tr>
      <w:tr>
        <w:trPr>
          <w:trHeight w:val="255"/>
          <w:jc w:val="center"/>
        </w:trPr>
        <w:tc>
          <w:tcPr>
            <w:tcW w:w="1631" w:type="dxa"/>
            <w:tcBorders>
              <w:top w:val="nil"/>
              <w:left w:val="nil"/>
              <w:bottom w:val="nil"/>
              <w:right w:val="nil"/>
            </w:tcBorders>
            <w:shd w:val="clear" w:color="auto" w:fill="auto"/>
            <w:noWrap/>
            <w:vAlign w:val="bottom"/>
            <w:hideMark/>
          </w:tcPr>
          <w:p>
            <w:pPr>
              <w:spacing w:line="240" w:lineRule="auto"/>
              <w:ind w:firstLine="0"/>
              <w:rPr>
                <w:sz w:val="20"/>
                <w:lang w:eastAsia="en-US"/>
              </w:rPr>
            </w:pPr>
            <w:r>
              <w:rPr>
                <w:sz w:val="20"/>
                <w:lang w:eastAsia="en-US"/>
              </w:rPr>
              <w:t xml:space="preserve">  Total:</w:t>
            </w:r>
          </w:p>
        </w:tc>
        <w:tc>
          <w:tcPr>
            <w:tcW w:w="1280" w:type="dxa"/>
            <w:tcBorders>
              <w:top w:val="nil"/>
              <w:left w:val="nil"/>
              <w:bottom w:val="nil"/>
              <w:right w:val="nil"/>
            </w:tcBorders>
            <w:shd w:val="clear" w:color="auto" w:fill="auto"/>
            <w:noWrap/>
            <w:vAlign w:val="bottom"/>
            <w:hideMark/>
          </w:tcPr>
          <w:p>
            <w:pPr>
              <w:spacing w:line="240" w:lineRule="auto"/>
              <w:ind w:firstLine="0"/>
              <w:jc w:val="center"/>
              <w:rPr>
                <w:sz w:val="20"/>
                <w:lang w:eastAsia="en-US"/>
              </w:rPr>
            </w:pPr>
            <w:r>
              <w:rPr>
                <w:sz w:val="20"/>
                <w:lang w:eastAsia="en-US"/>
              </w:rPr>
              <w:t xml:space="preserve">$2,524.6 </w:t>
            </w:r>
          </w:p>
        </w:tc>
        <w:tc>
          <w:tcPr>
            <w:tcW w:w="923" w:type="dxa"/>
            <w:tcBorders>
              <w:top w:val="nil"/>
              <w:left w:val="nil"/>
              <w:bottom w:val="nil"/>
              <w:right w:val="nil"/>
            </w:tcBorders>
            <w:shd w:val="clear" w:color="auto" w:fill="auto"/>
            <w:noWrap/>
            <w:vAlign w:val="bottom"/>
            <w:hideMark/>
          </w:tcPr>
          <w:p>
            <w:pPr>
              <w:spacing w:line="240" w:lineRule="auto"/>
              <w:ind w:firstLine="0"/>
              <w:jc w:val="center"/>
              <w:rPr>
                <w:sz w:val="20"/>
                <w:lang w:eastAsia="en-US"/>
              </w:rPr>
            </w:pPr>
            <w:r>
              <w:rPr>
                <w:sz w:val="20"/>
                <w:lang w:eastAsia="en-US"/>
              </w:rPr>
              <w:t>100%</w:t>
            </w:r>
          </w:p>
        </w:tc>
        <w:tc>
          <w:tcPr>
            <w:tcW w:w="982" w:type="dxa"/>
            <w:tcBorders>
              <w:top w:val="nil"/>
              <w:left w:val="nil"/>
              <w:bottom w:val="nil"/>
              <w:right w:val="nil"/>
            </w:tcBorders>
            <w:shd w:val="clear" w:color="auto" w:fill="auto"/>
            <w:noWrap/>
            <w:vAlign w:val="bottom"/>
            <w:hideMark/>
          </w:tcPr>
          <w:p>
            <w:pPr>
              <w:spacing w:line="240" w:lineRule="auto"/>
              <w:ind w:firstLine="0"/>
              <w:jc w:val="right"/>
              <w:rPr>
                <w:sz w:val="20"/>
                <w:lang w:eastAsia="en-US"/>
              </w:rPr>
            </w:pPr>
            <w:r>
              <w:rPr>
                <w:sz w:val="20"/>
                <w:lang w:eastAsia="en-US"/>
              </w:rPr>
              <w:t>$1,340.6</w:t>
            </w:r>
          </w:p>
        </w:tc>
      </w:tr>
    </w:tbl>
    <w:p>
      <w:pPr>
        <w:pStyle w:val="Style43"/>
        <w:widowControl w:val="0"/>
        <w:jc w:val="center"/>
        <w:rPr>
          <w:sz w:val="20"/>
          <w:lang w:eastAsia="en-US"/>
        </w:rPr>
      </w:pPr>
    </w:p>
    <w:p>
      <w:pPr>
        <w:pStyle w:val="Style43"/>
        <w:widowControl w:val="0"/>
      </w:pPr>
      <w:r>
        <w:tab/>
        <w:t xml:space="preserve">Yet PSE’s allocation approach assigns $898.2 million to all customers based on peak demands.  Consequently, the Large Users are inappropriately assigned costs of medium and small mains through the Company’s allocation method.  </w:t>
      </w:r>
    </w:p>
    <w:p>
      <w:pPr>
        <w:pStyle w:val="Style43"/>
        <w:widowControl w:val="0"/>
        <w:spacing w:line="240" w:lineRule="auto"/>
        <w:rPr>
          <w:b/>
        </w:rPr>
      </w:pPr>
      <w:r>
        <w:rPr>
          <w:b/>
        </w:rPr>
        <w:t>Q.</w:t>
      </w:r>
      <w:r>
        <w:rPr>
          <w:b/>
        </w:rPr>
        <w:tab/>
        <w:t>WHAT IS YOU RESPONSE TO THE COMPANY’S ASSERTION THAT LARGE USERS BENEFIT FROM THE EXISTENCE OF MEDIUM AND SMALL MAINS?</w:t>
      </w:r>
    </w:p>
    <w:p>
      <w:pPr>
        <w:pStyle w:val="Style43"/>
        <w:widowControl w:val="0"/>
        <w:rPr>
          <w:sz w:val="20"/>
          <w:lang w:eastAsia="en-US"/>
        </w:rPr>
      </w:pPr>
      <w:r>
        <w:rPr>
          <w:b/>
        </w:rPr>
        <w:t>A.</w:t>
      </w:r>
      <w:r>
        <w:rPr>
          <w:b/>
        </w:rPr>
        <w:tab/>
      </w:r>
      <w:r>
        <w:t xml:space="preserve">As portions of the system are interconnected, of course the Company can point to some flow occurring to serve a Large User over a medium or small main.  What the Company has not pointed out however is that except for the limited customers connected to the medium and small mains, it would be impossible to serve the complete demand of Large Users from these facilities.  We know from past proceedings that the Company’s gas flow model on a peak design day assigns less than $1.0 million of medium and small mains to Large Users.  On an average winter day, about $2.5 million of medium and small mains are used to supply Large Users.  To use this fact to assign $21.3 million of small and medium main investment to these customers is simply not right.  The Company’s alleged benefit is really just a by-product of the physics of a network system.  It cannot be used to justify this dramatic difference in cost assignment being sought by the Company.  </w:t>
      </w:r>
    </w:p>
    <w:p>
      <w:pPr>
        <w:pStyle w:val="Style42"/>
        <w:keepNext w:val="0"/>
        <w:widowControl w:val="0"/>
        <w:spacing w:before="120" w:line="240" w:lineRule="auto"/>
      </w:pPr>
      <w:r>
        <w:t>Q.</w:t>
      </w:r>
      <w:r>
        <w:tab/>
        <w:t>WHAT IS YOUR RECOMMENDATION FOR ASSIGNING MAIN INVESTMENT TO LARGE USERS?</w:t>
      </w:r>
    </w:p>
    <w:p>
      <w:pPr>
        <w:pStyle w:val="Style43"/>
        <w:widowControl w:val="0"/>
      </w:pPr>
      <w:r>
        <w:t>A.</w:t>
      </w:r>
      <w:r>
        <w:tab/>
      </w:r>
      <w:bookmarkStart w:id="15" w:name="_Toc127352134"/>
      <w:r>
        <w:t xml:space="preserve">I believe the most equitable approach is to use a direct assignment method based upon average winter weather conditions using the Company’s gas flow model as I have advocated in past proceedings.  In a prior proceeding, this approach assigned about $59 million to these customers.  A pure cost-based allocation approach using main segmentation and a design day peak demand would only assign about $11.8 million to these customers.  Using PSE’s peak demand allocation factor in this case as another cost-based approach (applied to all main sizes) would only assign $21.2 million to the Large Users.  Thus, my average day recommendation assigns 3-5 times the amount of main investment to these customers in recognition of past decisions of this Commission.  But in my opinion, to go beyond this amount places too great a burden on these customers. </w:t>
      </w:r>
    </w:p>
    <w:p>
      <w:pPr>
        <w:pStyle w:val="Style43"/>
        <w:widowControl w:val="0"/>
        <w:spacing w:line="240" w:lineRule="auto"/>
        <w:rPr>
          <w:b/>
        </w:rPr>
      </w:pPr>
      <w:r>
        <w:rPr>
          <w:b/>
        </w:rPr>
        <w:t>Q.</w:t>
      </w:r>
      <w:r>
        <w:rPr>
          <w:b/>
        </w:rPr>
        <w:tab/>
        <w:t>CAN YOU ACHIEVE AN EQUITABLE RESULT WITHIN THE COMPANY’S BASIC STRUCTURE WITHOUT USING THE GAS FLOW MODEL?</w:t>
      </w:r>
    </w:p>
    <w:p>
      <w:pPr>
        <w:pStyle w:val="Style43"/>
        <w:widowControl w:val="0"/>
      </w:pPr>
      <w:r>
        <w:t>A.</w:t>
      </w:r>
      <w:r>
        <w:tab/>
        <w:t>Yes, this can be done with just two modifications to the Company’s proposed method.  First, the main investment considered to be peak related should be segmented into three size categories just as the Company has done for the volumetric portion.  Second, both the peak and volumetric portions should allocate the costs of the large mains to all users but no medium or small main costs should be allocated to the Schedule 85, 87 and contract classes.  The following table compares the NWIGU recommendation with PSE’s proposal.</w:t>
      </w:r>
    </w:p>
    <w:tbl>
      <w:tblPr>
        <w:tblW w:w="6480" w:type="dxa"/>
        <w:jc w:val="center"/>
        <w:tblLook w:val="04A0" w:firstRow="1" w:lastRow="0" w:firstColumn="1" w:lastColumn="0" w:noHBand="0" w:noVBand="1"/>
      </w:tblPr>
      <w:tblGrid>
        <w:gridCol w:w="3578"/>
        <w:gridCol w:w="1064"/>
        <w:gridCol w:w="1064"/>
        <w:gridCol w:w="774"/>
      </w:tblGrid>
      <w:tr>
        <w:trPr>
          <w:trHeight w:val="255"/>
          <w:jc w:val="center"/>
        </w:trPr>
        <w:tc>
          <w:tcPr>
            <w:tcW w:w="6480" w:type="dxa"/>
            <w:gridSpan w:val="4"/>
            <w:tcBorders>
              <w:top w:val="nil"/>
              <w:left w:val="nil"/>
              <w:bottom w:val="nil"/>
              <w:right w:val="nil"/>
            </w:tcBorders>
            <w:shd w:val="clear" w:color="auto" w:fill="auto"/>
            <w:noWrap/>
            <w:vAlign w:val="bottom"/>
          </w:tcPr>
          <w:p>
            <w:pPr>
              <w:spacing w:line="240" w:lineRule="auto"/>
              <w:ind w:firstLine="0"/>
              <w:jc w:val="center"/>
              <w:rPr>
                <w:sz w:val="20"/>
                <w:lang w:eastAsia="en-US"/>
              </w:rPr>
            </w:pPr>
            <w:r>
              <w:rPr>
                <w:sz w:val="20"/>
                <w:lang w:eastAsia="en-US"/>
              </w:rPr>
              <w:t>Main Allocation Comparison</w:t>
            </w:r>
          </w:p>
        </w:tc>
      </w:tr>
      <w:tr>
        <w:trPr>
          <w:trHeight w:val="255"/>
          <w:jc w:val="center"/>
        </w:trPr>
        <w:tc>
          <w:tcPr>
            <w:tcW w:w="6480" w:type="dxa"/>
            <w:gridSpan w:val="4"/>
            <w:tcBorders>
              <w:top w:val="nil"/>
              <w:left w:val="nil"/>
              <w:bottom w:val="nil"/>
              <w:right w:val="nil"/>
            </w:tcBorders>
            <w:shd w:val="clear" w:color="auto" w:fill="auto"/>
            <w:noWrap/>
            <w:vAlign w:val="bottom"/>
          </w:tcPr>
          <w:p>
            <w:pPr>
              <w:spacing w:line="240" w:lineRule="auto"/>
              <w:ind w:firstLine="0"/>
              <w:jc w:val="center"/>
              <w:rPr>
                <w:sz w:val="20"/>
                <w:lang w:eastAsia="en-US"/>
              </w:rPr>
            </w:pPr>
            <w:r>
              <w:rPr>
                <w:sz w:val="20"/>
                <w:lang w:eastAsia="en-US"/>
              </w:rPr>
              <w:t>($ Millions)</w:t>
            </w:r>
          </w:p>
        </w:tc>
      </w:tr>
      <w:tr>
        <w:trPr>
          <w:trHeight w:val="255"/>
          <w:jc w:val="center"/>
        </w:trPr>
        <w:tc>
          <w:tcPr>
            <w:tcW w:w="3578" w:type="dxa"/>
            <w:tcBorders>
              <w:top w:val="nil"/>
              <w:left w:val="nil"/>
              <w:bottom w:val="nil"/>
              <w:right w:val="nil"/>
            </w:tcBorders>
            <w:shd w:val="clear" w:color="auto" w:fill="auto"/>
            <w:noWrap/>
            <w:vAlign w:val="bottom"/>
          </w:tcPr>
          <w:p>
            <w:pPr>
              <w:spacing w:line="240" w:lineRule="auto"/>
              <w:ind w:firstLine="0"/>
              <w:rPr>
                <w:sz w:val="20"/>
                <w:lang w:eastAsia="en-US"/>
              </w:rPr>
            </w:pPr>
            <w:r>
              <w:rPr>
                <w:sz w:val="20"/>
                <w:lang w:eastAsia="en-US"/>
              </w:rPr>
              <w:t>Class</w:t>
            </w:r>
          </w:p>
        </w:tc>
        <w:tc>
          <w:tcPr>
            <w:tcW w:w="1064" w:type="dxa"/>
            <w:tcBorders>
              <w:top w:val="nil"/>
              <w:left w:val="nil"/>
              <w:bottom w:val="nil"/>
              <w:right w:val="nil"/>
            </w:tcBorders>
            <w:shd w:val="clear" w:color="auto" w:fill="auto"/>
            <w:noWrap/>
            <w:vAlign w:val="bottom"/>
          </w:tcPr>
          <w:p>
            <w:pPr>
              <w:spacing w:line="240" w:lineRule="auto"/>
              <w:ind w:firstLine="0"/>
              <w:jc w:val="center"/>
              <w:rPr>
                <w:sz w:val="20"/>
                <w:lang w:eastAsia="en-US"/>
              </w:rPr>
            </w:pPr>
            <w:r>
              <w:rPr>
                <w:sz w:val="20"/>
                <w:lang w:eastAsia="en-US"/>
              </w:rPr>
              <w:t>PSE</w:t>
            </w:r>
          </w:p>
        </w:tc>
        <w:tc>
          <w:tcPr>
            <w:tcW w:w="1064" w:type="dxa"/>
            <w:tcBorders>
              <w:top w:val="nil"/>
              <w:left w:val="nil"/>
              <w:bottom w:val="nil"/>
              <w:right w:val="nil"/>
            </w:tcBorders>
            <w:shd w:val="clear" w:color="auto" w:fill="auto"/>
            <w:noWrap/>
            <w:vAlign w:val="bottom"/>
          </w:tcPr>
          <w:p>
            <w:pPr>
              <w:spacing w:line="240" w:lineRule="auto"/>
              <w:ind w:firstLine="0"/>
              <w:jc w:val="center"/>
              <w:rPr>
                <w:sz w:val="20"/>
                <w:lang w:eastAsia="en-US"/>
              </w:rPr>
            </w:pPr>
            <w:r>
              <w:rPr>
                <w:sz w:val="20"/>
                <w:lang w:eastAsia="en-US"/>
              </w:rPr>
              <w:t>NWIGU</w:t>
            </w:r>
          </w:p>
        </w:tc>
        <w:tc>
          <w:tcPr>
            <w:tcW w:w="774" w:type="dxa"/>
            <w:tcBorders>
              <w:top w:val="nil"/>
              <w:left w:val="nil"/>
              <w:bottom w:val="nil"/>
              <w:right w:val="nil"/>
            </w:tcBorders>
            <w:shd w:val="clear" w:color="auto" w:fill="auto"/>
            <w:noWrap/>
            <w:vAlign w:val="bottom"/>
          </w:tcPr>
          <w:p>
            <w:pPr>
              <w:spacing w:line="240" w:lineRule="auto"/>
              <w:ind w:firstLine="0"/>
              <w:jc w:val="center"/>
              <w:rPr>
                <w:sz w:val="20"/>
                <w:lang w:eastAsia="en-US"/>
              </w:rPr>
            </w:pPr>
            <w:r>
              <w:rPr>
                <w:sz w:val="20"/>
                <w:lang w:eastAsia="en-US"/>
              </w:rPr>
              <w:t>Delta</w:t>
            </w:r>
          </w:p>
        </w:tc>
      </w:tr>
      <w:tr>
        <w:trPr>
          <w:trHeight w:val="255"/>
          <w:jc w:val="center"/>
        </w:trPr>
        <w:tc>
          <w:tcPr>
            <w:tcW w:w="3578" w:type="dxa"/>
            <w:tcBorders>
              <w:top w:val="nil"/>
              <w:left w:val="nil"/>
              <w:bottom w:val="nil"/>
              <w:right w:val="nil"/>
            </w:tcBorders>
            <w:shd w:val="clear" w:color="auto" w:fill="auto"/>
            <w:noWrap/>
            <w:vAlign w:val="bottom"/>
          </w:tcPr>
          <w:p>
            <w:pPr>
              <w:spacing w:line="240" w:lineRule="auto"/>
              <w:ind w:firstLine="0"/>
              <w:rPr>
                <w:sz w:val="20"/>
                <w:lang w:eastAsia="en-US"/>
              </w:rPr>
            </w:pPr>
            <w:r>
              <w:rPr>
                <w:sz w:val="20"/>
                <w:lang w:eastAsia="en-US"/>
              </w:rPr>
              <w:t>Residential (16,23,53)</w:t>
            </w:r>
          </w:p>
        </w:tc>
        <w:tc>
          <w:tcPr>
            <w:tcW w:w="1064" w:type="dxa"/>
            <w:tcBorders>
              <w:top w:val="nil"/>
              <w:left w:val="nil"/>
              <w:bottom w:val="nil"/>
              <w:right w:val="nil"/>
            </w:tcBorders>
            <w:shd w:val="clear" w:color="auto" w:fill="auto"/>
            <w:noWrap/>
            <w:vAlign w:val="bottom"/>
          </w:tcPr>
          <w:p>
            <w:pPr>
              <w:spacing w:line="240" w:lineRule="auto"/>
              <w:ind w:firstLine="0"/>
              <w:jc w:val="center"/>
              <w:rPr>
                <w:sz w:val="20"/>
                <w:lang w:eastAsia="en-US"/>
              </w:rPr>
            </w:pPr>
            <w:r>
              <w:rPr>
                <w:sz w:val="20"/>
                <w:lang w:eastAsia="en-US"/>
              </w:rPr>
              <w:t>$868.5</w:t>
            </w:r>
          </w:p>
        </w:tc>
        <w:tc>
          <w:tcPr>
            <w:tcW w:w="1064" w:type="dxa"/>
            <w:tcBorders>
              <w:top w:val="nil"/>
              <w:left w:val="nil"/>
              <w:bottom w:val="nil"/>
              <w:right w:val="nil"/>
            </w:tcBorders>
            <w:shd w:val="clear" w:color="auto" w:fill="auto"/>
            <w:noWrap/>
            <w:vAlign w:val="bottom"/>
          </w:tcPr>
          <w:p>
            <w:pPr>
              <w:spacing w:line="240" w:lineRule="auto"/>
              <w:ind w:firstLine="0"/>
              <w:jc w:val="center"/>
              <w:rPr>
                <w:sz w:val="20"/>
                <w:lang w:eastAsia="en-US"/>
              </w:rPr>
            </w:pPr>
            <w:r>
              <w:rPr>
                <w:sz w:val="20"/>
                <w:lang w:eastAsia="en-US"/>
              </w:rPr>
              <w:t>$882.8</w:t>
            </w:r>
          </w:p>
        </w:tc>
        <w:tc>
          <w:tcPr>
            <w:tcW w:w="774" w:type="dxa"/>
            <w:tcBorders>
              <w:top w:val="nil"/>
              <w:left w:val="nil"/>
              <w:bottom w:val="nil"/>
              <w:right w:val="nil"/>
            </w:tcBorders>
            <w:shd w:val="clear" w:color="auto" w:fill="auto"/>
            <w:noWrap/>
            <w:vAlign w:val="bottom"/>
          </w:tcPr>
          <w:p>
            <w:pPr>
              <w:spacing w:line="240" w:lineRule="auto"/>
              <w:ind w:firstLine="0"/>
              <w:jc w:val="center"/>
              <w:rPr>
                <w:sz w:val="20"/>
                <w:lang w:eastAsia="en-US"/>
              </w:rPr>
            </w:pPr>
            <w:r>
              <w:rPr>
                <w:sz w:val="20"/>
                <w:lang w:eastAsia="en-US"/>
              </w:rPr>
              <w:t>$14.3</w:t>
            </w:r>
          </w:p>
        </w:tc>
      </w:tr>
      <w:tr>
        <w:trPr>
          <w:trHeight w:val="255"/>
          <w:jc w:val="center"/>
        </w:trPr>
        <w:tc>
          <w:tcPr>
            <w:tcW w:w="3578" w:type="dxa"/>
            <w:tcBorders>
              <w:top w:val="nil"/>
              <w:left w:val="nil"/>
              <w:bottom w:val="nil"/>
              <w:right w:val="nil"/>
            </w:tcBorders>
            <w:shd w:val="clear" w:color="auto" w:fill="auto"/>
            <w:noWrap/>
            <w:vAlign w:val="bottom"/>
          </w:tcPr>
          <w:p>
            <w:pPr>
              <w:spacing w:line="240" w:lineRule="auto"/>
              <w:ind w:firstLine="0"/>
              <w:rPr>
                <w:sz w:val="20"/>
                <w:lang w:eastAsia="en-US"/>
              </w:rPr>
            </w:pPr>
            <w:r>
              <w:rPr>
                <w:sz w:val="20"/>
                <w:lang w:eastAsia="en-US"/>
              </w:rPr>
              <w:t>Comm. &amp; Indus. (31,61)</w:t>
            </w:r>
          </w:p>
        </w:tc>
        <w:tc>
          <w:tcPr>
            <w:tcW w:w="1064" w:type="dxa"/>
            <w:tcBorders>
              <w:top w:val="nil"/>
              <w:left w:val="nil"/>
              <w:bottom w:val="nil"/>
              <w:right w:val="nil"/>
            </w:tcBorders>
            <w:shd w:val="clear" w:color="auto" w:fill="auto"/>
            <w:noWrap/>
            <w:vAlign w:val="bottom"/>
          </w:tcPr>
          <w:p>
            <w:pPr>
              <w:spacing w:line="240" w:lineRule="auto"/>
              <w:ind w:firstLine="0"/>
              <w:jc w:val="center"/>
              <w:rPr>
                <w:sz w:val="20"/>
                <w:lang w:eastAsia="en-US"/>
              </w:rPr>
            </w:pPr>
            <w:r>
              <w:rPr>
                <w:sz w:val="20"/>
                <w:lang w:eastAsia="en-US"/>
              </w:rPr>
              <w:t>$306.2</w:t>
            </w:r>
          </w:p>
        </w:tc>
        <w:tc>
          <w:tcPr>
            <w:tcW w:w="1064" w:type="dxa"/>
            <w:tcBorders>
              <w:top w:val="nil"/>
              <w:left w:val="nil"/>
              <w:bottom w:val="nil"/>
              <w:right w:val="nil"/>
            </w:tcBorders>
            <w:shd w:val="clear" w:color="auto" w:fill="auto"/>
            <w:noWrap/>
            <w:vAlign w:val="bottom"/>
          </w:tcPr>
          <w:p>
            <w:pPr>
              <w:spacing w:line="240" w:lineRule="auto"/>
              <w:ind w:firstLine="0"/>
              <w:jc w:val="center"/>
              <w:rPr>
                <w:sz w:val="20"/>
                <w:lang w:eastAsia="en-US"/>
              </w:rPr>
            </w:pPr>
            <w:r>
              <w:rPr>
                <w:sz w:val="20"/>
                <w:lang w:eastAsia="en-US"/>
              </w:rPr>
              <w:t>$311.4</w:t>
            </w:r>
          </w:p>
        </w:tc>
        <w:tc>
          <w:tcPr>
            <w:tcW w:w="774" w:type="dxa"/>
            <w:tcBorders>
              <w:top w:val="nil"/>
              <w:left w:val="nil"/>
              <w:bottom w:val="nil"/>
              <w:right w:val="nil"/>
            </w:tcBorders>
            <w:shd w:val="clear" w:color="auto" w:fill="auto"/>
            <w:noWrap/>
            <w:vAlign w:val="bottom"/>
          </w:tcPr>
          <w:p>
            <w:pPr>
              <w:spacing w:line="240" w:lineRule="auto"/>
              <w:ind w:firstLine="0"/>
              <w:jc w:val="center"/>
              <w:rPr>
                <w:sz w:val="20"/>
                <w:lang w:eastAsia="en-US"/>
              </w:rPr>
            </w:pPr>
            <w:r>
              <w:rPr>
                <w:sz w:val="20"/>
                <w:lang w:eastAsia="en-US"/>
              </w:rPr>
              <w:t>$5.2</w:t>
            </w:r>
          </w:p>
        </w:tc>
      </w:tr>
      <w:tr>
        <w:trPr>
          <w:trHeight w:val="255"/>
          <w:jc w:val="center"/>
        </w:trPr>
        <w:tc>
          <w:tcPr>
            <w:tcW w:w="3578" w:type="dxa"/>
            <w:tcBorders>
              <w:top w:val="nil"/>
              <w:left w:val="nil"/>
              <w:bottom w:val="nil"/>
              <w:right w:val="nil"/>
            </w:tcBorders>
            <w:shd w:val="clear" w:color="auto" w:fill="auto"/>
            <w:noWrap/>
            <w:vAlign w:val="bottom"/>
          </w:tcPr>
          <w:p>
            <w:pPr>
              <w:spacing w:line="240" w:lineRule="auto"/>
              <w:ind w:firstLine="0"/>
              <w:rPr>
                <w:sz w:val="20"/>
                <w:lang w:eastAsia="en-US"/>
              </w:rPr>
            </w:pPr>
            <w:r>
              <w:rPr>
                <w:sz w:val="20"/>
                <w:lang w:eastAsia="en-US"/>
              </w:rPr>
              <w:t>Large Volume (41, 41T)</w:t>
            </w:r>
          </w:p>
        </w:tc>
        <w:tc>
          <w:tcPr>
            <w:tcW w:w="1064" w:type="dxa"/>
            <w:tcBorders>
              <w:top w:val="nil"/>
              <w:left w:val="nil"/>
              <w:bottom w:val="nil"/>
              <w:right w:val="nil"/>
            </w:tcBorders>
            <w:shd w:val="clear" w:color="auto" w:fill="auto"/>
            <w:noWrap/>
            <w:vAlign w:val="bottom"/>
          </w:tcPr>
          <w:p>
            <w:pPr>
              <w:spacing w:line="240" w:lineRule="auto"/>
              <w:ind w:firstLine="0"/>
              <w:jc w:val="center"/>
              <w:rPr>
                <w:sz w:val="20"/>
                <w:lang w:eastAsia="en-US"/>
              </w:rPr>
            </w:pPr>
            <w:r>
              <w:rPr>
                <w:sz w:val="20"/>
                <w:lang w:eastAsia="en-US"/>
              </w:rPr>
              <w:t>$73.7</w:t>
            </w:r>
          </w:p>
        </w:tc>
        <w:tc>
          <w:tcPr>
            <w:tcW w:w="1064" w:type="dxa"/>
            <w:tcBorders>
              <w:top w:val="nil"/>
              <w:left w:val="nil"/>
              <w:bottom w:val="nil"/>
              <w:right w:val="nil"/>
            </w:tcBorders>
            <w:shd w:val="clear" w:color="auto" w:fill="auto"/>
            <w:noWrap/>
            <w:vAlign w:val="bottom"/>
          </w:tcPr>
          <w:p>
            <w:pPr>
              <w:spacing w:line="240" w:lineRule="auto"/>
              <w:ind w:firstLine="0"/>
              <w:jc w:val="center"/>
              <w:rPr>
                <w:sz w:val="20"/>
                <w:lang w:eastAsia="en-US"/>
              </w:rPr>
            </w:pPr>
            <w:r>
              <w:rPr>
                <w:sz w:val="20"/>
                <w:lang w:eastAsia="en-US"/>
              </w:rPr>
              <w:t>$75.3</w:t>
            </w:r>
          </w:p>
        </w:tc>
        <w:tc>
          <w:tcPr>
            <w:tcW w:w="774" w:type="dxa"/>
            <w:tcBorders>
              <w:top w:val="nil"/>
              <w:left w:val="nil"/>
              <w:bottom w:val="nil"/>
              <w:right w:val="nil"/>
            </w:tcBorders>
            <w:shd w:val="clear" w:color="auto" w:fill="auto"/>
            <w:noWrap/>
            <w:vAlign w:val="bottom"/>
          </w:tcPr>
          <w:p>
            <w:pPr>
              <w:spacing w:line="240" w:lineRule="auto"/>
              <w:ind w:firstLine="0"/>
              <w:jc w:val="center"/>
              <w:rPr>
                <w:sz w:val="20"/>
                <w:lang w:eastAsia="en-US"/>
              </w:rPr>
            </w:pPr>
            <w:r>
              <w:rPr>
                <w:sz w:val="20"/>
                <w:lang w:eastAsia="en-US"/>
              </w:rPr>
              <w:t>$1.6</w:t>
            </w:r>
          </w:p>
        </w:tc>
      </w:tr>
      <w:tr>
        <w:trPr>
          <w:trHeight w:val="255"/>
          <w:jc w:val="center"/>
        </w:trPr>
        <w:tc>
          <w:tcPr>
            <w:tcW w:w="3578" w:type="dxa"/>
            <w:tcBorders>
              <w:top w:val="nil"/>
              <w:left w:val="nil"/>
              <w:bottom w:val="nil"/>
              <w:right w:val="nil"/>
            </w:tcBorders>
            <w:shd w:val="clear" w:color="auto" w:fill="auto"/>
            <w:noWrap/>
            <w:vAlign w:val="bottom"/>
          </w:tcPr>
          <w:p>
            <w:pPr>
              <w:spacing w:line="240" w:lineRule="auto"/>
              <w:ind w:firstLine="0"/>
              <w:rPr>
                <w:sz w:val="20"/>
                <w:lang w:eastAsia="en-US"/>
              </w:rPr>
            </w:pPr>
            <w:r>
              <w:rPr>
                <w:sz w:val="20"/>
                <w:lang w:eastAsia="en-US"/>
              </w:rPr>
              <w:t>Interruptible (85, 85T)</w:t>
            </w:r>
          </w:p>
        </w:tc>
        <w:tc>
          <w:tcPr>
            <w:tcW w:w="1064" w:type="dxa"/>
            <w:tcBorders>
              <w:top w:val="nil"/>
              <w:left w:val="nil"/>
              <w:bottom w:val="nil"/>
              <w:right w:val="nil"/>
            </w:tcBorders>
            <w:shd w:val="clear" w:color="auto" w:fill="auto"/>
            <w:noWrap/>
            <w:vAlign w:val="bottom"/>
          </w:tcPr>
          <w:p>
            <w:pPr>
              <w:spacing w:line="240" w:lineRule="auto"/>
              <w:ind w:firstLine="0"/>
              <w:jc w:val="center"/>
              <w:rPr>
                <w:sz w:val="20"/>
                <w:lang w:eastAsia="en-US"/>
              </w:rPr>
            </w:pPr>
            <w:r>
              <w:rPr>
                <w:sz w:val="20"/>
                <w:lang w:eastAsia="en-US"/>
              </w:rPr>
              <w:t>$34.5</w:t>
            </w:r>
          </w:p>
        </w:tc>
        <w:tc>
          <w:tcPr>
            <w:tcW w:w="1064" w:type="dxa"/>
            <w:tcBorders>
              <w:top w:val="nil"/>
              <w:left w:val="nil"/>
              <w:bottom w:val="nil"/>
              <w:right w:val="nil"/>
            </w:tcBorders>
            <w:shd w:val="clear" w:color="auto" w:fill="auto"/>
            <w:noWrap/>
            <w:vAlign w:val="bottom"/>
          </w:tcPr>
          <w:p>
            <w:pPr>
              <w:spacing w:line="240" w:lineRule="auto"/>
              <w:ind w:firstLine="0"/>
              <w:jc w:val="center"/>
              <w:rPr>
                <w:sz w:val="20"/>
                <w:lang w:eastAsia="en-US"/>
              </w:rPr>
            </w:pPr>
            <w:r>
              <w:rPr>
                <w:sz w:val="20"/>
                <w:lang w:eastAsia="en-US"/>
              </w:rPr>
              <w:t>$22.2</w:t>
            </w:r>
          </w:p>
        </w:tc>
        <w:tc>
          <w:tcPr>
            <w:tcW w:w="774" w:type="dxa"/>
            <w:tcBorders>
              <w:top w:val="nil"/>
              <w:left w:val="nil"/>
              <w:bottom w:val="nil"/>
              <w:right w:val="nil"/>
            </w:tcBorders>
            <w:shd w:val="clear" w:color="auto" w:fill="auto"/>
            <w:noWrap/>
            <w:vAlign w:val="bottom"/>
          </w:tcPr>
          <w:p>
            <w:pPr>
              <w:spacing w:line="240" w:lineRule="auto"/>
              <w:ind w:firstLine="0"/>
              <w:jc w:val="center"/>
              <w:rPr>
                <w:sz w:val="20"/>
                <w:lang w:eastAsia="en-US"/>
              </w:rPr>
            </w:pPr>
            <w:r>
              <w:rPr>
                <w:sz w:val="20"/>
                <w:lang w:eastAsia="en-US"/>
              </w:rPr>
              <w:t>-$12.3</w:t>
            </w:r>
          </w:p>
        </w:tc>
      </w:tr>
      <w:tr>
        <w:trPr>
          <w:trHeight w:val="255"/>
          <w:jc w:val="center"/>
        </w:trPr>
        <w:tc>
          <w:tcPr>
            <w:tcW w:w="3578" w:type="dxa"/>
            <w:tcBorders>
              <w:top w:val="nil"/>
              <w:left w:val="nil"/>
              <w:bottom w:val="nil"/>
              <w:right w:val="nil"/>
            </w:tcBorders>
            <w:shd w:val="clear" w:color="auto" w:fill="auto"/>
            <w:noWrap/>
            <w:vAlign w:val="bottom"/>
          </w:tcPr>
          <w:p>
            <w:pPr>
              <w:spacing w:line="240" w:lineRule="auto"/>
              <w:ind w:firstLine="0"/>
              <w:rPr>
                <w:sz w:val="20"/>
                <w:lang w:eastAsia="en-US"/>
              </w:rPr>
            </w:pPr>
            <w:r>
              <w:rPr>
                <w:sz w:val="20"/>
                <w:lang w:eastAsia="en-US"/>
              </w:rPr>
              <w:t>Limited Interruptible (86)</w:t>
            </w:r>
          </w:p>
        </w:tc>
        <w:tc>
          <w:tcPr>
            <w:tcW w:w="1064" w:type="dxa"/>
            <w:tcBorders>
              <w:top w:val="nil"/>
              <w:left w:val="nil"/>
              <w:bottom w:val="nil"/>
              <w:right w:val="nil"/>
            </w:tcBorders>
            <w:shd w:val="clear" w:color="auto" w:fill="auto"/>
            <w:noWrap/>
            <w:vAlign w:val="bottom"/>
          </w:tcPr>
          <w:p>
            <w:pPr>
              <w:spacing w:line="240" w:lineRule="auto"/>
              <w:ind w:firstLine="0"/>
              <w:jc w:val="center"/>
              <w:rPr>
                <w:sz w:val="20"/>
                <w:lang w:eastAsia="en-US"/>
              </w:rPr>
            </w:pPr>
            <w:r>
              <w:rPr>
                <w:sz w:val="20"/>
                <w:lang w:eastAsia="en-US"/>
              </w:rPr>
              <w:t>$7.0</w:t>
            </w:r>
          </w:p>
        </w:tc>
        <w:tc>
          <w:tcPr>
            <w:tcW w:w="1064" w:type="dxa"/>
            <w:tcBorders>
              <w:top w:val="nil"/>
              <w:left w:val="nil"/>
              <w:bottom w:val="nil"/>
              <w:right w:val="nil"/>
            </w:tcBorders>
            <w:shd w:val="clear" w:color="auto" w:fill="auto"/>
            <w:noWrap/>
            <w:vAlign w:val="bottom"/>
          </w:tcPr>
          <w:p>
            <w:pPr>
              <w:spacing w:line="240" w:lineRule="auto"/>
              <w:ind w:firstLine="0"/>
              <w:jc w:val="center"/>
              <w:rPr>
                <w:sz w:val="20"/>
                <w:lang w:eastAsia="en-US"/>
              </w:rPr>
            </w:pPr>
            <w:r>
              <w:rPr>
                <w:sz w:val="20"/>
                <w:lang w:eastAsia="en-US"/>
              </w:rPr>
              <w:t>$7.2</w:t>
            </w:r>
          </w:p>
        </w:tc>
        <w:tc>
          <w:tcPr>
            <w:tcW w:w="774" w:type="dxa"/>
            <w:tcBorders>
              <w:top w:val="nil"/>
              <w:left w:val="nil"/>
              <w:bottom w:val="nil"/>
              <w:right w:val="nil"/>
            </w:tcBorders>
            <w:shd w:val="clear" w:color="auto" w:fill="auto"/>
            <w:noWrap/>
            <w:vAlign w:val="bottom"/>
          </w:tcPr>
          <w:p>
            <w:pPr>
              <w:spacing w:line="240" w:lineRule="auto"/>
              <w:ind w:firstLine="0"/>
              <w:jc w:val="center"/>
              <w:rPr>
                <w:sz w:val="20"/>
                <w:lang w:eastAsia="en-US"/>
              </w:rPr>
            </w:pPr>
            <w:r>
              <w:rPr>
                <w:sz w:val="20"/>
                <w:lang w:eastAsia="en-US"/>
              </w:rPr>
              <w:t>$0.2</w:t>
            </w:r>
          </w:p>
        </w:tc>
      </w:tr>
      <w:tr>
        <w:trPr>
          <w:trHeight w:val="255"/>
          <w:jc w:val="center"/>
        </w:trPr>
        <w:tc>
          <w:tcPr>
            <w:tcW w:w="3578" w:type="dxa"/>
            <w:tcBorders>
              <w:top w:val="nil"/>
              <w:left w:val="nil"/>
              <w:bottom w:val="nil"/>
              <w:right w:val="nil"/>
            </w:tcBorders>
            <w:shd w:val="clear" w:color="auto" w:fill="auto"/>
            <w:noWrap/>
            <w:vAlign w:val="bottom"/>
          </w:tcPr>
          <w:p>
            <w:pPr>
              <w:spacing w:line="240" w:lineRule="auto"/>
              <w:ind w:firstLine="0"/>
              <w:rPr>
                <w:sz w:val="20"/>
                <w:lang w:eastAsia="en-US"/>
              </w:rPr>
            </w:pPr>
            <w:r>
              <w:rPr>
                <w:sz w:val="20"/>
                <w:lang w:eastAsia="en-US"/>
              </w:rPr>
              <w:t>Interruptible (87, 87T)</w:t>
            </w:r>
          </w:p>
        </w:tc>
        <w:tc>
          <w:tcPr>
            <w:tcW w:w="1064" w:type="dxa"/>
            <w:tcBorders>
              <w:top w:val="nil"/>
              <w:left w:val="nil"/>
              <w:bottom w:val="nil"/>
              <w:right w:val="nil"/>
            </w:tcBorders>
            <w:shd w:val="clear" w:color="auto" w:fill="auto"/>
            <w:noWrap/>
            <w:vAlign w:val="bottom"/>
          </w:tcPr>
          <w:p>
            <w:pPr>
              <w:spacing w:line="240" w:lineRule="auto"/>
              <w:ind w:firstLine="0"/>
              <w:jc w:val="center"/>
              <w:rPr>
                <w:sz w:val="20"/>
                <w:lang w:eastAsia="en-US"/>
              </w:rPr>
            </w:pPr>
            <w:r>
              <w:rPr>
                <w:sz w:val="20"/>
                <w:lang w:eastAsia="en-US"/>
              </w:rPr>
              <w:t>$37.5</w:t>
            </w:r>
          </w:p>
        </w:tc>
        <w:tc>
          <w:tcPr>
            <w:tcW w:w="1064" w:type="dxa"/>
            <w:tcBorders>
              <w:top w:val="nil"/>
              <w:left w:val="nil"/>
              <w:bottom w:val="nil"/>
              <w:right w:val="nil"/>
            </w:tcBorders>
            <w:shd w:val="clear" w:color="auto" w:fill="auto"/>
            <w:noWrap/>
            <w:vAlign w:val="bottom"/>
          </w:tcPr>
          <w:p>
            <w:pPr>
              <w:spacing w:line="240" w:lineRule="auto"/>
              <w:ind w:firstLine="0"/>
              <w:jc w:val="center"/>
              <w:rPr>
                <w:sz w:val="20"/>
                <w:lang w:eastAsia="en-US"/>
              </w:rPr>
            </w:pPr>
            <w:r>
              <w:rPr>
                <w:sz w:val="20"/>
                <w:lang w:eastAsia="en-US"/>
              </w:rPr>
              <w:t>$31.4</w:t>
            </w:r>
          </w:p>
        </w:tc>
        <w:tc>
          <w:tcPr>
            <w:tcW w:w="774" w:type="dxa"/>
            <w:tcBorders>
              <w:top w:val="nil"/>
              <w:left w:val="nil"/>
              <w:bottom w:val="nil"/>
              <w:right w:val="nil"/>
            </w:tcBorders>
            <w:shd w:val="clear" w:color="auto" w:fill="auto"/>
            <w:noWrap/>
            <w:vAlign w:val="bottom"/>
          </w:tcPr>
          <w:p>
            <w:pPr>
              <w:spacing w:line="240" w:lineRule="auto"/>
              <w:ind w:firstLine="0"/>
              <w:jc w:val="center"/>
              <w:rPr>
                <w:sz w:val="20"/>
                <w:lang w:eastAsia="en-US"/>
              </w:rPr>
            </w:pPr>
            <w:r>
              <w:rPr>
                <w:sz w:val="20"/>
                <w:lang w:eastAsia="en-US"/>
              </w:rPr>
              <w:t>-$6.1</w:t>
            </w:r>
          </w:p>
        </w:tc>
      </w:tr>
      <w:tr>
        <w:trPr>
          <w:trHeight w:val="255"/>
          <w:jc w:val="center"/>
        </w:trPr>
        <w:tc>
          <w:tcPr>
            <w:tcW w:w="3578" w:type="dxa"/>
            <w:tcBorders>
              <w:top w:val="nil"/>
              <w:left w:val="nil"/>
              <w:bottom w:val="nil"/>
              <w:right w:val="nil"/>
            </w:tcBorders>
            <w:shd w:val="clear" w:color="auto" w:fill="auto"/>
            <w:noWrap/>
            <w:vAlign w:val="bottom"/>
          </w:tcPr>
          <w:p>
            <w:pPr>
              <w:spacing w:line="240" w:lineRule="auto"/>
              <w:ind w:firstLine="0"/>
              <w:rPr>
                <w:sz w:val="20"/>
                <w:lang w:eastAsia="en-US"/>
              </w:rPr>
            </w:pPr>
            <w:r>
              <w:rPr>
                <w:sz w:val="20"/>
                <w:lang w:eastAsia="en-US"/>
              </w:rPr>
              <w:t>Contracts (SC)</w:t>
            </w:r>
          </w:p>
        </w:tc>
        <w:tc>
          <w:tcPr>
            <w:tcW w:w="1064" w:type="dxa"/>
            <w:tcBorders>
              <w:top w:val="nil"/>
              <w:left w:val="nil"/>
              <w:bottom w:val="nil"/>
              <w:right w:val="nil"/>
            </w:tcBorders>
            <w:shd w:val="clear" w:color="auto" w:fill="auto"/>
            <w:noWrap/>
            <w:vAlign w:val="bottom"/>
          </w:tcPr>
          <w:p>
            <w:pPr>
              <w:spacing w:line="240" w:lineRule="auto"/>
              <w:ind w:firstLine="0"/>
              <w:jc w:val="center"/>
              <w:rPr>
                <w:sz w:val="20"/>
                <w:lang w:eastAsia="en-US"/>
              </w:rPr>
            </w:pPr>
            <w:r>
              <w:rPr>
                <w:sz w:val="20"/>
                <w:lang w:eastAsia="en-US"/>
              </w:rPr>
              <w:t>$13.2</w:t>
            </w:r>
          </w:p>
        </w:tc>
        <w:tc>
          <w:tcPr>
            <w:tcW w:w="1064" w:type="dxa"/>
            <w:tcBorders>
              <w:top w:val="nil"/>
              <w:left w:val="nil"/>
              <w:bottom w:val="nil"/>
              <w:right w:val="nil"/>
            </w:tcBorders>
            <w:shd w:val="clear" w:color="auto" w:fill="auto"/>
            <w:noWrap/>
            <w:vAlign w:val="bottom"/>
          </w:tcPr>
          <w:p>
            <w:pPr>
              <w:spacing w:line="240" w:lineRule="auto"/>
              <w:ind w:firstLine="0"/>
              <w:jc w:val="center"/>
              <w:rPr>
                <w:sz w:val="20"/>
                <w:lang w:eastAsia="en-US"/>
              </w:rPr>
            </w:pPr>
            <w:r>
              <w:rPr>
                <w:sz w:val="20"/>
                <w:lang w:eastAsia="en-US"/>
              </w:rPr>
              <w:t>$10.3</w:t>
            </w:r>
          </w:p>
        </w:tc>
        <w:tc>
          <w:tcPr>
            <w:tcW w:w="774" w:type="dxa"/>
            <w:tcBorders>
              <w:top w:val="nil"/>
              <w:left w:val="nil"/>
              <w:bottom w:val="nil"/>
              <w:right w:val="nil"/>
            </w:tcBorders>
            <w:shd w:val="clear" w:color="auto" w:fill="auto"/>
            <w:noWrap/>
            <w:vAlign w:val="bottom"/>
          </w:tcPr>
          <w:p>
            <w:pPr>
              <w:spacing w:line="240" w:lineRule="auto"/>
              <w:ind w:firstLine="0"/>
              <w:jc w:val="center"/>
              <w:rPr>
                <w:sz w:val="20"/>
                <w:lang w:eastAsia="en-US"/>
              </w:rPr>
            </w:pPr>
            <w:r>
              <w:rPr>
                <w:sz w:val="20"/>
                <w:lang w:eastAsia="en-US"/>
              </w:rPr>
              <w:t>-$2.9</w:t>
            </w:r>
          </w:p>
        </w:tc>
      </w:tr>
      <w:tr>
        <w:trPr>
          <w:trHeight w:val="255"/>
          <w:jc w:val="center"/>
        </w:trPr>
        <w:tc>
          <w:tcPr>
            <w:tcW w:w="3578" w:type="dxa"/>
            <w:tcBorders>
              <w:top w:val="nil"/>
              <w:left w:val="nil"/>
              <w:bottom w:val="nil"/>
              <w:right w:val="nil"/>
            </w:tcBorders>
            <w:shd w:val="clear" w:color="auto" w:fill="auto"/>
            <w:noWrap/>
            <w:vAlign w:val="bottom"/>
          </w:tcPr>
          <w:p>
            <w:pPr>
              <w:spacing w:line="240" w:lineRule="auto"/>
              <w:ind w:firstLine="0"/>
              <w:rPr>
                <w:sz w:val="20"/>
                <w:lang w:eastAsia="en-US"/>
              </w:rPr>
            </w:pPr>
            <w:r>
              <w:rPr>
                <w:sz w:val="20"/>
                <w:lang w:eastAsia="en-US"/>
              </w:rPr>
              <w:t xml:space="preserve">  Total:</w:t>
            </w:r>
          </w:p>
        </w:tc>
        <w:tc>
          <w:tcPr>
            <w:tcW w:w="1064" w:type="dxa"/>
            <w:tcBorders>
              <w:top w:val="nil"/>
              <w:left w:val="nil"/>
              <w:bottom w:val="nil"/>
              <w:right w:val="nil"/>
            </w:tcBorders>
            <w:shd w:val="clear" w:color="auto" w:fill="auto"/>
            <w:noWrap/>
            <w:vAlign w:val="bottom"/>
          </w:tcPr>
          <w:p>
            <w:pPr>
              <w:spacing w:line="240" w:lineRule="auto"/>
              <w:ind w:firstLine="0"/>
              <w:jc w:val="center"/>
              <w:rPr>
                <w:sz w:val="20"/>
                <w:lang w:eastAsia="en-US"/>
              </w:rPr>
            </w:pPr>
            <w:r>
              <w:rPr>
                <w:sz w:val="20"/>
                <w:lang w:eastAsia="en-US"/>
              </w:rPr>
              <w:t>$1,340.6</w:t>
            </w:r>
          </w:p>
        </w:tc>
        <w:tc>
          <w:tcPr>
            <w:tcW w:w="1064" w:type="dxa"/>
            <w:tcBorders>
              <w:top w:val="nil"/>
              <w:left w:val="nil"/>
              <w:bottom w:val="nil"/>
              <w:right w:val="nil"/>
            </w:tcBorders>
            <w:shd w:val="clear" w:color="auto" w:fill="auto"/>
            <w:noWrap/>
            <w:vAlign w:val="bottom"/>
          </w:tcPr>
          <w:p>
            <w:pPr>
              <w:spacing w:line="240" w:lineRule="auto"/>
              <w:ind w:firstLine="0"/>
              <w:jc w:val="center"/>
              <w:rPr>
                <w:sz w:val="20"/>
                <w:lang w:eastAsia="en-US"/>
              </w:rPr>
            </w:pPr>
            <w:r>
              <w:rPr>
                <w:sz w:val="20"/>
                <w:lang w:eastAsia="en-US"/>
              </w:rPr>
              <w:t>$1,340.6</w:t>
            </w:r>
          </w:p>
        </w:tc>
        <w:tc>
          <w:tcPr>
            <w:tcW w:w="774" w:type="dxa"/>
            <w:tcBorders>
              <w:top w:val="nil"/>
              <w:left w:val="nil"/>
              <w:bottom w:val="nil"/>
              <w:right w:val="nil"/>
            </w:tcBorders>
            <w:shd w:val="clear" w:color="auto" w:fill="auto"/>
            <w:noWrap/>
            <w:vAlign w:val="bottom"/>
          </w:tcPr>
          <w:p>
            <w:pPr>
              <w:spacing w:line="240" w:lineRule="auto"/>
              <w:ind w:firstLine="0"/>
              <w:jc w:val="center"/>
              <w:rPr>
                <w:sz w:val="20"/>
                <w:lang w:eastAsia="en-US"/>
              </w:rPr>
            </w:pPr>
            <w:r>
              <w:rPr>
                <w:sz w:val="20"/>
                <w:lang w:eastAsia="en-US"/>
              </w:rPr>
              <w:t>$0.0</w:t>
            </w:r>
          </w:p>
        </w:tc>
      </w:tr>
      <w:tr>
        <w:trPr>
          <w:trHeight w:val="255"/>
          <w:jc w:val="center"/>
        </w:trPr>
        <w:tc>
          <w:tcPr>
            <w:tcW w:w="3578" w:type="dxa"/>
            <w:tcBorders>
              <w:top w:val="nil"/>
              <w:left w:val="nil"/>
              <w:bottom w:val="nil"/>
              <w:right w:val="nil"/>
            </w:tcBorders>
            <w:shd w:val="clear" w:color="auto" w:fill="auto"/>
            <w:noWrap/>
            <w:vAlign w:val="bottom"/>
          </w:tcPr>
          <w:p>
            <w:pPr>
              <w:spacing w:line="240" w:lineRule="auto"/>
              <w:ind w:firstLine="0"/>
              <w:rPr>
                <w:sz w:val="20"/>
                <w:lang w:eastAsia="en-US"/>
              </w:rPr>
            </w:pPr>
            <w:r>
              <w:rPr>
                <w:sz w:val="20"/>
                <w:lang w:eastAsia="en-US"/>
              </w:rPr>
              <w:t xml:space="preserve">  Subtotal 85, 87 and Contracts:</w:t>
            </w:r>
          </w:p>
        </w:tc>
        <w:tc>
          <w:tcPr>
            <w:tcW w:w="1064" w:type="dxa"/>
            <w:tcBorders>
              <w:top w:val="nil"/>
              <w:left w:val="nil"/>
              <w:bottom w:val="nil"/>
              <w:right w:val="nil"/>
            </w:tcBorders>
            <w:shd w:val="clear" w:color="auto" w:fill="auto"/>
            <w:noWrap/>
            <w:vAlign w:val="bottom"/>
          </w:tcPr>
          <w:p>
            <w:pPr>
              <w:spacing w:line="240" w:lineRule="auto"/>
              <w:ind w:firstLine="0"/>
              <w:jc w:val="center"/>
              <w:rPr>
                <w:sz w:val="20"/>
                <w:lang w:eastAsia="en-US"/>
              </w:rPr>
            </w:pPr>
            <w:r>
              <w:rPr>
                <w:sz w:val="20"/>
                <w:lang w:eastAsia="en-US"/>
              </w:rPr>
              <w:t>$85.2</w:t>
            </w:r>
          </w:p>
        </w:tc>
        <w:tc>
          <w:tcPr>
            <w:tcW w:w="1064" w:type="dxa"/>
            <w:tcBorders>
              <w:top w:val="nil"/>
              <w:left w:val="nil"/>
              <w:bottom w:val="nil"/>
              <w:right w:val="nil"/>
            </w:tcBorders>
            <w:shd w:val="clear" w:color="auto" w:fill="auto"/>
            <w:noWrap/>
            <w:vAlign w:val="bottom"/>
          </w:tcPr>
          <w:p>
            <w:pPr>
              <w:spacing w:line="240" w:lineRule="auto"/>
              <w:ind w:firstLine="0"/>
              <w:jc w:val="center"/>
              <w:rPr>
                <w:sz w:val="20"/>
                <w:lang w:eastAsia="en-US"/>
              </w:rPr>
            </w:pPr>
            <w:r>
              <w:rPr>
                <w:sz w:val="20"/>
                <w:lang w:eastAsia="en-US"/>
              </w:rPr>
              <w:t>$63.9</w:t>
            </w:r>
          </w:p>
        </w:tc>
        <w:tc>
          <w:tcPr>
            <w:tcW w:w="774" w:type="dxa"/>
            <w:tcBorders>
              <w:top w:val="nil"/>
              <w:left w:val="nil"/>
              <w:bottom w:val="nil"/>
              <w:right w:val="nil"/>
            </w:tcBorders>
            <w:shd w:val="clear" w:color="auto" w:fill="auto"/>
            <w:noWrap/>
            <w:vAlign w:val="bottom"/>
          </w:tcPr>
          <w:p>
            <w:pPr>
              <w:spacing w:line="240" w:lineRule="auto"/>
              <w:ind w:firstLine="0"/>
              <w:jc w:val="center"/>
              <w:rPr>
                <w:sz w:val="20"/>
                <w:lang w:eastAsia="en-US"/>
              </w:rPr>
            </w:pPr>
            <w:r>
              <w:rPr>
                <w:sz w:val="20"/>
                <w:lang w:eastAsia="en-US"/>
              </w:rPr>
              <w:t>-$21.3</w:t>
            </w:r>
          </w:p>
        </w:tc>
      </w:tr>
    </w:tbl>
    <w:p>
      <w:pPr>
        <w:pStyle w:val="Style43"/>
        <w:widowControl w:val="0"/>
        <w:suppressLineNumbers/>
        <w:spacing w:line="240" w:lineRule="auto"/>
        <w:rPr>
          <w:b/>
        </w:rPr>
      </w:pPr>
    </w:p>
    <w:p>
      <w:pPr>
        <w:pStyle w:val="Style43"/>
        <w:widowControl w:val="0"/>
        <w:spacing w:line="240" w:lineRule="auto"/>
        <w:rPr>
          <w:b/>
        </w:rPr>
      </w:pPr>
      <w:r>
        <w:rPr>
          <w:b/>
        </w:rPr>
        <w:t>Q.</w:t>
      </w:r>
      <w:r>
        <w:rPr>
          <w:b/>
        </w:rPr>
        <w:tab/>
        <w:t>HAVE YOU INCORPORATED THIS ALLOCATION METHOD INTO THE COMPANY’S COST OF SERVICE MODEL?</w:t>
      </w:r>
    </w:p>
    <w:p>
      <w:pPr>
        <w:pStyle w:val="Style43"/>
        <w:widowControl w:val="0"/>
        <w:rPr>
          <w:bCs/>
        </w:rPr>
      </w:pPr>
      <w:r>
        <w:t>A.</w:t>
      </w:r>
      <w:r>
        <w:tab/>
        <w:t xml:space="preserve">Yes.  Exhibit No. ___ (DWS-9) contains the summary from the cost of service study where main investment was assigned to all classes based on the NWIGU recommendation.  The following table compares the revenue to cost ratio or parity ratio for select customer classes based on this cost study.  </w:t>
      </w:r>
      <w:r>
        <w:rPr>
          <w:bCs/>
        </w:rPr>
        <w:t xml:space="preserve">The parity ratio is the most appropriate yardstick for determining whether the rate schedule charges are equitable to each customer class.  A ratio less than 1.0 or 100% indicates a class is not paying its fair share of costs.  Conversely, a ratio greater than 100% indicates the class is paying charges in excess of its cost responsibility.  </w:t>
      </w:r>
    </w:p>
    <w:tbl>
      <w:tblPr>
        <w:tblW w:w="6622" w:type="dxa"/>
        <w:jc w:val="center"/>
        <w:tblInd w:w="93" w:type="dxa"/>
        <w:tblLook w:val="0000" w:firstRow="0" w:lastRow="0" w:firstColumn="0" w:lastColumn="0" w:noHBand="0" w:noVBand="0"/>
      </w:tblPr>
      <w:tblGrid>
        <w:gridCol w:w="6622"/>
      </w:tblGrid>
      <w:tr>
        <w:trPr>
          <w:trHeight w:val="255"/>
          <w:jc w:val="center"/>
        </w:trPr>
        <w:tc>
          <w:tcPr>
            <w:tcW w:w="6622" w:type="dxa"/>
            <w:tcBorders>
              <w:top w:val="nil"/>
              <w:left w:val="nil"/>
              <w:bottom w:val="nil"/>
              <w:right w:val="nil"/>
            </w:tcBorders>
            <w:shd w:val="clear" w:color="auto" w:fill="auto"/>
            <w:noWrap/>
            <w:vAlign w:val="bottom"/>
          </w:tcPr>
          <w:p>
            <w:pPr>
              <w:spacing w:line="480" w:lineRule="auto"/>
              <w:ind w:left="720" w:hanging="720"/>
              <w:jc w:val="center"/>
              <w:rPr>
                <w:sz w:val="20"/>
                <w:lang w:eastAsia="en-US"/>
              </w:rPr>
            </w:pPr>
            <w:r>
              <w:rPr>
                <w:sz w:val="20"/>
                <w:lang w:eastAsia="en-US"/>
              </w:rPr>
              <w:t>Parity Ratio Comparison</w:t>
            </w:r>
          </w:p>
          <w:p>
            <w:pPr>
              <w:tabs>
                <w:tab w:val="left" w:pos="2571"/>
                <w:tab w:val="left" w:pos="3337"/>
              </w:tabs>
              <w:spacing w:line="240" w:lineRule="auto"/>
              <w:ind w:left="93" w:firstLine="0"/>
              <w:jc w:val="center"/>
              <w:rPr>
                <w:sz w:val="20"/>
                <w:lang w:eastAsia="en-US"/>
              </w:rPr>
            </w:pPr>
            <w:r>
              <w:rPr>
                <w:sz w:val="20"/>
                <w:lang w:eastAsia="en-US"/>
              </w:rPr>
              <w:tab/>
              <w:t xml:space="preserve">  PSE</w:t>
            </w:r>
            <w:r>
              <w:rPr>
                <w:sz w:val="20"/>
                <w:lang w:eastAsia="en-US"/>
              </w:rPr>
              <w:tab/>
              <w:t>NWIGU</w:t>
            </w:r>
          </w:p>
          <w:p>
            <w:pPr>
              <w:tabs>
                <w:tab w:val="left" w:pos="2571"/>
                <w:tab w:val="left" w:pos="3337"/>
              </w:tabs>
              <w:spacing w:line="240" w:lineRule="auto"/>
              <w:ind w:left="93" w:firstLine="0"/>
              <w:jc w:val="center"/>
              <w:rPr>
                <w:sz w:val="20"/>
                <w:lang w:eastAsia="en-US"/>
              </w:rPr>
            </w:pPr>
            <w:r>
              <w:rPr>
                <w:sz w:val="20"/>
                <w:lang w:eastAsia="en-US"/>
              </w:rPr>
              <w:t xml:space="preserve">    Class</w:t>
            </w:r>
            <w:r>
              <w:rPr>
                <w:sz w:val="20"/>
                <w:lang w:eastAsia="en-US"/>
              </w:rPr>
              <w:tab/>
              <w:t>Study</w:t>
            </w:r>
            <w:r>
              <w:rPr>
                <w:sz w:val="20"/>
                <w:lang w:eastAsia="en-US"/>
              </w:rPr>
              <w:tab/>
              <w:t>Study</w:t>
            </w:r>
          </w:p>
          <w:p>
            <w:pPr>
              <w:tabs>
                <w:tab w:val="left" w:pos="2571"/>
                <w:tab w:val="left" w:pos="3337"/>
              </w:tabs>
              <w:spacing w:line="240" w:lineRule="auto"/>
              <w:ind w:left="93" w:firstLine="0"/>
              <w:jc w:val="center"/>
              <w:rPr>
                <w:sz w:val="20"/>
                <w:lang w:eastAsia="en-US"/>
              </w:rPr>
            </w:pPr>
            <w:r>
              <w:rPr>
                <w:sz w:val="20"/>
                <w:lang w:eastAsia="en-US"/>
              </w:rPr>
              <w:t>Residential</w:t>
            </w:r>
            <w:r>
              <w:rPr>
                <w:sz w:val="20"/>
                <w:lang w:eastAsia="en-US"/>
              </w:rPr>
              <w:tab/>
              <w:t>0.98</w:t>
            </w:r>
            <w:r>
              <w:rPr>
                <w:sz w:val="20"/>
                <w:lang w:eastAsia="en-US"/>
              </w:rPr>
              <w:tab/>
              <w:t>0.98</w:t>
            </w:r>
          </w:p>
          <w:p>
            <w:pPr>
              <w:tabs>
                <w:tab w:val="left" w:pos="2571"/>
                <w:tab w:val="left" w:pos="3337"/>
              </w:tabs>
              <w:spacing w:line="240" w:lineRule="auto"/>
              <w:ind w:left="93" w:firstLine="0"/>
              <w:jc w:val="center"/>
              <w:rPr>
                <w:sz w:val="20"/>
                <w:lang w:eastAsia="en-US"/>
              </w:rPr>
            </w:pPr>
            <w:r>
              <w:rPr>
                <w:sz w:val="20"/>
                <w:lang w:eastAsia="en-US"/>
              </w:rPr>
              <w:t>C&amp;I (31,61)</w:t>
            </w:r>
            <w:r>
              <w:rPr>
                <w:sz w:val="20"/>
                <w:lang w:eastAsia="en-US"/>
              </w:rPr>
              <w:tab/>
              <w:t>0.96</w:t>
            </w:r>
            <w:r>
              <w:rPr>
                <w:sz w:val="20"/>
                <w:lang w:eastAsia="en-US"/>
              </w:rPr>
              <w:tab/>
              <w:t>0.95</w:t>
            </w:r>
          </w:p>
          <w:p>
            <w:pPr>
              <w:tabs>
                <w:tab w:val="left" w:pos="2571"/>
                <w:tab w:val="left" w:pos="3337"/>
              </w:tabs>
              <w:spacing w:line="240" w:lineRule="auto"/>
              <w:ind w:left="93" w:firstLine="0"/>
              <w:jc w:val="center"/>
              <w:rPr>
                <w:sz w:val="20"/>
                <w:lang w:eastAsia="en-US"/>
              </w:rPr>
            </w:pPr>
            <w:r>
              <w:rPr>
                <w:sz w:val="20"/>
                <w:lang w:eastAsia="en-US"/>
              </w:rPr>
              <w:t>Schedule 41</w:t>
            </w:r>
            <w:r>
              <w:rPr>
                <w:sz w:val="20"/>
                <w:lang w:eastAsia="en-US"/>
              </w:rPr>
              <w:tab/>
              <w:t>1.24</w:t>
            </w:r>
            <w:r>
              <w:rPr>
                <w:sz w:val="20"/>
                <w:lang w:eastAsia="en-US"/>
              </w:rPr>
              <w:tab/>
              <w:t>1.22</w:t>
            </w:r>
          </w:p>
          <w:p>
            <w:pPr>
              <w:tabs>
                <w:tab w:val="left" w:pos="2571"/>
                <w:tab w:val="left" w:pos="3337"/>
              </w:tabs>
              <w:spacing w:line="240" w:lineRule="auto"/>
              <w:ind w:left="93" w:firstLine="0"/>
              <w:jc w:val="center"/>
              <w:rPr>
                <w:sz w:val="20"/>
                <w:lang w:eastAsia="en-US"/>
              </w:rPr>
            </w:pPr>
            <w:r>
              <w:rPr>
                <w:sz w:val="20"/>
                <w:lang w:eastAsia="en-US"/>
              </w:rPr>
              <w:t>Schedule 85</w:t>
            </w:r>
            <w:r>
              <w:rPr>
                <w:sz w:val="20"/>
                <w:lang w:eastAsia="en-US"/>
              </w:rPr>
              <w:tab/>
              <w:t>1.21</w:t>
            </w:r>
            <w:r>
              <w:rPr>
                <w:sz w:val="20"/>
                <w:lang w:eastAsia="en-US"/>
              </w:rPr>
              <w:tab/>
              <w:t>1.57</w:t>
            </w:r>
          </w:p>
          <w:p>
            <w:pPr>
              <w:tabs>
                <w:tab w:val="left" w:pos="2571"/>
                <w:tab w:val="left" w:pos="3337"/>
              </w:tabs>
              <w:spacing w:line="240" w:lineRule="auto"/>
              <w:ind w:left="93" w:firstLine="0"/>
              <w:jc w:val="center"/>
              <w:rPr>
                <w:sz w:val="20"/>
                <w:lang w:eastAsia="en-US"/>
              </w:rPr>
            </w:pPr>
            <w:r>
              <w:rPr>
                <w:sz w:val="20"/>
                <w:lang w:eastAsia="en-US"/>
              </w:rPr>
              <w:t>Schedule 86</w:t>
            </w:r>
            <w:r>
              <w:rPr>
                <w:sz w:val="20"/>
                <w:lang w:eastAsia="en-US"/>
              </w:rPr>
              <w:tab/>
              <w:t>1.57</w:t>
            </w:r>
            <w:r>
              <w:rPr>
                <w:sz w:val="20"/>
                <w:lang w:eastAsia="en-US"/>
              </w:rPr>
              <w:tab/>
              <w:t>1.54</w:t>
            </w:r>
          </w:p>
          <w:p>
            <w:pPr>
              <w:tabs>
                <w:tab w:val="left" w:pos="2571"/>
                <w:tab w:val="left" w:pos="3337"/>
              </w:tabs>
              <w:spacing w:line="240" w:lineRule="auto"/>
              <w:ind w:left="93" w:firstLine="0"/>
              <w:jc w:val="center"/>
              <w:rPr>
                <w:sz w:val="20"/>
                <w:lang w:eastAsia="en-US"/>
              </w:rPr>
            </w:pPr>
            <w:r>
              <w:rPr>
                <w:sz w:val="20"/>
                <w:lang w:eastAsia="en-US"/>
              </w:rPr>
              <w:t>Schedule 87</w:t>
            </w:r>
            <w:r>
              <w:rPr>
                <w:sz w:val="20"/>
                <w:lang w:eastAsia="en-US"/>
              </w:rPr>
              <w:tab/>
              <w:t>0.87</w:t>
            </w:r>
            <w:r>
              <w:rPr>
                <w:sz w:val="20"/>
                <w:lang w:eastAsia="en-US"/>
              </w:rPr>
              <w:tab/>
              <w:t>0.99</w:t>
            </w:r>
          </w:p>
          <w:p>
            <w:pPr>
              <w:tabs>
                <w:tab w:val="left" w:pos="2571"/>
                <w:tab w:val="left" w:pos="3337"/>
              </w:tabs>
              <w:spacing w:line="240" w:lineRule="auto"/>
              <w:ind w:left="93" w:firstLine="0"/>
              <w:jc w:val="center"/>
              <w:rPr>
                <w:sz w:val="20"/>
                <w:lang w:eastAsia="en-US"/>
              </w:rPr>
            </w:pPr>
            <w:r>
              <w:rPr>
                <w:sz w:val="20"/>
                <w:lang w:eastAsia="en-US"/>
              </w:rPr>
              <w:t>Contracts</w:t>
            </w:r>
            <w:r>
              <w:rPr>
                <w:sz w:val="20"/>
                <w:lang w:eastAsia="en-US"/>
              </w:rPr>
              <w:tab/>
              <w:t>0.73</w:t>
            </w:r>
            <w:r>
              <w:rPr>
                <w:sz w:val="20"/>
                <w:lang w:eastAsia="en-US"/>
              </w:rPr>
              <w:tab/>
              <w:t>0.87</w:t>
            </w:r>
          </w:p>
          <w:p>
            <w:pPr>
              <w:tabs>
                <w:tab w:val="left" w:pos="2571"/>
                <w:tab w:val="left" w:pos="3337"/>
              </w:tabs>
              <w:spacing w:line="240" w:lineRule="auto"/>
              <w:ind w:left="93" w:firstLine="0"/>
              <w:jc w:val="center"/>
              <w:rPr>
                <w:sz w:val="20"/>
                <w:lang w:eastAsia="en-US"/>
              </w:rPr>
            </w:pPr>
            <w:r>
              <w:rPr>
                <w:sz w:val="20"/>
                <w:lang w:eastAsia="en-US"/>
              </w:rPr>
              <w:t>Rentals</w:t>
            </w:r>
            <w:r>
              <w:rPr>
                <w:sz w:val="20"/>
                <w:lang w:eastAsia="en-US"/>
              </w:rPr>
              <w:tab/>
              <w:t>1.97</w:t>
            </w:r>
            <w:r>
              <w:rPr>
                <w:sz w:val="20"/>
                <w:lang w:eastAsia="en-US"/>
              </w:rPr>
              <w:tab/>
              <w:t>1.97</w:t>
            </w:r>
          </w:p>
          <w:p>
            <w:pPr>
              <w:tabs>
                <w:tab w:val="left" w:pos="2571"/>
                <w:tab w:val="left" w:pos="3337"/>
              </w:tabs>
              <w:spacing w:line="240" w:lineRule="auto"/>
              <w:ind w:left="93" w:firstLine="0"/>
              <w:jc w:val="center"/>
              <w:rPr>
                <w:sz w:val="20"/>
                <w:lang w:eastAsia="en-US"/>
              </w:rPr>
            </w:pPr>
            <w:r>
              <w:rPr>
                <w:sz w:val="20"/>
                <w:lang w:eastAsia="en-US"/>
              </w:rPr>
              <w:t>Total:</w:t>
            </w:r>
            <w:r>
              <w:rPr>
                <w:sz w:val="20"/>
                <w:lang w:eastAsia="en-US"/>
              </w:rPr>
              <w:tab/>
              <w:t>1.00</w:t>
            </w:r>
            <w:r>
              <w:rPr>
                <w:sz w:val="20"/>
                <w:lang w:eastAsia="en-US"/>
              </w:rPr>
              <w:tab/>
              <w:t>1.00</w:t>
            </w:r>
          </w:p>
          <w:p>
            <w:pPr>
              <w:spacing w:line="240" w:lineRule="auto"/>
              <w:ind w:firstLine="0"/>
              <w:jc w:val="center"/>
              <w:rPr>
                <w:bCs/>
                <w:sz w:val="20"/>
                <w:lang w:eastAsia="en-US"/>
              </w:rPr>
            </w:pPr>
          </w:p>
        </w:tc>
      </w:tr>
    </w:tbl>
    <w:p>
      <w:pPr>
        <w:pStyle w:val="Style43"/>
        <w:widowControl w:val="0"/>
        <w:ind w:firstLine="0"/>
      </w:pPr>
      <w:r>
        <w:t xml:space="preserve">A review of the above table shows the change in main allocation methods has very little impact on the parity ratios of the Residential, small commercial and industrial and rental classes.  It is only the Large User schedules that are affected as the parity ratios for Schedules 85, 87 and contracts are much higher than under the Company’s studies.  </w:t>
      </w:r>
    </w:p>
    <w:p>
      <w:pPr>
        <w:pStyle w:val="Heading1"/>
      </w:pPr>
      <w:bookmarkStart w:id="16" w:name="_Toc310174488"/>
      <w:r>
        <w:t>IV.</w:t>
      </w:r>
      <w:r>
        <w:tab/>
        <w:t>RATE S</w:t>
      </w:r>
      <w:bookmarkEnd w:id="15"/>
      <w:r>
        <w:t>PREAD</w:t>
      </w:r>
      <w:bookmarkEnd w:id="16"/>
      <w:r>
        <w:t xml:space="preserve"> </w:t>
      </w:r>
    </w:p>
    <w:p>
      <w:pPr>
        <w:pStyle w:val="Style42"/>
        <w:keepNext w:val="0"/>
        <w:widowControl w:val="0"/>
        <w:spacing w:before="120" w:line="240" w:lineRule="auto"/>
      </w:pPr>
      <w:r>
        <w:t>Q.</w:t>
      </w:r>
      <w:r>
        <w:tab/>
        <w:t>HAS THE COMPANY ADDRESSED RATE INEQUITIES IN ITS RATE SPREAD PROPOSAL?</w:t>
      </w:r>
    </w:p>
    <w:p>
      <w:pPr>
        <w:pStyle w:val="Style42"/>
        <w:keepNext w:val="0"/>
        <w:widowControl w:val="0"/>
        <w:spacing w:before="120"/>
        <w:rPr>
          <w:b w:val="0"/>
        </w:rPr>
      </w:pPr>
      <w:r>
        <w:rPr>
          <w:b w:val="0"/>
        </w:rPr>
        <w:t>A.</w:t>
      </w:r>
      <w:r>
        <w:rPr>
          <w:b w:val="0"/>
        </w:rPr>
        <w:tab/>
        <w:t xml:space="preserve">The Company has proposed class specific increases based upon its cost of service results.  The Company is proposing no increase for Schedule 86 and the rental charges.  The Company is proposing that Schedules 41 and 85 receive one-half the average increase while Schedules 31, 61 and the residential class receive the average increase.  Finally, the Company is proposing that Schedule 87 receive 150% of the average increase. </w:t>
      </w:r>
    </w:p>
    <w:p>
      <w:pPr>
        <w:pStyle w:val="Style42"/>
        <w:keepNext w:val="0"/>
        <w:widowControl w:val="0"/>
        <w:spacing w:before="120" w:line="240" w:lineRule="auto"/>
      </w:pPr>
      <w:r>
        <w:t>Q.</w:t>
      </w:r>
      <w:r>
        <w:tab/>
        <w:t>HOW SHOULD THE COMMISSION ASSIGN ANY REVENUE INCREASE AMONG THE CUSTOMER CLASSES IN THIS PROCEEDING?</w:t>
      </w:r>
    </w:p>
    <w:p>
      <w:pPr>
        <w:pStyle w:val="Style43"/>
        <w:widowControl w:val="0"/>
      </w:pPr>
      <w:r>
        <w:t>A.</w:t>
      </w:r>
      <w:r>
        <w:tab/>
        <w:t>The Company’s stated intent of moving toward a cost-based level should be the guiding goal line.  However, it should apply to all classes and be based upon the cost study results presented by NWIGU as contained in Exhibit No. ___ (DWS-9).  The results of the Company cost study and the NWIGU cost study are very similar for many of the major classes.  Consequently, the NWIGU rate spread recommendation essentially adopts the PSE percentage proposal for the residential class as well as Schedules 31, 41, 61 and 86 and the rental charges.  However, the NWIGU cost study shows that a lower increase is warranted for Schedule 87 and no increase should be assigned to Schedule 85.  The following table illustrates and compares the PSE and NWIGU rate spread proposals for PSE’s claimed margin increase.</w:t>
      </w:r>
    </w:p>
    <w:p>
      <w:pPr>
        <w:spacing w:line="240" w:lineRule="auto"/>
        <w:ind w:left="93" w:firstLine="0"/>
        <w:jc w:val="center"/>
        <w:rPr>
          <w:sz w:val="20"/>
          <w:lang w:eastAsia="en-US"/>
        </w:rPr>
      </w:pPr>
      <w:r>
        <w:rPr>
          <w:sz w:val="20"/>
          <w:lang w:eastAsia="en-US"/>
        </w:rPr>
        <w:t>Rate Spread Comparison</w:t>
      </w:r>
    </w:p>
    <w:p>
      <w:pPr>
        <w:tabs>
          <w:tab w:val="left" w:pos="1494"/>
          <w:tab w:val="left" w:pos="2648"/>
          <w:tab w:val="left" w:pos="3632"/>
          <w:tab w:val="left" w:pos="4900"/>
          <w:tab w:val="left" w:pos="5974"/>
        </w:tabs>
        <w:spacing w:line="240" w:lineRule="auto"/>
        <w:ind w:left="93" w:firstLine="0"/>
        <w:jc w:val="center"/>
        <w:rPr>
          <w:sz w:val="20"/>
          <w:lang w:eastAsia="en-US"/>
        </w:rPr>
      </w:pPr>
      <w:r>
        <w:rPr>
          <w:sz w:val="20"/>
          <w:lang w:eastAsia="en-US"/>
        </w:rPr>
        <w:t>($000)</w:t>
      </w:r>
    </w:p>
    <w:p>
      <w:pPr>
        <w:tabs>
          <w:tab w:val="left" w:pos="1494"/>
          <w:tab w:val="left" w:pos="3632"/>
          <w:tab w:val="left" w:pos="5974"/>
        </w:tabs>
        <w:spacing w:line="240" w:lineRule="auto"/>
        <w:ind w:left="93" w:firstLine="0"/>
        <w:rPr>
          <w:sz w:val="20"/>
          <w:lang w:eastAsia="en-US"/>
        </w:rPr>
      </w:pPr>
      <w:r>
        <w:rPr>
          <w:sz w:val="20"/>
          <w:lang w:eastAsia="en-US"/>
        </w:rPr>
        <w:t xml:space="preserve">                                                       </w:t>
      </w:r>
      <w:r>
        <w:rPr>
          <w:sz w:val="20"/>
          <w:u w:val="single"/>
          <w:lang w:eastAsia="en-US"/>
        </w:rPr>
        <w:t>PSE Proposal</w:t>
      </w:r>
      <w:r>
        <w:rPr>
          <w:sz w:val="20"/>
          <w:lang w:eastAsia="en-US"/>
        </w:rPr>
        <w:t xml:space="preserve">              </w:t>
      </w:r>
      <w:r>
        <w:rPr>
          <w:sz w:val="20"/>
          <w:u w:val="single"/>
          <w:lang w:eastAsia="en-US"/>
        </w:rPr>
        <w:t>NWIGU Recommendation</w:t>
      </w:r>
    </w:p>
    <w:p>
      <w:pPr>
        <w:tabs>
          <w:tab w:val="left" w:pos="1494"/>
          <w:tab w:val="left" w:pos="2648"/>
          <w:tab w:val="left" w:pos="3632"/>
          <w:tab w:val="left" w:pos="4900"/>
          <w:tab w:val="left" w:pos="5974"/>
        </w:tabs>
        <w:spacing w:line="240" w:lineRule="auto"/>
        <w:ind w:left="93" w:firstLine="0"/>
        <w:rPr>
          <w:sz w:val="20"/>
          <w:lang w:eastAsia="en-US"/>
        </w:rPr>
      </w:pPr>
      <w:r>
        <w:rPr>
          <w:sz w:val="20"/>
          <w:lang w:eastAsia="en-US"/>
        </w:rPr>
        <w:tab/>
        <w:t xml:space="preserve">                   Change in</w:t>
      </w:r>
      <w:r>
        <w:rPr>
          <w:sz w:val="20"/>
          <w:lang w:eastAsia="en-US"/>
        </w:rPr>
        <w:tab/>
        <w:t>Margin</w:t>
      </w:r>
      <w:r>
        <w:rPr>
          <w:sz w:val="20"/>
          <w:lang w:eastAsia="en-US"/>
        </w:rPr>
        <w:tab/>
        <w:t>Change in</w:t>
      </w:r>
      <w:r>
        <w:rPr>
          <w:sz w:val="20"/>
          <w:lang w:eastAsia="en-US"/>
        </w:rPr>
        <w:tab/>
        <w:t xml:space="preserve"> Margin</w:t>
      </w:r>
      <w:r>
        <w:rPr>
          <w:sz w:val="20"/>
          <w:lang w:eastAsia="en-US"/>
        </w:rPr>
        <w:tab/>
        <w:t xml:space="preserve">   Margin</w:t>
      </w:r>
    </w:p>
    <w:p>
      <w:pPr>
        <w:tabs>
          <w:tab w:val="left" w:pos="1494"/>
          <w:tab w:val="left" w:pos="2648"/>
          <w:tab w:val="left" w:pos="3632"/>
          <w:tab w:val="left" w:pos="4900"/>
          <w:tab w:val="left" w:pos="5974"/>
        </w:tabs>
        <w:spacing w:line="240" w:lineRule="auto"/>
        <w:ind w:left="93" w:firstLine="0"/>
        <w:rPr>
          <w:sz w:val="20"/>
          <w:lang w:eastAsia="en-US"/>
        </w:rPr>
      </w:pPr>
      <w:r>
        <w:rPr>
          <w:sz w:val="20"/>
          <w:lang w:eastAsia="en-US"/>
        </w:rPr>
        <w:t xml:space="preserve">                         Class</w:t>
      </w:r>
      <w:r>
        <w:rPr>
          <w:sz w:val="20"/>
          <w:lang w:eastAsia="en-US"/>
        </w:rPr>
        <w:tab/>
        <w:t xml:space="preserve"> Margin</w:t>
      </w:r>
      <w:r>
        <w:rPr>
          <w:sz w:val="20"/>
          <w:lang w:eastAsia="en-US"/>
        </w:rPr>
        <w:tab/>
        <w:t>Increase</w:t>
      </w:r>
      <w:r>
        <w:rPr>
          <w:sz w:val="20"/>
          <w:lang w:eastAsia="en-US"/>
        </w:rPr>
        <w:tab/>
        <w:t xml:space="preserve"> Margin</w:t>
      </w:r>
      <w:r>
        <w:rPr>
          <w:sz w:val="20"/>
          <w:lang w:eastAsia="en-US"/>
        </w:rPr>
        <w:tab/>
        <w:t>Increase</w:t>
      </w:r>
      <w:r>
        <w:rPr>
          <w:sz w:val="20"/>
          <w:lang w:eastAsia="en-US"/>
        </w:rPr>
        <w:tab/>
        <w:t>Difference</w:t>
      </w:r>
    </w:p>
    <w:p>
      <w:pPr>
        <w:tabs>
          <w:tab w:val="left" w:pos="1494"/>
          <w:tab w:val="left" w:pos="2648"/>
          <w:tab w:val="left" w:pos="3632"/>
          <w:tab w:val="left" w:pos="4900"/>
          <w:tab w:val="left" w:pos="5974"/>
        </w:tabs>
        <w:spacing w:line="240" w:lineRule="auto"/>
        <w:ind w:left="93" w:firstLine="0"/>
        <w:rPr>
          <w:sz w:val="20"/>
          <w:lang w:eastAsia="en-US"/>
        </w:rPr>
      </w:pPr>
      <w:r>
        <w:rPr>
          <w:sz w:val="20"/>
          <w:lang w:eastAsia="en-US"/>
        </w:rPr>
        <w:t xml:space="preserve">                    Residential</w:t>
      </w:r>
      <w:r>
        <w:rPr>
          <w:sz w:val="20"/>
          <w:lang w:eastAsia="en-US"/>
        </w:rPr>
        <w:tab/>
        <w:t xml:space="preserve">$23,171 </w:t>
      </w:r>
      <w:r>
        <w:rPr>
          <w:sz w:val="20"/>
          <w:lang w:eastAsia="en-US"/>
        </w:rPr>
        <w:tab/>
        <w:t xml:space="preserve">  8.0%</w:t>
      </w:r>
      <w:r>
        <w:rPr>
          <w:sz w:val="20"/>
          <w:lang w:eastAsia="en-US"/>
        </w:rPr>
        <w:tab/>
        <w:t>$23,599</w:t>
      </w:r>
      <w:r>
        <w:rPr>
          <w:sz w:val="20"/>
          <w:lang w:eastAsia="en-US"/>
        </w:rPr>
        <w:tab/>
        <w:t xml:space="preserve">   8.2%</w:t>
      </w:r>
      <w:r>
        <w:rPr>
          <w:sz w:val="20"/>
          <w:lang w:eastAsia="en-US"/>
        </w:rPr>
        <w:tab/>
        <w:t xml:space="preserve">     $428</w:t>
      </w:r>
    </w:p>
    <w:p>
      <w:pPr>
        <w:tabs>
          <w:tab w:val="left" w:pos="1494"/>
          <w:tab w:val="left" w:pos="2648"/>
          <w:tab w:val="left" w:pos="3632"/>
          <w:tab w:val="left" w:pos="4900"/>
          <w:tab w:val="left" w:pos="5974"/>
        </w:tabs>
        <w:spacing w:line="240" w:lineRule="auto"/>
        <w:ind w:left="93" w:firstLine="0"/>
        <w:rPr>
          <w:sz w:val="20"/>
          <w:lang w:eastAsia="en-US"/>
        </w:rPr>
      </w:pPr>
      <w:r>
        <w:rPr>
          <w:sz w:val="20"/>
          <w:lang w:eastAsia="en-US"/>
        </w:rPr>
        <w:t xml:space="preserve">                    C&amp;I (31, 61)</w:t>
      </w:r>
      <w:r>
        <w:rPr>
          <w:sz w:val="20"/>
          <w:lang w:eastAsia="en-US"/>
        </w:rPr>
        <w:tab/>
        <w:t xml:space="preserve">  $6,840 </w:t>
      </w:r>
      <w:r>
        <w:rPr>
          <w:sz w:val="20"/>
          <w:lang w:eastAsia="en-US"/>
        </w:rPr>
        <w:tab/>
        <w:t xml:space="preserve">  8.0%</w:t>
      </w:r>
      <w:r>
        <w:rPr>
          <w:sz w:val="20"/>
          <w:lang w:eastAsia="en-US"/>
        </w:rPr>
        <w:tab/>
        <w:t xml:space="preserve">  $6,966</w:t>
      </w:r>
      <w:r>
        <w:rPr>
          <w:sz w:val="20"/>
          <w:lang w:eastAsia="en-US"/>
        </w:rPr>
        <w:tab/>
        <w:t xml:space="preserve">   8.2%</w:t>
      </w:r>
      <w:r>
        <w:rPr>
          <w:sz w:val="20"/>
          <w:lang w:eastAsia="en-US"/>
        </w:rPr>
        <w:tab/>
        <w:t xml:space="preserve">     $126</w:t>
      </w:r>
    </w:p>
    <w:p>
      <w:pPr>
        <w:tabs>
          <w:tab w:val="left" w:pos="1494"/>
          <w:tab w:val="left" w:pos="2648"/>
          <w:tab w:val="left" w:pos="3632"/>
          <w:tab w:val="left" w:pos="4900"/>
          <w:tab w:val="left" w:pos="5974"/>
        </w:tabs>
        <w:spacing w:line="240" w:lineRule="auto"/>
        <w:ind w:left="93" w:firstLine="0"/>
        <w:rPr>
          <w:sz w:val="20"/>
          <w:lang w:eastAsia="en-US"/>
        </w:rPr>
      </w:pPr>
      <w:r>
        <w:rPr>
          <w:sz w:val="20"/>
          <w:lang w:eastAsia="en-US"/>
        </w:rPr>
        <w:t xml:space="preserve">                    Schedule 41</w:t>
      </w:r>
      <w:r>
        <w:rPr>
          <w:sz w:val="20"/>
          <w:lang w:eastAsia="en-US"/>
        </w:rPr>
        <w:tab/>
        <w:t xml:space="preserve">     $729 </w:t>
      </w:r>
      <w:r>
        <w:rPr>
          <w:sz w:val="20"/>
          <w:lang w:eastAsia="en-US"/>
        </w:rPr>
        <w:tab/>
        <w:t xml:space="preserve">  4.0%</w:t>
      </w:r>
      <w:r>
        <w:rPr>
          <w:sz w:val="20"/>
          <w:lang w:eastAsia="en-US"/>
        </w:rPr>
        <w:tab/>
        <w:t xml:space="preserve">     $742</w:t>
      </w:r>
      <w:r>
        <w:rPr>
          <w:sz w:val="20"/>
          <w:lang w:eastAsia="en-US"/>
        </w:rPr>
        <w:tab/>
        <w:t xml:space="preserve">   4.1%</w:t>
      </w:r>
      <w:r>
        <w:rPr>
          <w:sz w:val="20"/>
          <w:lang w:eastAsia="en-US"/>
        </w:rPr>
        <w:tab/>
        <w:t xml:space="preserve">       $13</w:t>
      </w:r>
    </w:p>
    <w:p>
      <w:pPr>
        <w:tabs>
          <w:tab w:val="left" w:pos="1494"/>
          <w:tab w:val="left" w:pos="2648"/>
          <w:tab w:val="left" w:pos="3632"/>
          <w:tab w:val="left" w:pos="4900"/>
          <w:tab w:val="left" w:pos="5974"/>
        </w:tabs>
        <w:spacing w:line="240" w:lineRule="auto"/>
        <w:ind w:left="93" w:firstLine="0"/>
        <w:rPr>
          <w:sz w:val="20"/>
          <w:lang w:eastAsia="en-US"/>
        </w:rPr>
      </w:pPr>
      <w:r>
        <w:rPr>
          <w:sz w:val="20"/>
          <w:lang w:eastAsia="en-US"/>
        </w:rPr>
        <w:t xml:space="preserve">                    Schedule 85</w:t>
      </w:r>
      <w:r>
        <w:rPr>
          <w:sz w:val="20"/>
          <w:lang w:eastAsia="en-US"/>
        </w:rPr>
        <w:tab/>
        <w:t xml:space="preserve">     $343</w:t>
      </w:r>
      <w:r>
        <w:rPr>
          <w:sz w:val="20"/>
          <w:lang w:eastAsia="en-US"/>
        </w:rPr>
        <w:tab/>
        <w:t xml:space="preserve">  4.0%</w:t>
      </w:r>
      <w:r>
        <w:rPr>
          <w:sz w:val="20"/>
          <w:lang w:eastAsia="en-US"/>
        </w:rPr>
        <w:tab/>
        <w:t xml:space="preserve">         $0</w:t>
      </w:r>
      <w:r>
        <w:rPr>
          <w:sz w:val="20"/>
          <w:lang w:eastAsia="en-US"/>
        </w:rPr>
        <w:tab/>
        <w:t xml:space="preserve">   0.0%</w:t>
      </w:r>
      <w:r>
        <w:rPr>
          <w:sz w:val="20"/>
          <w:lang w:eastAsia="en-US"/>
        </w:rPr>
        <w:tab/>
        <w:t xml:space="preserve">    -$343</w:t>
      </w:r>
    </w:p>
    <w:p>
      <w:pPr>
        <w:tabs>
          <w:tab w:val="left" w:pos="1494"/>
          <w:tab w:val="left" w:pos="2648"/>
          <w:tab w:val="left" w:pos="3632"/>
          <w:tab w:val="left" w:pos="4900"/>
          <w:tab w:val="left" w:pos="5974"/>
        </w:tabs>
        <w:spacing w:line="240" w:lineRule="auto"/>
        <w:ind w:left="93" w:firstLine="0"/>
        <w:rPr>
          <w:sz w:val="20"/>
          <w:lang w:eastAsia="en-US"/>
        </w:rPr>
      </w:pPr>
      <w:r>
        <w:rPr>
          <w:sz w:val="20"/>
          <w:lang w:eastAsia="en-US"/>
        </w:rPr>
        <w:t xml:space="preserve">                    Schedule 86</w:t>
      </w:r>
      <w:r>
        <w:rPr>
          <w:sz w:val="20"/>
          <w:lang w:eastAsia="en-US"/>
        </w:rPr>
        <w:tab/>
        <w:t xml:space="preserve">         $0</w:t>
      </w:r>
      <w:r>
        <w:rPr>
          <w:sz w:val="20"/>
          <w:lang w:eastAsia="en-US"/>
        </w:rPr>
        <w:tab/>
        <w:t xml:space="preserve">  0.0%</w:t>
      </w:r>
      <w:r>
        <w:rPr>
          <w:sz w:val="20"/>
          <w:lang w:eastAsia="en-US"/>
        </w:rPr>
        <w:tab/>
        <w:t xml:space="preserve">         $0</w:t>
      </w:r>
      <w:r>
        <w:rPr>
          <w:sz w:val="20"/>
          <w:lang w:eastAsia="en-US"/>
        </w:rPr>
        <w:tab/>
        <w:t xml:space="preserve">   0.0%</w:t>
      </w:r>
      <w:r>
        <w:rPr>
          <w:sz w:val="20"/>
          <w:lang w:eastAsia="en-US"/>
        </w:rPr>
        <w:tab/>
        <w:t xml:space="preserve">         $0</w:t>
      </w:r>
    </w:p>
    <w:p>
      <w:pPr>
        <w:tabs>
          <w:tab w:val="left" w:pos="1494"/>
          <w:tab w:val="left" w:pos="2648"/>
          <w:tab w:val="left" w:pos="3632"/>
          <w:tab w:val="left" w:pos="4900"/>
          <w:tab w:val="left" w:pos="5974"/>
        </w:tabs>
        <w:spacing w:line="240" w:lineRule="auto"/>
        <w:ind w:left="93" w:firstLine="0"/>
        <w:rPr>
          <w:sz w:val="20"/>
          <w:lang w:eastAsia="en-US"/>
        </w:rPr>
      </w:pPr>
      <w:r>
        <w:rPr>
          <w:sz w:val="20"/>
          <w:lang w:eastAsia="en-US"/>
        </w:rPr>
        <w:t xml:space="preserve">                    Schedule 87</w:t>
      </w:r>
      <w:r>
        <w:rPr>
          <w:sz w:val="20"/>
          <w:lang w:eastAsia="en-US"/>
        </w:rPr>
        <w:tab/>
        <w:t xml:space="preserve">     $702 </w:t>
      </w:r>
      <w:r>
        <w:rPr>
          <w:sz w:val="20"/>
          <w:lang w:eastAsia="en-US"/>
        </w:rPr>
        <w:tab/>
        <w:t>12.0%</w:t>
      </w:r>
      <w:r>
        <w:rPr>
          <w:sz w:val="20"/>
          <w:lang w:eastAsia="en-US"/>
        </w:rPr>
        <w:tab/>
        <w:t xml:space="preserve">     $477</w:t>
      </w:r>
      <w:r>
        <w:rPr>
          <w:sz w:val="20"/>
          <w:lang w:eastAsia="en-US"/>
        </w:rPr>
        <w:tab/>
        <w:t xml:space="preserve">   8.2%</w:t>
      </w:r>
      <w:r>
        <w:rPr>
          <w:sz w:val="20"/>
          <w:lang w:eastAsia="en-US"/>
        </w:rPr>
        <w:tab/>
        <w:t xml:space="preserve">    -$225</w:t>
      </w:r>
    </w:p>
    <w:p>
      <w:pPr>
        <w:tabs>
          <w:tab w:val="left" w:pos="1494"/>
          <w:tab w:val="left" w:pos="2648"/>
          <w:tab w:val="left" w:pos="3632"/>
          <w:tab w:val="left" w:pos="4900"/>
          <w:tab w:val="left" w:pos="5974"/>
        </w:tabs>
        <w:spacing w:line="240" w:lineRule="auto"/>
        <w:ind w:left="93" w:firstLine="0"/>
        <w:rPr>
          <w:sz w:val="20"/>
          <w:lang w:eastAsia="en-US"/>
        </w:rPr>
      </w:pPr>
      <w:r>
        <w:rPr>
          <w:sz w:val="20"/>
          <w:lang w:eastAsia="en-US"/>
        </w:rPr>
        <w:t xml:space="preserve">                    Rentals</w:t>
      </w:r>
      <w:r>
        <w:rPr>
          <w:sz w:val="20"/>
          <w:lang w:eastAsia="en-US"/>
        </w:rPr>
        <w:tab/>
        <w:t xml:space="preserve">         $0</w:t>
      </w:r>
      <w:r>
        <w:rPr>
          <w:sz w:val="20"/>
          <w:lang w:eastAsia="en-US"/>
        </w:rPr>
        <w:tab/>
        <w:t xml:space="preserve">  0.0%</w:t>
      </w:r>
      <w:r>
        <w:rPr>
          <w:sz w:val="20"/>
          <w:lang w:eastAsia="en-US"/>
        </w:rPr>
        <w:tab/>
        <w:t xml:space="preserve">         $0</w:t>
      </w:r>
      <w:r>
        <w:rPr>
          <w:sz w:val="20"/>
          <w:lang w:eastAsia="en-US"/>
        </w:rPr>
        <w:tab/>
        <w:t xml:space="preserve">   0.0%</w:t>
      </w:r>
      <w:r>
        <w:rPr>
          <w:sz w:val="20"/>
          <w:lang w:eastAsia="en-US"/>
        </w:rPr>
        <w:tab/>
        <w:t xml:space="preserve">         $0</w:t>
      </w:r>
    </w:p>
    <w:p>
      <w:pPr>
        <w:tabs>
          <w:tab w:val="left" w:pos="1494"/>
          <w:tab w:val="left" w:pos="2648"/>
          <w:tab w:val="left" w:pos="3632"/>
          <w:tab w:val="left" w:pos="4900"/>
          <w:tab w:val="left" w:pos="5974"/>
        </w:tabs>
        <w:spacing w:line="240" w:lineRule="auto"/>
        <w:ind w:left="93" w:firstLine="0"/>
        <w:rPr>
          <w:sz w:val="20"/>
          <w:lang w:eastAsia="en-US"/>
        </w:rPr>
      </w:pPr>
      <w:r>
        <w:rPr>
          <w:sz w:val="20"/>
          <w:lang w:eastAsia="en-US"/>
        </w:rPr>
        <w:t xml:space="preserve">                       Total:                   $31,784 </w:t>
      </w:r>
      <w:r>
        <w:rPr>
          <w:sz w:val="20"/>
          <w:lang w:eastAsia="en-US"/>
        </w:rPr>
        <w:tab/>
        <w:t xml:space="preserve">  7.5%</w:t>
      </w:r>
      <w:r>
        <w:rPr>
          <w:sz w:val="20"/>
          <w:lang w:eastAsia="en-US"/>
        </w:rPr>
        <w:tab/>
        <w:t xml:space="preserve">$31,784 </w:t>
      </w:r>
      <w:r>
        <w:rPr>
          <w:sz w:val="20"/>
          <w:lang w:eastAsia="en-US"/>
        </w:rPr>
        <w:tab/>
        <w:t xml:space="preserve">   7.5%</w:t>
      </w:r>
      <w:r>
        <w:rPr>
          <w:sz w:val="20"/>
          <w:lang w:eastAsia="en-US"/>
        </w:rPr>
        <w:tab/>
        <w:t xml:space="preserve">         $0</w:t>
      </w:r>
    </w:p>
    <w:p>
      <w:pPr>
        <w:suppressLineNumbers/>
        <w:spacing w:line="480" w:lineRule="auto"/>
        <w:ind w:left="720" w:hanging="720"/>
      </w:pPr>
    </w:p>
    <w:p>
      <w:pPr>
        <w:pStyle w:val="Heading1"/>
      </w:pPr>
      <w:bookmarkStart w:id="17" w:name="_Toc127352135"/>
      <w:bookmarkStart w:id="18" w:name="_Toc310174489"/>
      <w:r>
        <w:t>V.</w:t>
      </w:r>
      <w:r>
        <w:tab/>
        <w:t>INDUSTRIAL R</w:t>
      </w:r>
      <w:bookmarkEnd w:id="17"/>
      <w:r>
        <w:t>ATE DESIGN</w:t>
      </w:r>
      <w:bookmarkEnd w:id="18"/>
    </w:p>
    <w:p>
      <w:pPr>
        <w:pStyle w:val="Style42"/>
        <w:keepNext w:val="0"/>
        <w:widowControl w:val="0"/>
        <w:spacing w:before="120" w:line="240" w:lineRule="auto"/>
      </w:pPr>
      <w:r>
        <w:t>Q.</w:t>
      </w:r>
      <w:r>
        <w:tab/>
        <w:t>HAVE YOU REVIEWED THE COMPANY’S PROPOSED INDUSTRIAL RATE DESIGN?</w:t>
      </w:r>
    </w:p>
    <w:p>
      <w:pPr>
        <w:pStyle w:val="Style43"/>
      </w:pPr>
      <w:r>
        <w:t>A.</w:t>
      </w:r>
      <w:r>
        <w:tab/>
        <w:t xml:space="preserve">Yes, I have reviewed the Company’s rate design proposals for Schedule 85, 86 and 87.  With regard to specific pricing elements, the Company is proposing to increase all Schedule 87 delivery-related rate charges by about the same percentage.  This proposal causes the Schedule 87 demand charge to increase from $1.14 to $1.28.  For many years, the Company has maintained the same demand charge for Schedules 85, 86 and 87 which NWIGU supports.   For Schedule 85, after setting the demand charge to $1.28, the Company increases all other charges by the same percentage to achieve the schedule’s revenue target. However for Schedule 86, PSE is proposing no overall increase to this rate schedule class.  Consequently, increasing the demand charge to $1.28 on this schedule necessitates the lowering or decreasing of the other delivery-related charges on Schedule 86.  </w:t>
      </w:r>
    </w:p>
    <w:p>
      <w:pPr>
        <w:pStyle w:val="Style42"/>
        <w:keepNext w:val="0"/>
        <w:widowControl w:val="0"/>
        <w:spacing w:before="120" w:line="240" w:lineRule="auto"/>
      </w:pPr>
      <w:r>
        <w:t>Q.</w:t>
      </w:r>
      <w:r>
        <w:tab/>
        <w:t>DOES NWIGU SUPPORT THE COMPANY’S RATE DESIGN?</w:t>
      </w:r>
    </w:p>
    <w:p>
      <w:pPr>
        <w:pStyle w:val="Style43"/>
        <w:widowControl w:val="0"/>
      </w:pPr>
      <w:r>
        <w:t>A.</w:t>
      </w:r>
      <w:r>
        <w:tab/>
        <w:t>Not quite.  The proposed Schedule 86 rate changes will cause intra class rate increases and decreases to Schedule 86 customers.  Further, as NWIGU is recommending no increase to Schedule 85 as well, similar impacts would occur under the Company’s technique as well.  As the Company’s rate schedule overhaul is still relatively new, NWIGU believes a superior rate design would leave all the charges on Schedule 86 and 85 unchanged so no customer will experience a rate increase or decrease.  Consistent with past practice, the demand charge for Schedule 87 should be maintained at the current level of $1.14 so that all three schedules will have the same demand price.  The revenue assigned to Schedule 87 by the Commission should be recovered by applying an equal percentage increase to all delivery-related charges except the demand charge.</w:t>
      </w:r>
    </w:p>
    <w:p>
      <w:pPr>
        <w:pStyle w:val="Style43"/>
        <w:widowControl w:val="0"/>
        <w:spacing w:before="80"/>
        <w:rPr>
          <w:b/>
        </w:rPr>
      </w:pPr>
      <w:r>
        <w:rPr>
          <w:b/>
        </w:rPr>
        <w:t>Q.</w:t>
      </w:r>
      <w:r>
        <w:rPr>
          <w:b/>
        </w:rPr>
        <w:tab/>
        <w:t>DOES THIS CONCLUDE YOUR DIRECT TESTIMONY?</w:t>
      </w:r>
    </w:p>
    <w:p>
      <w:pPr>
        <w:pStyle w:val="Style43"/>
        <w:widowControl w:val="0"/>
        <w:rPr>
          <w:sz w:val="16"/>
          <w:szCs w:val="16"/>
        </w:rPr>
      </w:pPr>
      <w:r>
        <w:t>A.</w:t>
      </w:r>
      <w:r>
        <w:tab/>
        <w:t>Yes, it does.</w:t>
      </w:r>
    </w:p>
    <w:sectPr>
      <w:footerReference w:type="default" r:id="rId17"/>
      <w:pgSz w:w="12240" w:h="15840" w:code="1"/>
      <w:pgMar w:top="1440" w:right="1440" w:bottom="1440" w:left="2160" w:header="864" w:footer="576" w:gutter="0"/>
      <w:lnNumType w:countBy="1"/>
      <w:pgNumType w:start="1"/>
      <w:cols w:space="720"/>
    </w:sectPr>
  </w:body>
</w:document>
</file>

<file path=word/endnotes.xml><?xml version="1.0" encoding="utf-8"?>
<w:endnot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heSerif 3-Light">
    <w:altName w:val="Arial Narrow"/>
    <w:charset w:val="00"/>
    <w:family w:val="swiss"/>
    <w:pitch w:val="variable"/>
    <w:sig w:usb0="00000003" w:usb1="00000000" w:usb2="00000000" w:usb3="00000000" w:csb0="00000001" w:csb1="00000000"/>
  </w:font>
  <w:font w:name="NewCenturySchlb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pPr>
  </w:p>
</w:ftr>
</file>

<file path=word/footer2.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line="200" w:lineRule="exact"/>
    </w:pPr>
  </w:p>
</w:ftr>
</file>

<file path=word/footer3.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507"/>
        <w:tab w:val="clear" w:pos="9000"/>
        <w:tab w:val="right" w:pos="8730"/>
      </w:tabs>
      <w:spacing w:line="240" w:lineRule="auto"/>
      <w:ind w:left="-634" w:right="-90"/>
      <w:rPr>
        <w:b/>
        <w:sz w:val="20"/>
        <w:u w:val="single"/>
      </w:rPr>
    </w:pPr>
    <w:r>
      <w:rPr>
        <w:b/>
        <w:sz w:val="20"/>
        <w:u w:val="single"/>
      </w:rPr>
      <w:t>____________________________________________________________________________________________</w:t>
    </w:r>
  </w:p>
  <w:p>
    <w:pPr>
      <w:pStyle w:val="Footer"/>
      <w:tabs>
        <w:tab w:val="clear" w:pos="4507"/>
        <w:tab w:val="clear" w:pos="9000"/>
        <w:tab w:val="right" w:pos="8640"/>
      </w:tabs>
      <w:spacing w:line="240" w:lineRule="auto"/>
      <w:ind w:left="-630" w:right="0" w:hanging="4"/>
      <w:rPr>
        <w:sz w:val="10"/>
        <w:szCs w:val="10"/>
      </w:rPr>
    </w:pPr>
  </w:p>
  <w:p>
    <w:pPr>
      <w:pStyle w:val="Footer"/>
      <w:tabs>
        <w:tab w:val="clear" w:pos="4507"/>
        <w:tab w:val="clear" w:pos="9000"/>
        <w:tab w:val="right" w:pos="8640"/>
      </w:tabs>
      <w:ind w:left="-630" w:hanging="4"/>
    </w:pPr>
    <w:r>
      <w:t>Prefiled Direct Testimony of</w:t>
    </w:r>
    <w:r>
      <w:tab/>
      <w:t>Exhibit No. ___(</w:t>
    </w:r>
    <w:smartTag w:uri="urn:schemas-microsoft-com:office:smarttags" w:element="Street">
      <w:smartTag w:uri="urn:schemas-microsoft-com:office:smarttags" w:element="address">
        <w:r>
          <w:t>EMM-1CT</w:t>
        </w:r>
      </w:smartTag>
    </w:smartTag>
    <w:r>
      <w:t>)</w:t>
    </w:r>
  </w:p>
  <w:p>
    <w:pPr>
      <w:pStyle w:val="Footer"/>
      <w:tabs>
        <w:tab w:val="clear" w:pos="4507"/>
        <w:tab w:val="clear" w:pos="9000"/>
        <w:tab w:val="right" w:pos="8640"/>
      </w:tabs>
      <w:ind w:left="-630" w:hanging="4"/>
    </w:pPr>
    <w:r>
      <w:t>Dr. Roger A. Morin</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r>
      <w:rPr>
        <w:rStyle w:val="PageNumber"/>
      </w:rPr>
      <w:t xml:space="preserve"> of ii</w:t>
    </w:r>
  </w:p>
</w:ftr>
</file>

<file path=word/footer4.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507"/>
        <w:tab w:val="clear" w:pos="9000"/>
        <w:tab w:val="right" w:pos="8730"/>
      </w:tabs>
      <w:spacing w:line="240" w:lineRule="auto"/>
      <w:ind w:right="-90"/>
      <w:rPr>
        <w:b/>
        <w:sz w:val="20"/>
        <w:u w:val="single"/>
      </w:rPr>
    </w:pPr>
    <w:r>
      <w:rPr>
        <w:b/>
        <w:sz w:val="20"/>
        <w:u w:val="single"/>
      </w:rPr>
      <w:t>______________________________________________________________________________________</w:t>
    </w:r>
  </w:p>
  <w:p>
    <w:pPr>
      <w:pStyle w:val="Footer"/>
      <w:tabs>
        <w:tab w:val="clear" w:pos="4507"/>
        <w:tab w:val="clear" w:pos="9000"/>
        <w:tab w:val="right" w:pos="8640"/>
      </w:tabs>
      <w:spacing w:line="240" w:lineRule="auto"/>
      <w:ind w:right="0" w:hanging="4"/>
      <w:rPr>
        <w:sz w:val="10"/>
        <w:szCs w:val="10"/>
      </w:rPr>
    </w:pPr>
  </w:p>
  <w:p>
    <w:pPr>
      <w:pStyle w:val="Footer"/>
      <w:tabs>
        <w:tab w:val="clear" w:pos="4507"/>
        <w:tab w:val="clear" w:pos="9000"/>
        <w:tab w:val="right" w:pos="8640"/>
      </w:tabs>
      <w:ind w:hanging="4"/>
    </w:pPr>
    <w:r>
      <w:t xml:space="preserve">Prefiled Direct Testimony </w:t>
    </w:r>
    <w:r>
      <w:tab/>
      <w:t>Exhibit No. ___(DWS-8T)</w:t>
    </w:r>
  </w:p>
  <w:p>
    <w:pPr>
      <w:pStyle w:val="Footer"/>
      <w:tabs>
        <w:tab w:val="clear" w:pos="4507"/>
        <w:tab w:val="clear" w:pos="9000"/>
        <w:tab w:val="right" w:pos="8640"/>
      </w:tabs>
      <w:rPr>
        <w:rStyle w:val="PageNumber"/>
      </w:rPr>
    </w:pPr>
    <w:r>
      <w:t xml:space="preserve">of Donald W. Schoenbeck </w:t>
    </w:r>
    <w:r>
      <w:tab/>
      <w:t>Page i of i</w:t>
    </w:r>
  </w:p>
  <w:p>
    <w:pPr>
      <w:pStyle w:val="Footer"/>
      <w:tabs>
        <w:tab w:val="clear" w:pos="4507"/>
        <w:tab w:val="clear" w:pos="9000"/>
        <w:tab w:val="right" w:pos="8640"/>
      </w:tabs>
    </w:pPr>
  </w:p>
</w:ftr>
</file>

<file path=word/footer5.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507"/>
        <w:tab w:val="clear" w:pos="9000"/>
        <w:tab w:val="right" w:pos="8730"/>
      </w:tabs>
      <w:spacing w:line="240" w:lineRule="auto"/>
      <w:ind w:left="-634" w:right="-90"/>
      <w:rPr>
        <w:b/>
        <w:sz w:val="20"/>
        <w:u w:val="single"/>
      </w:rPr>
    </w:pPr>
    <w:r>
      <w:rPr>
        <w:b/>
        <w:sz w:val="20"/>
        <w:u w:val="single"/>
      </w:rPr>
      <w:t>____________________________________________________________________________________________</w:t>
    </w:r>
  </w:p>
  <w:p>
    <w:pPr>
      <w:pStyle w:val="Footer"/>
      <w:tabs>
        <w:tab w:val="clear" w:pos="4507"/>
        <w:tab w:val="clear" w:pos="9000"/>
        <w:tab w:val="right" w:pos="8640"/>
      </w:tabs>
      <w:spacing w:line="240" w:lineRule="auto"/>
      <w:ind w:left="-630" w:right="0" w:hanging="4"/>
      <w:rPr>
        <w:sz w:val="10"/>
        <w:szCs w:val="10"/>
      </w:rPr>
    </w:pPr>
  </w:p>
  <w:p>
    <w:pPr>
      <w:pStyle w:val="Footer"/>
      <w:tabs>
        <w:tab w:val="clear" w:pos="4507"/>
        <w:tab w:val="clear" w:pos="9000"/>
        <w:tab w:val="right" w:pos="8640"/>
      </w:tabs>
      <w:ind w:left="-630" w:hanging="4"/>
    </w:pPr>
    <w:r>
      <w:t>Prefiled Direct Testimony of</w:t>
    </w:r>
    <w:r>
      <w:tab/>
      <w:t>Exhibit No. ___(RAM-1T)</w:t>
    </w:r>
  </w:p>
  <w:p>
    <w:pPr>
      <w:pStyle w:val="Footer"/>
      <w:tabs>
        <w:tab w:val="clear" w:pos="4507"/>
        <w:tab w:val="clear" w:pos="9000"/>
        <w:tab w:val="right" w:pos="8640"/>
      </w:tabs>
      <w:ind w:left="-630" w:hanging="4"/>
    </w:pPr>
    <w:r>
      <w:t>Jane Doe</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r>
      <w:rPr>
        <w:rStyle w:val="PageNumber"/>
      </w:rPr>
      <w:t xml:space="preserve"> of ii</w:t>
    </w:r>
  </w:p>
</w:ftr>
</file>

<file path=word/footer6.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507"/>
        <w:tab w:val="clear" w:pos="9000"/>
        <w:tab w:val="right" w:pos="8730"/>
      </w:tabs>
      <w:spacing w:line="240" w:lineRule="auto"/>
      <w:ind w:right="-90"/>
      <w:rPr>
        <w:b/>
        <w:sz w:val="20"/>
        <w:u w:val="single"/>
      </w:rPr>
    </w:pPr>
    <w:r>
      <w:rPr>
        <w:b/>
        <w:sz w:val="20"/>
        <w:u w:val="single"/>
      </w:rPr>
      <w:t>______________________________________________________________________________________</w:t>
    </w:r>
  </w:p>
  <w:p>
    <w:pPr>
      <w:pStyle w:val="Footer"/>
      <w:tabs>
        <w:tab w:val="clear" w:pos="4507"/>
        <w:tab w:val="clear" w:pos="9000"/>
        <w:tab w:val="right" w:pos="8640"/>
      </w:tabs>
      <w:spacing w:line="240" w:lineRule="auto"/>
      <w:ind w:right="0" w:hanging="4"/>
      <w:rPr>
        <w:sz w:val="10"/>
        <w:szCs w:val="10"/>
      </w:rPr>
    </w:pPr>
  </w:p>
  <w:p>
    <w:pPr>
      <w:pStyle w:val="Footer"/>
      <w:tabs>
        <w:tab w:val="clear" w:pos="4507"/>
        <w:tab w:val="clear" w:pos="9000"/>
        <w:tab w:val="right" w:pos="8640"/>
      </w:tabs>
      <w:ind w:hanging="4"/>
    </w:pPr>
    <w:r>
      <w:t>Prefiled Direct Testimony</w:t>
    </w:r>
    <w:r>
      <w:tab/>
      <w:t>Exhibit No. ___(DWS-8T)</w:t>
    </w:r>
  </w:p>
  <w:p>
    <w:pPr>
      <w:pStyle w:val="Footer"/>
      <w:tabs>
        <w:tab w:val="clear" w:pos="4507"/>
        <w:tab w:val="clear" w:pos="9000"/>
        <w:tab w:val="right" w:pos="8640"/>
      </w:tabs>
      <w:ind w:hanging="4"/>
      <w:rPr>
        <w:rStyle w:val="PageNumber"/>
      </w:rPr>
    </w:pPr>
    <w:r>
      <w:t>of Donald W. Schoenbeck</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 xml:space="preserve"> of  15</w:t>
    </w:r>
  </w:p>
  <w:p>
    <w:pPr>
      <w:pStyle w:val="Footer"/>
      <w:tabs>
        <w:tab w:val="clear" w:pos="4507"/>
        <w:tab w:val="clear" w:pos="9000"/>
        <w:tab w:val="right" w:pos="8640"/>
      </w:tabs>
      <w:ind w:hanging="4"/>
    </w:pPr>
  </w:p>
</w:ftr>
</file>

<file path=word/footnotes.xml><?xml version="1.0" encoding="utf-8"?>
<w:footnot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rPr>
        <w:rStyle w:val="PageNumber"/>
      </w:rPr>
      <w:fldChar w:fldCharType="begin"/>
    </w:r>
    <w:r>
      <w:rPr>
        <w:rStyle w:val="PageNumber"/>
      </w:rPr>
      <w:instrText xml:space="preserve"> NUMPAGES </w:instrText>
    </w:r>
    <w:r>
      <w:rPr>
        <w:rStyle w:val="PageNumber"/>
      </w:rPr>
      <w:fldChar w:fldCharType="separate"/>
    </w:r>
    <w:r>
      <w:rPr>
        <w:rStyle w:val="PageNumber"/>
        <w:noProof/>
      </w:rPr>
      <w:t>17</w:t>
    </w:r>
    <w:r>
      <w:rPr>
        <w:rStyle w:val="PageNumber"/>
      </w:rPr>
      <w:fldChar w:fldCharType="end"/>
    </w:r>
    <w:bookmarkStart w:id="1" w:name="_Toc100550744"/>
    <w:bookmarkStart w:id="2" w:name="_Toc100550978"/>
    <w:bookmarkEnd w:id="1"/>
    <w:bookmarkEnd w:id="2"/>
  </w:p>
</w:hdr>
</file>

<file path=word/header2.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rPr>
        <w:noProof/>
        <w:lang w:eastAsia="en-US"/>
      </w:rPr>
      <w:pict>
        <v:line id="_x0000_s2050" style="position:absolute;z-index:251658240" from="-13.95pt,-2.8pt" to="-13.95pt,729.2pt" strokeweight="3pt">
          <v:stroke linestyle="thinThin"/>
        </v:line>
      </w:pict>
    </w:r>
  </w:p>
</w:hdr>
</file>

<file path=word/header3.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b/>
        <w:i/>
      </w:rPr>
    </w:pPr>
    <w:r>
      <w:rPr>
        <w:b/>
        <w:i/>
        <w:color w:val="FF0000"/>
        <w:sz w:val="20"/>
      </w:rPr>
      <w:t>CONFIDENTIAL ATTORNEY-CLIENT PRIVILEGED/ATTORNEY WORK PRODUCT</w:t>
    </w:r>
  </w:p>
  <w:p>
    <w:pPr>
      <w:pStyle w:val="Header"/>
    </w:pPr>
  </w:p>
</w:hdr>
</file>

<file path=word/header4.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pPr>
    <w:r>
      <w:rPr>
        <w:b/>
        <w:i/>
        <w:noProof/>
        <w:color w:val="FF0000"/>
        <w:sz w:val="20"/>
        <w:lang w:eastAsia="en-US"/>
      </w:rPr>
      <w:pict>
        <v:line id="_x0000_s2049" style="position:absolute;left:0;text-align:left;z-index:251657216" from="-13.95pt,-10pt" to="-13.95pt,722pt" strokeweight="3pt">
          <v:stroke linestyle="thinThin"/>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EEC6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ED2B1E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AC0AB1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60C1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A0C4F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2E4B75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DEECE1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E6EA23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E149572"/>
    <w:lvl w:ilvl="0">
      <w:start w:val="1"/>
      <w:numFmt w:val="decimal"/>
      <w:pStyle w:val="ListNumber"/>
      <w:lvlText w:val="%1."/>
      <w:lvlJc w:val="left"/>
      <w:pPr>
        <w:tabs>
          <w:tab w:val="num" w:pos="360"/>
        </w:tabs>
        <w:ind w:left="360" w:hanging="360"/>
      </w:pPr>
    </w:lvl>
  </w:abstractNum>
  <w:abstractNum w:abstractNumId="9">
    <w:nsid w:val="FFFFFF89"/>
    <w:multiLevelType w:val="singleLevel"/>
    <w:tmpl w:val="884C4B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DB29BB"/>
    <w:multiLevelType w:val="hybridMultilevel"/>
    <w:tmpl w:val="28DC0A6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nsid w:val="06D25BB8"/>
    <w:multiLevelType w:val="multilevel"/>
    <w:tmpl w:val="7578E004"/>
    <w:lvl w:ilvl="0">
      <w:start w:val="1"/>
      <w:numFmt w:val="decimal"/>
      <w:pStyle w:val="Style54"/>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2">
    <w:nsid w:val="141354E8"/>
    <w:multiLevelType w:val="singleLevel"/>
    <w:tmpl w:val="4F84E2FC"/>
    <w:lvl w:ilvl="0">
      <w:start w:val="1"/>
      <w:numFmt w:val="bullet"/>
      <w:pStyle w:val="Style64"/>
      <w:lvlText w:val="–"/>
      <w:lvlJc w:val="left"/>
      <w:pPr>
        <w:tabs>
          <w:tab w:val="num" w:pos="864"/>
        </w:tabs>
        <w:ind w:left="706" w:hanging="202"/>
      </w:pPr>
      <w:rPr>
        <w:rFonts w:ascii="Times" w:hAnsi="Times" w:hint="default"/>
        <w:b w:val="0"/>
        <w:i w:val="0"/>
        <w:sz w:val="20"/>
      </w:rPr>
    </w:lvl>
  </w:abstractNum>
  <w:abstractNum w:abstractNumId="13">
    <w:nsid w:val="18937152"/>
    <w:multiLevelType w:val="hybridMultilevel"/>
    <w:tmpl w:val="33442EB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198A7C03"/>
    <w:multiLevelType w:val="singleLevel"/>
    <w:tmpl w:val="84FE6D5E"/>
    <w:lvl w:ilvl="0">
      <w:start w:val="1"/>
      <w:numFmt w:val="bullet"/>
      <w:pStyle w:val="Style63"/>
      <w:lvlText w:val="–"/>
      <w:lvlJc w:val="left"/>
      <w:pPr>
        <w:tabs>
          <w:tab w:val="num" w:pos="864"/>
        </w:tabs>
        <w:ind w:left="706" w:hanging="202"/>
      </w:pPr>
      <w:rPr>
        <w:rFonts w:ascii="Times" w:hAnsi="Times" w:hint="default"/>
        <w:b w:val="0"/>
        <w:i w:val="0"/>
        <w:sz w:val="20"/>
      </w:rPr>
    </w:lvl>
  </w:abstractNum>
  <w:abstractNum w:abstractNumId="15">
    <w:nsid w:val="236357C4"/>
    <w:multiLevelType w:val="hybridMultilevel"/>
    <w:tmpl w:val="A524BEF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36B151DC"/>
    <w:multiLevelType w:val="multilevel"/>
    <w:tmpl w:val="45DC591C"/>
    <w:lvl w:ilvl="0">
      <w:start w:val="1"/>
      <w:numFmt w:val="upperRoman"/>
      <w:pStyle w:val="BlockText"/>
      <w:suff w:val="space"/>
      <w:lvlText w:val="%1)"/>
      <w:lvlJc w:val="left"/>
      <w:pPr>
        <w:ind w:left="288" w:hanging="288"/>
      </w:p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7B00C70"/>
    <w:multiLevelType w:val="hybridMultilevel"/>
    <w:tmpl w:val="BE381F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41BA49BD"/>
    <w:multiLevelType w:val="multilevel"/>
    <w:tmpl w:val="4516A8CE"/>
    <w:lvl w:ilvl="0">
      <w:start w:val="1"/>
      <w:numFmt w:val="decimal"/>
      <w:pStyle w:val="Style52"/>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1%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9">
    <w:nsid w:val="48C31D02"/>
    <w:multiLevelType w:val="singleLevel"/>
    <w:tmpl w:val="0F1631A8"/>
    <w:lvl w:ilvl="0">
      <w:start w:val="1"/>
      <w:numFmt w:val="bullet"/>
      <w:pStyle w:val="Style58"/>
      <w:lvlText w:val=""/>
      <w:lvlJc w:val="left"/>
      <w:pPr>
        <w:tabs>
          <w:tab w:val="num" w:pos="547"/>
        </w:tabs>
        <w:ind w:left="504" w:hanging="317"/>
      </w:pPr>
      <w:rPr>
        <w:rFonts w:ascii="Symbol" w:hAnsi="Symbol" w:hint="default"/>
        <w:b w:val="0"/>
        <w:i w:val="0"/>
        <w:sz w:val="20"/>
      </w:rPr>
    </w:lvl>
  </w:abstractNum>
  <w:abstractNum w:abstractNumId="20">
    <w:nsid w:val="4C3430E0"/>
    <w:multiLevelType w:val="hybridMultilevel"/>
    <w:tmpl w:val="1CA66138"/>
    <w:lvl w:ilvl="0" w:tplc="7152F5EE">
      <w:start w:val="1"/>
      <w:numFmt w:val="bullet"/>
      <w:lvlText w:val=""/>
      <w:lvlJc w:val="left"/>
      <w:pPr>
        <w:tabs>
          <w:tab w:val="num" w:pos="108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4FCD3A63"/>
    <w:multiLevelType w:val="multilevel"/>
    <w:tmpl w:val="78782EDC"/>
    <w:lvl w:ilvl="0">
      <w:start w:val="1"/>
      <w:numFmt w:val="bullet"/>
      <w:pStyle w:val="Style46"/>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2">
    <w:nsid w:val="57B910EF"/>
    <w:multiLevelType w:val="singleLevel"/>
    <w:tmpl w:val="F0103590"/>
    <w:lvl w:ilvl="0">
      <w:start w:val="1"/>
      <w:numFmt w:val="bullet"/>
      <w:pStyle w:val="Style60"/>
      <w:lvlText w:val=""/>
      <w:lvlJc w:val="left"/>
      <w:pPr>
        <w:tabs>
          <w:tab w:val="num" w:pos="360"/>
        </w:tabs>
        <w:ind w:left="230" w:hanging="230"/>
      </w:pPr>
      <w:rPr>
        <w:rFonts w:ascii="Symbol" w:hAnsi="Symbol" w:hint="default"/>
        <w:b w:val="0"/>
        <w:i w:val="0"/>
        <w:sz w:val="30"/>
      </w:rPr>
    </w:lvl>
  </w:abstractNum>
  <w:abstractNum w:abstractNumId="23">
    <w:nsid w:val="5988722B"/>
    <w:multiLevelType w:val="singleLevel"/>
    <w:tmpl w:val="7458D9AC"/>
    <w:lvl w:ilvl="0">
      <w:start w:val="1"/>
      <w:numFmt w:val="bullet"/>
      <w:pStyle w:val="Style56"/>
      <w:lvlText w:val=""/>
      <w:lvlJc w:val="left"/>
      <w:pPr>
        <w:tabs>
          <w:tab w:val="num" w:pos="360"/>
        </w:tabs>
        <w:ind w:left="187" w:hanging="187"/>
      </w:pPr>
      <w:rPr>
        <w:rFonts w:ascii="Symbol" w:hAnsi="Symbol" w:hint="default"/>
        <w:b w:val="0"/>
        <w:i w:val="0"/>
        <w:sz w:val="20"/>
      </w:rPr>
    </w:lvl>
  </w:abstractNum>
  <w:abstractNum w:abstractNumId="24">
    <w:nsid w:val="5C283D85"/>
    <w:multiLevelType w:val="hybridMultilevel"/>
    <w:tmpl w:val="AEE40F1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67672C92"/>
    <w:multiLevelType w:val="singleLevel"/>
    <w:tmpl w:val="2A58FA86"/>
    <w:lvl w:ilvl="0">
      <w:start w:val="1"/>
      <w:numFmt w:val="bullet"/>
      <w:pStyle w:val="Style57"/>
      <w:lvlText w:val=""/>
      <w:lvlJc w:val="left"/>
      <w:pPr>
        <w:tabs>
          <w:tab w:val="num" w:pos="547"/>
        </w:tabs>
        <w:ind w:left="504" w:hanging="317"/>
      </w:pPr>
      <w:rPr>
        <w:rFonts w:ascii="Symbol" w:hAnsi="Symbol" w:hint="default"/>
        <w:b w:val="0"/>
        <w:i w:val="0"/>
        <w:sz w:val="20"/>
      </w:rPr>
    </w:lvl>
  </w:abstractNum>
  <w:abstractNum w:abstractNumId="26">
    <w:nsid w:val="67C42705"/>
    <w:multiLevelType w:val="multilevel"/>
    <w:tmpl w:val="AF422406"/>
    <w:lvl w:ilvl="0">
      <w:start w:val="1"/>
      <w:numFmt w:val="decimal"/>
      <w:pStyle w:val="Style53"/>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7">
    <w:nsid w:val="67FD0F6D"/>
    <w:multiLevelType w:val="multilevel"/>
    <w:tmpl w:val="30FEEC8E"/>
    <w:lvl w:ilvl="0">
      <w:start w:val="1"/>
      <w:numFmt w:val="decimal"/>
      <w:pStyle w:val="Style55"/>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8">
    <w:nsid w:val="6E853614"/>
    <w:multiLevelType w:val="singleLevel"/>
    <w:tmpl w:val="2C58779C"/>
    <w:lvl w:ilvl="0">
      <w:start w:val="1"/>
      <w:numFmt w:val="bullet"/>
      <w:pStyle w:val="Style59"/>
      <w:lvlText w:val=""/>
      <w:lvlJc w:val="left"/>
      <w:pPr>
        <w:tabs>
          <w:tab w:val="num" w:pos="360"/>
        </w:tabs>
        <w:ind w:left="187" w:hanging="187"/>
      </w:pPr>
      <w:rPr>
        <w:rFonts w:ascii="Symbol" w:hAnsi="Symbol" w:hint="default"/>
        <w:b w:val="0"/>
        <w:i w:val="0"/>
        <w:sz w:val="20"/>
      </w:rPr>
    </w:lvl>
  </w:abstractNum>
  <w:abstractNum w:abstractNumId="29">
    <w:nsid w:val="6F1A75CF"/>
    <w:multiLevelType w:val="hybridMultilevel"/>
    <w:tmpl w:val="6A3E4DF0"/>
    <w:lvl w:ilvl="0" w:tplc="04090011">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7D75465B"/>
    <w:multiLevelType w:val="multilevel"/>
    <w:tmpl w:val="73ECAE16"/>
    <w:lvl w:ilvl="0">
      <w:start w:val="1"/>
      <w:numFmt w:val="bullet"/>
      <w:pStyle w:val="Style47"/>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26"/>
  </w:num>
  <w:num w:numId="2">
    <w:abstractNumId w:val="11"/>
  </w:num>
  <w:num w:numId="3">
    <w:abstractNumId w:val="27"/>
  </w:num>
  <w:num w:numId="4">
    <w:abstractNumId w:val="18"/>
  </w:num>
  <w:num w:numId="5">
    <w:abstractNumId w:val="23"/>
  </w:num>
  <w:num w:numId="6">
    <w:abstractNumId w:val="25"/>
  </w:num>
  <w:num w:numId="7">
    <w:abstractNumId w:val="28"/>
  </w:num>
  <w:num w:numId="8">
    <w:abstractNumId w:val="19"/>
  </w:num>
  <w:num w:numId="9">
    <w:abstractNumId w:val="30"/>
  </w:num>
  <w:num w:numId="10">
    <w:abstractNumId w:val="21"/>
  </w:num>
  <w:num w:numId="11">
    <w:abstractNumId w:val="22"/>
  </w:num>
  <w:num w:numId="12">
    <w:abstractNumId w:val="14"/>
  </w:num>
  <w:num w:numId="13">
    <w:abstractNumId w:val="12"/>
  </w:num>
  <w:num w:numId="14">
    <w:abstractNumId w:val="16"/>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9"/>
  </w:num>
  <w:num w:numId="26">
    <w:abstractNumId w:val="20"/>
  </w:num>
  <w:num w:numId="27">
    <w:abstractNumId w:val="13"/>
  </w:num>
  <w:num w:numId="28">
    <w:abstractNumId w:val="15"/>
  </w:num>
  <w:num w:numId="29">
    <w:abstractNumId w:val="24"/>
  </w:num>
  <w:num w:numId="30">
    <w:abstractNumId w:val="17"/>
  </w:num>
  <w:num w:numId="31">
    <w:abstractNumId w:val="10"/>
  </w:num>
</w:numbering>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mc:Ignorable="w14">
  <w:zoom w:percent="100"/>
  <w:printFractionalCharacterWidth/>
  <w:embedTrueTypeFonts/>
  <w:saveSubsetFonts/>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addres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1"/>
    <o:shapelayout v:ext="edit">
      <o:idmap v:ext="edit" data="1"/>
    </o:shapelayout>
  </w:shapeDefaults>
  <w:decimalSymbol w:val="."/>
  <w:listSeparator w:val=","/>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480" w:lineRule="atLeast"/>
      <w:ind w:firstLine="720"/>
    </w:pPr>
    <w:rPr>
      <w:rFonts w:ascii="Times New Roman" w:hAnsi="Times New Roman"/>
      <w:sz w:val="24"/>
      <w:lang w:eastAsia="zh-CN"/>
    </w:rPr>
  </w:style>
  <w:style w:type="paragraph" w:styleId="Heading1">
    <w:name w:val="heading 1"/>
    <w:aliases w:val="h1"/>
    <w:basedOn w:val="single"/>
    <w:next w:val="Normal"/>
    <w:link w:val="Heading1Char"/>
    <w:qFormat/>
    <w:pPr>
      <w:keepNext/>
      <w:keepLines/>
      <w:spacing w:after="320"/>
      <w:ind w:left="720" w:right="720" w:firstLine="0"/>
      <w:jc w:val="center"/>
      <w:outlineLvl w:val="0"/>
    </w:pPr>
    <w:rPr>
      <w:b/>
    </w:rPr>
  </w:style>
  <w:style w:type="paragraph" w:styleId="Heading2">
    <w:name w:val="heading 2"/>
    <w:aliases w:val="h2"/>
    <w:basedOn w:val="Heading1"/>
    <w:next w:val="Normal"/>
    <w:link w:val="Heading2Char"/>
    <w:qFormat/>
    <w:pPr>
      <w:spacing w:before="360" w:after="360" w:line="240" w:lineRule="auto"/>
      <w:ind w:hanging="720"/>
      <w:jc w:val="left"/>
      <w:outlineLvl w:val="1"/>
    </w:pPr>
    <w:rPr>
      <w:u w:val="single"/>
    </w:rPr>
  </w:style>
  <w:style w:type="paragraph" w:styleId="Heading3">
    <w:name w:val="heading 3"/>
    <w:aliases w:val="h3"/>
    <w:basedOn w:val="Heading2"/>
    <w:next w:val="Normal"/>
    <w:qFormat/>
    <w:pPr>
      <w:spacing w:before="120"/>
      <w:ind w:left="1440"/>
      <w:outlineLvl w:val="2"/>
    </w:pPr>
  </w:style>
  <w:style w:type="paragraph" w:styleId="Heading4">
    <w:name w:val="heading 4"/>
    <w:aliases w:val="h4"/>
    <w:basedOn w:val="Heading3"/>
    <w:next w:val="Normal"/>
    <w:qFormat/>
    <w:pPr>
      <w:ind w:left="2160"/>
      <w:outlineLvl w:val="3"/>
    </w:pPr>
  </w:style>
  <w:style w:type="paragraph" w:styleId="Heading5">
    <w:name w:val="heading 5"/>
    <w:aliases w:val="h5"/>
    <w:basedOn w:val="Heading4"/>
    <w:next w:val="Normal"/>
    <w:qFormat/>
    <w:pPr>
      <w:ind w:left="2880"/>
      <w:outlineLvl w:val="4"/>
    </w:pPr>
  </w:style>
  <w:style w:type="paragraph" w:styleId="Heading6">
    <w:name w:val="heading 6"/>
    <w:aliases w:val="h6"/>
    <w:basedOn w:val="Heading5"/>
    <w:next w:val="Normal"/>
    <w:qFormat/>
    <w:pPr>
      <w:ind w:left="3600"/>
      <w:outlineLvl w:val="5"/>
    </w:pPr>
  </w:style>
  <w:style w:type="paragraph" w:styleId="Heading7">
    <w:name w:val="heading 7"/>
    <w:aliases w:val="h7"/>
    <w:basedOn w:val="Heading6"/>
    <w:next w:val="Normal"/>
    <w:qFormat/>
    <w:pPr>
      <w:ind w:left="4320"/>
      <w:outlineLvl w:val="6"/>
    </w:pPr>
  </w:style>
  <w:style w:type="paragraph" w:styleId="Heading8">
    <w:name w:val="heading 8"/>
    <w:aliases w:val="h8"/>
    <w:basedOn w:val="Heading6"/>
    <w:next w:val="Normal"/>
    <w:qFormat/>
    <w:pPr>
      <w:ind w:left="5040"/>
      <w:outlineLvl w:val="7"/>
    </w:pPr>
  </w:style>
  <w:style w:type="paragraph" w:styleId="Heading9">
    <w:name w:val="heading 9"/>
    <w:aliases w:val="h9"/>
    <w:basedOn w:val="Heading6"/>
    <w:next w:val="Normal"/>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pPr>
      <w:spacing w:before="240" w:line="240" w:lineRule="atLeast"/>
    </w:pPr>
  </w:style>
  <w:style w:type="character" w:styleId="CommentReference">
    <w:name w:val="annotation reference"/>
    <w:basedOn w:val="DefaultParagraphFont"/>
    <w:semiHidden/>
    <w:rPr>
      <w:rFonts w:ascii="Univers (WN)" w:hAnsi="Univers (WN)"/>
      <w:position w:val="4"/>
      <w:sz w:val="16"/>
      <w:u w:val="double"/>
    </w:rPr>
  </w:style>
  <w:style w:type="paragraph" w:styleId="CommentText">
    <w:name w:val="annotation text"/>
    <w:basedOn w:val="FootnoteText"/>
    <w:semiHidden/>
  </w:style>
  <w:style w:type="paragraph" w:styleId="FootnoteText">
    <w:name w:val="footnote text"/>
    <w:basedOn w:val="single"/>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semiHidden/>
    <w:pPr>
      <w:ind w:left="2160"/>
    </w:pPr>
  </w:style>
  <w:style w:type="paragraph" w:styleId="TOC2">
    <w:name w:val="toc 2"/>
    <w:basedOn w:val="TOC1"/>
    <w:semiHidden/>
    <w:pPr>
      <w:ind w:left="1440"/>
    </w:pPr>
  </w:style>
  <w:style w:type="paragraph" w:styleId="TOC1">
    <w:name w:val="toc 1"/>
    <w:basedOn w:val="unjustifiedblock"/>
    <w:uiPriority w:val="3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style>
  <w:style w:type="paragraph" w:customStyle="1" w:styleId="singleblock">
    <w:name w:val="single block"/>
    <w:basedOn w:val="single"/>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2">
    <w:name w:val="index 2"/>
    <w:basedOn w:val="unjustifiedblock"/>
    <w:next w:val="Normal"/>
    <w:semiHidden/>
    <w:pPr>
      <w:tabs>
        <w:tab w:val="right" w:leader="dot" w:pos="9000"/>
      </w:tabs>
      <w:ind w:left="360" w:right="2520" w:hanging="360"/>
    </w:pPr>
    <w:rPr>
      <w:color w:val="0000FF"/>
    </w:rPr>
  </w:style>
  <w:style w:type="paragraph" w:styleId="Index1">
    <w:name w:val="index 1"/>
    <w:basedOn w:val="unjustifiedblock"/>
    <w:next w:val="Normal"/>
    <w:semiHidden/>
    <w:rPr>
      <w:b/>
      <w:color w:val="0000FF"/>
    </w:rPr>
  </w:style>
  <w:style w:type="paragraph" w:styleId="IndexHeading">
    <w:name w:val="index heading"/>
    <w:basedOn w:val="unjustifiedblock"/>
    <w:next w:val="Normal"/>
    <w:semiHidden/>
    <w:rPr>
      <w:b/>
    </w:rPr>
  </w:style>
  <w:style w:type="paragraph" w:styleId="Footer">
    <w:name w:val="footer"/>
    <w:basedOn w:val="plain"/>
    <w:pPr>
      <w:tabs>
        <w:tab w:val="center" w:pos="4507"/>
        <w:tab w:val="right" w:pos="9000"/>
      </w:tabs>
      <w:ind w:right="4320"/>
    </w:pPr>
    <w:rPr>
      <w:color w:val="000000"/>
    </w:rPr>
  </w:style>
  <w:style w:type="paragraph" w:customStyle="1" w:styleId="plain">
    <w:name w:val="plain"/>
    <w:basedOn w:val="unjustifiedblock"/>
    <w:pPr>
      <w:spacing w:before="0"/>
    </w:pPr>
  </w:style>
  <w:style w:type="paragraph" w:styleId="Header">
    <w:name w:val="header"/>
    <w:basedOn w:val="plain"/>
    <w:pPr>
      <w:tabs>
        <w:tab w:val="center" w:pos="4507"/>
        <w:tab w:val="right" w:pos="9000"/>
      </w:tabs>
    </w:pPr>
  </w:style>
  <w:style w:type="character" w:styleId="FootnoteReference">
    <w:name w:val="footnote reference"/>
    <w:basedOn w:val="DefaultParagraphFont"/>
    <w:semiHidden/>
    <w:rPr>
      <w:position w:val="6"/>
      <w:sz w:val="16"/>
    </w:rPr>
  </w:style>
  <w:style w:type="paragraph" w:styleId="NormalIndent">
    <w:name w:val="Normal Indent"/>
    <w:basedOn w:val="singleblock"/>
    <w:pPr>
      <w:spacing w:before="0" w:after="240" w:line="240" w:lineRule="auto"/>
      <w:ind w:left="1440" w:right="720"/>
    </w:pPr>
    <w:rPr>
      <w:snapToGrid w:val="0"/>
      <w:lang w:eastAsia="en-US"/>
    </w:rPr>
  </w:style>
  <w:style w:type="paragraph" w:customStyle="1" w:styleId="Style1">
    <w:name w:val="Style1"/>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Style3">
    <w:name w:val="Style3"/>
    <w:basedOn w:val="Normal"/>
    <w:pPr>
      <w:ind w:firstLine="0"/>
    </w:pPr>
  </w:style>
  <w:style w:type="paragraph" w:customStyle="1" w:styleId="Style4">
    <w:name w:val="Style4"/>
    <w:basedOn w:val="unjustifiedblock"/>
    <w:pPr>
      <w:jc w:val="right"/>
    </w:pPr>
  </w:style>
  <w:style w:type="paragraph" w:customStyle="1" w:styleId="Style5">
    <w:name w:val="Style5"/>
    <w:basedOn w:val="unjustifiedblock"/>
    <w:pPr>
      <w:keepLines/>
      <w:jc w:val="center"/>
    </w:pPr>
  </w:style>
  <w:style w:type="paragraph" w:customStyle="1" w:styleId="Style6">
    <w:name w:val="Style6"/>
    <w:basedOn w:val="Normal"/>
    <w:pPr>
      <w:ind w:firstLine="1440"/>
    </w:pPr>
  </w:style>
  <w:style w:type="paragraph" w:customStyle="1" w:styleId="Style7">
    <w:name w:val="Style7"/>
    <w:basedOn w:val="plain"/>
    <w:pPr>
      <w:spacing w:before="60" w:after="60" w:line="240" w:lineRule="auto"/>
    </w:pPr>
  </w:style>
  <w:style w:type="paragraph" w:customStyle="1" w:styleId="Style8">
    <w:name w:val="Style8"/>
    <w:basedOn w:val="FootnoteText"/>
    <w:pPr>
      <w:ind w:firstLine="0"/>
    </w:pPr>
  </w:style>
  <w:style w:type="paragraph" w:customStyle="1" w:styleId="Style9">
    <w:name w:val="Style9"/>
    <w:basedOn w:val="Style8"/>
    <w:pPr>
      <w:ind w:left="1440" w:right="720"/>
    </w:pPr>
  </w:style>
  <w:style w:type="paragraph" w:customStyle="1" w:styleId="Style10">
    <w:name w:val="Style10"/>
    <w:basedOn w:val="Style5"/>
    <w:pPr>
      <w:keepNext/>
      <w:ind w:left="720" w:right="720"/>
    </w:pPr>
    <w:rPr>
      <w:b/>
    </w:rPr>
  </w:style>
  <w:style w:type="paragraph" w:customStyle="1" w:styleId="Style11">
    <w:name w:val="Style11"/>
    <w:basedOn w:val="Style6"/>
    <w:pPr>
      <w:ind w:firstLine="2160"/>
    </w:pPr>
  </w:style>
  <w:style w:type="paragraph" w:customStyle="1" w:styleId="Style12">
    <w:name w:val="Style12"/>
    <w:basedOn w:val="Normal"/>
    <w:pPr>
      <w:ind w:left="720" w:hanging="720"/>
    </w:pPr>
  </w:style>
  <w:style w:type="paragraph" w:customStyle="1" w:styleId="Style13">
    <w:name w:val="Style13"/>
    <w:basedOn w:val="unjustifiedblock"/>
    <w:pPr>
      <w:keepLines/>
      <w:tabs>
        <w:tab w:val="left" w:pos="4190"/>
        <w:tab w:val="right" w:pos="8640"/>
      </w:tabs>
      <w:ind w:left="3787" w:right="187"/>
    </w:pPr>
  </w:style>
  <w:style w:type="paragraph" w:customStyle="1" w:styleId="Style14">
    <w:name w:val="Style14"/>
    <w:basedOn w:val="Style12"/>
    <w:pPr>
      <w:ind w:left="1440"/>
    </w:pPr>
  </w:style>
  <w:style w:type="paragraph" w:customStyle="1" w:styleId="Style15">
    <w:name w:val="Style15"/>
    <w:basedOn w:val="Style14"/>
    <w:pPr>
      <w:ind w:left="2160"/>
    </w:pPr>
  </w:style>
  <w:style w:type="paragraph" w:customStyle="1" w:styleId="Style16">
    <w:name w:val="Style16"/>
    <w:basedOn w:val="singleblock"/>
    <w:pPr>
      <w:ind w:left="720" w:hanging="720"/>
    </w:pPr>
  </w:style>
  <w:style w:type="paragraph" w:customStyle="1" w:styleId="Style17">
    <w:name w:val="Style17"/>
    <w:pPr>
      <w:framePr w:w="360" w:hSpace="144" w:vSpace="144" w:wrap="auto" w:vAnchor="page" w:hAnchor="page" w:x="1081" w:y="2161"/>
      <w:spacing w:line="240" w:lineRule="exact"/>
      <w:jc w:val="right"/>
    </w:pPr>
    <w:rPr>
      <w:rFonts w:ascii="Univers (WN)" w:hAnsi="Univers (WN)"/>
      <w:lang w:eastAsia="zh-CN"/>
    </w:rPr>
  </w:style>
  <w:style w:type="paragraph" w:customStyle="1" w:styleId="Style18">
    <w:name w:val="Style18"/>
    <w:basedOn w:val="Style16"/>
    <w:pPr>
      <w:spacing w:before="0" w:after="240"/>
      <w:ind w:left="1440"/>
    </w:pPr>
  </w:style>
  <w:style w:type="paragraph" w:customStyle="1" w:styleId="Style19">
    <w:name w:val="Style19"/>
    <w:basedOn w:val="Normal"/>
    <w:pPr>
      <w:spacing w:after="2880"/>
    </w:pPr>
  </w:style>
  <w:style w:type="paragraph" w:customStyle="1" w:styleId="Style20">
    <w:name w:val="Style20"/>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Style21">
    <w:name w:val="Style21"/>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Style22">
    <w:name w:val="Style22"/>
    <w:pPr>
      <w:framePr w:w="2880" w:hSpace="360" w:vSpace="360" w:wrap="auto" w:vAnchor="page" w:hAnchor="text" w:xAlign="right" w:yAlign="bottom"/>
      <w:spacing w:after="360"/>
      <w:jc w:val="center"/>
    </w:pPr>
    <w:rPr>
      <w:color w:val="000000"/>
      <w:sz w:val="16"/>
      <w:lang w:eastAsia="zh-CN"/>
    </w:rPr>
  </w:style>
  <w:style w:type="paragraph" w:customStyle="1" w:styleId="Style23">
    <w:name w:val="Style23"/>
    <w:basedOn w:val="Style18"/>
    <w:pPr>
      <w:ind w:left="2160"/>
    </w:pPr>
  </w:style>
  <w:style w:type="paragraph" w:customStyle="1" w:styleId="Style24">
    <w:name w:val="Style24"/>
    <w:basedOn w:val="singleblock"/>
    <w:pPr>
      <w:spacing w:before="0" w:after="240"/>
      <w:ind w:left="1440" w:right="720"/>
    </w:pPr>
  </w:style>
  <w:style w:type="paragraph" w:customStyle="1" w:styleId="Style25">
    <w:name w:val="Style25"/>
    <w:basedOn w:val="unjustifiedblock"/>
    <w:pPr>
      <w:ind w:left="720" w:hanging="720"/>
    </w:pPr>
  </w:style>
  <w:style w:type="paragraph" w:customStyle="1" w:styleId="Style26">
    <w:name w:val="Style26"/>
    <w:basedOn w:val="Style25"/>
    <w:pPr>
      <w:ind w:left="1440"/>
    </w:pPr>
  </w:style>
  <w:style w:type="paragraph" w:customStyle="1" w:styleId="Style27">
    <w:name w:val="Style27"/>
    <w:basedOn w:val="Style26"/>
    <w:pPr>
      <w:ind w:left="2160"/>
    </w:pPr>
  </w:style>
  <w:style w:type="paragraph" w:customStyle="1" w:styleId="Style28">
    <w:name w:val="Style28"/>
    <w:basedOn w:val="Normal"/>
  </w:style>
  <w:style w:type="paragraph" w:customStyle="1" w:styleId="Style29">
    <w:name w:val="Style29"/>
    <w:basedOn w:val="Style30"/>
    <w:pPr>
      <w:framePr w:wrap="auto" w:x="11708"/>
    </w:pPr>
  </w:style>
  <w:style w:type="paragraph" w:customStyle="1" w:styleId="Style30">
    <w:name w:val="Style30"/>
    <w:basedOn w:val="Style17"/>
    <w:pPr>
      <w:framePr w:w="0" w:hSpace="0" w:vSpace="0" w:wrap="auto" w:x="1513" w:yAlign="top"/>
      <w:jc w:val="left"/>
    </w:pPr>
    <w:rPr>
      <w:rFonts w:ascii="Courier" w:hAnsi="Courier"/>
      <w:color w:val="0000FF"/>
    </w:rPr>
  </w:style>
  <w:style w:type="paragraph" w:customStyle="1" w:styleId="Style31">
    <w:name w:val="Style31"/>
    <w:basedOn w:val="Style17"/>
    <w:pPr>
      <w:framePr w:w="576" w:vSpace="0" w:wrap="notBeside" w:vAnchor="margin" w:hAnchor="text" w:x="720" w:yAlign="top"/>
      <w:spacing w:line="480" w:lineRule="exact"/>
    </w:pPr>
  </w:style>
  <w:style w:type="paragraph" w:styleId="EnvelopeAddress">
    <w:name w:val="envelope address"/>
    <w:basedOn w:val="Normal"/>
    <w:pPr>
      <w:framePr w:w="7920" w:h="1987" w:hRule="exact" w:hSpace="187" w:wrap="around" w:hAnchor="page" w:xAlign="center" w:yAlign="bottom"/>
      <w:spacing w:line="240" w:lineRule="auto"/>
      <w:ind w:left="2880" w:firstLine="1440"/>
    </w:pPr>
  </w:style>
  <w:style w:type="paragraph" w:styleId="EnvelopeReturn">
    <w:name w:val="envelope return"/>
    <w:basedOn w:val="Normal"/>
    <w:pPr>
      <w:spacing w:line="240" w:lineRule="auto"/>
      <w:ind w:firstLine="0"/>
    </w:pPr>
    <w:rPr>
      <w:sz w:val="20"/>
    </w:rPr>
  </w:style>
  <w:style w:type="paragraph" w:styleId="TOAHeading">
    <w:name w:val="toa heading"/>
    <w:basedOn w:val="Normal"/>
    <w:next w:val="Normal"/>
    <w:semiHidden/>
    <w:pPr>
      <w:spacing w:before="120"/>
      <w:ind w:firstLine="0"/>
    </w:pPr>
    <w:rPr>
      <w:b/>
    </w:rPr>
  </w:style>
  <w:style w:type="paragraph" w:styleId="TableofAuthorities">
    <w:name w:val="table of authorities"/>
    <w:basedOn w:val="Normal"/>
    <w:next w:val="Normal"/>
    <w:semiHidden/>
    <w:pPr>
      <w:tabs>
        <w:tab w:val="right" w:leader="dot" w:pos="9000"/>
      </w:tabs>
      <w:spacing w:before="240" w:line="240" w:lineRule="auto"/>
      <w:ind w:left="245" w:right="1440" w:hanging="245"/>
    </w:pPr>
  </w:style>
  <w:style w:type="paragraph" w:customStyle="1" w:styleId="Style32">
    <w:name w:val="Style32"/>
    <w:basedOn w:val="Style3"/>
    <w:rPr>
      <w:b/>
    </w:rPr>
  </w:style>
  <w:style w:type="paragraph" w:styleId="BodyTextIndent">
    <w:name w:val="Body Text Indent"/>
    <w:basedOn w:val="Normal"/>
    <w:pPr>
      <w:spacing w:line="240" w:lineRule="auto"/>
    </w:pPr>
    <w:rPr>
      <w:rFonts w:ascii="Arial" w:hAnsi="Arial"/>
      <w:sz w:val="22"/>
    </w:rPr>
  </w:style>
  <w:style w:type="paragraph" w:styleId="BodyText">
    <w:name w:val="Body Text"/>
    <w:aliases w:val="bt"/>
    <w:basedOn w:val="Normal"/>
    <w:pPr>
      <w:spacing w:line="240" w:lineRule="auto"/>
      <w:ind w:firstLine="0"/>
      <w:jc w:val="both"/>
    </w:pPr>
    <w:rPr>
      <w:lang w:val="en-GB"/>
    </w:rPr>
  </w:style>
  <w:style w:type="paragraph" w:customStyle="1" w:styleId="Style33">
    <w:name w:val="Style33"/>
    <w:basedOn w:val="Normal"/>
    <w:pPr>
      <w:spacing w:before="240" w:line="240" w:lineRule="atLeast"/>
      <w:ind w:left="1440" w:hanging="720"/>
    </w:pPr>
    <w:rPr>
      <w:sz w:val="26"/>
    </w:rPr>
  </w:style>
  <w:style w:type="paragraph" w:customStyle="1" w:styleId="Style34">
    <w:name w:val="Style34"/>
    <w:basedOn w:val="Style33"/>
    <w:pPr>
      <w:ind w:firstLine="0"/>
    </w:pPr>
  </w:style>
  <w:style w:type="paragraph" w:customStyle="1" w:styleId="Style35">
    <w:name w:val="Style35"/>
    <w:basedOn w:val="Style12"/>
    <w:pPr>
      <w:widowControl w:val="0"/>
    </w:pPr>
  </w:style>
  <w:style w:type="character" w:styleId="PageNumber">
    <w:name w:val="page number"/>
    <w:basedOn w:val="DefaultParagraphFont"/>
  </w:style>
  <w:style w:type="paragraph" w:customStyle="1" w:styleId="Style36">
    <w:name w:val="Style36"/>
    <w:basedOn w:val="Style3"/>
    <w:pPr>
      <w:spacing w:before="240" w:line="240" w:lineRule="atLeast"/>
      <w:ind w:left="1440" w:hanging="1440"/>
    </w:pPr>
    <w:rPr>
      <w:sz w:val="26"/>
    </w:rPr>
  </w:style>
  <w:style w:type="paragraph" w:customStyle="1" w:styleId="Style37">
    <w:name w:val="Style37"/>
    <w:basedOn w:val="plain"/>
    <w:pPr>
      <w:keepLines/>
      <w:spacing w:before="240"/>
      <w:ind w:left="720" w:hanging="720"/>
    </w:pPr>
    <w:rPr>
      <w:sz w:val="26"/>
    </w:rPr>
  </w:style>
  <w:style w:type="paragraph" w:customStyle="1" w:styleId="Style38">
    <w:name w:val="Style38"/>
    <w:basedOn w:val="Normal"/>
    <w:pPr>
      <w:tabs>
        <w:tab w:val="right" w:pos="1800"/>
        <w:tab w:val="left" w:pos="2160"/>
      </w:tabs>
      <w:spacing w:before="240" w:line="240" w:lineRule="atLeast"/>
      <w:ind w:left="2160" w:hanging="1440"/>
    </w:pPr>
    <w:rPr>
      <w:sz w:val="26"/>
    </w:rPr>
  </w:style>
  <w:style w:type="paragraph" w:customStyle="1" w:styleId="Style39">
    <w:name w:val="Style39"/>
    <w:basedOn w:val="Normal"/>
    <w:pPr>
      <w:spacing w:before="240" w:line="240" w:lineRule="atLeast"/>
      <w:ind w:left="720"/>
    </w:pPr>
    <w:rPr>
      <w:sz w:val="26"/>
    </w:rPr>
  </w:style>
  <w:style w:type="paragraph" w:customStyle="1" w:styleId="Style40">
    <w:name w:val="Style40"/>
    <w:basedOn w:val="Style9"/>
    <w:pPr>
      <w:ind w:left="720" w:hanging="720"/>
    </w:pPr>
  </w:style>
  <w:style w:type="paragraph" w:customStyle="1" w:styleId="Style41">
    <w:name w:val="Style41"/>
    <w:basedOn w:val="Style38"/>
    <w:pPr>
      <w:tabs>
        <w:tab w:val="clear" w:pos="1800"/>
        <w:tab w:val="clear" w:pos="2160"/>
      </w:tabs>
      <w:ind w:left="2880" w:hanging="720"/>
    </w:pPr>
  </w:style>
  <w:style w:type="paragraph" w:customStyle="1" w:styleId="Style42">
    <w:name w:val="Style42"/>
    <w:basedOn w:val="Style16"/>
    <w:next w:val="Style43"/>
    <w:pPr>
      <w:keepNext/>
      <w:spacing w:after="120" w:line="480" w:lineRule="auto"/>
    </w:pPr>
    <w:rPr>
      <w:b/>
    </w:rPr>
  </w:style>
  <w:style w:type="paragraph" w:customStyle="1" w:styleId="Style43">
    <w:name w:val="Style43"/>
    <w:basedOn w:val="Normal"/>
    <w:link w:val="Style91"/>
    <w:pPr>
      <w:spacing w:before="120" w:after="120" w:line="480" w:lineRule="auto"/>
      <w:ind w:left="720" w:hanging="720"/>
    </w:pPr>
  </w:style>
  <w:style w:type="paragraph" w:customStyle="1" w:styleId="Style44">
    <w:name w:val="Style44"/>
    <w:basedOn w:val="Style16"/>
    <w:pPr>
      <w:spacing w:line="480" w:lineRule="auto"/>
    </w:pPr>
    <w:rPr>
      <w:b/>
      <w:sz w:val="26"/>
    </w:rPr>
  </w:style>
  <w:style w:type="paragraph" w:customStyle="1" w:styleId="Style45">
    <w:name w:val="Style45"/>
    <w:basedOn w:val="Style12"/>
    <w:pPr>
      <w:keepNext/>
      <w:spacing w:before="240" w:line="240" w:lineRule="auto"/>
    </w:pPr>
    <w:rPr>
      <w:b/>
    </w:rPr>
  </w:style>
  <w:style w:type="paragraph" w:styleId="BodyTextIndent2">
    <w:name w:val="Body Text Indent 2"/>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rFonts w:ascii="CG Times" w:hAnsi="CG Times"/>
      <w:color w:val="0000FF"/>
    </w:rPr>
  </w:style>
  <w:style w:type="character" w:styleId="LineNumber">
    <w:name w:val="line number"/>
    <w:basedOn w:val="DefaultParagraphFont"/>
    <w:rPr>
      <w:rFonts w:ascii="Times New Roman" w:hAnsi="Times New Roman"/>
      <w:sz w:val="24"/>
    </w:rPr>
  </w:style>
  <w:style w:type="paragraph" w:customStyle="1" w:styleId="Style46">
    <w:name w:val="Style46"/>
    <w:basedOn w:val="Normal"/>
    <w:pPr>
      <w:numPr>
        <w:numId w:val="10"/>
      </w:numPr>
      <w:tabs>
        <w:tab w:val="clear" w:pos="360"/>
        <w:tab w:val="left" w:pos="216"/>
        <w:tab w:val="left" w:pos="533"/>
        <w:tab w:val="left" w:pos="734"/>
      </w:tabs>
      <w:spacing w:line="240" w:lineRule="auto"/>
    </w:pPr>
    <w:rPr>
      <w:rFonts w:ascii="Times" w:hAnsi="Times"/>
      <w:sz w:val="23"/>
    </w:rPr>
  </w:style>
  <w:style w:type="paragraph" w:customStyle="1" w:styleId="Style47">
    <w:name w:val="Style47"/>
    <w:basedOn w:val="Normal"/>
    <w:pPr>
      <w:numPr>
        <w:numId w:val="9"/>
      </w:numPr>
      <w:tabs>
        <w:tab w:val="clear" w:pos="360"/>
        <w:tab w:val="left" w:pos="216"/>
        <w:tab w:val="left" w:pos="533"/>
        <w:tab w:val="left" w:pos="734"/>
      </w:tabs>
      <w:spacing w:after="260" w:line="240" w:lineRule="auto"/>
    </w:pPr>
    <w:rPr>
      <w:rFonts w:ascii="Times" w:hAnsi="Times"/>
      <w:sz w:val="23"/>
    </w:rPr>
  </w:style>
  <w:style w:type="paragraph" w:customStyle="1" w:styleId="Style48">
    <w:name w:val="Style48"/>
    <w:basedOn w:val="Normal"/>
    <w:pPr>
      <w:tabs>
        <w:tab w:val="left" w:pos="533"/>
        <w:tab w:val="left" w:pos="734"/>
      </w:tabs>
      <w:spacing w:line="240" w:lineRule="auto"/>
      <w:ind w:left="533" w:hanging="317"/>
    </w:pPr>
    <w:rPr>
      <w:rFonts w:ascii="Times" w:hAnsi="Times"/>
      <w:sz w:val="23"/>
    </w:rPr>
  </w:style>
  <w:style w:type="paragraph" w:customStyle="1" w:styleId="Style49">
    <w:name w:val="Style49"/>
    <w:basedOn w:val="Normal"/>
    <w:pPr>
      <w:tabs>
        <w:tab w:val="left" w:pos="533"/>
        <w:tab w:val="left" w:pos="734"/>
      </w:tabs>
      <w:spacing w:after="260" w:line="240" w:lineRule="auto"/>
      <w:ind w:left="533" w:hanging="317"/>
    </w:pPr>
    <w:rPr>
      <w:rFonts w:ascii="Times" w:hAnsi="Times"/>
      <w:sz w:val="23"/>
    </w:rPr>
  </w:style>
  <w:style w:type="paragraph" w:customStyle="1" w:styleId="Style50">
    <w:name w:val="Style50"/>
    <w:basedOn w:val="Normal"/>
    <w:pPr>
      <w:tabs>
        <w:tab w:val="left" w:pos="734"/>
      </w:tabs>
      <w:spacing w:line="240" w:lineRule="auto"/>
      <w:ind w:left="734" w:hanging="201"/>
    </w:pPr>
    <w:rPr>
      <w:rFonts w:ascii="Times" w:hAnsi="Times"/>
      <w:sz w:val="23"/>
    </w:rPr>
  </w:style>
  <w:style w:type="paragraph" w:customStyle="1" w:styleId="Style51">
    <w:name w:val="Style51"/>
    <w:basedOn w:val="Normal"/>
    <w:pPr>
      <w:tabs>
        <w:tab w:val="left" w:pos="734"/>
      </w:tabs>
      <w:spacing w:after="260" w:line="240" w:lineRule="auto"/>
      <w:ind w:left="734" w:hanging="201"/>
    </w:pPr>
    <w:rPr>
      <w:rFonts w:ascii="Times" w:hAnsi="Times"/>
      <w:sz w:val="23"/>
    </w:rPr>
  </w:style>
  <w:style w:type="paragraph" w:customStyle="1" w:styleId="Style52">
    <w:name w:val="Style52"/>
    <w:basedOn w:val="Normal"/>
    <w:pPr>
      <w:numPr>
        <w:numId w:val="4"/>
      </w:numPr>
      <w:tabs>
        <w:tab w:val="left" w:pos="547"/>
        <w:tab w:val="left" w:pos="878"/>
      </w:tabs>
      <w:spacing w:after="260" w:line="240" w:lineRule="auto"/>
    </w:pPr>
    <w:rPr>
      <w:rFonts w:ascii="Times" w:hAnsi="Times"/>
      <w:sz w:val="23"/>
    </w:rPr>
  </w:style>
  <w:style w:type="paragraph" w:customStyle="1" w:styleId="Style53">
    <w:name w:val="Style53"/>
    <w:basedOn w:val="Normal"/>
    <w:pPr>
      <w:numPr>
        <w:numId w:val="1"/>
      </w:numPr>
      <w:tabs>
        <w:tab w:val="left" w:pos="547"/>
        <w:tab w:val="left" w:pos="878"/>
      </w:tabs>
      <w:spacing w:line="240" w:lineRule="auto"/>
    </w:pPr>
    <w:rPr>
      <w:rFonts w:ascii="Times" w:hAnsi="Times"/>
      <w:sz w:val="23"/>
    </w:rPr>
  </w:style>
  <w:style w:type="paragraph" w:customStyle="1" w:styleId="Style54">
    <w:name w:val="Style54"/>
    <w:basedOn w:val="Normal"/>
    <w:pPr>
      <w:numPr>
        <w:numId w:val="2"/>
      </w:numPr>
      <w:tabs>
        <w:tab w:val="left" w:pos="547"/>
        <w:tab w:val="left" w:pos="878"/>
      </w:tabs>
      <w:spacing w:line="240" w:lineRule="auto"/>
    </w:pPr>
    <w:rPr>
      <w:rFonts w:ascii="Times" w:hAnsi="Times"/>
      <w:sz w:val="23"/>
    </w:rPr>
  </w:style>
  <w:style w:type="paragraph" w:customStyle="1" w:styleId="Style55">
    <w:name w:val="Style55"/>
    <w:basedOn w:val="Normal"/>
    <w:pPr>
      <w:numPr>
        <w:numId w:val="3"/>
      </w:numPr>
      <w:tabs>
        <w:tab w:val="left" w:pos="547"/>
        <w:tab w:val="left" w:pos="878"/>
      </w:tabs>
      <w:spacing w:after="260" w:line="240" w:lineRule="auto"/>
    </w:pPr>
    <w:rPr>
      <w:rFonts w:ascii="Times" w:hAnsi="Times"/>
      <w:sz w:val="23"/>
    </w:rPr>
  </w:style>
  <w:style w:type="paragraph" w:customStyle="1" w:styleId="Style56">
    <w:name w:val="Style56"/>
    <w:basedOn w:val="Normal"/>
    <w:pPr>
      <w:numPr>
        <w:numId w:val="5"/>
      </w:numPr>
      <w:tabs>
        <w:tab w:val="clear" w:pos="360"/>
        <w:tab w:val="left" w:pos="187"/>
      </w:tabs>
      <w:spacing w:line="240" w:lineRule="auto"/>
    </w:pPr>
    <w:rPr>
      <w:rFonts w:ascii="Times" w:hAnsi="Times"/>
      <w:sz w:val="20"/>
    </w:rPr>
  </w:style>
  <w:style w:type="paragraph" w:customStyle="1" w:styleId="Style57">
    <w:name w:val="Style57"/>
    <w:basedOn w:val="Normal"/>
    <w:pPr>
      <w:numPr>
        <w:numId w:val="6"/>
      </w:numPr>
      <w:tabs>
        <w:tab w:val="clear" w:pos="547"/>
        <w:tab w:val="left" w:pos="504"/>
      </w:tabs>
      <w:spacing w:line="240" w:lineRule="auto"/>
    </w:pPr>
    <w:rPr>
      <w:rFonts w:ascii="Times" w:hAnsi="Times"/>
      <w:sz w:val="20"/>
    </w:rPr>
  </w:style>
  <w:style w:type="paragraph" w:customStyle="1" w:styleId="Style58">
    <w:name w:val="Style58"/>
    <w:basedOn w:val="Normal"/>
    <w:pPr>
      <w:numPr>
        <w:numId w:val="8"/>
      </w:numPr>
      <w:tabs>
        <w:tab w:val="clear" w:pos="547"/>
        <w:tab w:val="left" w:pos="504"/>
      </w:tabs>
      <w:spacing w:line="240" w:lineRule="auto"/>
    </w:pPr>
    <w:rPr>
      <w:rFonts w:ascii="Times" w:hAnsi="Times"/>
      <w:sz w:val="20"/>
    </w:rPr>
  </w:style>
  <w:style w:type="paragraph" w:customStyle="1" w:styleId="Style59">
    <w:name w:val="Style59"/>
    <w:basedOn w:val="Normal"/>
    <w:pPr>
      <w:numPr>
        <w:numId w:val="7"/>
      </w:numPr>
      <w:tabs>
        <w:tab w:val="clear" w:pos="360"/>
        <w:tab w:val="left" w:pos="187"/>
      </w:tabs>
      <w:spacing w:line="240" w:lineRule="auto"/>
    </w:pPr>
    <w:rPr>
      <w:rFonts w:ascii="Times" w:hAnsi="Times"/>
      <w:sz w:val="20"/>
    </w:rPr>
  </w:style>
  <w:style w:type="paragraph" w:customStyle="1" w:styleId="Style60">
    <w:name w:val="Style60"/>
    <w:basedOn w:val="Style61"/>
    <w:pPr>
      <w:numPr>
        <w:numId w:val="11"/>
      </w:numPr>
      <w:tabs>
        <w:tab w:val="clear" w:pos="360"/>
        <w:tab w:val="left" w:pos="230"/>
      </w:tabs>
    </w:pPr>
  </w:style>
  <w:style w:type="paragraph" w:customStyle="1" w:styleId="Style61">
    <w:name w:val="Style61"/>
    <w:basedOn w:val="Style62"/>
    <w:rPr>
      <w:sz w:val="30"/>
    </w:rPr>
  </w:style>
  <w:style w:type="paragraph" w:customStyle="1" w:styleId="Style62">
    <w:name w:val="Style62"/>
    <w:basedOn w:val="Normal"/>
    <w:pPr>
      <w:spacing w:after="260" w:line="240" w:lineRule="auto"/>
      <w:ind w:firstLine="0"/>
    </w:pPr>
    <w:rPr>
      <w:rFonts w:ascii="Times" w:hAnsi="Times"/>
      <w:sz w:val="23"/>
    </w:rPr>
  </w:style>
  <w:style w:type="paragraph" w:customStyle="1" w:styleId="Style63">
    <w:name w:val="Style63"/>
    <w:basedOn w:val="Normal"/>
    <w:pPr>
      <w:numPr>
        <w:numId w:val="12"/>
      </w:numPr>
      <w:tabs>
        <w:tab w:val="clear" w:pos="864"/>
        <w:tab w:val="left" w:pos="706"/>
      </w:tabs>
      <w:spacing w:line="240" w:lineRule="auto"/>
    </w:pPr>
    <w:rPr>
      <w:rFonts w:ascii="Times" w:hAnsi="Times"/>
      <w:sz w:val="20"/>
    </w:rPr>
  </w:style>
  <w:style w:type="paragraph" w:customStyle="1" w:styleId="Style64">
    <w:name w:val="Style64"/>
    <w:basedOn w:val="Normal"/>
    <w:pPr>
      <w:numPr>
        <w:numId w:val="13"/>
      </w:numPr>
      <w:tabs>
        <w:tab w:val="clear" w:pos="864"/>
        <w:tab w:val="left" w:pos="706"/>
      </w:tabs>
      <w:spacing w:line="240" w:lineRule="auto"/>
    </w:pPr>
    <w:rPr>
      <w:rFonts w:ascii="Times" w:hAnsi="Times"/>
      <w:sz w:val="20"/>
    </w:rPr>
  </w:style>
  <w:style w:type="paragraph" w:styleId="BodyTextIndent3">
    <w:name w:val="Body Text Indent 3"/>
    <w:basedOn w:val="Normal"/>
    <w:pPr>
      <w:spacing w:line="240" w:lineRule="auto"/>
      <w:ind w:left="1440" w:firstLine="0"/>
    </w:pPr>
    <w:rPr>
      <w:rFonts w:ascii="Times" w:hAnsi="Times"/>
    </w:rPr>
  </w:style>
  <w:style w:type="paragraph" w:customStyle="1" w:styleId="Style65">
    <w:name w:val="Style65"/>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pPr>
      <w:widowControl w:val="0"/>
      <w:tabs>
        <w:tab w:val="left" w:pos="1260"/>
      </w:tabs>
      <w:spacing w:before="252" w:line="240" w:lineRule="auto"/>
      <w:ind w:firstLine="0"/>
    </w:pPr>
    <w:rPr>
      <w:noProof/>
      <w:color w:val="000000"/>
      <w:sz w:val="20"/>
    </w:rPr>
  </w:style>
  <w:style w:type="paragraph" w:customStyle="1" w:styleId="Style66">
    <w:name w:val="Style66"/>
    <w:basedOn w:val="Normal"/>
    <w:next w:val="Normal"/>
    <w:pPr>
      <w:keepNext/>
      <w:spacing w:before="100" w:after="100" w:line="240" w:lineRule="auto"/>
      <w:ind w:firstLine="0"/>
      <w:outlineLvl w:val="1"/>
    </w:pPr>
    <w:rPr>
      <w:b/>
      <w:snapToGrid w:val="0"/>
      <w:kern w:val="36"/>
      <w:sz w:val="48"/>
      <w:lang w:eastAsia="en-US"/>
    </w:rPr>
  </w:style>
  <w:style w:type="paragraph" w:customStyle="1" w:styleId="Style67">
    <w:name w:val="Style67"/>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napToGrid w:val="0"/>
      <w:sz w:val="20"/>
      <w:lang w:eastAsia="en-US"/>
    </w:rPr>
  </w:style>
  <w:style w:type="paragraph" w:styleId="BodyText2">
    <w:name w:val="Body Text 2"/>
    <w:basedOn w:val="Normal"/>
    <w:pPr>
      <w:spacing w:line="240" w:lineRule="auto"/>
      <w:ind w:firstLine="0"/>
    </w:pPr>
  </w:style>
  <w:style w:type="paragraph" w:styleId="BodyText3">
    <w:name w:val="Body Text 3"/>
    <w:basedOn w:val="Normal"/>
    <w:pPr>
      <w:spacing w:line="360" w:lineRule="auto"/>
      <w:ind w:right="-720" w:firstLine="0"/>
    </w:pPr>
    <w:rPr>
      <w:snapToGrid w:val="0"/>
      <w:lang w:eastAsia="en-US"/>
    </w:rPr>
  </w:style>
  <w:style w:type="paragraph" w:customStyle="1" w:styleId="Style68">
    <w:name w:val="Style68"/>
    <w:basedOn w:val="Normal"/>
    <w:pPr>
      <w:spacing w:line="240" w:lineRule="exact"/>
      <w:ind w:firstLine="0"/>
    </w:pPr>
    <w:rPr>
      <w:sz w:val="26"/>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uiPriority w:val="99"/>
    <w:rPr>
      <w:color w:val="0000FF"/>
      <w:u w:val="single"/>
    </w:rPr>
  </w:style>
  <w:style w:type="paragraph" w:customStyle="1" w:styleId="Style69">
    <w:name w:val="Style69"/>
    <w:rPr>
      <w:rFonts w:ascii="Garamond" w:hAnsi="Garamond"/>
      <w:snapToGrid w:val="0"/>
      <w:color w:val="000000"/>
      <w:sz w:val="24"/>
    </w:rPr>
  </w:style>
  <w:style w:type="paragraph" w:customStyle="1" w:styleId="Style70">
    <w:name w:val="Style70"/>
    <w:basedOn w:val="Style69"/>
    <w:next w:val="Style69"/>
    <w:rPr>
      <w:color w:val="auto"/>
    </w:rPr>
  </w:style>
  <w:style w:type="paragraph" w:styleId="BalloonText">
    <w:name w:val="Balloon Text"/>
    <w:basedOn w:val="Normal"/>
    <w:semiHidden/>
    <w:rPr>
      <w:rFonts w:ascii="Tahoma" w:hAnsi="Tahoma" w:cs="TheSerif 3-Light"/>
      <w:sz w:val="16"/>
      <w:szCs w:val="16"/>
    </w:rPr>
  </w:style>
  <w:style w:type="paragraph" w:customStyle="1" w:styleId="Style71">
    <w:name w:val="Style71"/>
    <w:basedOn w:val="Normal"/>
    <w:pPr>
      <w:widowControl w:val="0"/>
      <w:spacing w:line="280" w:lineRule="exact"/>
      <w:ind w:firstLine="540"/>
    </w:pPr>
    <w:rPr>
      <w:rFonts w:ascii="TheSerif 3-Light" w:hAnsi="TheSerif 3-Light"/>
      <w:sz w:val="18"/>
    </w:rPr>
  </w:style>
  <w:style w:type="paragraph" w:styleId="BlockText">
    <w:name w:val="Block Text"/>
    <w:basedOn w:val="Normal"/>
    <w:pPr>
      <w:numPr>
        <w:numId w:val="14"/>
      </w:numPr>
      <w:spacing w:after="120" w:line="240" w:lineRule="auto"/>
      <w:ind w:right="1440"/>
    </w:pPr>
    <w:rPr>
      <w:szCs w:val="24"/>
      <w:lang w:eastAsia="en-US"/>
    </w:rPr>
  </w:style>
  <w:style w:type="character" w:styleId="Strong">
    <w:name w:val="Strong"/>
    <w:basedOn w:val="DefaultParagraphFont"/>
    <w:qFormat/>
    <w:rPr>
      <w:b/>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Caption">
    <w:name w:val="caption"/>
    <w:basedOn w:val="Normal"/>
    <w:next w:val="Normal"/>
    <w:qFormat/>
    <w:pPr>
      <w:spacing w:before="120" w:after="120" w:line="240" w:lineRule="exact"/>
      <w:ind w:firstLine="0"/>
    </w:pPr>
    <w:rPr>
      <w:b/>
      <w:bCs/>
      <w:sz w:val="20"/>
      <w:lang w:eastAsia="en-US"/>
    </w:rPr>
  </w:style>
  <w:style w:type="paragraph" w:customStyle="1" w:styleId="Style72">
    <w:name w:val="Style72"/>
    <w:aliases w:val="Line Space 1.5,Justified"/>
    <w:basedOn w:val="Normal"/>
    <w:pPr>
      <w:spacing w:line="360" w:lineRule="auto"/>
      <w:ind w:firstLine="0"/>
      <w:jc w:val="both"/>
    </w:pPr>
    <w:rPr>
      <w:rFonts w:ascii="Arial" w:hAnsi="Arial" w:cs="Arial"/>
      <w:sz w:val="22"/>
      <w:szCs w:val="24"/>
      <w:lang w:eastAsia="en-US"/>
    </w:rPr>
  </w:style>
  <w:style w:type="character" w:customStyle="1" w:styleId="Style73">
    <w:name w:val="Style73"/>
    <w:basedOn w:val="DefaultParagraphFont"/>
    <w:rPr>
      <w:noProof w:val="0"/>
      <w:sz w:val="24"/>
      <w:lang w:val="en-US" w:eastAsia="zh-CN" w:bidi="ar-SA"/>
    </w:rPr>
  </w:style>
  <w:style w:type="character" w:customStyle="1" w:styleId="Style74">
    <w:name w:val="Style74"/>
    <w:basedOn w:val="Style73"/>
    <w:rPr>
      <w:b/>
      <w:noProof w:val="0"/>
      <w:sz w:val="24"/>
      <w:lang w:val="en-US" w:eastAsia="zh-CN" w:bidi="ar-SA"/>
    </w:rPr>
  </w:style>
  <w:style w:type="character" w:customStyle="1" w:styleId="Style75">
    <w:name w:val="Style75"/>
    <w:basedOn w:val="Style74"/>
    <w:rPr>
      <w:b/>
      <w:noProof w:val="0"/>
      <w:sz w:val="24"/>
      <w:u w:val="single"/>
      <w:lang w:val="en-US" w:eastAsia="zh-CN" w:bidi="ar-SA"/>
    </w:rPr>
  </w:style>
  <w:style w:type="character" w:customStyle="1" w:styleId="Style76">
    <w:name w:val="Style76"/>
    <w:basedOn w:val="Style75"/>
    <w:rPr>
      <w:b/>
      <w:noProof w:val="0"/>
      <w:sz w:val="24"/>
      <w:u w:val="single"/>
      <w:lang w:val="en-US" w:eastAsia="zh-CN" w:bidi="ar-SA"/>
    </w:rPr>
  </w:style>
  <w:style w:type="character" w:styleId="FollowedHyperlink">
    <w:name w:val="FollowedHyperlink"/>
    <w:basedOn w:val="DefaultParagraphFont"/>
    <w:rPr>
      <w:color w:val="800080"/>
      <w:u w:val="single"/>
    </w:rPr>
  </w:style>
  <w:style w:type="paragraph" w:styleId="BodyTextFirstIndent">
    <w:name w:val="Body Text First Indent"/>
    <w:basedOn w:val="BodyText"/>
    <w:pPr>
      <w:spacing w:after="120" w:line="480" w:lineRule="atLeast"/>
      <w:ind w:firstLine="210"/>
      <w:jc w:val="left"/>
    </w:pPr>
    <w:rPr>
      <w:lang w:val="en-US"/>
    </w:rPr>
  </w:style>
  <w:style w:type="paragraph" w:styleId="BodyTextFirstIndent2">
    <w:name w:val="Body Text First Indent 2"/>
    <w:basedOn w:val="BodyTextIndent"/>
    <w:pPr>
      <w:spacing w:after="120" w:line="480" w:lineRule="atLeast"/>
      <w:ind w:left="360" w:firstLine="210"/>
    </w:pPr>
    <w:rPr>
      <w:rFonts w:ascii="Times New Roman" w:hAnsi="Times New Roman"/>
      <w:sz w:val="24"/>
    </w:rPr>
  </w:style>
  <w:style w:type="paragraph" w:styleId="Closing">
    <w:name w:val="Closing"/>
    <w:basedOn w:val="Normal"/>
    <w:pPr>
      <w:ind w:left="4320"/>
    </w:pPr>
  </w:style>
  <w:style w:type="paragraph" w:styleId="CommentSubject">
    <w:name w:val="annotation subject"/>
    <w:basedOn w:val="CommentText"/>
    <w:next w:val="CommentText"/>
    <w:semiHidden/>
    <w:pPr>
      <w:spacing w:before="0" w:line="480" w:lineRule="atLeast"/>
    </w:pPr>
    <w:rPr>
      <w:b/>
      <w:bCs/>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5"/>
      </w:numPr>
    </w:pPr>
  </w:style>
  <w:style w:type="paragraph" w:styleId="ListBullet2">
    <w:name w:val="List Bullet 2"/>
    <w:basedOn w:val="Normal"/>
    <w:autoRedefine/>
    <w:pPr>
      <w:numPr>
        <w:numId w:val="16"/>
      </w:numPr>
    </w:pPr>
  </w:style>
  <w:style w:type="paragraph" w:styleId="ListBullet3">
    <w:name w:val="List Bullet 3"/>
    <w:basedOn w:val="Normal"/>
    <w:autoRedefine/>
    <w:pPr>
      <w:numPr>
        <w:numId w:val="17"/>
      </w:numPr>
    </w:pPr>
  </w:style>
  <w:style w:type="paragraph" w:styleId="ListBullet4">
    <w:name w:val="List Bullet 4"/>
    <w:basedOn w:val="Normal"/>
    <w:autoRedefine/>
    <w:pPr>
      <w:numPr>
        <w:numId w:val="18"/>
      </w:numPr>
    </w:pPr>
  </w:style>
  <w:style w:type="paragraph" w:styleId="ListBullet5">
    <w:name w:val="List Bullet 5"/>
    <w:basedOn w:val="Normal"/>
    <w:autoRedefine/>
    <w:pPr>
      <w:numPr>
        <w:numId w:val="19"/>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20"/>
      </w:numPr>
    </w:pPr>
  </w:style>
  <w:style w:type="paragraph" w:styleId="ListNumber2">
    <w:name w:val="List Number 2"/>
    <w:basedOn w:val="Normal"/>
    <w:pPr>
      <w:numPr>
        <w:numId w:val="21"/>
      </w:numPr>
    </w:pPr>
  </w:style>
  <w:style w:type="paragraph" w:styleId="ListNumber3">
    <w:name w:val="List Number 3"/>
    <w:basedOn w:val="Normal"/>
    <w:pPr>
      <w:numPr>
        <w:numId w:val="22"/>
      </w:numPr>
    </w:pPr>
  </w:style>
  <w:style w:type="paragraph" w:styleId="ListNumber4">
    <w:name w:val="List Number 4"/>
    <w:basedOn w:val="Normal"/>
    <w:pPr>
      <w:numPr>
        <w:numId w:val="23"/>
      </w:numPr>
    </w:pPr>
  </w:style>
  <w:style w:type="paragraph" w:styleId="ListNumber5">
    <w:name w:val="List Number 5"/>
    <w:basedOn w:val="Normal"/>
    <w:pPr>
      <w:numPr>
        <w:numId w:val="24"/>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Pr>
      <w:szCs w:val="24"/>
    </w:r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Figures">
    <w:name w:val="table of figures"/>
    <w:basedOn w:val="Normal"/>
    <w:next w:val="Normal"/>
    <w:semiHidden/>
    <w:pPr>
      <w:ind w:left="480" w:hanging="480"/>
    </w:pPr>
  </w:style>
  <w:style w:type="character" w:styleId="HTMLCode">
    <w:name w:val="HTML Code"/>
    <w:basedOn w:val="DefaultParagraphFont"/>
    <w:rPr>
      <w:rFonts w:ascii="Courier New" w:hAnsi="Courier New" w:cs="Tahoma"/>
      <w:sz w:val="20"/>
      <w:szCs w:val="20"/>
    </w:rPr>
  </w:style>
  <w:style w:type="character" w:customStyle="1" w:styleId="Style77">
    <w:name w:val="Style77"/>
    <w:aliases w:val="h1 Char"/>
    <w:basedOn w:val="Style73"/>
    <w:link w:val="Heading1"/>
    <w:rPr>
      <w:b/>
      <w:noProof w:val="0"/>
      <w:sz w:val="24"/>
      <w:lang w:val="en-US" w:eastAsia="zh-CN" w:bidi="ar-SA"/>
    </w:rPr>
  </w:style>
  <w:style w:type="character" w:customStyle="1" w:styleId="Style78">
    <w:name w:val="Style78"/>
    <w:aliases w:val="h2 Char"/>
    <w:basedOn w:val="Style77"/>
    <w:link w:val="Heading2"/>
    <w:rPr>
      <w:b/>
      <w:noProof w:val="0"/>
      <w:sz w:val="24"/>
      <w:u w:val="single"/>
      <w:lang w:val="en-US" w:eastAsia="zh-CN" w:bidi="ar-SA"/>
    </w:rPr>
  </w:style>
  <w:style w:type="paragraph" w:customStyle="1" w:styleId="Style79">
    <w:name w:val="Style79"/>
    <w:basedOn w:val="Normal"/>
    <w:pPr>
      <w:spacing w:line="240" w:lineRule="auto"/>
      <w:ind w:left="2160" w:hanging="2160"/>
    </w:pPr>
    <w:rPr>
      <w:szCs w:val="24"/>
      <w:lang w:eastAsia="en-US"/>
    </w:rPr>
  </w:style>
  <w:style w:type="table" w:styleId="TableGrid">
    <w:name w:val="Table Grid"/>
    <w:basedOn w:val="TableNormal"/>
    <w:pPr>
      <w:spacing w:line="480" w:lineRule="atLeast"/>
      <w:ind w:firstLine="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0">
    <w:name w:val="Style80"/>
    <w:basedOn w:val="Normal"/>
    <w:next w:val="NormalIndent"/>
    <w:pPr>
      <w:widowControl w:val="0"/>
      <w:spacing w:line="480" w:lineRule="exact"/>
      <w:ind w:left="576" w:hanging="576"/>
    </w:pPr>
    <w:rPr>
      <w:lang w:eastAsia="en-US"/>
    </w:rPr>
  </w:style>
  <w:style w:type="paragraph" w:customStyle="1" w:styleId="Style81">
    <w:name w:val="Style81"/>
    <w:basedOn w:val="Normal"/>
    <w:next w:val="NormalIndent"/>
    <w:pPr>
      <w:widowControl w:val="0"/>
      <w:spacing w:line="480" w:lineRule="exact"/>
      <w:ind w:left="576" w:hanging="576"/>
    </w:pPr>
    <w:rPr>
      <w:lang w:eastAsia="en-US"/>
    </w:rPr>
  </w:style>
  <w:style w:type="paragraph" w:customStyle="1" w:styleId="Style82">
    <w:name w:val="Style82"/>
    <w:basedOn w:val="Normal"/>
    <w:pPr>
      <w:widowControl w:val="0"/>
      <w:spacing w:line="240" w:lineRule="auto"/>
      <w:ind w:left="6048" w:firstLine="0"/>
    </w:pPr>
    <w:rPr>
      <w:lang w:eastAsia="en-US"/>
    </w:rPr>
  </w:style>
  <w:style w:type="paragraph" w:customStyle="1" w:styleId="Style83">
    <w:name w:val="Style83"/>
    <w:basedOn w:val="Style82"/>
  </w:style>
  <w:style w:type="paragraph" w:customStyle="1" w:styleId="Style84">
    <w:name w:val="Style84"/>
    <w:basedOn w:val="Normal"/>
    <w:pPr>
      <w:widowControl w:val="0"/>
      <w:spacing w:line="480" w:lineRule="exact"/>
      <w:ind w:firstLine="0"/>
      <w:jc w:val="center"/>
    </w:pPr>
    <w:rPr>
      <w:u w:val="single"/>
      <w:lang w:eastAsia="en-US"/>
    </w:rPr>
  </w:style>
  <w:style w:type="paragraph" w:customStyle="1" w:styleId="Style85">
    <w:name w:val="Style85"/>
    <w:basedOn w:val="Style84"/>
    <w:pPr>
      <w:tabs>
        <w:tab w:val="left" w:pos="1296"/>
      </w:tabs>
      <w:spacing w:line="280" w:lineRule="exact"/>
    </w:pPr>
    <w:rPr>
      <w:u w:val="none"/>
    </w:rPr>
  </w:style>
  <w:style w:type="paragraph" w:customStyle="1" w:styleId="Style86">
    <w:name w:val="Style86"/>
    <w:basedOn w:val="Normal"/>
    <w:pPr>
      <w:widowControl w:val="0"/>
      <w:spacing w:line="480" w:lineRule="exact"/>
      <w:ind w:left="1152" w:hanging="576"/>
    </w:pPr>
    <w:rPr>
      <w:lang w:eastAsia="en-US"/>
    </w:rPr>
  </w:style>
  <w:style w:type="paragraph" w:customStyle="1" w:styleId="Style87">
    <w:name w:val="Style87"/>
    <w:basedOn w:val="Style86"/>
    <w:pPr>
      <w:ind w:left="1728"/>
    </w:pPr>
  </w:style>
  <w:style w:type="paragraph" w:customStyle="1" w:styleId="Style88">
    <w:name w:val="Style88"/>
    <w:basedOn w:val="Normal"/>
    <w:pPr>
      <w:widowControl w:val="0"/>
      <w:overflowPunct w:val="0"/>
      <w:autoSpaceDE w:val="0"/>
      <w:autoSpaceDN w:val="0"/>
      <w:adjustRightInd w:val="0"/>
      <w:ind w:left="720"/>
      <w:textAlignment w:val="baseline"/>
    </w:pPr>
    <w:rPr>
      <w:rFonts w:ascii="NewCenturySchlbk" w:hAnsi="NewCenturySchlbk"/>
      <w:lang w:eastAsia="en-US"/>
    </w:rPr>
  </w:style>
  <w:style w:type="paragraph" w:customStyle="1" w:styleId="Style89">
    <w:name w:val="Style89"/>
    <w:basedOn w:val="Normal"/>
    <w:pPr>
      <w:widowControl w:val="0"/>
      <w:overflowPunct w:val="0"/>
      <w:autoSpaceDE w:val="0"/>
      <w:autoSpaceDN w:val="0"/>
      <w:adjustRightInd w:val="0"/>
      <w:spacing w:before="240" w:line="240" w:lineRule="auto"/>
      <w:ind w:left="2880" w:right="2880" w:firstLine="0"/>
      <w:textAlignment w:val="baseline"/>
    </w:pPr>
    <w:rPr>
      <w:rFonts w:ascii="NewCenturySchlbk" w:hAnsi="NewCenturySchlbk"/>
      <w:lang w:eastAsia="en-US"/>
    </w:rPr>
  </w:style>
  <w:style w:type="character" w:customStyle="1" w:styleId="Style90">
    <w:name w:val="Style90"/>
    <w:basedOn w:val="DefaultParagraphFont"/>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Style91">
    <w:name w:val="Style91"/>
    <w:basedOn w:val="DefaultParagraphFont"/>
    <w:link w:val="Style43"/>
    <w:rPr>
      <w:sz w:val="24"/>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8118">
      <w:bodyDiv w:val="1"/>
      <w:marLeft w:val="0"/>
      <w:marRight w:val="0"/>
      <w:marTop w:val="0"/>
      <w:marBottom w:val="0"/>
      <w:divBdr>
        <w:top w:val="none" w:sz="0" w:space="0" w:color="auto"/>
        <w:left w:val="none" w:sz="0" w:space="0" w:color="auto"/>
        <w:bottom w:val="none" w:sz="0" w:space="0" w:color="auto"/>
        <w:right w:val="none" w:sz="0" w:space="0" w:color="auto"/>
      </w:divBdr>
    </w:div>
    <w:div w:id="85424003">
      <w:bodyDiv w:val="1"/>
      <w:marLeft w:val="0"/>
      <w:marRight w:val="0"/>
      <w:marTop w:val="0"/>
      <w:marBottom w:val="0"/>
      <w:divBdr>
        <w:top w:val="none" w:sz="0" w:space="0" w:color="auto"/>
        <w:left w:val="none" w:sz="0" w:space="0" w:color="auto"/>
        <w:bottom w:val="none" w:sz="0" w:space="0" w:color="auto"/>
        <w:right w:val="none" w:sz="0" w:space="0" w:color="auto"/>
      </w:divBdr>
    </w:div>
    <w:div w:id="126751440">
      <w:bodyDiv w:val="1"/>
      <w:marLeft w:val="0"/>
      <w:marRight w:val="0"/>
      <w:marTop w:val="0"/>
      <w:marBottom w:val="0"/>
      <w:divBdr>
        <w:top w:val="none" w:sz="0" w:space="0" w:color="auto"/>
        <w:left w:val="none" w:sz="0" w:space="0" w:color="auto"/>
        <w:bottom w:val="none" w:sz="0" w:space="0" w:color="auto"/>
        <w:right w:val="none" w:sz="0" w:space="0" w:color="auto"/>
      </w:divBdr>
    </w:div>
    <w:div w:id="406852336">
      <w:bodyDiv w:val="1"/>
      <w:marLeft w:val="0"/>
      <w:marRight w:val="0"/>
      <w:marTop w:val="0"/>
      <w:marBottom w:val="0"/>
      <w:divBdr>
        <w:top w:val="none" w:sz="0" w:space="0" w:color="auto"/>
        <w:left w:val="none" w:sz="0" w:space="0" w:color="auto"/>
        <w:bottom w:val="none" w:sz="0" w:space="0" w:color="auto"/>
        <w:right w:val="none" w:sz="0" w:space="0" w:color="auto"/>
      </w:divBdr>
    </w:div>
    <w:div w:id="605692700">
      <w:bodyDiv w:val="1"/>
      <w:marLeft w:val="0"/>
      <w:marRight w:val="0"/>
      <w:marTop w:val="0"/>
      <w:marBottom w:val="0"/>
      <w:divBdr>
        <w:top w:val="none" w:sz="0" w:space="0" w:color="auto"/>
        <w:left w:val="none" w:sz="0" w:space="0" w:color="auto"/>
        <w:bottom w:val="none" w:sz="0" w:space="0" w:color="auto"/>
        <w:right w:val="none" w:sz="0" w:space="0" w:color="auto"/>
      </w:divBdr>
    </w:div>
    <w:div w:id="801264456">
      <w:bodyDiv w:val="1"/>
      <w:marLeft w:val="0"/>
      <w:marRight w:val="0"/>
      <w:marTop w:val="0"/>
      <w:marBottom w:val="0"/>
      <w:divBdr>
        <w:top w:val="none" w:sz="0" w:space="0" w:color="auto"/>
        <w:left w:val="none" w:sz="0" w:space="0" w:color="auto"/>
        <w:bottom w:val="none" w:sz="0" w:space="0" w:color="auto"/>
        <w:right w:val="none" w:sz="0" w:space="0" w:color="auto"/>
      </w:divBdr>
    </w:div>
    <w:div w:id="826438696">
      <w:bodyDiv w:val="1"/>
      <w:marLeft w:val="0"/>
      <w:marRight w:val="0"/>
      <w:marTop w:val="0"/>
      <w:marBottom w:val="0"/>
      <w:divBdr>
        <w:top w:val="none" w:sz="0" w:space="0" w:color="auto"/>
        <w:left w:val="none" w:sz="0" w:space="0" w:color="auto"/>
        <w:bottom w:val="none" w:sz="0" w:space="0" w:color="auto"/>
        <w:right w:val="none" w:sz="0" w:space="0" w:color="auto"/>
      </w:divBdr>
    </w:div>
    <w:div w:id="926155321">
      <w:bodyDiv w:val="1"/>
      <w:marLeft w:val="0"/>
      <w:marRight w:val="0"/>
      <w:marTop w:val="0"/>
      <w:marBottom w:val="0"/>
      <w:divBdr>
        <w:top w:val="none" w:sz="0" w:space="0" w:color="auto"/>
        <w:left w:val="none" w:sz="0" w:space="0" w:color="auto"/>
        <w:bottom w:val="none" w:sz="0" w:space="0" w:color="auto"/>
        <w:right w:val="none" w:sz="0" w:space="0" w:color="auto"/>
      </w:divBdr>
    </w:div>
    <w:div w:id="1010258865">
      <w:bodyDiv w:val="1"/>
      <w:marLeft w:val="0"/>
      <w:marRight w:val="0"/>
      <w:marTop w:val="0"/>
      <w:marBottom w:val="0"/>
      <w:divBdr>
        <w:top w:val="none" w:sz="0" w:space="0" w:color="auto"/>
        <w:left w:val="none" w:sz="0" w:space="0" w:color="auto"/>
        <w:bottom w:val="none" w:sz="0" w:space="0" w:color="auto"/>
        <w:right w:val="none" w:sz="0" w:space="0" w:color="auto"/>
      </w:divBdr>
    </w:div>
    <w:div w:id="1084910477">
      <w:bodyDiv w:val="1"/>
      <w:marLeft w:val="0"/>
      <w:marRight w:val="0"/>
      <w:marTop w:val="0"/>
      <w:marBottom w:val="0"/>
      <w:divBdr>
        <w:top w:val="none" w:sz="0" w:space="0" w:color="auto"/>
        <w:left w:val="none" w:sz="0" w:space="0" w:color="auto"/>
        <w:bottom w:val="none" w:sz="0" w:space="0" w:color="auto"/>
        <w:right w:val="none" w:sz="0" w:space="0" w:color="auto"/>
      </w:divBdr>
    </w:div>
    <w:div w:id="1090658877">
      <w:bodyDiv w:val="1"/>
      <w:marLeft w:val="0"/>
      <w:marRight w:val="0"/>
      <w:marTop w:val="0"/>
      <w:marBottom w:val="0"/>
      <w:divBdr>
        <w:top w:val="none" w:sz="0" w:space="0" w:color="auto"/>
        <w:left w:val="none" w:sz="0" w:space="0" w:color="auto"/>
        <w:bottom w:val="none" w:sz="0" w:space="0" w:color="auto"/>
        <w:right w:val="none" w:sz="0" w:space="0" w:color="auto"/>
      </w:divBdr>
    </w:div>
    <w:div w:id="1496874794">
      <w:bodyDiv w:val="1"/>
      <w:marLeft w:val="0"/>
      <w:marRight w:val="0"/>
      <w:marTop w:val="0"/>
      <w:marBottom w:val="0"/>
      <w:divBdr>
        <w:top w:val="none" w:sz="0" w:space="0" w:color="auto"/>
        <w:left w:val="none" w:sz="0" w:space="0" w:color="auto"/>
        <w:bottom w:val="none" w:sz="0" w:space="0" w:color="auto"/>
        <w:right w:val="none" w:sz="0" w:space="0" w:color="auto"/>
      </w:divBdr>
    </w:div>
    <w:div w:id="1566142860">
      <w:bodyDiv w:val="1"/>
      <w:marLeft w:val="0"/>
      <w:marRight w:val="0"/>
      <w:marTop w:val="0"/>
      <w:marBottom w:val="0"/>
      <w:divBdr>
        <w:top w:val="none" w:sz="0" w:space="0" w:color="auto"/>
        <w:left w:val="none" w:sz="0" w:space="0" w:color="auto"/>
        <w:bottom w:val="none" w:sz="0" w:space="0" w:color="auto"/>
        <w:right w:val="none" w:sz="0" w:space="0" w:color="auto"/>
      </w:divBdr>
    </w:div>
    <w:div w:id="1686594495">
      <w:bodyDiv w:val="1"/>
      <w:marLeft w:val="0"/>
      <w:marRight w:val="0"/>
      <w:marTop w:val="0"/>
      <w:marBottom w:val="0"/>
      <w:divBdr>
        <w:top w:val="none" w:sz="0" w:space="0" w:color="auto"/>
        <w:left w:val="none" w:sz="0" w:space="0" w:color="auto"/>
        <w:bottom w:val="none" w:sz="0" w:space="0" w:color="auto"/>
        <w:right w:val="none" w:sz="0" w:space="0" w:color="auto"/>
      </w:divBdr>
    </w:div>
    <w:div w:id="1890022864">
      <w:bodyDiv w:val="1"/>
      <w:marLeft w:val="0"/>
      <w:marRight w:val="0"/>
      <w:marTop w:val="0"/>
      <w:marBottom w:val="0"/>
      <w:divBdr>
        <w:top w:val="none" w:sz="0" w:space="0" w:color="auto"/>
        <w:left w:val="none" w:sz="0" w:space="0" w:color="auto"/>
        <w:bottom w:val="none" w:sz="0" w:space="0" w:color="auto"/>
        <w:right w:val="none" w:sz="0" w:space="0" w:color="auto"/>
      </w:divBdr>
    </w:div>
    <w:div w:id="192868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2011-06-13T07:00:00+00:00</OpenedDate>
    <Date1 xmlns="dc463f71-b30c-4ab2-9473-d307f9d35888">2011-12-07T08:00:00+00:00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111048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4EC8B21DBB10C40AB4409B4BAF96A70" ma:contentTypeVersion="143" ma:contentTypeDescription="" ma:contentTypeScope="" ma:versionID="3c7207432fc916bd95c5b70dd967b10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28866E-E1B9-4579-9589-8A049E6A1A48}"/>
</file>

<file path=customXml/itemProps2.xml><?xml version="1.0" encoding="utf-8"?>
<ds:datastoreItem xmlns:ds="http://schemas.openxmlformats.org/officeDocument/2006/customXml" ds:itemID="{3057A779-4741-490A-8223-2B9F18CC6DD9}"/>
</file>

<file path=customXml/itemProps3.xml><?xml version="1.0" encoding="utf-8"?>
<ds:datastoreItem xmlns:ds="http://schemas.openxmlformats.org/officeDocument/2006/customXml" ds:itemID="{EB586EA5-1F5E-478D-84B7-7A749B8AA957}"/>
</file>

<file path=customXml/itemProps4.xml><?xml version="1.0" encoding="utf-8"?>
<ds:datastoreItem xmlns:ds="http://schemas.openxmlformats.org/officeDocument/2006/customXml" ds:itemID="{318E5347-CC5D-4B46-B95B-E278D4B3B983}"/>
</file>

<file path=docProps/app.xml><?xml version="1.0" encoding="utf-8"?>
<Properties xmlns="http://schemas.openxmlformats.org/officeDocument/2006/extended-properties" xmlns:vt="http://schemas.openxmlformats.org/officeDocument/2006/docPropsVTypes">
  <Template>
  </Template>
  <TotalTime>1</TotalTime>
  <Pages>3</Pages>
  <Words>3929</Words>
  <Characters>20277</Characters>
  <Application>
  </Application>
  <DocSecurity>0</DocSecurity>
  <PresentationFormat>
  </PresentationFormat>
  <Lines>548</Lines>
  <Paragraphs>278</Paragraphs>
  <ScaleCrop>false</ScaleCrop>
  <Manager>
  </Manager>
  <Company>
  </Company>
  <LinksUpToDate>false</LinksUpToDate>
  <CharactersWithSpaces>23928</CharactersWithSpaces>
  <SharedDoc>false</SharedDoc>
  <HyperlinkBase>
  </HyperlinkBase>
  <HLinks>
    <vt:vector size="24" baseType="variant">
      <vt:variant>
        <vt:i4>1769527</vt:i4>
      </vt:variant>
      <vt:variant>
        <vt:i4>20</vt:i4>
      </vt:variant>
      <vt:variant>
        <vt:i4>0</vt:i4>
      </vt:variant>
      <vt:variant>
        <vt:i4>5</vt:i4>
      </vt:variant>
      <vt:variant>
        <vt:lpwstr>
        </vt:lpwstr>
      </vt:variant>
      <vt:variant>
        <vt:lpwstr>_Toc184277515</vt:lpwstr>
      </vt:variant>
      <vt:variant>
        <vt:i4>1769527</vt:i4>
      </vt:variant>
      <vt:variant>
        <vt:i4>14</vt:i4>
      </vt:variant>
      <vt:variant>
        <vt:i4>0</vt:i4>
      </vt:variant>
      <vt:variant>
        <vt:i4>5</vt:i4>
      </vt:variant>
      <vt:variant>
        <vt:lpwstr>
        </vt:lpwstr>
      </vt:variant>
      <vt:variant>
        <vt:lpwstr>_Toc184277514</vt:lpwstr>
      </vt:variant>
      <vt:variant>
        <vt:i4>1769527</vt:i4>
      </vt:variant>
      <vt:variant>
        <vt:i4>8</vt:i4>
      </vt:variant>
      <vt:variant>
        <vt:i4>0</vt:i4>
      </vt:variant>
      <vt:variant>
        <vt:i4>5</vt:i4>
      </vt:variant>
      <vt:variant>
        <vt:lpwstr>
        </vt:lpwstr>
      </vt:variant>
      <vt:variant>
        <vt:lpwstr>_Toc184277513</vt:lpwstr>
      </vt:variant>
      <vt:variant>
        <vt:i4>1769527</vt:i4>
      </vt:variant>
      <vt:variant>
        <vt:i4>2</vt:i4>
      </vt:variant>
      <vt:variant>
        <vt:i4>0</vt:i4>
      </vt:variant>
      <vt:variant>
        <vt:i4>5</vt:i4>
      </vt:variant>
      <vt:variant>
        <vt:lpwstr>
        </vt:lpwstr>
      </vt:variant>
      <vt:variant>
        <vt:lpwstr>_Toc184277512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
  <cp:keywords/>
  <dc:description/>
  <cp:lastModifiedBy/>
  <cp:revision>1</cp:revision>
  <dcterms:created xsi:type="dcterms:W3CDTF">2011-12-07T21:54:32Z</dcterms:created>
  <dcterms:modified xsi:type="dcterms:W3CDTF">2011-12-07T21:54:32Z</dcterms:modified>
  <cp:category/>
  <cp:contentStatus/>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0x0101006E56B4D1795A2E4DB2F0B01679ED314A00C4EC8B21DBB10C40AB4409B4BAF96A70</vt:lpwstr>
  </property>
  <property fmtid="{D5CDD505-2E9C-101B-9397-08002B2CF9AE}" pid="3" name="_docset_NoMedatataSyncRequired">
    <vt:lpwstr>False</vt:lpwstr>
  </property>
</Properties>
</file>