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2A" w:rsidRDefault="0057792A" w:rsidP="0057792A">
      <w:pPr>
        <w:jc w:val="both"/>
      </w:pPr>
      <w:r w:rsidRPr="0057792A">
        <w:rPr>
          <w:noProof/>
        </w:rPr>
        <w:drawing>
          <wp:anchor distT="0" distB="0" distL="114300" distR="114300" simplePos="0" relativeHeight="251659264" behindDoc="0" locked="0" layoutInCell="1" allowOverlap="1">
            <wp:simplePos x="0" y="0"/>
            <wp:positionH relativeFrom="column">
              <wp:posOffset>-895350</wp:posOffset>
            </wp:positionH>
            <wp:positionV relativeFrom="paragraph">
              <wp:posOffset>-1133475</wp:posOffset>
            </wp:positionV>
            <wp:extent cx="77343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57792A" w:rsidRDefault="0057792A" w:rsidP="0057792A">
      <w:pPr>
        <w:jc w:val="both"/>
      </w:pPr>
    </w:p>
    <w:p w:rsidR="0057792A" w:rsidRDefault="0057792A" w:rsidP="0057792A">
      <w:pPr>
        <w:jc w:val="both"/>
      </w:pPr>
    </w:p>
    <w:tbl>
      <w:tblPr>
        <w:tblW w:w="0" w:type="auto"/>
        <w:tblBorders>
          <w:insideH w:val="single" w:sz="4" w:space="0" w:color="auto"/>
        </w:tblBorders>
        <w:tblLayout w:type="fixed"/>
        <w:tblLook w:val="0000"/>
      </w:tblPr>
      <w:tblGrid>
        <w:gridCol w:w="4788"/>
        <w:gridCol w:w="4788"/>
      </w:tblGrid>
      <w:tr w:rsidR="0057792A" w:rsidTr="00D1774B">
        <w:tc>
          <w:tcPr>
            <w:tcW w:w="4788" w:type="dxa"/>
          </w:tcPr>
          <w:p w:rsidR="0057792A" w:rsidRDefault="0057792A" w:rsidP="00D1774B">
            <w:pPr>
              <w:pStyle w:val="Header"/>
              <w:rPr>
                <w:rFonts w:ascii="Arial" w:hAnsi="Arial" w:cs="Arial"/>
                <w:b/>
                <w:bCs/>
                <w:sz w:val="18"/>
                <w:szCs w:val="18"/>
              </w:rPr>
            </w:pPr>
            <w:r>
              <w:rPr>
                <w:rFonts w:ascii="Arial" w:hAnsi="Arial" w:cs="Arial"/>
                <w:b/>
                <w:bCs/>
                <w:sz w:val="18"/>
                <w:szCs w:val="18"/>
              </w:rPr>
              <w:t>Avista Corp.</w:t>
            </w:r>
          </w:p>
          <w:p w:rsidR="0057792A" w:rsidRDefault="0057792A" w:rsidP="00D1774B">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57792A" w:rsidRDefault="0057792A" w:rsidP="00D1774B">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57792A" w:rsidRDefault="0057792A" w:rsidP="00D1774B">
            <w:pPr>
              <w:pStyle w:val="Header"/>
              <w:rPr>
                <w:rFonts w:ascii="Arial" w:hAnsi="Arial" w:cs="Arial"/>
                <w:sz w:val="18"/>
                <w:szCs w:val="18"/>
              </w:rPr>
            </w:pPr>
            <w:r>
              <w:rPr>
                <w:rFonts w:ascii="Arial" w:hAnsi="Arial" w:cs="Arial"/>
                <w:sz w:val="18"/>
                <w:szCs w:val="18"/>
              </w:rPr>
              <w:t>Telephone 509-489-0500</w:t>
            </w:r>
          </w:p>
          <w:p w:rsidR="0057792A" w:rsidRDefault="0057792A" w:rsidP="00D1774B">
            <w:pPr>
              <w:pStyle w:val="Header"/>
              <w:rPr>
                <w:sz w:val="18"/>
                <w:szCs w:val="18"/>
              </w:rPr>
            </w:pPr>
            <w:r>
              <w:rPr>
                <w:rFonts w:ascii="Arial" w:hAnsi="Arial" w:cs="Arial"/>
                <w:sz w:val="18"/>
                <w:szCs w:val="18"/>
              </w:rPr>
              <w:t>Toll Free   800-727-9170</w:t>
            </w:r>
          </w:p>
          <w:p w:rsidR="0057792A" w:rsidRDefault="0057792A" w:rsidP="00D1774B">
            <w:pPr>
              <w:pStyle w:val="Header"/>
              <w:rPr>
                <w:rFonts w:ascii="Arial" w:hAnsi="Arial" w:cs="Arial"/>
                <w:b/>
                <w:bCs/>
                <w:sz w:val="18"/>
                <w:szCs w:val="18"/>
              </w:rPr>
            </w:pPr>
          </w:p>
        </w:tc>
        <w:tc>
          <w:tcPr>
            <w:tcW w:w="4788" w:type="dxa"/>
          </w:tcPr>
          <w:p w:rsidR="0057792A" w:rsidRDefault="0057792A" w:rsidP="00D1774B">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57792A" w:rsidRPr="004572DA" w:rsidRDefault="0057792A" w:rsidP="0057792A">
      <w:pPr>
        <w:jc w:val="both"/>
        <w:rPr>
          <w:b/>
          <w:i/>
        </w:rPr>
      </w:pPr>
      <w:r w:rsidRPr="004572DA">
        <w:rPr>
          <w:b/>
          <w:i/>
        </w:rPr>
        <w:t>VIA – Electronic Mail</w:t>
      </w:r>
    </w:p>
    <w:p w:rsidR="0057792A" w:rsidRDefault="0057792A" w:rsidP="0057792A">
      <w:pPr>
        <w:jc w:val="both"/>
      </w:pPr>
    </w:p>
    <w:p w:rsidR="0057792A" w:rsidRDefault="0057792A" w:rsidP="0057792A">
      <w:pPr>
        <w:jc w:val="both"/>
      </w:pPr>
    </w:p>
    <w:p w:rsidR="0057792A" w:rsidRDefault="000E4758" w:rsidP="0057792A">
      <w:pPr>
        <w:jc w:val="both"/>
      </w:pPr>
      <w:r>
        <w:t>October 12</w:t>
      </w:r>
      <w:r w:rsidR="003348BA">
        <w:t>, 2011</w:t>
      </w:r>
    </w:p>
    <w:p w:rsidR="0057792A" w:rsidRDefault="0057792A" w:rsidP="0057792A">
      <w:pPr>
        <w:jc w:val="both"/>
      </w:pPr>
    </w:p>
    <w:p w:rsidR="0057792A" w:rsidRDefault="0057792A" w:rsidP="0057792A">
      <w:pPr>
        <w:pStyle w:val="BodyTextIndent"/>
        <w:widowControl w:val="0"/>
        <w:tabs>
          <w:tab w:val="clear" w:pos="1440"/>
        </w:tabs>
        <w:ind w:firstLine="0"/>
        <w:jc w:val="left"/>
        <w:outlineLvl w:val="0"/>
      </w:pPr>
      <w:r>
        <w:t>Dave Danner</w:t>
      </w:r>
    </w:p>
    <w:p w:rsidR="0057792A" w:rsidRDefault="0057792A" w:rsidP="0057792A">
      <w:pPr>
        <w:pStyle w:val="BodyTextIndent"/>
        <w:widowControl w:val="0"/>
        <w:tabs>
          <w:tab w:val="clear" w:pos="1440"/>
        </w:tabs>
        <w:ind w:firstLine="0"/>
        <w:jc w:val="left"/>
        <w:outlineLvl w:val="0"/>
      </w:pPr>
      <w:r>
        <w:t>Executive Director and Secretary</w:t>
      </w:r>
    </w:p>
    <w:p w:rsidR="0057792A" w:rsidRDefault="0057792A" w:rsidP="0057792A">
      <w:pPr>
        <w:pStyle w:val="BodyTextIndent"/>
        <w:widowControl w:val="0"/>
        <w:tabs>
          <w:tab w:val="clear" w:pos="1440"/>
        </w:tabs>
        <w:ind w:firstLine="0"/>
        <w:jc w:val="left"/>
        <w:outlineLvl w:val="0"/>
      </w:pPr>
      <w:smartTag w:uri="urn:schemas-microsoft-com:office:smarttags" w:element="State">
        <w:smartTag w:uri="urn:schemas-microsoft-com:office:smarttags" w:element="place">
          <w:r>
            <w:t>Washington</w:t>
          </w:r>
        </w:smartTag>
      </w:smartTag>
      <w:r>
        <w:t xml:space="preserve"> Utilities and Transportation Commission</w:t>
      </w:r>
    </w:p>
    <w:p w:rsidR="0057792A" w:rsidRDefault="0057792A" w:rsidP="0057792A">
      <w:pPr>
        <w:pStyle w:val="BodyTextIndent"/>
        <w:widowControl w:val="0"/>
        <w:tabs>
          <w:tab w:val="clear" w:pos="1440"/>
        </w:tabs>
        <w:ind w:firstLine="0"/>
        <w:jc w:val="left"/>
        <w:outlineLvl w:val="0"/>
      </w:pPr>
      <w:smartTag w:uri="urn:schemas-microsoft-com:office:smarttags" w:element="address">
        <w:smartTag w:uri="urn:schemas-microsoft-com:office:smarttags" w:element="Street">
          <w:r>
            <w:t>PO Box</w:t>
          </w:r>
        </w:smartTag>
        <w:r>
          <w:t xml:space="preserve"> 47250</w:t>
        </w:r>
      </w:smartTag>
    </w:p>
    <w:p w:rsidR="0057792A" w:rsidRDefault="0057792A" w:rsidP="0057792A">
      <w:pPr>
        <w:pStyle w:val="BodyTextIndent"/>
        <w:widowControl w:val="0"/>
        <w:tabs>
          <w:tab w:val="clear" w:pos="1440"/>
        </w:tabs>
        <w:ind w:firstLine="0"/>
        <w:jc w:val="left"/>
        <w:outlineLvl w:val="0"/>
      </w:pPr>
      <w:smartTag w:uri="urn:schemas-microsoft-com:office:smarttags" w:element="Street">
        <w:smartTag w:uri="urn:schemas-microsoft-com:office:smarttags" w:element="address">
          <w:r>
            <w:t>1300 S. Evergreen Park Drive SW</w:t>
          </w:r>
        </w:smartTag>
      </w:smartTag>
    </w:p>
    <w:p w:rsidR="0057792A" w:rsidRDefault="0057792A" w:rsidP="0057792A">
      <w:pPr>
        <w:pStyle w:val="Heading1"/>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57792A" w:rsidRDefault="0057792A" w:rsidP="0057792A">
      <w:pPr>
        <w:jc w:val="both"/>
      </w:pPr>
    </w:p>
    <w:p w:rsidR="0057792A" w:rsidRDefault="0057792A" w:rsidP="0057792A">
      <w:pPr>
        <w:jc w:val="both"/>
      </w:pPr>
      <w:r>
        <w:t>Dear Mr. Danner:</w:t>
      </w:r>
    </w:p>
    <w:p w:rsidR="0057792A" w:rsidRDefault="0057792A" w:rsidP="0057792A">
      <w:pPr>
        <w:jc w:val="both"/>
      </w:pPr>
    </w:p>
    <w:p w:rsidR="0057792A" w:rsidRDefault="0057792A" w:rsidP="0057792A">
      <w:pPr>
        <w:jc w:val="both"/>
      </w:pPr>
      <w:r>
        <w:t>Re: AVU-UE-100176</w:t>
      </w:r>
    </w:p>
    <w:p w:rsidR="0057792A" w:rsidRDefault="0057792A" w:rsidP="0057792A">
      <w:pPr>
        <w:jc w:val="both"/>
      </w:pPr>
    </w:p>
    <w:p w:rsidR="0057792A" w:rsidRDefault="0057792A" w:rsidP="00D1774B">
      <w:pPr>
        <w:pStyle w:val="BodyText2"/>
      </w:pPr>
      <w:r>
        <w:t xml:space="preserve">In compliance with </w:t>
      </w:r>
      <w:r>
        <w:rPr>
          <w:szCs w:val="24"/>
        </w:rPr>
        <w:t>Commission Order No. 01 in the above referenced Docket, Avista Utilities respectfully sub</w:t>
      </w:r>
      <w:r w:rsidR="00F34EC4">
        <w:rPr>
          <w:szCs w:val="24"/>
        </w:rPr>
        <w:t>mits for electronic filing</w:t>
      </w:r>
      <w:r>
        <w:t xml:space="preserve"> </w:t>
      </w:r>
      <w:r w:rsidR="00F34EC4">
        <w:t xml:space="preserve">modifications to the Company’s </w:t>
      </w:r>
      <w:r>
        <w:t>“Annual Report on Conservation Acquisition.”</w:t>
      </w:r>
    </w:p>
    <w:p w:rsidR="0057792A" w:rsidRDefault="0057792A" w:rsidP="00D1774B">
      <w:pPr>
        <w:jc w:val="both"/>
      </w:pPr>
    </w:p>
    <w:p w:rsidR="0057792A" w:rsidRPr="00C1662F" w:rsidRDefault="00D1774B" w:rsidP="00D1774B">
      <w:pPr>
        <w:jc w:val="both"/>
      </w:pPr>
      <w:r>
        <w:t>Specifically</w:t>
      </w:r>
      <w:r w:rsidR="0057792A">
        <w:t xml:space="preserve"> Order No. 01 </w:t>
      </w:r>
      <w:r w:rsidR="0057792A" w:rsidRPr="002120E8">
        <w:t xml:space="preserve">Paragraph 63, section 7(a) </w:t>
      </w:r>
      <w:r w:rsidR="0057792A">
        <w:t>in Docket</w:t>
      </w:r>
      <w:r w:rsidR="0057792A" w:rsidRPr="002120E8">
        <w:t xml:space="preserve"> UE-100176</w:t>
      </w:r>
      <w:r w:rsidR="0057792A">
        <w:t xml:space="preserve"> regarding the following regulatory requirement:</w:t>
      </w:r>
    </w:p>
    <w:p w:rsidR="0057792A" w:rsidRPr="00C1662F" w:rsidRDefault="0057792A" w:rsidP="00D1774B">
      <w:pPr>
        <w:jc w:val="both"/>
      </w:pPr>
    </w:p>
    <w:p w:rsidR="0057792A" w:rsidRPr="00C1662F" w:rsidRDefault="0057792A" w:rsidP="00D1774B">
      <w:pPr>
        <w:ind w:left="360"/>
        <w:jc w:val="both"/>
      </w:pPr>
      <w:r>
        <w:t>“Modifications to the programs must be filed with the Commission as revisions to tariffs or as revisions to Avista’s DSM Business Plan, as appropriate</w:t>
      </w:r>
      <w:r w:rsidR="001D26CD">
        <w:t>.”</w:t>
      </w:r>
      <w:r>
        <w:t xml:space="preserve">  </w:t>
      </w:r>
    </w:p>
    <w:p w:rsidR="0057792A" w:rsidRPr="00C1662F" w:rsidRDefault="0057792A" w:rsidP="00D1774B">
      <w:pPr>
        <w:jc w:val="both"/>
      </w:pPr>
    </w:p>
    <w:p w:rsidR="0057792A" w:rsidRDefault="0057792A" w:rsidP="00D1774B">
      <w:pPr>
        <w:jc w:val="both"/>
        <w:rPr>
          <w:b/>
          <w:u w:val="single"/>
        </w:rPr>
      </w:pPr>
      <w:r>
        <w:t xml:space="preserve">Pursuant to meeting this requirement, Avista is hereby providing an update to the 2011 </w:t>
      </w:r>
      <w:r w:rsidR="00D1774B">
        <w:t>Demand Side Management (</w:t>
      </w:r>
      <w:r>
        <w:t>DSM</w:t>
      </w:r>
      <w:r w:rsidR="00D1774B">
        <w:t>)</w:t>
      </w:r>
      <w:r>
        <w:t xml:space="preserve"> Business Plan in regards to changes in the eligibility of efficiency measures, customer classes or technology applications</w:t>
      </w:r>
      <w:r w:rsidRPr="002120E8">
        <w:t xml:space="preserve"> qualifying for meeting the acquisition target established within </w:t>
      </w:r>
      <w:r>
        <w:t xml:space="preserve">Docket </w:t>
      </w:r>
      <w:r w:rsidRPr="002120E8">
        <w:t xml:space="preserve">UE-100176 as well as changes to incentives, additions or terminations </w:t>
      </w:r>
      <w:proofErr w:type="gramStart"/>
      <w:r w:rsidRPr="002120E8">
        <w:t>of  programs</w:t>
      </w:r>
      <w:proofErr w:type="gramEnd"/>
      <w:r w:rsidRPr="002120E8">
        <w:t xml:space="preserve"> applicable towards the acquisition target.</w:t>
      </w:r>
    </w:p>
    <w:p w:rsidR="0057792A" w:rsidRDefault="0057792A" w:rsidP="00D1774B">
      <w:pPr>
        <w:jc w:val="both"/>
        <w:rPr>
          <w:b/>
          <w:u w:val="single"/>
        </w:rPr>
      </w:pPr>
    </w:p>
    <w:p w:rsidR="00880C2E" w:rsidRPr="002565CB" w:rsidRDefault="00880C2E">
      <w:pPr>
        <w:rPr>
          <w:b/>
          <w:u w:val="single"/>
        </w:rPr>
      </w:pPr>
      <w:r w:rsidRPr="002565CB">
        <w:rPr>
          <w:b/>
          <w:u w:val="single"/>
        </w:rPr>
        <w:t>Background</w:t>
      </w:r>
    </w:p>
    <w:p w:rsidR="00880C2E" w:rsidRDefault="00880C2E"/>
    <w:p w:rsidR="00880C2E" w:rsidRPr="000E4758" w:rsidRDefault="000E4758" w:rsidP="00F5645C">
      <w:pPr>
        <w:jc w:val="both"/>
      </w:pPr>
      <w:r w:rsidRPr="000E4758">
        <w:t xml:space="preserve">Avista Utilities maintains a diverse demand-side management portfolio encouraging customers to adopt cost-effective energy-efficiency measures through incentive-based programs, technical assistance, outreach and education.  Since the market for energy-efficiency is in a state of constant change, there is the on-going need for timely revisions to these programs.  The </w:t>
      </w:r>
      <w:r w:rsidRPr="000E4758">
        <w:lastRenderedPageBreak/>
        <w:t>Company has committed to updating the Commission in regards to changes in the incentives, program eligibility and program launch or termination.</w:t>
      </w:r>
    </w:p>
    <w:p w:rsidR="00880C2E" w:rsidRPr="00C1662F" w:rsidRDefault="00880C2E" w:rsidP="00F5645C">
      <w:pPr>
        <w:jc w:val="both"/>
      </w:pPr>
    </w:p>
    <w:p w:rsidR="00880C2E" w:rsidRPr="00C1662F" w:rsidRDefault="00880C2E" w:rsidP="00F5645C">
      <w:pPr>
        <w:jc w:val="both"/>
      </w:pPr>
    </w:p>
    <w:p w:rsidR="00880C2E" w:rsidRPr="00C1662F" w:rsidRDefault="002120E8" w:rsidP="00F5645C">
      <w:pPr>
        <w:jc w:val="both"/>
        <w:rPr>
          <w:b/>
          <w:u w:val="single"/>
        </w:rPr>
      </w:pPr>
      <w:r w:rsidRPr="002120E8">
        <w:rPr>
          <w:b/>
          <w:u w:val="single"/>
        </w:rPr>
        <w:t>Summary of program modifications</w:t>
      </w:r>
    </w:p>
    <w:p w:rsidR="00880C2E" w:rsidRPr="00C1662F" w:rsidRDefault="00880C2E" w:rsidP="00F5645C">
      <w:pPr>
        <w:jc w:val="both"/>
      </w:pPr>
    </w:p>
    <w:p w:rsidR="000E4758" w:rsidRPr="000E4758" w:rsidRDefault="000E4758" w:rsidP="000E4758">
      <w:r w:rsidRPr="000E4758">
        <w:t>Based upon changes in program strategy and in response to recently completed evaluations</w:t>
      </w:r>
      <w:r>
        <w:t>,</w:t>
      </w:r>
      <w:r w:rsidRPr="000E4758">
        <w:t xml:space="preserve"> the Company has modified the customer direct incentives for two programs and terminated the prescriptive programs for five p</w:t>
      </w:r>
      <w:r>
        <w:t>rograms, as described below:</w:t>
      </w:r>
    </w:p>
    <w:p w:rsidR="000E4758" w:rsidRPr="000E4758" w:rsidRDefault="000E4758" w:rsidP="000E4758"/>
    <w:p w:rsidR="000E4758" w:rsidRPr="000E4758" w:rsidRDefault="000E4758" w:rsidP="000E4758">
      <w:pPr>
        <w:pStyle w:val="ListParagraph"/>
        <w:numPr>
          <w:ilvl w:val="0"/>
          <w:numId w:val="8"/>
        </w:numPr>
        <w:tabs>
          <w:tab w:val="left" w:pos="720"/>
        </w:tabs>
        <w:spacing w:after="0" w:line="240" w:lineRule="auto"/>
        <w:ind w:left="720"/>
        <w:contextualSpacing w:val="0"/>
        <w:rPr>
          <w:rFonts w:ascii="Times New Roman" w:hAnsi="Times New Roman"/>
          <w:sz w:val="24"/>
          <w:szCs w:val="24"/>
        </w:rPr>
      </w:pPr>
      <w:r w:rsidRPr="000E4758">
        <w:rPr>
          <w:rFonts w:ascii="Times New Roman" w:hAnsi="Times New Roman"/>
          <w:sz w:val="24"/>
          <w:szCs w:val="24"/>
        </w:rPr>
        <w:t>Modifications of non-residential incentives</w:t>
      </w:r>
      <w:r>
        <w:rPr>
          <w:rFonts w:ascii="Times New Roman" w:hAnsi="Times New Roman"/>
          <w:sz w:val="24"/>
          <w:szCs w:val="24"/>
        </w:rPr>
        <w:t>.</w:t>
      </w:r>
    </w:p>
    <w:p w:rsidR="000E4758" w:rsidRPr="000E4758" w:rsidRDefault="000E4758" w:rsidP="000E4758">
      <w:pPr>
        <w:pStyle w:val="ListParagraph"/>
        <w:numPr>
          <w:ilvl w:val="1"/>
          <w:numId w:val="8"/>
        </w:numPr>
        <w:tabs>
          <w:tab w:val="left" w:pos="720"/>
        </w:tabs>
        <w:spacing w:after="0" w:line="240" w:lineRule="auto"/>
        <w:ind w:left="1080"/>
        <w:contextualSpacing w:val="0"/>
        <w:rPr>
          <w:rFonts w:ascii="Times New Roman" w:hAnsi="Times New Roman"/>
          <w:sz w:val="24"/>
          <w:szCs w:val="24"/>
        </w:rPr>
      </w:pPr>
      <w:r w:rsidRPr="000E4758">
        <w:rPr>
          <w:rFonts w:ascii="Times New Roman" w:hAnsi="Times New Roman"/>
          <w:sz w:val="24"/>
          <w:szCs w:val="24"/>
        </w:rPr>
        <w:t xml:space="preserve">The customer direct incentive for the installation of high-efficiency natural gas boilers in commercial applications has </w:t>
      </w:r>
      <w:r>
        <w:rPr>
          <w:rFonts w:ascii="Times New Roman" w:hAnsi="Times New Roman"/>
          <w:sz w:val="24"/>
          <w:szCs w:val="24"/>
        </w:rPr>
        <w:t>been modified</w:t>
      </w:r>
      <w:r w:rsidRPr="000E4758">
        <w:rPr>
          <w:rFonts w:ascii="Times New Roman" w:hAnsi="Times New Roman"/>
          <w:sz w:val="24"/>
          <w:szCs w:val="24"/>
        </w:rPr>
        <w:t xml:space="preserve"> as follows:</w:t>
      </w:r>
    </w:p>
    <w:p w:rsidR="000E4758" w:rsidRPr="000E4758" w:rsidRDefault="000E4758" w:rsidP="000E4758">
      <w:pPr>
        <w:tabs>
          <w:tab w:val="left" w:pos="720"/>
        </w:tabs>
        <w:ind w:left="1080" w:hanging="360"/>
      </w:pPr>
    </w:p>
    <w:p w:rsidR="000E4758" w:rsidRPr="000E4758" w:rsidRDefault="000E4758" w:rsidP="000E4758">
      <w:pPr>
        <w:tabs>
          <w:tab w:val="left" w:pos="720"/>
          <w:tab w:val="decimal" w:pos="4680"/>
          <w:tab w:val="decimal" w:pos="6480"/>
        </w:tabs>
        <w:ind w:left="1080" w:hanging="360"/>
      </w:pPr>
      <w:r w:rsidRPr="000E4758">
        <w:tab/>
        <w:t xml:space="preserve">For 85.0% to 89.9% AFUE natural gas boilers </w:t>
      </w:r>
      <w:proofErr w:type="gramStart"/>
      <w:r w:rsidRPr="000E4758">
        <w:t xml:space="preserve">under 300 </w:t>
      </w:r>
      <w:proofErr w:type="spellStart"/>
      <w:r w:rsidRPr="000E4758">
        <w:t>kBtu</w:t>
      </w:r>
      <w:proofErr w:type="spellEnd"/>
      <w:r w:rsidRPr="000E4758">
        <w:t>/hour,</w:t>
      </w:r>
      <w:proofErr w:type="gramEnd"/>
      <w:r w:rsidRPr="000E4758">
        <w:t xml:space="preserve"> the incentive has increased from $1.25 to $6.00 per </w:t>
      </w:r>
      <w:proofErr w:type="spellStart"/>
      <w:r w:rsidRPr="000E4758">
        <w:t>kBtu</w:t>
      </w:r>
      <w:proofErr w:type="spellEnd"/>
      <w:r w:rsidRPr="000E4758">
        <w:t>.</w:t>
      </w:r>
    </w:p>
    <w:p w:rsidR="000E4758" w:rsidRPr="000E4758" w:rsidRDefault="000E4758" w:rsidP="000E4758">
      <w:pPr>
        <w:tabs>
          <w:tab w:val="left" w:pos="720"/>
          <w:tab w:val="decimal" w:pos="4680"/>
          <w:tab w:val="decimal" w:pos="6480"/>
        </w:tabs>
        <w:ind w:left="1080" w:hanging="360"/>
      </w:pPr>
    </w:p>
    <w:p w:rsidR="000E4758" w:rsidRPr="000E4758" w:rsidRDefault="000E4758" w:rsidP="000E4758">
      <w:pPr>
        <w:tabs>
          <w:tab w:val="left" w:pos="720"/>
          <w:tab w:val="decimal" w:pos="4680"/>
          <w:tab w:val="decimal" w:pos="6480"/>
        </w:tabs>
        <w:ind w:left="1080" w:hanging="360"/>
      </w:pPr>
      <w:r w:rsidRPr="000E4758">
        <w:tab/>
        <w:t xml:space="preserve">For 90.0% or higher AFUE natural gas boilers </w:t>
      </w:r>
      <w:proofErr w:type="gramStart"/>
      <w:r w:rsidRPr="000E4758">
        <w:t xml:space="preserve">under 300 </w:t>
      </w:r>
      <w:proofErr w:type="spellStart"/>
      <w:r w:rsidRPr="000E4758">
        <w:t>kBtu</w:t>
      </w:r>
      <w:proofErr w:type="spellEnd"/>
      <w:r w:rsidRPr="000E4758">
        <w:t>/hour,</w:t>
      </w:r>
      <w:proofErr w:type="gramEnd"/>
      <w:r w:rsidRPr="000E4758">
        <w:t xml:space="preserve"> the incentive has increased from $1.75 to $7.25 per </w:t>
      </w:r>
      <w:proofErr w:type="spellStart"/>
      <w:r w:rsidRPr="000E4758">
        <w:t>kBtu</w:t>
      </w:r>
      <w:proofErr w:type="spellEnd"/>
      <w:r w:rsidRPr="000E4758">
        <w:t xml:space="preserve">. </w:t>
      </w:r>
    </w:p>
    <w:p w:rsidR="000E4758" w:rsidRPr="000E4758" w:rsidRDefault="000E4758" w:rsidP="000E4758">
      <w:pPr>
        <w:tabs>
          <w:tab w:val="left" w:pos="720"/>
          <w:tab w:val="decimal" w:pos="4680"/>
          <w:tab w:val="decimal" w:pos="6480"/>
        </w:tabs>
        <w:ind w:left="1080" w:hanging="360"/>
      </w:pPr>
    </w:p>
    <w:p w:rsidR="000E4758" w:rsidRPr="000E4758" w:rsidRDefault="000E4758" w:rsidP="000E4758">
      <w:pPr>
        <w:pStyle w:val="ListParagraph"/>
        <w:numPr>
          <w:ilvl w:val="1"/>
          <w:numId w:val="8"/>
        </w:numPr>
        <w:tabs>
          <w:tab w:val="left" w:pos="720"/>
          <w:tab w:val="decimal" w:pos="4680"/>
          <w:tab w:val="decimal" w:pos="6480"/>
        </w:tabs>
        <w:spacing w:after="0" w:line="240" w:lineRule="auto"/>
        <w:ind w:left="1080"/>
        <w:contextualSpacing w:val="0"/>
        <w:rPr>
          <w:rFonts w:ascii="Times New Roman" w:hAnsi="Times New Roman"/>
          <w:sz w:val="24"/>
          <w:szCs w:val="24"/>
        </w:rPr>
      </w:pPr>
      <w:r w:rsidRPr="000E4758">
        <w:rPr>
          <w:rFonts w:ascii="Times New Roman" w:hAnsi="Times New Roman"/>
          <w:sz w:val="24"/>
          <w:szCs w:val="24"/>
        </w:rPr>
        <w:t>The customer direct incentive for the installation of windows in commercial applications with a U-factor less than or equal to .30 and shading coefficient less than or equal to .35 has changed as follows:</w:t>
      </w:r>
    </w:p>
    <w:p w:rsidR="000E4758" w:rsidRPr="000E4758" w:rsidRDefault="000E4758" w:rsidP="000E4758">
      <w:pPr>
        <w:tabs>
          <w:tab w:val="left" w:pos="720"/>
          <w:tab w:val="decimal" w:pos="4680"/>
          <w:tab w:val="decimal" w:pos="6480"/>
        </w:tabs>
        <w:ind w:left="1080" w:hanging="360"/>
      </w:pPr>
    </w:p>
    <w:p w:rsidR="000E4758" w:rsidRDefault="000E4758" w:rsidP="000E4758">
      <w:pPr>
        <w:tabs>
          <w:tab w:val="left" w:pos="720"/>
          <w:tab w:val="decimal" w:pos="4680"/>
          <w:tab w:val="decimal" w:pos="6480"/>
        </w:tabs>
        <w:ind w:left="1080" w:hanging="360"/>
      </w:pPr>
      <w:r w:rsidRPr="000E4758">
        <w:tab/>
        <w:t>For the installation of windows meeting the eligibility criteria established above in retrofit applications, the incentive has increased from $1.00 to $3.50 per square foot of window area.</w:t>
      </w:r>
    </w:p>
    <w:p w:rsidR="000E4758" w:rsidRPr="000E4758" w:rsidRDefault="000E4758" w:rsidP="000E4758">
      <w:pPr>
        <w:tabs>
          <w:tab w:val="left" w:pos="720"/>
          <w:tab w:val="decimal" w:pos="4680"/>
          <w:tab w:val="decimal" w:pos="6480"/>
        </w:tabs>
        <w:ind w:left="1080" w:hanging="360"/>
      </w:pPr>
    </w:p>
    <w:p w:rsidR="000E4758" w:rsidRPr="000E4758" w:rsidRDefault="000E4758" w:rsidP="000E4758">
      <w:pPr>
        <w:pStyle w:val="ListParagraph"/>
        <w:numPr>
          <w:ilvl w:val="0"/>
          <w:numId w:val="8"/>
        </w:numPr>
        <w:tabs>
          <w:tab w:val="left" w:pos="720"/>
          <w:tab w:val="decimal" w:pos="4680"/>
          <w:tab w:val="decimal" w:pos="6480"/>
        </w:tabs>
        <w:spacing w:after="0" w:line="240" w:lineRule="auto"/>
        <w:ind w:left="720"/>
        <w:contextualSpacing w:val="0"/>
        <w:rPr>
          <w:rFonts w:ascii="Times New Roman" w:hAnsi="Times New Roman"/>
          <w:sz w:val="24"/>
          <w:szCs w:val="24"/>
        </w:rPr>
      </w:pPr>
      <w:r w:rsidRPr="000E4758">
        <w:rPr>
          <w:rFonts w:ascii="Times New Roman" w:hAnsi="Times New Roman"/>
          <w:sz w:val="24"/>
          <w:szCs w:val="24"/>
        </w:rPr>
        <w:t>Prescriptive program terminations</w:t>
      </w:r>
    </w:p>
    <w:p w:rsidR="000E4758" w:rsidRPr="000E4758" w:rsidRDefault="000E4758" w:rsidP="000E4758">
      <w:pPr>
        <w:pStyle w:val="ListParagraph"/>
        <w:numPr>
          <w:ilvl w:val="1"/>
          <w:numId w:val="8"/>
        </w:numPr>
        <w:tabs>
          <w:tab w:val="left" w:pos="72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Prescriptive Refrigerated Warehouse Program</w:t>
      </w:r>
    </w:p>
    <w:p w:rsidR="000E4758" w:rsidRPr="000E4758" w:rsidRDefault="000E4758" w:rsidP="000E4758">
      <w:pPr>
        <w:pStyle w:val="ListParagraph"/>
        <w:numPr>
          <w:ilvl w:val="1"/>
          <w:numId w:val="8"/>
        </w:numPr>
        <w:tabs>
          <w:tab w:val="left" w:pos="72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Prescriptive Demand-Controlled Ventilation Program</w:t>
      </w:r>
    </w:p>
    <w:p w:rsidR="000E4758" w:rsidRPr="000E4758" w:rsidRDefault="000E4758" w:rsidP="000E4758">
      <w:pPr>
        <w:pStyle w:val="ListParagraph"/>
        <w:numPr>
          <w:ilvl w:val="1"/>
          <w:numId w:val="8"/>
        </w:numPr>
        <w:tabs>
          <w:tab w:val="left" w:pos="72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Prescriptive Open Loop Chiller/Cooling Tower Side-Stream Filtration Program</w:t>
      </w:r>
    </w:p>
    <w:p w:rsidR="000E4758" w:rsidRPr="000E4758" w:rsidRDefault="000E4758" w:rsidP="000E4758">
      <w:pPr>
        <w:pStyle w:val="ListParagraph"/>
        <w:numPr>
          <w:ilvl w:val="1"/>
          <w:numId w:val="8"/>
        </w:numPr>
        <w:tabs>
          <w:tab w:val="left" w:pos="72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Prescriptive Steam Trap Replacement or Repair Program</w:t>
      </w:r>
    </w:p>
    <w:p w:rsidR="000E4758" w:rsidRDefault="000E4758" w:rsidP="000E4758">
      <w:pPr>
        <w:pStyle w:val="ListParagraph"/>
        <w:numPr>
          <w:ilvl w:val="1"/>
          <w:numId w:val="8"/>
        </w:numPr>
        <w:tabs>
          <w:tab w:val="left" w:pos="72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Prescriptive Vending Machine Controls</w:t>
      </w:r>
    </w:p>
    <w:p w:rsidR="000E4758" w:rsidRPr="000E4758" w:rsidRDefault="000E4758" w:rsidP="000E4758">
      <w:pPr>
        <w:pStyle w:val="ListParagraph"/>
        <w:tabs>
          <w:tab w:val="left" w:pos="720"/>
          <w:tab w:val="decimal" w:pos="4680"/>
          <w:tab w:val="decimal" w:pos="6480"/>
        </w:tabs>
        <w:spacing w:after="0" w:line="240" w:lineRule="auto"/>
        <w:ind w:left="1170"/>
        <w:contextualSpacing w:val="0"/>
        <w:rPr>
          <w:rFonts w:ascii="Times New Roman" w:hAnsi="Times New Roman"/>
          <w:sz w:val="24"/>
          <w:szCs w:val="24"/>
        </w:rPr>
      </w:pPr>
    </w:p>
    <w:p w:rsidR="000E4758" w:rsidRPr="000E4758" w:rsidRDefault="000E4758" w:rsidP="000E4758">
      <w:pPr>
        <w:pStyle w:val="ListParagraph"/>
        <w:numPr>
          <w:ilvl w:val="0"/>
          <w:numId w:val="8"/>
        </w:numPr>
        <w:tabs>
          <w:tab w:val="left" w:pos="720"/>
          <w:tab w:val="decimal" w:pos="4680"/>
          <w:tab w:val="decimal" w:pos="6480"/>
        </w:tabs>
        <w:spacing w:after="0" w:line="240" w:lineRule="auto"/>
        <w:ind w:left="720"/>
        <w:contextualSpacing w:val="0"/>
        <w:rPr>
          <w:rFonts w:ascii="Times New Roman" w:hAnsi="Times New Roman"/>
          <w:sz w:val="24"/>
          <w:szCs w:val="24"/>
        </w:rPr>
      </w:pPr>
      <w:r w:rsidRPr="000E4758">
        <w:rPr>
          <w:rFonts w:ascii="Times New Roman" w:hAnsi="Times New Roman"/>
          <w:sz w:val="24"/>
          <w:szCs w:val="24"/>
        </w:rPr>
        <w:t>In-Home Energy Audit</w:t>
      </w:r>
    </w:p>
    <w:p w:rsidR="000E4758" w:rsidRPr="000E4758" w:rsidRDefault="000E4758" w:rsidP="000E4758">
      <w:pPr>
        <w:pStyle w:val="ListParagraph"/>
        <w:numPr>
          <w:ilvl w:val="1"/>
          <w:numId w:val="8"/>
        </w:numPr>
        <w:tabs>
          <w:tab w:val="left" w:pos="1170"/>
          <w:tab w:val="decimal" w:pos="4680"/>
          <w:tab w:val="decimal" w:pos="6480"/>
        </w:tabs>
        <w:spacing w:after="0" w:line="240" w:lineRule="auto"/>
        <w:ind w:left="1170"/>
        <w:contextualSpacing w:val="0"/>
        <w:rPr>
          <w:rFonts w:ascii="Times New Roman" w:hAnsi="Times New Roman"/>
          <w:sz w:val="24"/>
          <w:szCs w:val="24"/>
        </w:rPr>
      </w:pPr>
      <w:r w:rsidRPr="000E4758">
        <w:rPr>
          <w:rFonts w:ascii="Times New Roman" w:hAnsi="Times New Roman"/>
          <w:sz w:val="24"/>
          <w:szCs w:val="24"/>
        </w:rPr>
        <w:t xml:space="preserve">The customer cost of the audit has been reduced to as low as $49 within jurisdictions providing co-funding, reduced from $99. </w:t>
      </w:r>
    </w:p>
    <w:p w:rsidR="000E4758" w:rsidRPr="000E4758" w:rsidRDefault="000E4758" w:rsidP="000E4758">
      <w:pPr>
        <w:tabs>
          <w:tab w:val="decimal" w:pos="4680"/>
          <w:tab w:val="decimal" w:pos="6480"/>
        </w:tabs>
        <w:ind w:left="1080"/>
      </w:pPr>
    </w:p>
    <w:p w:rsidR="000E4758" w:rsidRPr="000E4758" w:rsidRDefault="000E4758" w:rsidP="000E4758">
      <w:r w:rsidRPr="000E4758">
        <w:t>For those programs with incentive revisions, the revised incentives became effective on or after September 1</w:t>
      </w:r>
      <w:r w:rsidRPr="000E4758">
        <w:rPr>
          <w:vertAlign w:val="superscript"/>
        </w:rPr>
        <w:t>st</w:t>
      </w:r>
      <w:r w:rsidRPr="000E4758">
        <w:t xml:space="preserve">, 2011.  </w:t>
      </w:r>
    </w:p>
    <w:p w:rsidR="000E4758" w:rsidRPr="000E4758" w:rsidRDefault="000E4758" w:rsidP="000E4758"/>
    <w:p w:rsidR="000E4758" w:rsidRPr="000E4758" w:rsidRDefault="000E4758" w:rsidP="000E4758">
      <w:r w:rsidRPr="000E4758">
        <w:t>Rebate applications for terminated prescriptive programs received on or before December 15</w:t>
      </w:r>
      <w:r w:rsidRPr="000E4758">
        <w:rPr>
          <w:vertAlign w:val="superscript"/>
        </w:rPr>
        <w:t>th</w:t>
      </w:r>
      <w:r w:rsidRPr="000E4758">
        <w:t xml:space="preserve">, 2011 will continue to be processed under the provisions of the prescriptive program.  Individual projects that are no longer eligible for rebate under the terminated prescriptive program will be reviewed for eligibility under the site-specific program.  </w:t>
      </w:r>
    </w:p>
    <w:p w:rsidR="000E4758" w:rsidRPr="000E4758" w:rsidRDefault="000E4758" w:rsidP="000E4758"/>
    <w:p w:rsidR="000E4758" w:rsidRPr="000E4758" w:rsidRDefault="000E4758" w:rsidP="000E4758"/>
    <w:p w:rsidR="000E4758" w:rsidRPr="000E4758" w:rsidRDefault="000E4758" w:rsidP="000E4758">
      <w:pPr>
        <w:tabs>
          <w:tab w:val="decimal" w:pos="4680"/>
          <w:tab w:val="decimal" w:pos="6480"/>
        </w:tabs>
      </w:pPr>
      <w:r w:rsidRPr="000E4758">
        <w:t>These revisions will enhance the ability of t</w:t>
      </w:r>
      <w:r>
        <w:t>he Company to continue to meet the</w:t>
      </w:r>
      <w:r w:rsidRPr="000E4758">
        <w:t xml:space="preserve"> objective of encouraging cost-effective energy-efficiency throughout our service territory.</w:t>
      </w:r>
    </w:p>
    <w:p w:rsidR="00D1774B" w:rsidRDefault="00D1774B" w:rsidP="00D1774B">
      <w:pPr>
        <w:jc w:val="both"/>
      </w:pPr>
    </w:p>
    <w:p w:rsidR="00D1774B" w:rsidRPr="002E4C90" w:rsidRDefault="00D1774B" w:rsidP="00D1774B">
      <w:pPr>
        <w:jc w:val="both"/>
      </w:pPr>
      <w:r w:rsidRPr="002E4C90">
        <w:t xml:space="preserve">Please direct any questions on this matter to </w:t>
      </w:r>
      <w:r>
        <w:t xml:space="preserve">Bruce Folsom, Sr. Manager, </w:t>
      </w:r>
      <w:proofErr w:type="gramStart"/>
      <w:r>
        <w:t>Demand</w:t>
      </w:r>
      <w:proofErr w:type="gramEnd"/>
      <w:r>
        <w:t xml:space="preserve"> Side Management</w:t>
      </w:r>
      <w:r w:rsidRPr="002E4C90">
        <w:t xml:space="preserve"> at (509) 495-</w:t>
      </w:r>
      <w:r>
        <w:t xml:space="preserve">8706 </w:t>
      </w:r>
      <w:r w:rsidRPr="002E4C90">
        <w:t>or myself at (509) 495-</w:t>
      </w:r>
      <w:r>
        <w:t>4975</w:t>
      </w:r>
      <w:r w:rsidRPr="002E4C90">
        <w:t>.</w:t>
      </w:r>
    </w:p>
    <w:p w:rsidR="00D1774B" w:rsidRPr="002E4C90" w:rsidRDefault="00D1774B" w:rsidP="00D1774B">
      <w:pPr>
        <w:jc w:val="both"/>
      </w:pPr>
    </w:p>
    <w:p w:rsidR="00D1774B" w:rsidRPr="002E4C90" w:rsidRDefault="00D1774B" w:rsidP="00D1774B">
      <w:pPr>
        <w:jc w:val="both"/>
      </w:pPr>
      <w:r w:rsidRPr="002E4C90">
        <w:t>Sincerely,</w:t>
      </w:r>
    </w:p>
    <w:p w:rsidR="00D1774B" w:rsidRPr="002E4C90" w:rsidRDefault="00D1774B" w:rsidP="00D1774B">
      <w:pPr>
        <w:jc w:val="both"/>
      </w:pPr>
    </w:p>
    <w:p w:rsidR="00D1774B" w:rsidRPr="00625F42" w:rsidRDefault="00D1774B" w:rsidP="00D1774B">
      <w:pPr>
        <w:jc w:val="both"/>
        <w:rPr>
          <w:rFonts w:ascii="Lucida Handwriting" w:hAnsi="Lucida Handwriting"/>
        </w:rPr>
      </w:pPr>
      <w:r w:rsidRPr="00625F42">
        <w:rPr>
          <w:rFonts w:ascii="Lucida Handwriting" w:hAnsi="Lucida Handwriting"/>
        </w:rPr>
        <w:t>Linda Gervais</w:t>
      </w:r>
    </w:p>
    <w:p w:rsidR="00D1774B" w:rsidRDefault="00D1774B" w:rsidP="00D1774B">
      <w:pPr>
        <w:jc w:val="both"/>
      </w:pPr>
      <w:r w:rsidRPr="002E4C90">
        <w:t>Manager,</w:t>
      </w:r>
      <w:r>
        <w:t xml:space="preserve"> Regulatory </w:t>
      </w:r>
      <w:smartTag w:uri="urn:schemas-microsoft-com:office:smarttags" w:element="place">
        <w:r>
          <w:t>Po</w:t>
        </w:r>
      </w:smartTag>
      <w:r>
        <w:t>licy</w:t>
      </w:r>
    </w:p>
    <w:p w:rsidR="00D1774B" w:rsidRPr="002E4C90" w:rsidRDefault="00D1774B" w:rsidP="00D1774B">
      <w:pPr>
        <w:jc w:val="both"/>
      </w:pPr>
      <w:r>
        <w:t>State and Federal Regulation</w:t>
      </w:r>
    </w:p>
    <w:p w:rsidR="00D1774B" w:rsidRPr="00625F42" w:rsidRDefault="00D1774B" w:rsidP="00D1774B">
      <w:pPr>
        <w:jc w:val="both"/>
      </w:pPr>
      <w:r w:rsidRPr="00625F42">
        <w:t>Avista Utilities</w:t>
      </w:r>
    </w:p>
    <w:p w:rsidR="00D1774B" w:rsidRPr="009F3585" w:rsidRDefault="00D1774B" w:rsidP="00D1774B">
      <w:pPr>
        <w:jc w:val="both"/>
        <w:rPr>
          <w:lang w:val="fr-FR"/>
        </w:rPr>
      </w:pPr>
      <w:r w:rsidRPr="009F3585">
        <w:rPr>
          <w:lang w:val="fr-FR"/>
        </w:rPr>
        <w:t>linda.gervais@avistacorp.com</w:t>
      </w:r>
    </w:p>
    <w:p w:rsidR="00D1774B" w:rsidRDefault="00D1774B" w:rsidP="00D1774B">
      <w:pPr>
        <w:jc w:val="both"/>
        <w:rPr>
          <w:lang w:val="fr-FR"/>
        </w:rPr>
      </w:pPr>
      <w:r>
        <w:rPr>
          <w:lang w:val="fr-FR"/>
        </w:rPr>
        <w:t>509-495-4975</w:t>
      </w:r>
    </w:p>
    <w:p w:rsidR="00D1774B" w:rsidRDefault="00D1774B" w:rsidP="00D1774B">
      <w:pPr>
        <w:jc w:val="both"/>
        <w:rPr>
          <w:lang w:val="fr-FR"/>
        </w:rPr>
      </w:pPr>
    </w:p>
    <w:p w:rsidR="00D1774B" w:rsidRPr="00625F42" w:rsidRDefault="00D1774B" w:rsidP="00D1774B">
      <w:pPr>
        <w:jc w:val="both"/>
        <w:rPr>
          <w:lang w:val="fr-FR"/>
        </w:rPr>
      </w:pPr>
      <w:proofErr w:type="spellStart"/>
      <w:r>
        <w:rPr>
          <w:lang w:val="fr-FR"/>
        </w:rPr>
        <w:t>Attachments</w:t>
      </w:r>
      <w:proofErr w:type="spellEnd"/>
    </w:p>
    <w:p w:rsidR="002120E8" w:rsidRDefault="002120E8" w:rsidP="002120E8">
      <w:pPr>
        <w:ind w:left="360"/>
      </w:pPr>
    </w:p>
    <w:sectPr w:rsidR="002120E8" w:rsidSect="003348B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BA" w:rsidRDefault="003348BA" w:rsidP="003348BA">
      <w:r>
        <w:separator/>
      </w:r>
    </w:p>
  </w:endnote>
  <w:endnote w:type="continuationSeparator" w:id="0">
    <w:p w:rsidR="003348BA" w:rsidRDefault="003348BA" w:rsidP="00334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1079"/>
      <w:docPartObj>
        <w:docPartGallery w:val="Page Numbers (Bottom of Page)"/>
        <w:docPartUnique/>
      </w:docPartObj>
    </w:sdtPr>
    <w:sdtEndPr>
      <w:rPr>
        <w:color w:val="7F7F7F" w:themeColor="background1" w:themeShade="7F"/>
        <w:spacing w:val="60"/>
      </w:rPr>
    </w:sdtEndPr>
    <w:sdtContent>
      <w:p w:rsidR="003348BA" w:rsidRDefault="00103477">
        <w:pPr>
          <w:pStyle w:val="Footer"/>
          <w:pBdr>
            <w:top w:val="single" w:sz="4" w:space="1" w:color="D9D9D9" w:themeColor="background1" w:themeShade="D9"/>
          </w:pBdr>
          <w:jc w:val="right"/>
        </w:pPr>
        <w:fldSimple w:instr=" PAGE   \* MERGEFORMAT ">
          <w:r w:rsidR="00F34EC4">
            <w:rPr>
              <w:noProof/>
            </w:rPr>
            <w:t>3</w:t>
          </w:r>
        </w:fldSimple>
        <w:r w:rsidR="003348BA">
          <w:t xml:space="preserve"> | </w:t>
        </w:r>
        <w:r w:rsidR="003348BA">
          <w:rPr>
            <w:color w:val="7F7F7F" w:themeColor="background1" w:themeShade="7F"/>
            <w:spacing w:val="60"/>
          </w:rPr>
          <w:t>Page</w:t>
        </w:r>
      </w:p>
    </w:sdtContent>
  </w:sdt>
  <w:p w:rsidR="003348BA" w:rsidRDefault="00334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BA" w:rsidRDefault="003348BA" w:rsidP="003348BA">
      <w:r>
        <w:separator/>
      </w:r>
    </w:p>
  </w:footnote>
  <w:footnote w:type="continuationSeparator" w:id="0">
    <w:p w:rsidR="003348BA" w:rsidRDefault="003348BA" w:rsidP="00334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EFF"/>
    <w:multiLevelType w:val="hybridMultilevel"/>
    <w:tmpl w:val="B5F05F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DF3007"/>
    <w:multiLevelType w:val="hybridMultilevel"/>
    <w:tmpl w:val="950A4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093DCC"/>
    <w:multiLevelType w:val="hybridMultilevel"/>
    <w:tmpl w:val="C8169644"/>
    <w:lvl w:ilvl="0" w:tplc="35323966">
      <w:numFmt w:val="bullet"/>
      <w:lvlText w:val=""/>
      <w:lvlJc w:val="left"/>
      <w:pPr>
        <w:ind w:left="720" w:hanging="7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DA551D0"/>
    <w:multiLevelType w:val="hybridMultilevel"/>
    <w:tmpl w:val="A3649CA8"/>
    <w:lvl w:ilvl="0" w:tplc="91A6F1A6">
      <w:start w:val="1"/>
      <w:numFmt w:val="decimal"/>
      <w:lvlText w:val="%1"/>
      <w:lvlJc w:val="left"/>
      <w:pPr>
        <w:tabs>
          <w:tab w:val="num" w:pos="720"/>
        </w:tabs>
        <w:ind w:left="720" w:hanging="720"/>
      </w:pPr>
      <w:rPr>
        <w:rFonts w:ascii="Palatino Linotype" w:hAnsi="Palatino Linotype" w:hint="default"/>
        <w:b w:val="0"/>
        <w:i/>
        <w:sz w:val="20"/>
        <w:szCs w:val="20"/>
      </w:rPr>
    </w:lvl>
    <w:lvl w:ilvl="1" w:tplc="0A6AFE10">
      <w:start w:val="1"/>
      <w:numFmt w:val="lowerLetter"/>
      <w:lvlText w:val="%2."/>
      <w:lvlJc w:val="left"/>
      <w:pPr>
        <w:tabs>
          <w:tab w:val="num" w:pos="2160"/>
        </w:tabs>
        <w:ind w:left="2160" w:hanging="360"/>
      </w:pPr>
    </w:lvl>
    <w:lvl w:ilvl="2" w:tplc="3FAC19E6" w:tentative="1">
      <w:start w:val="1"/>
      <w:numFmt w:val="lowerRoman"/>
      <w:lvlText w:val="%3."/>
      <w:lvlJc w:val="right"/>
      <w:pPr>
        <w:tabs>
          <w:tab w:val="num" w:pos="2880"/>
        </w:tabs>
        <w:ind w:left="2880" w:hanging="180"/>
      </w:pPr>
    </w:lvl>
    <w:lvl w:ilvl="3" w:tplc="FCB67996" w:tentative="1">
      <w:start w:val="1"/>
      <w:numFmt w:val="decimal"/>
      <w:lvlText w:val="%4."/>
      <w:lvlJc w:val="left"/>
      <w:pPr>
        <w:tabs>
          <w:tab w:val="num" w:pos="3600"/>
        </w:tabs>
        <w:ind w:left="3600" w:hanging="360"/>
      </w:pPr>
    </w:lvl>
    <w:lvl w:ilvl="4" w:tplc="E438BDF0" w:tentative="1">
      <w:start w:val="1"/>
      <w:numFmt w:val="lowerLetter"/>
      <w:lvlText w:val="%5."/>
      <w:lvlJc w:val="left"/>
      <w:pPr>
        <w:tabs>
          <w:tab w:val="num" w:pos="4320"/>
        </w:tabs>
        <w:ind w:left="4320" w:hanging="360"/>
      </w:pPr>
    </w:lvl>
    <w:lvl w:ilvl="5" w:tplc="4910663C" w:tentative="1">
      <w:start w:val="1"/>
      <w:numFmt w:val="lowerRoman"/>
      <w:lvlText w:val="%6."/>
      <w:lvlJc w:val="right"/>
      <w:pPr>
        <w:tabs>
          <w:tab w:val="num" w:pos="5040"/>
        </w:tabs>
        <w:ind w:left="5040" w:hanging="180"/>
      </w:pPr>
    </w:lvl>
    <w:lvl w:ilvl="6" w:tplc="64E636E6" w:tentative="1">
      <w:start w:val="1"/>
      <w:numFmt w:val="decimal"/>
      <w:lvlText w:val="%7."/>
      <w:lvlJc w:val="left"/>
      <w:pPr>
        <w:tabs>
          <w:tab w:val="num" w:pos="5760"/>
        </w:tabs>
        <w:ind w:left="5760" w:hanging="360"/>
      </w:pPr>
    </w:lvl>
    <w:lvl w:ilvl="7" w:tplc="81D2E0A2" w:tentative="1">
      <w:start w:val="1"/>
      <w:numFmt w:val="lowerLetter"/>
      <w:lvlText w:val="%8."/>
      <w:lvlJc w:val="left"/>
      <w:pPr>
        <w:tabs>
          <w:tab w:val="num" w:pos="6480"/>
        </w:tabs>
        <w:ind w:left="6480" w:hanging="360"/>
      </w:pPr>
    </w:lvl>
    <w:lvl w:ilvl="8" w:tplc="6C627BF2" w:tentative="1">
      <w:start w:val="1"/>
      <w:numFmt w:val="lowerRoman"/>
      <w:lvlText w:val="%9."/>
      <w:lvlJc w:val="right"/>
      <w:pPr>
        <w:tabs>
          <w:tab w:val="num" w:pos="7200"/>
        </w:tabs>
        <w:ind w:left="7200" w:hanging="180"/>
      </w:pPr>
    </w:lvl>
  </w:abstractNum>
  <w:abstractNum w:abstractNumId="4">
    <w:nsid w:val="60B548A5"/>
    <w:multiLevelType w:val="hybridMultilevel"/>
    <w:tmpl w:val="A9CC7630"/>
    <w:lvl w:ilvl="0" w:tplc="7F8448BC">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221AB"/>
    <w:multiLevelType w:val="hybridMultilevel"/>
    <w:tmpl w:val="9DECF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2B6D18"/>
    <w:multiLevelType w:val="hybridMultilevel"/>
    <w:tmpl w:val="1CE28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E46C9F"/>
    <w:multiLevelType w:val="hybridMultilevel"/>
    <w:tmpl w:val="CB8C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B15E9"/>
    <w:rsid w:val="00017150"/>
    <w:rsid w:val="000E4758"/>
    <w:rsid w:val="00103477"/>
    <w:rsid w:val="001A6BE1"/>
    <w:rsid w:val="001B6F67"/>
    <w:rsid w:val="001D26CD"/>
    <w:rsid w:val="002120E8"/>
    <w:rsid w:val="002565CB"/>
    <w:rsid w:val="00264468"/>
    <w:rsid w:val="003348BA"/>
    <w:rsid w:val="003A46C6"/>
    <w:rsid w:val="003E17DD"/>
    <w:rsid w:val="00405665"/>
    <w:rsid w:val="004274DE"/>
    <w:rsid w:val="004A75DC"/>
    <w:rsid w:val="00507391"/>
    <w:rsid w:val="005304F0"/>
    <w:rsid w:val="00540E25"/>
    <w:rsid w:val="00543C24"/>
    <w:rsid w:val="0057792A"/>
    <w:rsid w:val="005B36D1"/>
    <w:rsid w:val="005D0A88"/>
    <w:rsid w:val="006C0D1B"/>
    <w:rsid w:val="006C1F39"/>
    <w:rsid w:val="006C4D8A"/>
    <w:rsid w:val="0087781E"/>
    <w:rsid w:val="00880C2E"/>
    <w:rsid w:val="00891050"/>
    <w:rsid w:val="00905EB5"/>
    <w:rsid w:val="009535C2"/>
    <w:rsid w:val="00955A09"/>
    <w:rsid w:val="009829AC"/>
    <w:rsid w:val="00A14291"/>
    <w:rsid w:val="00A40FFB"/>
    <w:rsid w:val="00A4317F"/>
    <w:rsid w:val="00AB6DF6"/>
    <w:rsid w:val="00B078A9"/>
    <w:rsid w:val="00B81FF5"/>
    <w:rsid w:val="00C1662F"/>
    <w:rsid w:val="00CF4DFA"/>
    <w:rsid w:val="00D1774B"/>
    <w:rsid w:val="00DB15E9"/>
    <w:rsid w:val="00EC3A97"/>
    <w:rsid w:val="00F34EC4"/>
    <w:rsid w:val="00F5645C"/>
    <w:rsid w:val="00FB3753"/>
    <w:rsid w:val="00FD0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792A"/>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E9"/>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91050"/>
    <w:rPr>
      <w:sz w:val="16"/>
      <w:szCs w:val="16"/>
    </w:rPr>
  </w:style>
  <w:style w:type="paragraph" w:styleId="CommentText">
    <w:name w:val="annotation text"/>
    <w:basedOn w:val="Normal"/>
    <w:link w:val="CommentTextChar"/>
    <w:uiPriority w:val="99"/>
    <w:semiHidden/>
    <w:unhideWhenUsed/>
    <w:rsid w:val="00891050"/>
    <w:rPr>
      <w:sz w:val="20"/>
      <w:szCs w:val="20"/>
    </w:rPr>
  </w:style>
  <w:style w:type="character" w:customStyle="1" w:styleId="CommentTextChar">
    <w:name w:val="Comment Text Char"/>
    <w:basedOn w:val="DefaultParagraphFont"/>
    <w:link w:val="CommentText"/>
    <w:uiPriority w:val="99"/>
    <w:semiHidden/>
    <w:rsid w:val="00891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050"/>
    <w:rPr>
      <w:b/>
      <w:bCs/>
    </w:rPr>
  </w:style>
  <w:style w:type="character" w:customStyle="1" w:styleId="CommentSubjectChar">
    <w:name w:val="Comment Subject Char"/>
    <w:basedOn w:val="CommentTextChar"/>
    <w:link w:val="CommentSubject"/>
    <w:uiPriority w:val="99"/>
    <w:semiHidden/>
    <w:rsid w:val="00891050"/>
    <w:rPr>
      <w:b/>
      <w:bCs/>
    </w:rPr>
  </w:style>
  <w:style w:type="paragraph" w:styleId="BalloonText">
    <w:name w:val="Balloon Text"/>
    <w:basedOn w:val="Normal"/>
    <w:link w:val="BalloonTextChar"/>
    <w:uiPriority w:val="99"/>
    <w:semiHidden/>
    <w:unhideWhenUsed/>
    <w:rsid w:val="00891050"/>
    <w:rPr>
      <w:rFonts w:ascii="Tahoma" w:hAnsi="Tahoma" w:cs="Tahoma"/>
      <w:sz w:val="16"/>
      <w:szCs w:val="16"/>
    </w:rPr>
  </w:style>
  <w:style w:type="character" w:customStyle="1" w:styleId="BalloonTextChar">
    <w:name w:val="Balloon Text Char"/>
    <w:basedOn w:val="DefaultParagraphFont"/>
    <w:link w:val="BalloonText"/>
    <w:uiPriority w:val="99"/>
    <w:semiHidden/>
    <w:rsid w:val="00891050"/>
    <w:rPr>
      <w:rFonts w:ascii="Tahoma" w:eastAsia="Times New Roman" w:hAnsi="Tahoma" w:cs="Tahoma"/>
      <w:sz w:val="16"/>
      <w:szCs w:val="16"/>
    </w:rPr>
  </w:style>
  <w:style w:type="paragraph" w:styleId="Header">
    <w:name w:val="header"/>
    <w:basedOn w:val="Normal"/>
    <w:link w:val="HeaderChar"/>
    <w:rsid w:val="0057792A"/>
    <w:pPr>
      <w:tabs>
        <w:tab w:val="center" w:pos="4320"/>
        <w:tab w:val="right" w:pos="8640"/>
      </w:tabs>
    </w:pPr>
    <w:rPr>
      <w:sz w:val="20"/>
      <w:szCs w:val="20"/>
    </w:rPr>
  </w:style>
  <w:style w:type="character" w:customStyle="1" w:styleId="HeaderChar">
    <w:name w:val="Header Char"/>
    <w:basedOn w:val="DefaultParagraphFont"/>
    <w:link w:val="Header"/>
    <w:rsid w:val="0057792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7792A"/>
    <w:rPr>
      <w:rFonts w:ascii="Times New Roman" w:eastAsia="Times New Roman" w:hAnsi="Times New Roman" w:cs="Times New Roman"/>
      <w:sz w:val="24"/>
      <w:szCs w:val="20"/>
    </w:rPr>
  </w:style>
  <w:style w:type="paragraph" w:styleId="BodyText2">
    <w:name w:val="Body Text 2"/>
    <w:basedOn w:val="Normal"/>
    <w:link w:val="BodyText2Char"/>
    <w:rsid w:val="0057792A"/>
    <w:pPr>
      <w:jc w:val="both"/>
    </w:pPr>
    <w:rPr>
      <w:szCs w:val="20"/>
    </w:rPr>
  </w:style>
  <w:style w:type="character" w:customStyle="1" w:styleId="BodyText2Char">
    <w:name w:val="Body Text 2 Char"/>
    <w:basedOn w:val="DefaultParagraphFont"/>
    <w:link w:val="BodyText2"/>
    <w:rsid w:val="0057792A"/>
    <w:rPr>
      <w:rFonts w:ascii="Times New Roman" w:eastAsia="Times New Roman" w:hAnsi="Times New Roman" w:cs="Times New Roman"/>
      <w:sz w:val="24"/>
      <w:szCs w:val="20"/>
    </w:rPr>
  </w:style>
  <w:style w:type="paragraph" w:styleId="BodyTextIndent">
    <w:name w:val="Body Text Indent"/>
    <w:basedOn w:val="Normal"/>
    <w:link w:val="BodyTextIndentChar"/>
    <w:rsid w:val="0057792A"/>
    <w:pPr>
      <w:tabs>
        <w:tab w:val="left" w:pos="1440"/>
      </w:tabs>
      <w:ind w:firstLine="720"/>
      <w:jc w:val="both"/>
    </w:pPr>
    <w:rPr>
      <w:szCs w:val="20"/>
    </w:rPr>
  </w:style>
  <w:style w:type="character" w:customStyle="1" w:styleId="BodyTextIndentChar">
    <w:name w:val="Body Text Indent Char"/>
    <w:basedOn w:val="DefaultParagraphFont"/>
    <w:link w:val="BodyTextIndent"/>
    <w:rsid w:val="005779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48BA"/>
    <w:pPr>
      <w:tabs>
        <w:tab w:val="center" w:pos="4680"/>
        <w:tab w:val="right" w:pos="9360"/>
      </w:tabs>
    </w:pPr>
  </w:style>
  <w:style w:type="character" w:customStyle="1" w:styleId="FooterChar">
    <w:name w:val="Footer Char"/>
    <w:basedOn w:val="DefaultParagraphFont"/>
    <w:link w:val="Footer"/>
    <w:uiPriority w:val="99"/>
    <w:rsid w:val="003348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2011-10-12T07:00:00+00:00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D0C3E-2630-45BE-8CD2-F355676868E3}"/>
</file>

<file path=customXml/itemProps2.xml><?xml version="1.0" encoding="utf-8"?>
<ds:datastoreItem xmlns:ds="http://schemas.openxmlformats.org/officeDocument/2006/customXml" ds:itemID="{7670C6F4-ACF6-4F5D-9D46-003C959BC0BC}"/>
</file>

<file path=customXml/itemProps3.xml><?xml version="1.0" encoding="utf-8"?>
<ds:datastoreItem xmlns:ds="http://schemas.openxmlformats.org/officeDocument/2006/customXml" ds:itemID="{6B4E267C-1127-4D7B-A043-700CDCE7057F}"/>
</file>

<file path=customXml/itemProps4.xml><?xml version="1.0" encoding="utf-8"?>
<ds:datastoreItem xmlns:ds="http://schemas.openxmlformats.org/officeDocument/2006/customXml" ds:itemID="{EC4B2786-C3E2-460E-AC02-468F06BED088}"/>
</file>

<file path=customXml/itemProps5.xml><?xml version="1.0" encoding="utf-8"?>
<ds:datastoreItem xmlns:ds="http://schemas.openxmlformats.org/officeDocument/2006/customXml" ds:itemID="{5FFB417A-C18F-4109-BAE0-5182DC9D5D9A}"/>
</file>

<file path=docProps/app.xml><?xml version="1.0" encoding="utf-8"?>
<Properties xmlns="http://schemas.openxmlformats.org/officeDocument/2006/extended-properties" xmlns:vt="http://schemas.openxmlformats.org/officeDocument/2006/docPropsVTypes">
  <Template>Normal.dotm</Template>
  <TotalTime>9</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jp4047</dc:creator>
  <cp:keywords/>
  <dc:description/>
  <cp:lastModifiedBy>Linda Gervais</cp:lastModifiedBy>
  <cp:revision>5</cp:revision>
  <cp:lastPrinted>2011-06-03T20:18:00Z</cp:lastPrinted>
  <dcterms:created xsi:type="dcterms:W3CDTF">2011-10-11T21:59:00Z</dcterms:created>
  <dcterms:modified xsi:type="dcterms:W3CDTF">2011-10-12T17:45:00Z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