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FD4" w:rsidRDefault="005B1FD4"/>
    <w:p w:rsidR="005B1FD4" w:rsidRDefault="005B1FD4"/>
    <w:p w:rsidR="005B1FD4" w:rsidRDefault="005B1FD4"/>
    <w:p w:rsidR="005B1FD4" w:rsidRDefault="005B1FD4">
      <w:pPr>
        <w:rPr>
          <w:rFonts w:ascii="Times New Roman" w:hAnsi="Times New Roman" w:cs="Times New Roman"/>
          <w:sz w:val="24"/>
          <w:szCs w:val="24"/>
        </w:rPr>
      </w:pPr>
    </w:p>
    <w:p w:rsidR="00B25946" w:rsidRPr="005B1FD4" w:rsidRDefault="005B1FD4">
      <w:pPr>
        <w:rPr>
          <w:rFonts w:ascii="Times New Roman" w:hAnsi="Times New Roman" w:cs="Times New Roman"/>
          <w:sz w:val="24"/>
          <w:szCs w:val="24"/>
        </w:rPr>
      </w:pPr>
      <w:r w:rsidRPr="005B1FD4">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-409575</wp:posOffset>
            </wp:positionH>
            <wp:positionV relativeFrom="page">
              <wp:posOffset>685800</wp:posOffset>
            </wp:positionV>
            <wp:extent cx="6581775" cy="381000"/>
            <wp:effectExtent l="19050" t="0" r="0" b="0"/>
            <wp:wrapNone/>
            <wp:docPr id="1"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pic:spPr>
                </pic:pic>
              </a:graphicData>
            </a:graphic>
          </wp:anchor>
        </w:drawing>
      </w:r>
      <w:r w:rsidRPr="005B1FD4">
        <w:rPr>
          <w:rFonts w:ascii="Times New Roman" w:hAnsi="Times New Roman" w:cs="Times New Roman"/>
          <w:sz w:val="24"/>
          <w:szCs w:val="24"/>
        </w:rPr>
        <w:t>September 1, 2011</w:t>
      </w:r>
    </w:p>
    <w:p w:rsidR="005B1FD4" w:rsidRPr="005B1FD4" w:rsidRDefault="005B1FD4">
      <w:pPr>
        <w:rPr>
          <w:rFonts w:ascii="Times New Roman" w:hAnsi="Times New Roman" w:cs="Times New Roman"/>
          <w:sz w:val="24"/>
          <w:szCs w:val="24"/>
        </w:rPr>
      </w:pPr>
    </w:p>
    <w:p w:rsidR="005B1FD4" w:rsidRPr="005B1FD4" w:rsidRDefault="005B1FD4" w:rsidP="005B1FD4">
      <w:pPr>
        <w:rPr>
          <w:rFonts w:ascii="Times New Roman" w:hAnsi="Times New Roman" w:cs="Times New Roman"/>
          <w:sz w:val="24"/>
          <w:szCs w:val="24"/>
        </w:rPr>
      </w:pPr>
      <w:r w:rsidRPr="005B1FD4">
        <w:rPr>
          <w:rFonts w:ascii="Times New Roman" w:hAnsi="Times New Roman" w:cs="Times New Roman"/>
          <w:sz w:val="24"/>
          <w:szCs w:val="24"/>
        </w:rPr>
        <w:t>Washington Demand-side Management Advisory Group and other interested parties,</w:t>
      </w:r>
    </w:p>
    <w:p w:rsidR="005B1FD4" w:rsidRPr="005B1FD4" w:rsidRDefault="005B1FD4" w:rsidP="005B1FD4">
      <w:pPr>
        <w:rPr>
          <w:rFonts w:ascii="Times New Roman" w:hAnsi="Times New Roman" w:cs="Times New Roman"/>
          <w:sz w:val="24"/>
          <w:szCs w:val="24"/>
        </w:rPr>
      </w:pPr>
    </w:p>
    <w:p w:rsidR="005B1FD4" w:rsidRPr="005B1FD4" w:rsidRDefault="005B1FD4" w:rsidP="005B1FD4">
      <w:pPr>
        <w:rPr>
          <w:rFonts w:ascii="Times New Roman" w:hAnsi="Times New Roman" w:cs="Times New Roman"/>
          <w:sz w:val="24"/>
          <w:szCs w:val="24"/>
        </w:rPr>
      </w:pPr>
      <w:r w:rsidRPr="005B1FD4">
        <w:rPr>
          <w:rFonts w:ascii="Times New Roman" w:hAnsi="Times New Roman" w:cs="Times New Roman"/>
          <w:sz w:val="24"/>
          <w:szCs w:val="24"/>
        </w:rPr>
        <w:t>In compliance with Washington Utilit</w:t>
      </w:r>
      <w:r w:rsidR="00433894">
        <w:rPr>
          <w:rFonts w:ascii="Times New Roman" w:hAnsi="Times New Roman" w:cs="Times New Roman"/>
          <w:sz w:val="24"/>
          <w:szCs w:val="24"/>
        </w:rPr>
        <w:t>ies</w:t>
      </w:r>
      <w:r w:rsidRPr="005B1FD4">
        <w:rPr>
          <w:rFonts w:ascii="Times New Roman" w:hAnsi="Times New Roman" w:cs="Times New Roman"/>
          <w:sz w:val="24"/>
          <w:szCs w:val="24"/>
        </w:rPr>
        <w:t xml:space="preserve"> and Transportation Commission (“WUTC”) </w:t>
      </w:r>
      <w:r w:rsidR="00433894">
        <w:rPr>
          <w:rFonts w:ascii="Times New Roman" w:hAnsi="Times New Roman" w:cs="Times New Roman"/>
          <w:sz w:val="24"/>
          <w:szCs w:val="24"/>
        </w:rPr>
        <w:t>O</w:t>
      </w:r>
      <w:r w:rsidRPr="005B1FD4">
        <w:rPr>
          <w:rFonts w:ascii="Times New Roman" w:hAnsi="Times New Roman" w:cs="Times New Roman"/>
          <w:sz w:val="24"/>
          <w:szCs w:val="24"/>
        </w:rPr>
        <w:t>rder 02</w:t>
      </w:r>
      <w:r w:rsidR="00433894">
        <w:rPr>
          <w:rFonts w:ascii="Times New Roman" w:hAnsi="Times New Roman" w:cs="Times New Roman"/>
          <w:sz w:val="24"/>
          <w:szCs w:val="24"/>
        </w:rPr>
        <w:t xml:space="preserve"> in Docket UE-100170</w:t>
      </w:r>
      <w:r w:rsidRPr="005B1FD4">
        <w:rPr>
          <w:rFonts w:ascii="Times New Roman" w:hAnsi="Times New Roman" w:cs="Times New Roman"/>
          <w:sz w:val="24"/>
          <w:szCs w:val="24"/>
        </w:rPr>
        <w:t>, PacifiCorp</w:t>
      </w:r>
      <w:r w:rsidR="00DA3B2A">
        <w:rPr>
          <w:rFonts w:ascii="Times New Roman" w:hAnsi="Times New Roman" w:cs="Times New Roman"/>
          <w:sz w:val="24"/>
          <w:szCs w:val="24"/>
        </w:rPr>
        <w:t xml:space="preserve"> (the “Company”)</w:t>
      </w:r>
      <w:r w:rsidRPr="005B1FD4">
        <w:rPr>
          <w:rFonts w:ascii="Times New Roman" w:hAnsi="Times New Roman" w:cs="Times New Roman"/>
          <w:sz w:val="24"/>
          <w:szCs w:val="24"/>
        </w:rPr>
        <w:t xml:space="preserve"> provides herewith its projected cumulative ten-year conservation potential, excluding information related to distribution efficiency initiatives (“DEI”) and production efficiency potential in non-hydro generation facilities, for the period of 2012 through 2021. This projection reflects only conservation resources that are projected by the Company to be cost-effective, reliable and feasible during this period. As allowed by WAC 480-109-010 (1</w:t>
      </w:r>
      <w:proofErr w:type="gramStart"/>
      <w:r w:rsidRPr="005B1FD4">
        <w:rPr>
          <w:rFonts w:ascii="Times New Roman" w:hAnsi="Times New Roman" w:cs="Times New Roman"/>
          <w:sz w:val="24"/>
          <w:szCs w:val="24"/>
        </w:rPr>
        <w:t>)(</w:t>
      </w:r>
      <w:proofErr w:type="gramEnd"/>
      <w:r w:rsidRPr="005B1FD4">
        <w:rPr>
          <w:rFonts w:ascii="Times New Roman" w:hAnsi="Times New Roman" w:cs="Times New Roman"/>
          <w:sz w:val="24"/>
          <w:szCs w:val="24"/>
        </w:rPr>
        <w:t>b)(</w:t>
      </w:r>
      <w:proofErr w:type="spellStart"/>
      <w:r w:rsidRPr="005B1FD4">
        <w:rPr>
          <w:rFonts w:ascii="Times New Roman" w:hAnsi="Times New Roman" w:cs="Times New Roman"/>
          <w:sz w:val="24"/>
          <w:szCs w:val="24"/>
        </w:rPr>
        <w:t>i</w:t>
      </w:r>
      <w:proofErr w:type="spellEnd"/>
      <w:r w:rsidRPr="005B1FD4">
        <w:rPr>
          <w:rFonts w:ascii="Times New Roman" w:hAnsi="Times New Roman" w:cs="Times New Roman"/>
          <w:sz w:val="24"/>
          <w:szCs w:val="24"/>
        </w:rPr>
        <w:t>), the source of this projection is the Company’s 2011 Integrated Resource Plan (filed with the WUTC on March 31, 2011</w:t>
      </w:r>
      <w:r w:rsidR="00DA3B2A">
        <w:rPr>
          <w:rFonts w:ascii="Times New Roman" w:hAnsi="Times New Roman" w:cs="Times New Roman"/>
          <w:sz w:val="24"/>
          <w:szCs w:val="24"/>
        </w:rPr>
        <w:t>,</w:t>
      </w:r>
      <w:r w:rsidRPr="005B1FD4">
        <w:rPr>
          <w:rFonts w:ascii="Times New Roman" w:hAnsi="Times New Roman" w:cs="Times New Roman"/>
          <w:sz w:val="24"/>
          <w:szCs w:val="24"/>
        </w:rPr>
        <w:t xml:space="preserve"> in Docket No. UE-100514), which has been adjusted to address key measure savings differences between the Company’s IRP and evolving Regional Technical Forum (</w:t>
      </w:r>
      <w:r w:rsidR="00DA3B2A">
        <w:rPr>
          <w:rFonts w:ascii="Times New Roman" w:hAnsi="Times New Roman" w:cs="Times New Roman"/>
          <w:sz w:val="24"/>
          <w:szCs w:val="24"/>
        </w:rPr>
        <w:t>“</w:t>
      </w:r>
      <w:r w:rsidRPr="005B1FD4">
        <w:rPr>
          <w:rFonts w:ascii="Times New Roman" w:hAnsi="Times New Roman" w:cs="Times New Roman"/>
          <w:sz w:val="24"/>
          <w:szCs w:val="24"/>
        </w:rPr>
        <w:t>RTF</w:t>
      </w:r>
      <w:r w:rsidR="00DA3B2A">
        <w:rPr>
          <w:rFonts w:ascii="Times New Roman" w:hAnsi="Times New Roman" w:cs="Times New Roman"/>
          <w:sz w:val="24"/>
          <w:szCs w:val="24"/>
        </w:rPr>
        <w:t>”</w:t>
      </w:r>
      <w:r w:rsidRPr="005B1FD4">
        <w:rPr>
          <w:rFonts w:ascii="Times New Roman" w:hAnsi="Times New Roman" w:cs="Times New Roman"/>
          <w:sz w:val="24"/>
          <w:szCs w:val="24"/>
        </w:rPr>
        <w:t>) data and Company evaluation data. The filing to be</w:t>
      </w:r>
      <w:r w:rsidR="00DA3B2A">
        <w:rPr>
          <w:rFonts w:ascii="Times New Roman" w:hAnsi="Times New Roman" w:cs="Times New Roman"/>
          <w:sz w:val="24"/>
          <w:szCs w:val="24"/>
        </w:rPr>
        <w:t xml:space="preserve"> submitted</w:t>
      </w:r>
      <w:r w:rsidRPr="005B1FD4">
        <w:rPr>
          <w:rFonts w:ascii="Times New Roman" w:hAnsi="Times New Roman" w:cs="Times New Roman"/>
          <w:sz w:val="24"/>
          <w:szCs w:val="24"/>
        </w:rPr>
        <w:t xml:space="preserve"> to the WUTC on or before September 15, 2011</w:t>
      </w:r>
      <w:r w:rsidR="00DA3B2A">
        <w:rPr>
          <w:rFonts w:ascii="Times New Roman" w:hAnsi="Times New Roman" w:cs="Times New Roman"/>
          <w:sz w:val="24"/>
          <w:szCs w:val="24"/>
        </w:rPr>
        <w:t>,</w:t>
      </w:r>
      <w:r w:rsidRPr="005B1FD4">
        <w:rPr>
          <w:rFonts w:ascii="Times New Roman" w:hAnsi="Times New Roman" w:cs="Times New Roman"/>
          <w:sz w:val="24"/>
          <w:szCs w:val="24"/>
        </w:rPr>
        <w:t xml:space="preserve"> in compliance with WAC 480-109-010 (3) and Order 02</w:t>
      </w:r>
      <w:r w:rsidR="00DA3B2A">
        <w:rPr>
          <w:rFonts w:ascii="Times New Roman" w:hAnsi="Times New Roman" w:cs="Times New Roman"/>
          <w:sz w:val="24"/>
          <w:szCs w:val="24"/>
        </w:rPr>
        <w:t xml:space="preserve"> in Docket UE-100170</w:t>
      </w:r>
      <w:r w:rsidRPr="005B1FD4">
        <w:rPr>
          <w:rFonts w:ascii="Times New Roman" w:hAnsi="Times New Roman" w:cs="Times New Roman"/>
          <w:sz w:val="24"/>
          <w:szCs w:val="24"/>
        </w:rPr>
        <w:t xml:space="preserve"> will detail the adjustments made to the Company’s IRP to arrive at the 10-year potential</w:t>
      </w:r>
      <w:r w:rsidR="00DA3B2A">
        <w:rPr>
          <w:rFonts w:ascii="Times New Roman" w:hAnsi="Times New Roman" w:cs="Times New Roman"/>
          <w:sz w:val="24"/>
          <w:szCs w:val="24"/>
        </w:rPr>
        <w:t xml:space="preserve"> provided herein.</w:t>
      </w:r>
      <w:r w:rsidRPr="005B1FD4">
        <w:rPr>
          <w:rFonts w:ascii="Times New Roman" w:hAnsi="Times New Roman" w:cs="Times New Roman"/>
          <w:sz w:val="24"/>
          <w:szCs w:val="24"/>
        </w:rPr>
        <w:t xml:space="preserve"> </w:t>
      </w:r>
    </w:p>
    <w:p w:rsidR="005B1FD4" w:rsidRPr="005B1FD4" w:rsidRDefault="005B1FD4" w:rsidP="005B1FD4">
      <w:pPr>
        <w:rPr>
          <w:rFonts w:ascii="Times New Roman" w:hAnsi="Times New Roman" w:cs="Times New Roman"/>
          <w:sz w:val="24"/>
          <w:szCs w:val="24"/>
        </w:rPr>
      </w:pPr>
    </w:p>
    <w:p w:rsidR="005B1FD4" w:rsidRPr="005B1FD4" w:rsidRDefault="005B1FD4" w:rsidP="005B1FD4">
      <w:pPr>
        <w:rPr>
          <w:rFonts w:ascii="Times New Roman" w:hAnsi="Times New Roman" w:cs="Times New Roman"/>
          <w:sz w:val="24"/>
          <w:szCs w:val="24"/>
        </w:rPr>
      </w:pPr>
      <w:r w:rsidRPr="005B1FD4">
        <w:rPr>
          <w:rFonts w:ascii="Times New Roman" w:hAnsi="Times New Roman" w:cs="Times New Roman"/>
          <w:sz w:val="24"/>
          <w:szCs w:val="24"/>
        </w:rPr>
        <w:t>As directed in Order 02, the Company will provide its revised ten-year conservation potential that includes DEI and production efficiency potential in non-hydro generation facilities by January 1, 2012</w:t>
      </w:r>
      <w:r w:rsidR="00DA3B2A">
        <w:rPr>
          <w:rFonts w:ascii="Times New Roman" w:hAnsi="Times New Roman" w:cs="Times New Roman"/>
          <w:sz w:val="24"/>
          <w:szCs w:val="24"/>
        </w:rPr>
        <w:t>,</w:t>
      </w:r>
      <w:r w:rsidRPr="005B1FD4">
        <w:rPr>
          <w:rFonts w:ascii="Times New Roman" w:hAnsi="Times New Roman" w:cs="Times New Roman"/>
          <w:sz w:val="24"/>
          <w:szCs w:val="24"/>
        </w:rPr>
        <w:t xml:space="preserve"> and its revised ten-year conservation plan by January 31, 2012.  </w:t>
      </w:r>
    </w:p>
    <w:p w:rsidR="005B1FD4" w:rsidRPr="005B1FD4" w:rsidRDefault="005B1FD4" w:rsidP="005B1FD4">
      <w:pPr>
        <w:rPr>
          <w:rFonts w:ascii="Times New Roman" w:hAnsi="Times New Roman" w:cs="Times New Roman"/>
          <w:sz w:val="24"/>
          <w:szCs w:val="24"/>
        </w:rPr>
      </w:pPr>
    </w:p>
    <w:p w:rsidR="005B1FD4" w:rsidRPr="005B1FD4" w:rsidRDefault="005B1FD4" w:rsidP="005B1FD4">
      <w:pPr>
        <w:rPr>
          <w:rFonts w:ascii="Times New Roman" w:hAnsi="Times New Roman" w:cs="Times New Roman"/>
          <w:sz w:val="24"/>
          <w:szCs w:val="24"/>
        </w:rPr>
      </w:pPr>
      <w:r w:rsidRPr="005B1FD4">
        <w:rPr>
          <w:rFonts w:ascii="Times New Roman" w:hAnsi="Times New Roman" w:cs="Times New Roman"/>
          <w:sz w:val="24"/>
          <w:szCs w:val="24"/>
        </w:rPr>
        <w:t xml:space="preserve">The table </w:t>
      </w:r>
      <w:r w:rsidR="00DA3B2A">
        <w:rPr>
          <w:rFonts w:ascii="Times New Roman" w:hAnsi="Times New Roman" w:cs="Times New Roman"/>
          <w:sz w:val="24"/>
          <w:szCs w:val="24"/>
        </w:rPr>
        <w:t>below</w:t>
      </w:r>
      <w:r w:rsidRPr="005B1FD4">
        <w:rPr>
          <w:rFonts w:ascii="Times New Roman" w:hAnsi="Times New Roman" w:cs="Times New Roman"/>
          <w:sz w:val="24"/>
          <w:szCs w:val="24"/>
        </w:rPr>
        <w:t xml:space="preserve"> provides PacifiCorp’s cumulative ten-year conservation potential as defined above</w:t>
      </w:r>
      <w:r w:rsidR="00DA3B2A">
        <w:rPr>
          <w:rFonts w:ascii="Times New Roman" w:hAnsi="Times New Roman" w:cs="Times New Roman"/>
          <w:sz w:val="24"/>
          <w:szCs w:val="24"/>
        </w:rPr>
        <w:t>,</w:t>
      </w:r>
      <w:r w:rsidRPr="005B1FD4">
        <w:rPr>
          <w:rFonts w:ascii="Times New Roman" w:hAnsi="Times New Roman" w:cs="Times New Roman"/>
          <w:sz w:val="24"/>
          <w:szCs w:val="24"/>
        </w:rPr>
        <w:t xml:space="preserve"> i.e. excluding DEI and production efficiency potential in non-hydro generation facilities. The table provides the Company’s 2011 IRP conservation resources as the base to which adjustments have been made to arrive at the ten-year potential. Please note that the figures provided in this table are shown on a cumulative basis. PacifiCorp’s ten-year conservation resource potential for the period of 2012 through 2021 is </w:t>
      </w:r>
      <w:r w:rsidRPr="005B1FD4">
        <w:rPr>
          <w:rFonts w:ascii="Times New Roman" w:hAnsi="Times New Roman" w:cs="Times New Roman"/>
          <w:b/>
          <w:bCs/>
          <w:sz w:val="24"/>
          <w:szCs w:val="24"/>
        </w:rPr>
        <w:t>45.6 aMW</w:t>
      </w:r>
      <w:r w:rsidRPr="005B1FD4">
        <w:rPr>
          <w:rFonts w:ascii="Times New Roman" w:hAnsi="Times New Roman" w:cs="Times New Roman"/>
          <w:sz w:val="24"/>
          <w:szCs w:val="24"/>
        </w:rPr>
        <w:t>. In addition, energy efficiency conservation potential provided herein is predicated on the assumption that quantifiable naturally occurring conservation is an eligible resource, in addition to savings from utility programs, for the purposes of meeting a utilit</w:t>
      </w:r>
      <w:r w:rsidR="00DA3B2A">
        <w:rPr>
          <w:rFonts w:ascii="Times New Roman" w:hAnsi="Times New Roman" w:cs="Times New Roman"/>
          <w:sz w:val="24"/>
          <w:szCs w:val="24"/>
        </w:rPr>
        <w:t>y’s</w:t>
      </w:r>
      <w:r w:rsidRPr="005B1FD4">
        <w:rPr>
          <w:rFonts w:ascii="Times New Roman" w:hAnsi="Times New Roman" w:cs="Times New Roman"/>
          <w:sz w:val="24"/>
          <w:szCs w:val="24"/>
        </w:rPr>
        <w:t xml:space="preserve"> biennial target.</w:t>
      </w:r>
    </w:p>
    <w:p w:rsidR="005B1FD4" w:rsidRDefault="005B1FD4" w:rsidP="005B1FD4">
      <w:pPr>
        <w:rPr>
          <w:rFonts w:ascii="Times New Roman" w:hAnsi="Times New Roman" w:cs="Times New Roman"/>
          <w:sz w:val="24"/>
          <w:szCs w:val="24"/>
        </w:rPr>
      </w:pPr>
    </w:p>
    <w:p w:rsidR="005B1FD4" w:rsidRDefault="006F25CE" w:rsidP="006F25CE">
      <w:pPr>
        <w:jc w:val="center"/>
        <w:rPr>
          <w:rFonts w:ascii="Times New Roman" w:hAnsi="Times New Roman" w:cs="Times New Roman"/>
          <w:sz w:val="24"/>
          <w:szCs w:val="24"/>
        </w:rPr>
      </w:pPr>
      <w:r w:rsidRPr="006F25CE">
        <w:rPr>
          <w:noProof/>
          <w:szCs w:val="24"/>
        </w:rPr>
        <w:drawing>
          <wp:inline distT="0" distB="0" distL="0" distR="0">
            <wp:extent cx="5943600" cy="64105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943600" cy="641054"/>
                    </a:xfrm>
                    <a:prstGeom prst="rect">
                      <a:avLst/>
                    </a:prstGeom>
                    <a:noFill/>
                    <a:ln w="9525">
                      <a:noFill/>
                      <a:miter lim="800000"/>
                      <a:headEnd/>
                      <a:tailEnd/>
                    </a:ln>
                  </pic:spPr>
                </pic:pic>
              </a:graphicData>
            </a:graphic>
          </wp:inline>
        </w:drawing>
      </w:r>
    </w:p>
    <w:p w:rsidR="005B1FD4" w:rsidRDefault="005B1FD4" w:rsidP="005B1FD4">
      <w:pPr>
        <w:rPr>
          <w:rFonts w:ascii="Times New Roman" w:hAnsi="Times New Roman" w:cs="Times New Roman"/>
          <w:sz w:val="24"/>
          <w:szCs w:val="24"/>
        </w:rPr>
      </w:pPr>
    </w:p>
    <w:p w:rsidR="005B1FD4" w:rsidRPr="005B1FD4" w:rsidRDefault="005B1FD4">
      <w:pPr>
        <w:rPr>
          <w:rFonts w:ascii="Times New Roman" w:hAnsi="Times New Roman" w:cs="Times New Roman"/>
          <w:sz w:val="24"/>
          <w:szCs w:val="24"/>
        </w:rPr>
      </w:pPr>
      <w:r w:rsidRPr="005B1FD4">
        <w:rPr>
          <w:rFonts w:ascii="Times New Roman" w:hAnsi="Times New Roman" w:cs="Times New Roman"/>
          <w:sz w:val="24"/>
          <w:szCs w:val="24"/>
        </w:rPr>
        <w:t xml:space="preserve">PacifiCorp is appreciative of the input provided by the advisory group and other interested parties during the process of identifying </w:t>
      </w:r>
      <w:r w:rsidR="00DA3B2A">
        <w:rPr>
          <w:rFonts w:ascii="Times New Roman" w:hAnsi="Times New Roman" w:cs="Times New Roman"/>
          <w:sz w:val="24"/>
          <w:szCs w:val="24"/>
        </w:rPr>
        <w:t>the</w:t>
      </w:r>
      <w:r w:rsidRPr="005B1FD4">
        <w:rPr>
          <w:rFonts w:ascii="Times New Roman" w:hAnsi="Times New Roman" w:cs="Times New Roman"/>
          <w:sz w:val="24"/>
          <w:szCs w:val="24"/>
        </w:rPr>
        <w:t xml:space="preserve"> ten-year conservation potential. Please contact Aaron Lively</w:t>
      </w:r>
      <w:r>
        <w:rPr>
          <w:rFonts w:ascii="Times New Roman" w:hAnsi="Times New Roman" w:cs="Times New Roman"/>
          <w:sz w:val="24"/>
          <w:szCs w:val="24"/>
        </w:rPr>
        <w:t>, regulatory manager,</w:t>
      </w:r>
      <w:r w:rsidRPr="005B1FD4">
        <w:rPr>
          <w:rFonts w:ascii="Times New Roman" w:hAnsi="Times New Roman" w:cs="Times New Roman"/>
          <w:sz w:val="24"/>
          <w:szCs w:val="24"/>
        </w:rPr>
        <w:t xml:space="preserve"> at (801) 220-4501</w:t>
      </w:r>
      <w:r>
        <w:rPr>
          <w:rFonts w:ascii="Times New Roman" w:hAnsi="Times New Roman" w:cs="Times New Roman"/>
          <w:sz w:val="24"/>
          <w:szCs w:val="24"/>
        </w:rPr>
        <w:t xml:space="preserve"> </w:t>
      </w:r>
      <w:r w:rsidRPr="005B1FD4">
        <w:rPr>
          <w:rFonts w:ascii="Times New Roman" w:hAnsi="Times New Roman" w:cs="Times New Roman"/>
          <w:sz w:val="24"/>
          <w:szCs w:val="24"/>
        </w:rPr>
        <w:t>should you have any questions.</w:t>
      </w:r>
    </w:p>
    <w:sectPr w:rsidR="005B1FD4" w:rsidRPr="005B1FD4" w:rsidSect="006F25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894" w:rsidRDefault="00433894" w:rsidP="00C364F8">
      <w:r>
        <w:separator/>
      </w:r>
    </w:p>
  </w:endnote>
  <w:endnote w:type="continuationSeparator" w:id="0">
    <w:p w:rsidR="00433894" w:rsidRDefault="00433894" w:rsidP="00C364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94" w:rsidRDefault="004338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94" w:rsidRDefault="004338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94" w:rsidRDefault="004338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894" w:rsidRDefault="00433894" w:rsidP="00C364F8">
      <w:r>
        <w:separator/>
      </w:r>
    </w:p>
  </w:footnote>
  <w:footnote w:type="continuationSeparator" w:id="0">
    <w:p w:rsidR="00433894" w:rsidRDefault="00433894" w:rsidP="00C36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94" w:rsidRDefault="004338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94" w:rsidRDefault="004338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94" w:rsidRDefault="004338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5B1FD4"/>
    <w:rsid w:val="000F297D"/>
    <w:rsid w:val="00433894"/>
    <w:rsid w:val="005B1FD4"/>
    <w:rsid w:val="005D2951"/>
    <w:rsid w:val="006F25CE"/>
    <w:rsid w:val="0075475A"/>
    <w:rsid w:val="00B25946"/>
    <w:rsid w:val="00C364F8"/>
    <w:rsid w:val="00DA3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5CE"/>
    <w:rPr>
      <w:rFonts w:ascii="Tahoma" w:hAnsi="Tahoma" w:cs="Tahoma"/>
      <w:sz w:val="16"/>
      <w:szCs w:val="16"/>
    </w:rPr>
  </w:style>
  <w:style w:type="character" w:customStyle="1" w:styleId="BalloonTextChar">
    <w:name w:val="Balloon Text Char"/>
    <w:basedOn w:val="DefaultParagraphFont"/>
    <w:link w:val="BalloonText"/>
    <w:uiPriority w:val="99"/>
    <w:semiHidden/>
    <w:rsid w:val="006F25CE"/>
    <w:rPr>
      <w:rFonts w:ascii="Tahoma" w:hAnsi="Tahoma" w:cs="Tahoma"/>
      <w:sz w:val="16"/>
      <w:szCs w:val="16"/>
    </w:rPr>
  </w:style>
  <w:style w:type="paragraph" w:styleId="Header">
    <w:name w:val="header"/>
    <w:basedOn w:val="Normal"/>
    <w:link w:val="HeaderChar"/>
    <w:uiPriority w:val="99"/>
    <w:semiHidden/>
    <w:unhideWhenUsed/>
    <w:rsid w:val="00C364F8"/>
    <w:pPr>
      <w:tabs>
        <w:tab w:val="center" w:pos="4680"/>
        <w:tab w:val="right" w:pos="9360"/>
      </w:tabs>
    </w:pPr>
  </w:style>
  <w:style w:type="character" w:customStyle="1" w:styleId="HeaderChar">
    <w:name w:val="Header Char"/>
    <w:basedOn w:val="DefaultParagraphFont"/>
    <w:link w:val="Header"/>
    <w:uiPriority w:val="99"/>
    <w:semiHidden/>
    <w:rsid w:val="00C364F8"/>
  </w:style>
  <w:style w:type="paragraph" w:styleId="Footer">
    <w:name w:val="footer"/>
    <w:basedOn w:val="Normal"/>
    <w:link w:val="FooterChar"/>
    <w:uiPriority w:val="99"/>
    <w:semiHidden/>
    <w:unhideWhenUsed/>
    <w:rsid w:val="00C364F8"/>
    <w:pPr>
      <w:tabs>
        <w:tab w:val="center" w:pos="4680"/>
        <w:tab w:val="right" w:pos="9360"/>
      </w:tabs>
    </w:pPr>
  </w:style>
  <w:style w:type="character" w:customStyle="1" w:styleId="FooterChar">
    <w:name w:val="Footer Char"/>
    <w:basedOn w:val="DefaultParagraphFont"/>
    <w:link w:val="Footer"/>
    <w:uiPriority w:val="99"/>
    <w:semiHidden/>
    <w:rsid w:val="00C364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2011-09-01T07:00:00+00:00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BE089650263A4BBB0BF02FB6333EAD" ma:contentTypeVersion="131" ma:contentTypeDescription="" ma:contentTypeScope="" ma:versionID="f8b6365998eca13bd4bdc0a7e77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004DA74-072D-4256-B4D1-1E4DBC28E1AD}"/>
</file>

<file path=customXml/itemProps2.xml><?xml version="1.0" encoding="utf-8"?>
<ds:datastoreItem xmlns:ds="http://schemas.openxmlformats.org/officeDocument/2006/customXml" ds:itemID="{E61B4EA1-2EC6-4FD8-A701-44E3E6CC0831}"/>
</file>

<file path=customXml/itemProps3.xml><?xml version="1.0" encoding="utf-8"?>
<ds:datastoreItem xmlns:ds="http://schemas.openxmlformats.org/officeDocument/2006/customXml" ds:itemID="{0492C971-8AA9-4CC7-A79A-9797E87BD961}"/>
</file>

<file path=customXml/itemProps4.xml><?xml version="1.0" encoding="utf-8"?>
<ds:datastoreItem xmlns:ds="http://schemas.openxmlformats.org/officeDocument/2006/customXml" ds:itemID="{E70EF425-F41E-49D5-8D98-F456BE4AA831}"/>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2011-09-01T22:08:00Z</dcterms:created>
  <dcterms:modified xsi:type="dcterms:W3CDTF">2011-09-01T22:32:00Z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0x0101006E56B4D1795A2E4DB2F0B01679ED314A004EBE089650263A4BBB0BF02FB6333EAD</vt:lpwstr>
  </property>
  <property fmtid="{D5CDD505-2E9C-101B-9397-08002B2CF9AE}" pid="3" name="_docset_NoMedatataSyncRequired">
    <vt:lpwstr>False</vt:lpwstr>
  </property>
</Properties>
</file>