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8D" w:rsidRPr="009075DC" w:rsidRDefault="00F8418D" w:rsidP="00734EBA">
      <w:pPr>
        <w:pStyle w:val="single"/>
        <w:ind w:left="4320" w:firstLine="0"/>
        <w:rPr>
          <w:rStyle w:val="Strong"/>
        </w:rPr>
      </w:pPr>
      <w:proofErr w:type="spellStart"/>
      <w:r w:rsidRPr="009075DC">
        <w:rPr>
          <w:rStyle w:val="Strong"/>
        </w:rPr>
        <w:t>EXH</w:t>
      </w:r>
      <w:proofErr w:type="spellEnd"/>
      <w:r w:rsidR="004F1C95">
        <w:rPr>
          <w:rStyle w:val="Strong"/>
        </w:rPr>
        <w:t>. </w:t>
      </w:r>
      <w:r w:rsidR="009E40D0">
        <w:rPr>
          <w:rStyle w:val="Strong"/>
        </w:rPr>
        <w:t xml:space="preserve"> </w:t>
      </w:r>
      <w:r w:rsidR="004F1C95">
        <w:rPr>
          <w:rStyle w:val="Strong"/>
        </w:rPr>
        <w:t>JAP-</w:t>
      </w:r>
      <w:r w:rsidR="00F5016E">
        <w:rPr>
          <w:rStyle w:val="Strong"/>
        </w:rPr>
        <w:t>34</w:t>
      </w:r>
      <w:r w:rsidR="004F1C95">
        <w:rPr>
          <w:rStyle w:val="Strong"/>
        </w:rPr>
        <w:t>T</w:t>
      </w:r>
      <w:r w:rsidR="004F1C95">
        <w:rPr>
          <w:rStyle w:val="Strong"/>
        </w:rPr>
        <w:br/>
        <w:t xml:space="preserve">DOCKETS </w:t>
      </w:r>
      <w:r w:rsidRPr="009075DC">
        <w:rPr>
          <w:rStyle w:val="Strong"/>
        </w:rPr>
        <w:t>UE-1</w:t>
      </w:r>
      <w:r w:rsidR="00B01500">
        <w:rPr>
          <w:rStyle w:val="Strong"/>
        </w:rPr>
        <w:t>7</w:t>
      </w:r>
      <w:r w:rsidR="00F5016E">
        <w:rPr>
          <w:rStyle w:val="Strong"/>
        </w:rPr>
        <w:t>0033</w:t>
      </w:r>
      <w:r w:rsidRPr="009075DC">
        <w:rPr>
          <w:rStyle w:val="Strong"/>
        </w:rPr>
        <w:t>/UG-1</w:t>
      </w:r>
      <w:r w:rsidR="00B01500">
        <w:rPr>
          <w:rStyle w:val="Strong"/>
        </w:rPr>
        <w:t>7</w:t>
      </w:r>
      <w:r w:rsidR="00F5016E">
        <w:rPr>
          <w:rStyle w:val="Strong"/>
        </w:rPr>
        <w:t>0034</w:t>
      </w:r>
      <w:r w:rsidRPr="009075DC">
        <w:rPr>
          <w:rStyle w:val="Strong"/>
        </w:rPr>
        <w:br/>
        <w:t>201</w:t>
      </w:r>
      <w:r w:rsidR="00B01500">
        <w:rPr>
          <w:rStyle w:val="Strong"/>
        </w:rPr>
        <w:t>7</w:t>
      </w:r>
      <w:r w:rsidRPr="009075DC">
        <w:rPr>
          <w:rStyle w:val="Strong"/>
        </w:rPr>
        <w:t xml:space="preserve"> PSE GENERAL RATE CASE</w:t>
      </w:r>
      <w:r w:rsidRPr="009075DC">
        <w:rPr>
          <w:rStyle w:val="Strong"/>
        </w:rPr>
        <w:br/>
        <w:t>WITNESS:  </w:t>
      </w:r>
      <w:r w:rsidRPr="009075DC">
        <w:rPr>
          <w:b/>
        </w:rPr>
        <w:t>JON A. PILIARIS</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r w:rsidRPr="009075DC">
        <w:rPr>
          <w:b/>
        </w:rPr>
        <w:t>BEFORE THE</w:t>
      </w:r>
    </w:p>
    <w:p w:rsidR="00F8418D" w:rsidRPr="009075DC" w:rsidRDefault="00F8418D" w:rsidP="00734EBA">
      <w:pPr>
        <w:pStyle w:val="center"/>
        <w:keepLines w:val="0"/>
        <w:spacing w:before="0" w:line="240" w:lineRule="auto"/>
        <w:rPr>
          <w:b/>
        </w:rPr>
      </w:pPr>
      <w:r w:rsidRPr="009075DC">
        <w:rPr>
          <w:b/>
        </w:rPr>
        <w:t>WASHINGTON UTILITIES AND TRANSPORTATION COMMISSION</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tabs>
          <w:tab w:val="left" w:pos="5040"/>
        </w:tabs>
        <w:spacing w:before="0" w:line="240" w:lineRule="auto"/>
        <w:rPr>
          <w:b/>
        </w:rPr>
      </w:pP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F8418D" w:rsidRPr="009075DC" w:rsidTr="00760094">
        <w:trPr>
          <w:cantSplit/>
        </w:trPr>
        <w:tc>
          <w:tcPr>
            <w:tcW w:w="4418" w:type="dxa"/>
            <w:tcBorders>
              <w:bottom w:val="single" w:sz="4" w:space="0" w:color="auto"/>
              <w:right w:val="single" w:sz="4" w:space="0" w:color="auto"/>
            </w:tcBorders>
          </w:tcPr>
          <w:p w:rsidR="00F8418D" w:rsidRPr="009075DC" w:rsidRDefault="00F8418D" w:rsidP="00734EBA">
            <w:pPr>
              <w:pStyle w:val="SingleSpacing"/>
              <w:rPr>
                <w:b/>
                <w:sz w:val="24"/>
              </w:rPr>
            </w:pPr>
            <w:r w:rsidRPr="009075DC">
              <w:rPr>
                <w:b/>
                <w:sz w:val="24"/>
              </w:rPr>
              <w:t>WASHINGTON UTILITIES AND</w:t>
            </w:r>
          </w:p>
          <w:p w:rsidR="00F8418D" w:rsidRPr="009075DC" w:rsidRDefault="00F8418D" w:rsidP="00734EBA">
            <w:pPr>
              <w:pStyle w:val="SingleSpacing"/>
              <w:rPr>
                <w:b/>
                <w:sz w:val="24"/>
              </w:rPr>
            </w:pPr>
            <w:r w:rsidRPr="009075DC">
              <w:rPr>
                <w:b/>
                <w:sz w:val="24"/>
              </w:rPr>
              <w:t>TRANSPORTATION COMMISSION,</w:t>
            </w:r>
          </w:p>
          <w:p w:rsidR="00F8418D" w:rsidRPr="009075DC" w:rsidRDefault="00F8418D" w:rsidP="00734EBA">
            <w:pPr>
              <w:pStyle w:val="SingleSpacing"/>
              <w:rPr>
                <w:b/>
                <w:sz w:val="24"/>
              </w:rPr>
            </w:pPr>
          </w:p>
          <w:p w:rsidR="00F8418D" w:rsidRPr="009075DC" w:rsidRDefault="00F8418D" w:rsidP="00734EBA">
            <w:pPr>
              <w:pStyle w:val="SingleSpacing"/>
              <w:tabs>
                <w:tab w:val="left" w:pos="2168"/>
                <w:tab w:val="left" w:pos="4550"/>
              </w:tabs>
              <w:ind w:right="360"/>
              <w:jc w:val="right"/>
              <w:rPr>
                <w:b/>
                <w:sz w:val="24"/>
              </w:rPr>
            </w:pPr>
            <w:r w:rsidRPr="009075DC">
              <w:rPr>
                <w:b/>
                <w:sz w:val="24"/>
              </w:rPr>
              <w:t>Complainant,</w:t>
            </w:r>
          </w:p>
          <w:p w:rsidR="00F8418D" w:rsidRPr="009075DC" w:rsidRDefault="00F8418D" w:rsidP="00734EBA">
            <w:pPr>
              <w:pStyle w:val="SingleSpacing"/>
              <w:rPr>
                <w:b/>
                <w:sz w:val="24"/>
              </w:rPr>
            </w:pPr>
          </w:p>
          <w:p w:rsidR="00F8418D" w:rsidRPr="009075DC" w:rsidRDefault="00F8418D" w:rsidP="00734EBA">
            <w:pPr>
              <w:pStyle w:val="SingleSpacing"/>
              <w:rPr>
                <w:b/>
                <w:sz w:val="24"/>
              </w:rPr>
            </w:pPr>
            <w:r w:rsidRPr="009075DC">
              <w:rPr>
                <w:b/>
                <w:sz w:val="24"/>
              </w:rPr>
              <w:tab/>
              <w:t>v.</w:t>
            </w:r>
          </w:p>
          <w:p w:rsidR="00F8418D" w:rsidRPr="009075DC" w:rsidRDefault="00F8418D" w:rsidP="00734EBA">
            <w:pPr>
              <w:pStyle w:val="SingleSpacing"/>
              <w:rPr>
                <w:b/>
                <w:sz w:val="24"/>
              </w:rPr>
            </w:pPr>
          </w:p>
          <w:p w:rsidR="00F8418D" w:rsidRPr="009075DC" w:rsidRDefault="004F1C95" w:rsidP="00734EBA">
            <w:pPr>
              <w:pStyle w:val="SingleSpacing"/>
              <w:rPr>
                <w:b/>
                <w:sz w:val="24"/>
              </w:rPr>
            </w:pPr>
            <w:r>
              <w:rPr>
                <w:b/>
                <w:sz w:val="24"/>
              </w:rPr>
              <w:t>PUGET SOUND ENERGY,</w:t>
            </w:r>
          </w:p>
          <w:p w:rsidR="00F8418D" w:rsidRPr="009075DC" w:rsidRDefault="00F8418D" w:rsidP="00734EBA">
            <w:pPr>
              <w:pStyle w:val="SingleSpacing"/>
              <w:rPr>
                <w:b/>
                <w:sz w:val="24"/>
              </w:rPr>
            </w:pPr>
          </w:p>
          <w:p w:rsidR="00F8418D" w:rsidRPr="009075DC" w:rsidRDefault="00F8418D" w:rsidP="00734EBA">
            <w:pPr>
              <w:pStyle w:val="SingleSpacing"/>
              <w:tabs>
                <w:tab w:val="left" w:pos="2168"/>
              </w:tabs>
              <w:ind w:right="360"/>
              <w:jc w:val="right"/>
              <w:rPr>
                <w:b/>
                <w:sz w:val="24"/>
              </w:rPr>
            </w:pPr>
            <w:r w:rsidRPr="009075DC">
              <w:rPr>
                <w:b/>
                <w:sz w:val="24"/>
              </w:rPr>
              <w:t>Respondent.</w:t>
            </w:r>
          </w:p>
          <w:p w:rsidR="00F8418D" w:rsidRPr="009075DC" w:rsidRDefault="00F8418D" w:rsidP="00734EBA">
            <w:pPr>
              <w:pStyle w:val="SingleSpacing"/>
              <w:tabs>
                <w:tab w:val="left" w:pos="1440"/>
              </w:tabs>
              <w:rPr>
                <w:b/>
                <w:sz w:val="24"/>
              </w:rPr>
            </w:pPr>
          </w:p>
        </w:tc>
        <w:tc>
          <w:tcPr>
            <w:tcW w:w="360" w:type="dxa"/>
            <w:tcBorders>
              <w:left w:val="single" w:sz="4" w:space="0" w:color="auto"/>
            </w:tcBorders>
          </w:tcPr>
          <w:p w:rsidR="00F8418D" w:rsidRPr="009075DC" w:rsidRDefault="00F8418D" w:rsidP="00734EBA">
            <w:pPr>
              <w:rPr>
                <w:b/>
              </w:rPr>
            </w:pPr>
          </w:p>
        </w:tc>
        <w:tc>
          <w:tcPr>
            <w:tcW w:w="4423" w:type="dxa"/>
            <w:vAlign w:val="center"/>
          </w:tcPr>
          <w:p w:rsidR="00F8418D" w:rsidRPr="009075DC" w:rsidRDefault="004F1C95" w:rsidP="00734EBA">
            <w:pPr>
              <w:pStyle w:val="SingleSpacing"/>
              <w:ind w:left="198"/>
              <w:rPr>
                <w:b/>
                <w:sz w:val="24"/>
              </w:rPr>
            </w:pPr>
            <w:r>
              <w:rPr>
                <w:b/>
                <w:sz w:val="24"/>
              </w:rPr>
              <w:t xml:space="preserve">Docket </w:t>
            </w:r>
            <w:r w:rsidR="00F8418D" w:rsidRPr="009075DC">
              <w:rPr>
                <w:b/>
                <w:sz w:val="24"/>
              </w:rPr>
              <w:t>UE-1</w:t>
            </w:r>
            <w:r w:rsidR="00B01500">
              <w:rPr>
                <w:b/>
                <w:sz w:val="24"/>
              </w:rPr>
              <w:t>7</w:t>
            </w:r>
            <w:r w:rsidR="00F5016E">
              <w:rPr>
                <w:b/>
                <w:sz w:val="24"/>
              </w:rPr>
              <w:t>0033</w:t>
            </w:r>
          </w:p>
          <w:p w:rsidR="00F8418D" w:rsidRPr="009075DC" w:rsidRDefault="004F1C95" w:rsidP="00734EBA">
            <w:pPr>
              <w:pStyle w:val="SingleSpacing"/>
              <w:ind w:left="198"/>
              <w:rPr>
                <w:b/>
                <w:sz w:val="24"/>
              </w:rPr>
            </w:pPr>
            <w:r>
              <w:rPr>
                <w:b/>
                <w:sz w:val="24"/>
              </w:rPr>
              <w:t xml:space="preserve">Docket </w:t>
            </w:r>
            <w:r w:rsidR="00F8418D" w:rsidRPr="009075DC">
              <w:rPr>
                <w:b/>
                <w:sz w:val="24"/>
              </w:rPr>
              <w:t>UG-1</w:t>
            </w:r>
            <w:r w:rsidR="00B01500">
              <w:rPr>
                <w:b/>
                <w:sz w:val="24"/>
              </w:rPr>
              <w:t>7</w:t>
            </w:r>
            <w:r w:rsidR="00F5016E">
              <w:rPr>
                <w:b/>
                <w:sz w:val="24"/>
              </w:rPr>
              <w:t>0034</w:t>
            </w:r>
          </w:p>
        </w:tc>
      </w:tr>
    </w:tbl>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914544" w:rsidRDefault="00F8418D" w:rsidP="00734EBA">
      <w:pPr>
        <w:pStyle w:val="center"/>
        <w:keepLines w:val="0"/>
        <w:spacing w:before="0" w:line="240" w:lineRule="auto"/>
        <w:rPr>
          <w:b/>
        </w:rPr>
      </w:pPr>
      <w:proofErr w:type="spellStart"/>
      <w:r w:rsidRPr="009075DC">
        <w:rPr>
          <w:b/>
        </w:rPr>
        <w:t>PREFILED</w:t>
      </w:r>
      <w:proofErr w:type="spellEnd"/>
      <w:r w:rsidRPr="009075DC">
        <w:rPr>
          <w:b/>
        </w:rPr>
        <w:t xml:space="preserve"> </w:t>
      </w:r>
      <w:r w:rsidR="00F5016E">
        <w:rPr>
          <w:b/>
        </w:rPr>
        <w:t xml:space="preserve">SUPPLEMENTAL </w:t>
      </w:r>
      <w:r w:rsidRPr="009075DC">
        <w:rPr>
          <w:b/>
        </w:rPr>
        <w:t>DIRECT TESTIMONY</w:t>
      </w:r>
    </w:p>
    <w:p w:rsidR="00914544" w:rsidRDefault="00F8418D" w:rsidP="00734EBA">
      <w:pPr>
        <w:pStyle w:val="center"/>
        <w:keepLines w:val="0"/>
        <w:spacing w:before="0" w:line="240" w:lineRule="auto"/>
        <w:rPr>
          <w:b/>
        </w:rPr>
      </w:pPr>
      <w:r w:rsidRPr="009075DC">
        <w:rPr>
          <w:b/>
        </w:rPr>
        <w:t xml:space="preserve"> (</w:t>
      </w:r>
      <w:proofErr w:type="spellStart"/>
      <w:r w:rsidRPr="009075DC">
        <w:rPr>
          <w:b/>
        </w:rPr>
        <w:t>NONCONFIDENTIAL</w:t>
      </w:r>
      <w:proofErr w:type="spellEnd"/>
      <w:r w:rsidRPr="009075DC">
        <w:rPr>
          <w:b/>
        </w:rPr>
        <w:t xml:space="preserve">) </w:t>
      </w:r>
      <w:r w:rsidR="00914544">
        <w:rPr>
          <w:b/>
        </w:rPr>
        <w:t>OF</w:t>
      </w:r>
    </w:p>
    <w:p w:rsidR="00914544" w:rsidRDefault="00914544" w:rsidP="00734EBA">
      <w:pPr>
        <w:pStyle w:val="center"/>
        <w:keepLines w:val="0"/>
        <w:spacing w:before="0" w:line="240" w:lineRule="auto"/>
        <w:rPr>
          <w:b/>
        </w:rPr>
      </w:pPr>
    </w:p>
    <w:p w:rsidR="004F1C95" w:rsidRDefault="00F8418D" w:rsidP="00734EBA">
      <w:pPr>
        <w:pStyle w:val="center"/>
        <w:keepLines w:val="0"/>
        <w:spacing w:before="0" w:line="240" w:lineRule="auto"/>
        <w:rPr>
          <w:b/>
        </w:rPr>
      </w:pPr>
      <w:r w:rsidRPr="009075DC">
        <w:rPr>
          <w:b/>
        </w:rPr>
        <w:t>JON A. PILIARIS</w:t>
      </w:r>
    </w:p>
    <w:p w:rsidR="004F1C95" w:rsidRPr="009075DC" w:rsidRDefault="00F8418D" w:rsidP="00734EBA">
      <w:pPr>
        <w:pStyle w:val="center"/>
        <w:keepLines w:val="0"/>
        <w:spacing w:before="0" w:line="240" w:lineRule="auto"/>
        <w:rPr>
          <w:b/>
        </w:rPr>
      </w:pPr>
      <w:r w:rsidRPr="009075DC">
        <w:rPr>
          <w:b/>
        </w:rPr>
        <w:br/>
        <w:t>O</w:t>
      </w:r>
      <w:r w:rsidR="004F1C95">
        <w:rPr>
          <w:b/>
        </w:rPr>
        <w:t>N BEHALF OF PUGET SOUND ENERGY</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Default="00F8418D" w:rsidP="00734EBA">
      <w:pPr>
        <w:pStyle w:val="center"/>
        <w:keepLines w:val="0"/>
        <w:spacing w:before="0" w:line="240" w:lineRule="auto"/>
        <w:rPr>
          <w:b/>
        </w:rPr>
      </w:pPr>
    </w:p>
    <w:p w:rsidR="004F1C95" w:rsidRDefault="004F1C95" w:rsidP="00734EBA">
      <w:pPr>
        <w:pStyle w:val="center"/>
        <w:keepLines w:val="0"/>
        <w:spacing w:before="0" w:line="240" w:lineRule="auto"/>
        <w:rPr>
          <w:b/>
        </w:rPr>
      </w:pPr>
    </w:p>
    <w:p w:rsidR="004F1C95" w:rsidRPr="009075DC" w:rsidRDefault="004F1C95"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5016E" w:rsidP="00734EBA">
      <w:pPr>
        <w:spacing w:line="240" w:lineRule="auto"/>
        <w:ind w:firstLine="0"/>
        <w:jc w:val="center"/>
        <w:rPr>
          <w:b/>
          <w:bCs/>
          <w:szCs w:val="24"/>
        </w:rPr>
      </w:pPr>
      <w:r>
        <w:rPr>
          <w:b/>
        </w:rPr>
        <w:t>APRIL</w:t>
      </w:r>
      <w:r w:rsidR="00B01500">
        <w:rPr>
          <w:b/>
        </w:rPr>
        <w:t xml:space="preserve"> </w:t>
      </w:r>
      <w:r w:rsidR="00AD17A6">
        <w:rPr>
          <w:b/>
        </w:rPr>
        <w:t>3</w:t>
      </w:r>
      <w:r w:rsidR="00F8418D" w:rsidRPr="009075DC">
        <w:rPr>
          <w:b/>
        </w:rPr>
        <w:t>, 201</w:t>
      </w:r>
      <w:r w:rsidR="00B01500">
        <w:rPr>
          <w:b/>
        </w:rPr>
        <w:t>7</w:t>
      </w:r>
    </w:p>
    <w:p w:rsidR="00F8418D" w:rsidRPr="009075DC" w:rsidRDefault="00F8418D" w:rsidP="00734EBA">
      <w:pPr>
        <w:spacing w:line="240" w:lineRule="auto"/>
        <w:ind w:firstLine="0"/>
        <w:jc w:val="center"/>
        <w:rPr>
          <w:b/>
          <w:bCs/>
          <w:szCs w:val="24"/>
        </w:rPr>
        <w:sectPr w:rsidR="00F8418D" w:rsidRPr="009075DC">
          <w:headerReference w:type="default" r:id="rId9"/>
          <w:pgSz w:w="12240" w:h="15840" w:code="1"/>
          <w:pgMar w:top="1440" w:right="1440" w:bottom="1440" w:left="2160" w:header="720" w:footer="864" w:gutter="0"/>
          <w:pgNumType w:start="1"/>
          <w:cols w:space="720"/>
          <w:rtlGutter/>
        </w:sectPr>
      </w:pPr>
    </w:p>
    <w:p w:rsidR="00F8418D" w:rsidRPr="009075DC" w:rsidRDefault="00761068" w:rsidP="00734EBA">
      <w:pPr>
        <w:spacing w:before="240" w:after="240" w:line="240" w:lineRule="auto"/>
        <w:ind w:left="720" w:right="720" w:firstLine="0"/>
        <w:jc w:val="center"/>
        <w:rPr>
          <w:b/>
          <w:bCs/>
          <w:szCs w:val="24"/>
        </w:rPr>
      </w:pPr>
      <w:r>
        <w:rPr>
          <w:b/>
          <w:bCs/>
          <w:szCs w:val="24"/>
        </w:rPr>
        <w:lastRenderedPageBreak/>
        <w:t>PUGET SOUND ENERGY</w:t>
      </w:r>
    </w:p>
    <w:p w:rsidR="00F8418D" w:rsidRPr="009075DC" w:rsidRDefault="00F8418D" w:rsidP="00734EBA">
      <w:pPr>
        <w:spacing w:before="240" w:after="240" w:line="240" w:lineRule="auto"/>
        <w:ind w:left="540" w:right="540" w:firstLine="0"/>
        <w:jc w:val="center"/>
        <w:rPr>
          <w:b/>
          <w:bCs/>
          <w:szCs w:val="24"/>
        </w:rPr>
      </w:pPr>
      <w:proofErr w:type="spellStart"/>
      <w:r w:rsidRPr="009075DC">
        <w:rPr>
          <w:b/>
          <w:bCs/>
          <w:szCs w:val="24"/>
        </w:rPr>
        <w:t>PREFILED</w:t>
      </w:r>
      <w:proofErr w:type="spellEnd"/>
      <w:r w:rsidRPr="009075DC">
        <w:rPr>
          <w:b/>
          <w:bCs/>
          <w:szCs w:val="24"/>
        </w:rPr>
        <w:t xml:space="preserve"> </w:t>
      </w:r>
      <w:r w:rsidR="00EE2E35">
        <w:rPr>
          <w:b/>
          <w:bCs/>
          <w:szCs w:val="24"/>
        </w:rPr>
        <w:t xml:space="preserve">SUPPLEMENTAL </w:t>
      </w:r>
      <w:r w:rsidRPr="009075DC">
        <w:rPr>
          <w:b/>
          <w:bCs/>
          <w:szCs w:val="24"/>
        </w:rPr>
        <w:t>DIRECT TESTIMONY (</w:t>
      </w:r>
      <w:proofErr w:type="spellStart"/>
      <w:r w:rsidRPr="009075DC">
        <w:rPr>
          <w:b/>
          <w:bCs/>
          <w:szCs w:val="24"/>
        </w:rPr>
        <w:t>NONCONFIDENTIAL</w:t>
      </w:r>
      <w:proofErr w:type="spellEnd"/>
      <w:r w:rsidRPr="009075DC">
        <w:rPr>
          <w:b/>
          <w:bCs/>
          <w:szCs w:val="24"/>
        </w:rPr>
        <w:t>) OF</w:t>
      </w:r>
      <w:r w:rsidRPr="009075DC">
        <w:rPr>
          <w:b/>
          <w:bCs/>
          <w:szCs w:val="24"/>
        </w:rPr>
        <w:br/>
        <w:t>JON A. PILIARIS</w:t>
      </w:r>
    </w:p>
    <w:p w:rsidR="00F8418D" w:rsidRPr="009075DC" w:rsidRDefault="00F8418D" w:rsidP="00734EBA">
      <w:pPr>
        <w:pStyle w:val="TOC1"/>
        <w:keepLines w:val="0"/>
        <w:ind w:firstLine="0"/>
        <w:jc w:val="center"/>
        <w:rPr>
          <w:b/>
          <w:bCs/>
          <w:color w:val="auto"/>
        </w:rPr>
      </w:pPr>
      <w:bookmarkStart w:id="0" w:name="TOCTitle"/>
      <w:r w:rsidRPr="009075DC">
        <w:rPr>
          <w:b/>
          <w:bCs/>
          <w:color w:val="auto"/>
        </w:rPr>
        <w:t>CONTENTS</w:t>
      </w:r>
      <w:bookmarkEnd w:id="0"/>
    </w:p>
    <w:p w:rsidR="00F8418D" w:rsidRPr="008C20FF" w:rsidRDefault="00F8418D" w:rsidP="00734EBA">
      <w:pPr>
        <w:pStyle w:val="TOC1"/>
        <w:keepLines w:val="0"/>
        <w:ind w:firstLine="0"/>
        <w:jc w:val="center"/>
        <w:rPr>
          <w:b/>
          <w:bCs/>
          <w:color w:val="auto"/>
        </w:rPr>
      </w:pPr>
    </w:p>
    <w:p w:rsidR="00734EBA" w:rsidRPr="00734EBA" w:rsidRDefault="00F8418D">
      <w:pPr>
        <w:pStyle w:val="TOC1"/>
        <w:rPr>
          <w:rFonts w:asciiTheme="minorHAnsi" w:eastAsiaTheme="minorEastAsia" w:hAnsiTheme="minorHAnsi" w:cstheme="minorBidi"/>
          <w:color w:val="auto"/>
          <w:sz w:val="22"/>
          <w:szCs w:val="22"/>
          <w:lang w:eastAsia="en-US"/>
        </w:rPr>
      </w:pPr>
      <w:r w:rsidRPr="00904733">
        <w:rPr>
          <w:bCs/>
          <w:color w:val="auto"/>
        </w:rPr>
        <w:fldChar w:fldCharType="begin"/>
      </w:r>
      <w:r w:rsidRPr="00904733">
        <w:rPr>
          <w:bCs/>
          <w:color w:val="auto"/>
        </w:rPr>
        <w:instrText xml:space="preserve"> TOC \o "1-5" \h \z \u </w:instrText>
      </w:r>
      <w:r w:rsidRPr="00904733">
        <w:rPr>
          <w:bCs/>
          <w:color w:val="auto"/>
        </w:rPr>
        <w:fldChar w:fldCharType="separate"/>
      </w:r>
      <w:hyperlink w:anchor="_Toc478935875" w:history="1">
        <w:r w:rsidR="00734EBA" w:rsidRPr="00734EBA">
          <w:rPr>
            <w:rStyle w:val="Hyperlink"/>
            <w:color w:val="auto"/>
          </w:rPr>
          <w:t>I.</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INTRODUCTION</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_Toc478935875 \h </w:instrText>
        </w:r>
        <w:r w:rsidR="00734EBA" w:rsidRPr="00734EBA">
          <w:rPr>
            <w:webHidden/>
            <w:color w:val="auto"/>
          </w:rPr>
        </w:r>
        <w:r w:rsidR="00734EBA" w:rsidRPr="00734EBA">
          <w:rPr>
            <w:webHidden/>
            <w:color w:val="auto"/>
          </w:rPr>
          <w:fldChar w:fldCharType="separate"/>
        </w:r>
        <w:r w:rsidR="00B906AA">
          <w:rPr>
            <w:webHidden/>
            <w:color w:val="auto"/>
          </w:rPr>
          <w:t>1</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76" w:history="1">
        <w:r w:rsidR="00734EBA" w:rsidRPr="00734EBA">
          <w:rPr>
            <w:rStyle w:val="Hyperlink"/>
            <w:color w:val="auto"/>
          </w:rPr>
          <w:t>II.</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CORRECTIONS TO SCHEDULE 40 CALCULATIONS</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_Toc478935876 \h </w:instrText>
        </w:r>
        <w:r w:rsidR="00734EBA" w:rsidRPr="00734EBA">
          <w:rPr>
            <w:webHidden/>
            <w:color w:val="auto"/>
          </w:rPr>
        </w:r>
        <w:r w:rsidR="00734EBA" w:rsidRPr="00734EBA">
          <w:rPr>
            <w:webHidden/>
            <w:color w:val="auto"/>
          </w:rPr>
          <w:fldChar w:fldCharType="separate"/>
        </w:r>
        <w:r w:rsidR="00B906AA">
          <w:rPr>
            <w:webHidden/>
            <w:color w:val="auto"/>
          </w:rPr>
          <w:t>2</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77" w:history="1">
        <w:r w:rsidR="00734EBA" w:rsidRPr="00734EBA">
          <w:rPr>
            <w:rStyle w:val="Hyperlink"/>
            <w:color w:val="auto"/>
          </w:rPr>
          <w:t>III.</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UPDATE TO NATURAL GAS PRO FORMA REVENUE</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_Toc478935877 \h </w:instrText>
        </w:r>
        <w:r w:rsidR="00734EBA" w:rsidRPr="00734EBA">
          <w:rPr>
            <w:webHidden/>
            <w:color w:val="auto"/>
          </w:rPr>
        </w:r>
        <w:r w:rsidR="00734EBA" w:rsidRPr="00734EBA">
          <w:rPr>
            <w:webHidden/>
            <w:color w:val="auto"/>
          </w:rPr>
          <w:fldChar w:fldCharType="separate"/>
        </w:r>
        <w:r w:rsidR="00B906AA">
          <w:rPr>
            <w:webHidden/>
            <w:color w:val="auto"/>
          </w:rPr>
          <w:t>5</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78" w:history="1">
        <w:r w:rsidR="00734EBA" w:rsidRPr="00734EBA">
          <w:rPr>
            <w:rStyle w:val="Hyperlink"/>
            <w:color w:val="auto"/>
          </w:rPr>
          <w:t>IV.</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UPDATED ESTIMATES FOR RESIDENTIAL ELECTRIC THIRD-BLOCK RATES</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_Toc478935878 \h </w:instrText>
        </w:r>
        <w:r w:rsidR="00734EBA" w:rsidRPr="00734EBA">
          <w:rPr>
            <w:webHidden/>
            <w:color w:val="auto"/>
          </w:rPr>
        </w:r>
        <w:r w:rsidR="00734EBA" w:rsidRPr="00734EBA">
          <w:rPr>
            <w:webHidden/>
            <w:color w:val="auto"/>
          </w:rPr>
          <w:fldChar w:fldCharType="separate"/>
        </w:r>
        <w:r w:rsidR="00B906AA">
          <w:rPr>
            <w:webHidden/>
            <w:color w:val="auto"/>
          </w:rPr>
          <w:t>6</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79" w:history="1">
        <w:r w:rsidR="00734EBA" w:rsidRPr="00734EBA">
          <w:rPr>
            <w:rStyle w:val="Hyperlink"/>
            <w:color w:val="auto"/>
          </w:rPr>
          <w:t>V.</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SCHEDULE 95 RATES FOR UPDATED POWER COSTS</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_Toc478935879 \h </w:instrText>
        </w:r>
        <w:r w:rsidR="00734EBA" w:rsidRPr="00734EBA">
          <w:rPr>
            <w:webHidden/>
            <w:color w:val="auto"/>
          </w:rPr>
        </w:r>
        <w:r w:rsidR="00734EBA" w:rsidRPr="00734EBA">
          <w:rPr>
            <w:webHidden/>
            <w:color w:val="auto"/>
          </w:rPr>
          <w:fldChar w:fldCharType="separate"/>
        </w:r>
        <w:r w:rsidR="00B906AA">
          <w:rPr>
            <w:webHidden/>
            <w:color w:val="auto"/>
          </w:rPr>
          <w:t>8</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80" w:history="1">
        <w:r w:rsidR="00734EBA" w:rsidRPr="00734EBA">
          <w:rPr>
            <w:rStyle w:val="Hyperlink"/>
            <w:color w:val="auto"/>
          </w:rPr>
          <w:t>VI.</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UPDATED BASE RATES</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_Toc478935880 \h </w:instrText>
        </w:r>
        <w:r w:rsidR="00734EBA" w:rsidRPr="00734EBA">
          <w:rPr>
            <w:webHidden/>
            <w:color w:val="auto"/>
          </w:rPr>
        </w:r>
        <w:r w:rsidR="00734EBA" w:rsidRPr="00734EBA">
          <w:rPr>
            <w:webHidden/>
            <w:color w:val="auto"/>
          </w:rPr>
          <w:fldChar w:fldCharType="separate"/>
        </w:r>
        <w:r w:rsidR="00B906AA">
          <w:rPr>
            <w:webHidden/>
            <w:color w:val="auto"/>
          </w:rPr>
          <w:t>11</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81" w:history="1">
        <w:r w:rsidR="00734EBA" w:rsidRPr="00734EBA">
          <w:rPr>
            <w:rStyle w:val="Hyperlink"/>
            <w:color w:val="auto"/>
          </w:rPr>
          <w:t>VII.</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UPDATED DECOUPLING CALCULATIONS</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_Toc478935881 \h </w:instrText>
        </w:r>
        <w:r w:rsidR="00734EBA" w:rsidRPr="00734EBA">
          <w:rPr>
            <w:webHidden/>
            <w:color w:val="auto"/>
          </w:rPr>
        </w:r>
        <w:r w:rsidR="00734EBA" w:rsidRPr="00734EBA">
          <w:rPr>
            <w:webHidden/>
            <w:color w:val="auto"/>
          </w:rPr>
          <w:fldChar w:fldCharType="separate"/>
        </w:r>
        <w:r w:rsidR="00B906AA">
          <w:rPr>
            <w:webHidden/>
            <w:color w:val="auto"/>
          </w:rPr>
          <w:t>14</w:t>
        </w:r>
        <w:r w:rsidR="00734EBA" w:rsidRPr="00734EBA">
          <w:rPr>
            <w:webHidden/>
            <w:color w:val="auto"/>
          </w:rPr>
          <w:fldChar w:fldCharType="end"/>
        </w:r>
      </w:hyperlink>
    </w:p>
    <w:p w:rsidR="00734EBA" w:rsidRPr="00734EBA" w:rsidRDefault="007347E6">
      <w:pPr>
        <w:pStyle w:val="TOC1"/>
        <w:rPr>
          <w:rFonts w:asciiTheme="minorHAnsi" w:eastAsiaTheme="minorEastAsia" w:hAnsiTheme="minorHAnsi" w:cstheme="minorBidi"/>
          <w:color w:val="auto"/>
          <w:sz w:val="22"/>
          <w:szCs w:val="22"/>
          <w:lang w:eastAsia="en-US"/>
        </w:rPr>
      </w:pPr>
      <w:hyperlink w:anchor="_Toc478935882" w:history="1">
        <w:r w:rsidR="00734EBA" w:rsidRPr="00734EBA">
          <w:rPr>
            <w:rStyle w:val="Hyperlink"/>
            <w:color w:val="auto"/>
          </w:rPr>
          <w:t>VIII.</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UPDATED RATE IMPACTS</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_Toc478935882 \h </w:instrText>
        </w:r>
        <w:r w:rsidR="00734EBA" w:rsidRPr="00734EBA">
          <w:rPr>
            <w:webHidden/>
            <w:color w:val="auto"/>
          </w:rPr>
        </w:r>
        <w:r w:rsidR="00734EBA" w:rsidRPr="00734EBA">
          <w:rPr>
            <w:webHidden/>
            <w:color w:val="auto"/>
          </w:rPr>
          <w:fldChar w:fldCharType="separate"/>
        </w:r>
        <w:r w:rsidR="00B906AA">
          <w:rPr>
            <w:webHidden/>
            <w:color w:val="auto"/>
          </w:rPr>
          <w:t>16</w:t>
        </w:r>
        <w:r w:rsidR="00734EBA" w:rsidRPr="00734EBA">
          <w:rPr>
            <w:webHidden/>
            <w:color w:val="auto"/>
          </w:rPr>
          <w:fldChar w:fldCharType="end"/>
        </w:r>
      </w:hyperlink>
    </w:p>
    <w:p w:rsidR="00734EBA" w:rsidRDefault="007347E6">
      <w:pPr>
        <w:pStyle w:val="TOC1"/>
        <w:rPr>
          <w:rFonts w:asciiTheme="minorHAnsi" w:eastAsiaTheme="minorEastAsia" w:hAnsiTheme="minorHAnsi" w:cstheme="minorBidi"/>
          <w:color w:val="auto"/>
          <w:sz w:val="22"/>
          <w:szCs w:val="22"/>
          <w:lang w:eastAsia="en-US"/>
        </w:rPr>
      </w:pPr>
      <w:hyperlink w:anchor="_Toc478935883" w:history="1">
        <w:r w:rsidR="00734EBA" w:rsidRPr="00734EBA">
          <w:rPr>
            <w:rStyle w:val="Hyperlink"/>
            <w:color w:val="auto"/>
          </w:rPr>
          <w:t>IX.</w:t>
        </w:r>
        <w:r w:rsidR="00734EBA" w:rsidRPr="00734EBA">
          <w:rPr>
            <w:rFonts w:asciiTheme="minorHAnsi" w:eastAsiaTheme="minorEastAsia" w:hAnsiTheme="minorHAnsi" w:cstheme="minorBidi"/>
            <w:color w:val="auto"/>
            <w:sz w:val="22"/>
            <w:szCs w:val="22"/>
            <w:lang w:eastAsia="en-US"/>
          </w:rPr>
          <w:tab/>
        </w:r>
        <w:r w:rsidR="00734EBA" w:rsidRPr="00734EBA">
          <w:rPr>
            <w:rStyle w:val="Hyperlink"/>
            <w:color w:val="auto"/>
          </w:rPr>
          <w:t>CONCLUSION</w:t>
        </w:r>
        <w:r w:rsidR="00734EBA" w:rsidRPr="00734EBA">
          <w:rPr>
            <w:webHidden/>
            <w:color w:val="auto"/>
          </w:rPr>
          <w:tab/>
        </w:r>
        <w:r w:rsidR="00734EBA" w:rsidRPr="00734EBA">
          <w:rPr>
            <w:webHidden/>
            <w:color w:val="auto"/>
          </w:rPr>
          <w:fldChar w:fldCharType="begin"/>
        </w:r>
        <w:r w:rsidR="00734EBA" w:rsidRPr="00734EBA">
          <w:rPr>
            <w:webHidden/>
            <w:color w:val="auto"/>
          </w:rPr>
          <w:instrText xml:space="preserve"> PAGEREF _Toc478935883 \h </w:instrText>
        </w:r>
        <w:r w:rsidR="00734EBA" w:rsidRPr="00734EBA">
          <w:rPr>
            <w:webHidden/>
            <w:color w:val="auto"/>
          </w:rPr>
        </w:r>
        <w:r w:rsidR="00734EBA" w:rsidRPr="00734EBA">
          <w:rPr>
            <w:webHidden/>
            <w:color w:val="auto"/>
          </w:rPr>
          <w:fldChar w:fldCharType="separate"/>
        </w:r>
        <w:r w:rsidR="00B906AA">
          <w:rPr>
            <w:webHidden/>
            <w:color w:val="auto"/>
          </w:rPr>
          <w:t>20</w:t>
        </w:r>
        <w:r w:rsidR="00734EBA" w:rsidRPr="00734EBA">
          <w:rPr>
            <w:webHidden/>
            <w:color w:val="auto"/>
          </w:rPr>
          <w:fldChar w:fldCharType="end"/>
        </w:r>
      </w:hyperlink>
    </w:p>
    <w:p w:rsidR="009D1F78" w:rsidRPr="009D1F78" w:rsidRDefault="00F8418D" w:rsidP="00734EBA">
      <w:pPr>
        <w:pStyle w:val="TOC1"/>
        <w:rPr>
          <w:b/>
          <w:bCs/>
        </w:rPr>
        <w:sectPr w:rsidR="009D1F78" w:rsidRPr="009D1F78">
          <w:headerReference w:type="default" r:id="rId10"/>
          <w:footerReference w:type="default" r:id="rId11"/>
          <w:pgSz w:w="12240" w:h="15840" w:code="1"/>
          <w:pgMar w:top="1440" w:right="1440" w:bottom="1440" w:left="2160" w:header="864" w:footer="576" w:gutter="0"/>
          <w:pgNumType w:fmt="lowerRoman" w:start="1"/>
          <w:cols w:space="720"/>
        </w:sectPr>
      </w:pPr>
      <w:r w:rsidRPr="00904733">
        <w:rPr>
          <w:bCs/>
          <w:color w:val="auto"/>
        </w:rPr>
        <w:fldChar w:fldCharType="end"/>
      </w:r>
    </w:p>
    <w:p w:rsidR="00F8418D" w:rsidRPr="009075DC" w:rsidRDefault="00F8418D" w:rsidP="00734EBA">
      <w:pPr>
        <w:spacing w:before="240" w:after="240" w:line="480" w:lineRule="auto"/>
        <w:ind w:left="540" w:right="540" w:firstLine="0"/>
        <w:jc w:val="center"/>
        <w:rPr>
          <w:b/>
          <w:bCs/>
          <w:szCs w:val="24"/>
        </w:rPr>
      </w:pPr>
      <w:r w:rsidRPr="009075DC">
        <w:rPr>
          <w:b/>
          <w:bCs/>
          <w:szCs w:val="24"/>
        </w:rPr>
        <w:lastRenderedPageBreak/>
        <w:t>PUGET SOUND ENERGY</w:t>
      </w:r>
    </w:p>
    <w:p w:rsidR="00F8418D" w:rsidRPr="009075DC" w:rsidRDefault="00F8418D" w:rsidP="00734EBA">
      <w:pPr>
        <w:spacing w:before="240" w:after="480" w:line="240" w:lineRule="auto"/>
        <w:ind w:left="547" w:right="547" w:firstLine="0"/>
        <w:jc w:val="center"/>
        <w:rPr>
          <w:b/>
          <w:bCs/>
          <w:szCs w:val="24"/>
        </w:rPr>
      </w:pPr>
      <w:proofErr w:type="spellStart"/>
      <w:r w:rsidRPr="009075DC">
        <w:rPr>
          <w:b/>
          <w:bCs/>
          <w:szCs w:val="24"/>
        </w:rPr>
        <w:t>PREFILED</w:t>
      </w:r>
      <w:proofErr w:type="spellEnd"/>
      <w:r w:rsidRPr="009075DC">
        <w:rPr>
          <w:b/>
          <w:bCs/>
          <w:szCs w:val="24"/>
        </w:rPr>
        <w:t xml:space="preserve"> </w:t>
      </w:r>
      <w:r w:rsidR="00F5016E">
        <w:rPr>
          <w:b/>
          <w:bCs/>
          <w:szCs w:val="24"/>
        </w:rPr>
        <w:t xml:space="preserve">SUPPLEMENTAL </w:t>
      </w:r>
      <w:r w:rsidRPr="009075DC">
        <w:rPr>
          <w:b/>
          <w:bCs/>
          <w:szCs w:val="24"/>
        </w:rPr>
        <w:t>DIRECT TESTIMONY (</w:t>
      </w:r>
      <w:proofErr w:type="spellStart"/>
      <w:r w:rsidRPr="009075DC">
        <w:rPr>
          <w:b/>
          <w:bCs/>
          <w:szCs w:val="24"/>
        </w:rPr>
        <w:t>NONCONFIDENTIAL</w:t>
      </w:r>
      <w:proofErr w:type="spellEnd"/>
      <w:r w:rsidRPr="009075DC">
        <w:rPr>
          <w:b/>
          <w:bCs/>
          <w:szCs w:val="24"/>
        </w:rPr>
        <w:t>) OF</w:t>
      </w:r>
      <w:r w:rsidRPr="009075DC">
        <w:rPr>
          <w:b/>
          <w:bCs/>
          <w:szCs w:val="24"/>
        </w:rPr>
        <w:br/>
        <w:t>JON A. PILIARIS</w:t>
      </w:r>
    </w:p>
    <w:p w:rsidR="00F8418D" w:rsidRPr="009075DC" w:rsidRDefault="00F8418D" w:rsidP="00734EBA">
      <w:pPr>
        <w:pStyle w:val="Heading1"/>
        <w:keepNext w:val="0"/>
        <w:keepLines w:val="0"/>
        <w:rPr>
          <w:rFonts w:eastAsia="SimSun"/>
        </w:rPr>
      </w:pPr>
      <w:bookmarkStart w:id="1" w:name="_Toc125167531"/>
      <w:bookmarkStart w:id="2" w:name="_Toc127023381"/>
      <w:bookmarkStart w:id="3" w:name="_Toc478935875"/>
      <w:r w:rsidRPr="009075DC">
        <w:rPr>
          <w:rFonts w:eastAsia="SimSun"/>
        </w:rPr>
        <w:t>I.</w:t>
      </w:r>
      <w:r w:rsidRPr="009075DC">
        <w:rPr>
          <w:rFonts w:eastAsia="SimSun"/>
        </w:rPr>
        <w:tab/>
        <w:t>INTRODUCTION</w:t>
      </w:r>
      <w:bookmarkEnd w:id="1"/>
      <w:bookmarkEnd w:id="2"/>
      <w:bookmarkEnd w:id="3"/>
    </w:p>
    <w:p w:rsidR="00F8418D" w:rsidRPr="00734EBA" w:rsidRDefault="00F8418D" w:rsidP="00734EBA">
      <w:pPr>
        <w:pStyle w:val="question"/>
      </w:pPr>
      <w:r w:rsidRPr="00734EBA">
        <w:t>Q.</w:t>
      </w:r>
      <w:r w:rsidRPr="00734EBA">
        <w:tab/>
      </w:r>
      <w:r w:rsidR="00F5016E" w:rsidRPr="00734EBA">
        <w:t xml:space="preserve">Are you the same Jon A. Piliaris who submitted </w:t>
      </w:r>
      <w:proofErr w:type="spellStart"/>
      <w:r w:rsidR="00F5016E" w:rsidRPr="00734EBA">
        <w:t>prefiled</w:t>
      </w:r>
      <w:proofErr w:type="spellEnd"/>
      <w:r w:rsidR="00F5016E" w:rsidRPr="00734EBA">
        <w:t xml:space="preserve"> direct testimony on January 13, 2017</w:t>
      </w:r>
      <w:r w:rsidR="001F313C">
        <w:t xml:space="preserve"> </w:t>
      </w:r>
      <w:r w:rsidR="00F5016E" w:rsidRPr="00734EBA">
        <w:t>on behalf of Puget Sound Energy (</w:t>
      </w:r>
      <w:r w:rsidR="00734EBA">
        <w:t>“</w:t>
      </w:r>
      <w:r w:rsidR="00F5016E" w:rsidRPr="00734EBA">
        <w:t>PSE</w:t>
      </w:r>
      <w:r w:rsidR="00734EBA">
        <w:t>”</w:t>
      </w:r>
      <w:r w:rsidR="00F5016E" w:rsidRPr="00734EBA">
        <w:t>) in this proceeding?</w:t>
      </w:r>
    </w:p>
    <w:p w:rsidR="00F8418D" w:rsidRPr="009075DC" w:rsidRDefault="00F8418D" w:rsidP="00734EBA">
      <w:pPr>
        <w:pStyle w:val="answer"/>
        <w:rPr>
          <w:rFonts w:eastAsia="SimSun"/>
        </w:rPr>
      </w:pPr>
      <w:r w:rsidRPr="009075DC">
        <w:rPr>
          <w:rFonts w:eastAsia="SimSun"/>
        </w:rPr>
        <w:t>A.</w:t>
      </w:r>
      <w:r w:rsidRPr="009075DC">
        <w:rPr>
          <w:rFonts w:eastAsia="SimSun"/>
        </w:rPr>
        <w:tab/>
      </w:r>
      <w:r w:rsidR="00F5016E" w:rsidRPr="00315A36">
        <w:t xml:space="preserve">Yes, I filed </w:t>
      </w:r>
      <w:proofErr w:type="spellStart"/>
      <w:r w:rsidR="00F5016E" w:rsidRPr="00315A36">
        <w:t>prefiled</w:t>
      </w:r>
      <w:proofErr w:type="spellEnd"/>
      <w:r w:rsidR="00F5016E" w:rsidRPr="00315A36">
        <w:t xml:space="preserve"> direct testimony, </w:t>
      </w:r>
      <w:proofErr w:type="spellStart"/>
      <w:r w:rsidR="003F0734">
        <w:t>Exh</w:t>
      </w:r>
      <w:proofErr w:type="spellEnd"/>
      <w:r w:rsidR="003F0734">
        <w:t xml:space="preserve">. </w:t>
      </w:r>
      <w:r w:rsidR="00F5016E" w:rsidRPr="00315A36">
        <w:t xml:space="preserve">JAP-1T, and </w:t>
      </w:r>
      <w:r w:rsidR="00F5016E">
        <w:t xml:space="preserve">thirty-two </w:t>
      </w:r>
      <w:r w:rsidR="00F5016E" w:rsidRPr="00315A36">
        <w:t xml:space="preserve">supporting exhibits, </w:t>
      </w:r>
      <w:proofErr w:type="spellStart"/>
      <w:r w:rsidR="0026646A">
        <w:t>Exh</w:t>
      </w:r>
      <w:proofErr w:type="spellEnd"/>
      <w:r w:rsidR="0026646A">
        <w:t xml:space="preserve">. </w:t>
      </w:r>
      <w:r w:rsidR="00F5016E" w:rsidRPr="00315A36">
        <w:t xml:space="preserve">JAP-2 through </w:t>
      </w:r>
      <w:proofErr w:type="spellStart"/>
      <w:r w:rsidR="0026646A">
        <w:t>Exh</w:t>
      </w:r>
      <w:proofErr w:type="spellEnd"/>
      <w:r w:rsidR="0026646A">
        <w:t xml:space="preserve">. </w:t>
      </w:r>
      <w:r w:rsidR="00F5016E" w:rsidRPr="00315A36">
        <w:t>JAP-</w:t>
      </w:r>
      <w:r w:rsidR="00F5016E">
        <w:t>33</w:t>
      </w:r>
      <w:r w:rsidR="00F5016E" w:rsidRPr="00315A36">
        <w:t xml:space="preserve">, on </w:t>
      </w:r>
      <w:r w:rsidR="00F5016E">
        <w:t xml:space="preserve">January </w:t>
      </w:r>
      <w:r w:rsidR="00F5016E" w:rsidRPr="00315A36">
        <w:t>13, 201</w:t>
      </w:r>
      <w:r w:rsidR="00F5016E">
        <w:t>7</w:t>
      </w:r>
      <w:r w:rsidR="00F5016E" w:rsidRPr="00315A36">
        <w:t xml:space="preserve">.  </w:t>
      </w:r>
      <w:r w:rsidR="001F313C" w:rsidRPr="001F313C">
        <w:t xml:space="preserve">I sponsor the following exhibits in support of this </w:t>
      </w:r>
      <w:proofErr w:type="spellStart"/>
      <w:r w:rsidR="001F313C" w:rsidRPr="001F313C">
        <w:t>prefiled</w:t>
      </w:r>
      <w:proofErr w:type="spellEnd"/>
      <w:r w:rsidR="001F313C" w:rsidRPr="001F313C">
        <w:t xml:space="preserve"> supplemental direct testimony:  </w:t>
      </w:r>
      <w:proofErr w:type="spellStart"/>
      <w:r w:rsidR="001F313C" w:rsidRPr="001F313C">
        <w:t>Exh</w:t>
      </w:r>
      <w:proofErr w:type="spellEnd"/>
      <w:r w:rsidR="001F313C" w:rsidRPr="001F313C">
        <w:t>.</w:t>
      </w:r>
      <w:r w:rsidR="001F313C">
        <w:t> JAP</w:t>
      </w:r>
      <w:r w:rsidR="001F313C" w:rsidRPr="001F313C">
        <w:t>-</w:t>
      </w:r>
      <w:r w:rsidR="001F313C">
        <w:t xml:space="preserve">35 </w:t>
      </w:r>
      <w:r w:rsidR="001F313C" w:rsidRPr="001F313C">
        <w:t xml:space="preserve">through </w:t>
      </w:r>
      <w:proofErr w:type="spellStart"/>
      <w:r w:rsidR="001F313C" w:rsidRPr="001F313C">
        <w:t>Exh</w:t>
      </w:r>
      <w:proofErr w:type="spellEnd"/>
      <w:r w:rsidR="001F313C" w:rsidRPr="001F313C">
        <w:t>.</w:t>
      </w:r>
      <w:r w:rsidR="001F313C">
        <w:t> JAP</w:t>
      </w:r>
      <w:r w:rsidR="001F313C" w:rsidRPr="001F313C">
        <w:t>-</w:t>
      </w:r>
      <w:r w:rsidR="001F313C">
        <w:t>45</w:t>
      </w:r>
      <w:r w:rsidR="001F313C" w:rsidRPr="001F313C">
        <w:t>.</w:t>
      </w:r>
    </w:p>
    <w:p w:rsidR="00F8418D" w:rsidRPr="009075DC" w:rsidRDefault="00F8418D" w:rsidP="00734EBA">
      <w:pPr>
        <w:pStyle w:val="question"/>
      </w:pPr>
      <w:r w:rsidRPr="009075DC">
        <w:t>Q.</w:t>
      </w:r>
      <w:r w:rsidRPr="009075DC">
        <w:tab/>
        <w:t xml:space="preserve">What is the purpose of your </w:t>
      </w:r>
      <w:r w:rsidR="00F5016E">
        <w:t xml:space="preserve">supplemental </w:t>
      </w:r>
      <w:r w:rsidRPr="009075DC">
        <w:t>testimony?</w:t>
      </w:r>
    </w:p>
    <w:p w:rsidR="003B184A" w:rsidRDefault="00F8418D" w:rsidP="00734EBA">
      <w:pPr>
        <w:pStyle w:val="answer"/>
        <w:rPr>
          <w:rFonts w:eastAsia="SimSun"/>
        </w:rPr>
      </w:pPr>
      <w:r w:rsidRPr="009075DC">
        <w:rPr>
          <w:rFonts w:eastAsia="SimSun"/>
        </w:rPr>
        <w:t>A.</w:t>
      </w:r>
      <w:r w:rsidRPr="009075DC">
        <w:rPr>
          <w:rFonts w:eastAsia="SimSun"/>
        </w:rPr>
        <w:tab/>
        <w:t xml:space="preserve">My testimony presents </w:t>
      </w:r>
      <w:r w:rsidR="003B184A">
        <w:rPr>
          <w:rFonts w:eastAsia="SimSun"/>
        </w:rPr>
        <w:t>the following:</w:t>
      </w:r>
    </w:p>
    <w:p w:rsidR="007816E1" w:rsidRDefault="00CE17E6" w:rsidP="00734EBA">
      <w:pPr>
        <w:pStyle w:val="answer"/>
        <w:numPr>
          <w:ilvl w:val="0"/>
          <w:numId w:val="25"/>
        </w:numPr>
        <w:spacing w:before="0" w:after="280" w:line="240" w:lineRule="auto"/>
        <w:ind w:left="2160" w:right="720" w:hanging="720"/>
        <w:rPr>
          <w:rFonts w:eastAsia="SimSun"/>
        </w:rPr>
      </w:pPr>
      <w:r>
        <w:rPr>
          <w:rFonts w:eastAsia="SimSun"/>
        </w:rPr>
        <w:t>An e</w:t>
      </w:r>
      <w:r w:rsidR="00646A22">
        <w:rPr>
          <w:rFonts w:eastAsia="SimSun"/>
        </w:rPr>
        <w:t>xpla</w:t>
      </w:r>
      <w:r>
        <w:rPr>
          <w:rFonts w:eastAsia="SimSun"/>
        </w:rPr>
        <w:t>nation of</w:t>
      </w:r>
      <w:r w:rsidR="00646A22">
        <w:rPr>
          <w:rFonts w:eastAsia="SimSun"/>
        </w:rPr>
        <w:t xml:space="preserve"> c</w:t>
      </w:r>
      <w:r w:rsidR="00330580">
        <w:rPr>
          <w:rFonts w:eastAsia="SimSun"/>
        </w:rPr>
        <w:t>orrections made to the distribution rates for customers served under electric Schedule 40</w:t>
      </w:r>
      <w:r w:rsidR="009E40D0">
        <w:rPr>
          <w:rFonts w:eastAsia="SimSun"/>
        </w:rPr>
        <w:t>;</w:t>
      </w:r>
      <w:r w:rsidR="007816E1">
        <w:rPr>
          <w:rFonts w:eastAsia="SimSun"/>
        </w:rPr>
        <w:t xml:space="preserve"> </w:t>
      </w:r>
    </w:p>
    <w:p w:rsidR="002F77A9" w:rsidRDefault="002F77A9" w:rsidP="00734EBA">
      <w:pPr>
        <w:pStyle w:val="answer"/>
        <w:numPr>
          <w:ilvl w:val="0"/>
          <w:numId w:val="25"/>
        </w:numPr>
        <w:spacing w:before="0" w:after="280" w:line="240" w:lineRule="auto"/>
        <w:ind w:left="2160" w:right="720" w:hanging="720"/>
        <w:rPr>
          <w:rFonts w:eastAsia="SimSun"/>
        </w:rPr>
      </w:pPr>
      <w:r>
        <w:rPr>
          <w:rFonts w:eastAsia="SimSun"/>
        </w:rPr>
        <w:t xml:space="preserve">Quantification of corrections made to PSE’s natural gas weather normalization </w:t>
      </w:r>
      <w:r w:rsidR="00CE17E6">
        <w:rPr>
          <w:rFonts w:eastAsia="SimSun"/>
        </w:rPr>
        <w:t>that impacts</w:t>
      </w:r>
      <w:r>
        <w:rPr>
          <w:rFonts w:eastAsia="SimSun"/>
        </w:rPr>
        <w:t xml:space="preserve"> its </w:t>
      </w:r>
      <w:r w:rsidR="008E0AD5">
        <w:rPr>
          <w:rFonts w:eastAsia="SimSun"/>
        </w:rPr>
        <w:t>pro forma</w:t>
      </w:r>
      <w:r>
        <w:rPr>
          <w:rFonts w:eastAsia="SimSun"/>
        </w:rPr>
        <w:t xml:space="preserve"> </w:t>
      </w:r>
      <w:r w:rsidR="008E0AD5">
        <w:rPr>
          <w:rFonts w:eastAsia="SimSun"/>
        </w:rPr>
        <w:t>natural gas</w:t>
      </w:r>
      <w:r>
        <w:rPr>
          <w:rFonts w:eastAsia="SimSun"/>
        </w:rPr>
        <w:t xml:space="preserve"> revenue calculations</w:t>
      </w:r>
      <w:r w:rsidR="009E40D0">
        <w:rPr>
          <w:rFonts w:eastAsia="SimSun"/>
        </w:rPr>
        <w:t>;</w:t>
      </w:r>
    </w:p>
    <w:p w:rsidR="003B184A" w:rsidRDefault="00330580" w:rsidP="00734EBA">
      <w:pPr>
        <w:pStyle w:val="answer"/>
        <w:numPr>
          <w:ilvl w:val="0"/>
          <w:numId w:val="25"/>
        </w:numPr>
        <w:spacing w:before="0" w:after="280" w:line="240" w:lineRule="auto"/>
        <w:ind w:left="2160" w:right="720" w:hanging="720"/>
        <w:rPr>
          <w:rFonts w:eastAsia="SimSun"/>
        </w:rPr>
      </w:pPr>
      <w:r>
        <w:rPr>
          <w:rFonts w:eastAsia="SimSun"/>
        </w:rPr>
        <w:t>Updated estimates of the third-block residential electric rates using data supporting PSE’s recently-approved Schedule 91</w:t>
      </w:r>
      <w:r w:rsidR="009E40D0">
        <w:rPr>
          <w:rFonts w:eastAsia="SimSun"/>
        </w:rPr>
        <w:t>;</w:t>
      </w:r>
    </w:p>
    <w:p w:rsidR="001578FF" w:rsidRDefault="0038164D" w:rsidP="00734EBA">
      <w:pPr>
        <w:pStyle w:val="answer"/>
        <w:numPr>
          <w:ilvl w:val="0"/>
          <w:numId w:val="25"/>
        </w:numPr>
        <w:spacing w:before="0" w:after="280" w:line="240" w:lineRule="auto"/>
        <w:ind w:left="2160" w:right="720" w:hanging="720"/>
        <w:rPr>
          <w:rFonts w:eastAsia="SimSun"/>
        </w:rPr>
      </w:pPr>
      <w:r>
        <w:rPr>
          <w:rFonts w:eastAsia="SimSun"/>
        </w:rPr>
        <w:t>Calculation of Schedule 95 rates to reflect u</w:t>
      </w:r>
      <w:r w:rsidR="00330580">
        <w:rPr>
          <w:rFonts w:eastAsia="SimSun"/>
        </w:rPr>
        <w:t>pdated power cost rates without the estimated loads of Microsoft served under Schedule 40</w:t>
      </w:r>
      <w:r w:rsidR="009E40D0">
        <w:rPr>
          <w:rFonts w:eastAsia="SimSun"/>
        </w:rPr>
        <w:t>;</w:t>
      </w:r>
      <w:r w:rsidR="00330580">
        <w:rPr>
          <w:rFonts w:eastAsia="SimSun"/>
        </w:rPr>
        <w:t xml:space="preserve"> </w:t>
      </w:r>
    </w:p>
    <w:p w:rsidR="00DA7D3D" w:rsidRDefault="00DA7D3D" w:rsidP="00734EBA">
      <w:pPr>
        <w:pStyle w:val="answer"/>
        <w:numPr>
          <w:ilvl w:val="0"/>
          <w:numId w:val="25"/>
        </w:numPr>
        <w:spacing w:before="0" w:after="280" w:line="240" w:lineRule="auto"/>
        <w:ind w:left="2160" w:right="720" w:hanging="720"/>
        <w:rPr>
          <w:rFonts w:eastAsia="SimSun"/>
        </w:rPr>
      </w:pPr>
      <w:r>
        <w:rPr>
          <w:rFonts w:eastAsia="SimSun"/>
        </w:rPr>
        <w:lastRenderedPageBreak/>
        <w:t xml:space="preserve">Updated base rates for electric and </w:t>
      </w:r>
      <w:r w:rsidR="008E0AD5">
        <w:rPr>
          <w:rFonts w:eastAsia="SimSun"/>
        </w:rPr>
        <w:t>natural gas</w:t>
      </w:r>
      <w:r>
        <w:rPr>
          <w:rFonts w:eastAsia="SimSun"/>
        </w:rPr>
        <w:t xml:space="preserve"> service reflecting the noted corrections and updated </w:t>
      </w:r>
      <w:r w:rsidR="0038164D">
        <w:rPr>
          <w:rFonts w:eastAsia="SimSun"/>
        </w:rPr>
        <w:t>revenue requirements</w:t>
      </w:r>
      <w:r w:rsidR="009E40D0">
        <w:rPr>
          <w:rFonts w:eastAsia="SimSun"/>
        </w:rPr>
        <w:t>;</w:t>
      </w:r>
    </w:p>
    <w:p w:rsidR="00C15F53" w:rsidRDefault="001578FF" w:rsidP="00734EBA">
      <w:pPr>
        <w:pStyle w:val="answer"/>
        <w:numPr>
          <w:ilvl w:val="0"/>
          <w:numId w:val="25"/>
        </w:numPr>
        <w:spacing w:before="0" w:after="280" w:line="240" w:lineRule="auto"/>
        <w:ind w:left="2160" w:right="720" w:hanging="720"/>
        <w:rPr>
          <w:rFonts w:eastAsia="SimSun"/>
        </w:rPr>
      </w:pPr>
      <w:r>
        <w:rPr>
          <w:rFonts w:eastAsia="SimSun"/>
        </w:rPr>
        <w:t>Updated decoupling calculations to reflect all of the above,</w:t>
      </w:r>
      <w:r w:rsidR="00A1527A">
        <w:rPr>
          <w:rFonts w:eastAsia="SimSun"/>
        </w:rPr>
        <w:t xml:space="preserve"> including allowed fixed production revenue per customer assuming the loads of Microsoft served under Schedule 40 begin taking retail access service</w:t>
      </w:r>
      <w:r w:rsidR="009E40D0">
        <w:rPr>
          <w:rFonts w:eastAsia="SimSun"/>
        </w:rPr>
        <w:t>;</w:t>
      </w:r>
      <w:r>
        <w:rPr>
          <w:rFonts w:eastAsia="SimSun"/>
        </w:rPr>
        <w:t xml:space="preserve"> </w:t>
      </w:r>
      <w:r w:rsidR="00330580">
        <w:rPr>
          <w:rFonts w:eastAsia="SimSun"/>
        </w:rPr>
        <w:t>and</w:t>
      </w:r>
    </w:p>
    <w:p w:rsidR="003B184A" w:rsidRDefault="00330580" w:rsidP="00734EBA">
      <w:pPr>
        <w:pStyle w:val="answer"/>
        <w:numPr>
          <w:ilvl w:val="0"/>
          <w:numId w:val="25"/>
        </w:numPr>
        <w:spacing w:before="0" w:after="280" w:line="240" w:lineRule="auto"/>
        <w:ind w:left="2160" w:right="720" w:hanging="720"/>
        <w:rPr>
          <w:rFonts w:eastAsia="SimSun"/>
        </w:rPr>
      </w:pPr>
      <w:r>
        <w:rPr>
          <w:rFonts w:eastAsia="SimSun"/>
        </w:rPr>
        <w:t xml:space="preserve">Updated estimated rate impacts resulting from this proceeding that reflect the </w:t>
      </w:r>
      <w:r w:rsidR="00DA7D3D">
        <w:rPr>
          <w:rFonts w:eastAsia="SimSun"/>
        </w:rPr>
        <w:t xml:space="preserve">noted </w:t>
      </w:r>
      <w:r>
        <w:rPr>
          <w:rFonts w:eastAsia="SimSun"/>
        </w:rPr>
        <w:t xml:space="preserve">corrections </w:t>
      </w:r>
      <w:r w:rsidR="001578FF">
        <w:rPr>
          <w:rFonts w:eastAsia="SimSun"/>
        </w:rPr>
        <w:t>and updates</w:t>
      </w:r>
      <w:r w:rsidR="00DA7D3D">
        <w:rPr>
          <w:rFonts w:eastAsia="SimSun"/>
        </w:rPr>
        <w:t xml:space="preserve">, as well as the </w:t>
      </w:r>
      <w:r>
        <w:rPr>
          <w:rFonts w:eastAsia="SimSun"/>
        </w:rPr>
        <w:t xml:space="preserve">recently-filed updates to PSE’s </w:t>
      </w:r>
      <w:r w:rsidR="008E0AD5">
        <w:rPr>
          <w:rFonts w:eastAsia="SimSun"/>
        </w:rPr>
        <w:t>natural gas</w:t>
      </w:r>
      <w:r>
        <w:rPr>
          <w:rFonts w:eastAsia="SimSun"/>
        </w:rPr>
        <w:t xml:space="preserve"> and electric Schedules 120, 140 and 142.</w:t>
      </w:r>
    </w:p>
    <w:p w:rsidR="007816E1" w:rsidRPr="003B5206" w:rsidRDefault="007816E1" w:rsidP="00734EBA">
      <w:pPr>
        <w:pStyle w:val="Heading1"/>
        <w:spacing w:line="240" w:lineRule="auto"/>
      </w:pPr>
      <w:bookmarkStart w:id="4" w:name="_Toc478935876"/>
      <w:bookmarkStart w:id="5" w:name="_Toc68357344"/>
      <w:bookmarkStart w:id="6" w:name="_Toc68715198"/>
      <w:bookmarkStart w:id="7" w:name="_Toc126675047"/>
      <w:bookmarkStart w:id="8" w:name="_Toc127023382"/>
      <w:r>
        <w:t>II</w:t>
      </w:r>
      <w:r w:rsidRPr="003B5206">
        <w:t>.</w:t>
      </w:r>
      <w:r w:rsidRPr="003B5206">
        <w:tab/>
      </w:r>
      <w:r w:rsidR="00330580">
        <w:t>CORRECTIONS TO SCHEDULE 40 CALCULATIONS</w:t>
      </w:r>
      <w:bookmarkEnd w:id="4"/>
      <w:r w:rsidRPr="003B5206">
        <w:t xml:space="preserve"> </w:t>
      </w:r>
    </w:p>
    <w:p w:rsidR="009A6E26" w:rsidRPr="003B5206" w:rsidRDefault="009A6E26" w:rsidP="00734EBA">
      <w:pPr>
        <w:pStyle w:val="question"/>
      </w:pPr>
      <w:r w:rsidRPr="003B5206">
        <w:t>Q.</w:t>
      </w:r>
      <w:r w:rsidRPr="003B5206">
        <w:tab/>
      </w:r>
      <w:r>
        <w:t>Please briefly recap the overall methodology used to calculate Schedule 40 rates.</w:t>
      </w:r>
    </w:p>
    <w:p w:rsidR="009A6E26" w:rsidRPr="003B5206" w:rsidRDefault="009A6E26" w:rsidP="00734EBA">
      <w:pPr>
        <w:pStyle w:val="answer"/>
      </w:pPr>
      <w:r w:rsidRPr="003B5206">
        <w:t>A.</w:t>
      </w:r>
      <w:r w:rsidRPr="003B5206">
        <w:tab/>
      </w:r>
      <w:r w:rsidRPr="009075DC">
        <w:rPr>
          <w:rFonts w:eastAsia="SimSun"/>
        </w:rPr>
        <w:t>Schedule 40 has customer-specific distribution rates and a bundled energy and transmission rate that is based upon Schedule 49 after an adjustment for</w:t>
      </w:r>
      <w:r w:rsidR="00C948B1">
        <w:rPr>
          <w:rFonts w:eastAsia="SimSun"/>
        </w:rPr>
        <w:t xml:space="preserve"> line</w:t>
      </w:r>
      <w:r w:rsidRPr="009075DC">
        <w:rPr>
          <w:rFonts w:eastAsia="SimSun"/>
        </w:rPr>
        <w:t xml:space="preserve"> losses.  The distribution rate is designed to recover customer-specific distribution costs on a </w:t>
      </w:r>
      <w:proofErr w:type="spellStart"/>
      <w:r w:rsidRPr="009075DC">
        <w:rPr>
          <w:rFonts w:eastAsia="SimSun"/>
        </w:rPr>
        <w:t>levelized</w:t>
      </w:r>
      <w:proofErr w:type="spellEnd"/>
      <w:r w:rsidRPr="009075DC">
        <w:rPr>
          <w:rFonts w:eastAsia="SimSun"/>
        </w:rPr>
        <w:t xml:space="preserve"> basis.  The bundled production and transmission energy and demand rates are linked to the parity-adjusted high voltage rates</w:t>
      </w:r>
      <w:r w:rsidR="00C948B1">
        <w:rPr>
          <w:rFonts w:eastAsia="SimSun"/>
        </w:rPr>
        <w:t xml:space="preserve"> for Schedule 49</w:t>
      </w:r>
      <w:r w:rsidRPr="009075DC">
        <w:rPr>
          <w:rFonts w:eastAsia="SimSun"/>
        </w:rPr>
        <w:t xml:space="preserve"> because the aggregated load of each of these customers is comparable to the load of high voltage customers.</w:t>
      </w:r>
      <w:r>
        <w:rPr>
          <w:rFonts w:eastAsia="SimSun"/>
        </w:rPr>
        <w:t xml:space="preserve"> The basic charges under Schedule 40 are tied to the otherwise-applicable base charges for each location served under Schedule 40.  </w:t>
      </w:r>
    </w:p>
    <w:p w:rsidR="009A6E26" w:rsidRPr="003B5206" w:rsidRDefault="009A6E26" w:rsidP="00734EBA">
      <w:pPr>
        <w:pStyle w:val="question"/>
      </w:pPr>
      <w:r w:rsidRPr="003B5206">
        <w:t>Q.</w:t>
      </w:r>
      <w:r w:rsidRPr="003B5206">
        <w:tab/>
      </w:r>
      <w:r>
        <w:t>How are the customer-specific distribution costs calculated</w:t>
      </w:r>
      <w:r w:rsidRPr="003B5206">
        <w:t>?</w:t>
      </w:r>
    </w:p>
    <w:p w:rsidR="0032685E" w:rsidRDefault="009A6E26" w:rsidP="00734EBA">
      <w:pPr>
        <w:pStyle w:val="answer"/>
      </w:pPr>
      <w:r w:rsidRPr="003B5206">
        <w:t>A.</w:t>
      </w:r>
      <w:r w:rsidRPr="003B5206">
        <w:tab/>
      </w:r>
      <w:r w:rsidR="00C948B1">
        <w:t xml:space="preserve">As noted, the Schedule 40 Campus rate has distribution charges designed specifically around the distribution systems that serve an individual campus for each customer on Schedule 40.  There are three components to this distribution </w:t>
      </w:r>
      <w:r w:rsidR="00C948B1">
        <w:lastRenderedPageBreak/>
        <w:t xml:space="preserve">charge related to transformer, feeder and substation costs to serve each customer.  </w:t>
      </w:r>
      <w:r w:rsidR="0032685E">
        <w:t xml:space="preserve">The transformer component </w:t>
      </w:r>
      <w:r w:rsidR="00F144A1">
        <w:t>is</w:t>
      </w:r>
      <w:r w:rsidR="0032685E">
        <w:t xml:space="preserve"> determined by applying PSE’s current transformer lease charges to the number and size of transformers serving each campus during the test year</w:t>
      </w:r>
      <w:r w:rsidR="00F144A1">
        <w:t>.</w:t>
      </w:r>
      <w:r w:rsidR="0032685E">
        <w:t xml:space="preserve"> </w:t>
      </w:r>
      <w:r w:rsidR="00F144A1">
        <w:t>T</w:t>
      </w:r>
      <w:r w:rsidR="0032685E">
        <w:t>he</w:t>
      </w:r>
      <w:r w:rsidR="00F144A1">
        <w:t xml:space="preserve"> transformer rate is calculated by dividing the</w:t>
      </w:r>
      <w:r w:rsidR="0032685E">
        <w:t xml:space="preserve"> total </w:t>
      </w:r>
      <w:r w:rsidR="00F144A1">
        <w:t xml:space="preserve">transformer </w:t>
      </w:r>
      <w:r w:rsidR="0032685E">
        <w:t>cost</w:t>
      </w:r>
      <w:r w:rsidR="00F144A1">
        <w:t xml:space="preserve"> for the campus</w:t>
      </w:r>
      <w:r w:rsidR="0032685E">
        <w:t xml:space="preserve"> by the coincident demand of the campus during the test year.  </w:t>
      </w:r>
      <w:r w:rsidR="00C948B1">
        <w:t xml:space="preserve">The feeder and substation components of the distribution </w:t>
      </w:r>
      <w:r w:rsidR="00F144A1">
        <w:t>rate</w:t>
      </w:r>
      <w:r w:rsidR="00C948B1">
        <w:t xml:space="preserve"> use a load-based percentage to allocate the costs of the feeder and su</w:t>
      </w:r>
      <w:r w:rsidR="0032685E">
        <w:t xml:space="preserve">bstation unique to each campus, with the resulting cost for each campus </w:t>
      </w:r>
      <w:r w:rsidR="00F144A1">
        <w:t xml:space="preserve">divided </w:t>
      </w:r>
      <w:r w:rsidR="0032685E">
        <w:t xml:space="preserve">by the same test year coincident demand used to derive the transformer </w:t>
      </w:r>
      <w:r w:rsidR="00F144A1">
        <w:t>rates</w:t>
      </w:r>
      <w:r w:rsidR="0032685E">
        <w:t>.</w:t>
      </w:r>
      <w:r w:rsidR="00C948B1">
        <w:t xml:space="preserve"> </w:t>
      </w:r>
    </w:p>
    <w:p w:rsidR="0032685E" w:rsidRPr="001919C4" w:rsidRDefault="0032685E" w:rsidP="00734EBA">
      <w:pPr>
        <w:pStyle w:val="answer"/>
        <w:rPr>
          <w:b/>
        </w:rPr>
      </w:pPr>
      <w:r w:rsidRPr="001919C4">
        <w:rPr>
          <w:b/>
        </w:rPr>
        <w:t>Q.</w:t>
      </w:r>
      <w:r w:rsidRPr="001919C4">
        <w:rPr>
          <w:b/>
        </w:rPr>
        <w:tab/>
      </w:r>
      <w:r w:rsidR="002633EA">
        <w:rPr>
          <w:b/>
        </w:rPr>
        <w:t xml:space="preserve">Has PSE identified errors in </w:t>
      </w:r>
      <w:r w:rsidRPr="001919C4">
        <w:rPr>
          <w:b/>
        </w:rPr>
        <w:t xml:space="preserve">these calculations </w:t>
      </w:r>
      <w:r w:rsidR="002633EA">
        <w:rPr>
          <w:b/>
        </w:rPr>
        <w:t xml:space="preserve">since filing its direct </w:t>
      </w:r>
      <w:r w:rsidRPr="001919C4">
        <w:rPr>
          <w:b/>
        </w:rPr>
        <w:t>case?</w:t>
      </w:r>
    </w:p>
    <w:p w:rsidR="009A6E26" w:rsidRDefault="0032685E" w:rsidP="00734EBA">
      <w:pPr>
        <w:pStyle w:val="answer"/>
      </w:pPr>
      <w:r>
        <w:t>A.</w:t>
      </w:r>
      <w:r>
        <w:tab/>
      </w:r>
      <w:r w:rsidR="002633EA">
        <w:t>Yes</w:t>
      </w:r>
      <w:r>
        <w:t xml:space="preserve">.  As discussed in PSE’s Response to WUTC Data Request No. 101, </w:t>
      </w:r>
      <w:r w:rsidR="009E40D0">
        <w:t xml:space="preserve">which is provided as </w:t>
      </w:r>
      <w:proofErr w:type="spellStart"/>
      <w:r w:rsidR="009E40D0">
        <w:t>Exh</w:t>
      </w:r>
      <w:proofErr w:type="spellEnd"/>
      <w:r w:rsidR="009E40D0">
        <w:t xml:space="preserve">. JAP-35, </w:t>
      </w:r>
      <w:r w:rsidR="001919C4">
        <w:t>t</w:t>
      </w:r>
      <w:r w:rsidRPr="0032685E">
        <w:t>he customer specific distribution feeder and substation charges were initially calculated incorrectly.  Specifically, t</w:t>
      </w:r>
      <w:r w:rsidR="00C948B1">
        <w:t>he database used to calculate th</w:t>
      </w:r>
      <w:r>
        <w:t>e</w:t>
      </w:r>
      <w:r w:rsidR="00C948B1">
        <w:t xml:space="preserve"> load</w:t>
      </w:r>
      <w:r>
        <w:t>-</w:t>
      </w:r>
      <w:r w:rsidR="00C948B1">
        <w:t xml:space="preserve">weighted percentage </w:t>
      </w:r>
      <w:r>
        <w:t xml:space="preserve">for allocating feeder and substation costs </w:t>
      </w:r>
      <w:r w:rsidR="00C948B1">
        <w:t xml:space="preserve">in the original filing </w:t>
      </w:r>
      <w:r>
        <w:t xml:space="preserve">only contained </w:t>
      </w:r>
      <w:r w:rsidR="00C948B1">
        <w:t xml:space="preserve">a subset of the actual customer load data for each circuit and substation.  </w:t>
      </w:r>
      <w:r w:rsidR="001919C4">
        <w:t xml:space="preserve">As a result, the load share </w:t>
      </w:r>
      <w:r w:rsidR="008E4B09">
        <w:t xml:space="preserve">of various distribution feeders and substations </w:t>
      </w:r>
      <w:r w:rsidR="001919C4">
        <w:t>attributed to many Schedule 40 campuses was overstated.</w:t>
      </w:r>
      <w:r w:rsidR="00F144A1">
        <w:t xml:space="preserve"> This resulted in similarly overstated rates for many campuses.</w:t>
      </w:r>
      <w:r w:rsidR="001919C4">
        <w:t xml:space="preserve"> </w:t>
      </w:r>
    </w:p>
    <w:p w:rsidR="001919C4" w:rsidRPr="001919C4" w:rsidRDefault="001919C4" w:rsidP="00734EBA">
      <w:pPr>
        <w:pStyle w:val="answer"/>
        <w:rPr>
          <w:b/>
        </w:rPr>
      </w:pPr>
      <w:r w:rsidRPr="001919C4">
        <w:rPr>
          <w:b/>
        </w:rPr>
        <w:t>Q.</w:t>
      </w:r>
      <w:r w:rsidRPr="00B46B5F">
        <w:rPr>
          <w:b/>
        </w:rPr>
        <w:tab/>
      </w:r>
      <w:r w:rsidR="00B46B5F" w:rsidRPr="00B46B5F">
        <w:rPr>
          <w:b/>
        </w:rPr>
        <w:t xml:space="preserve">Has PSE </w:t>
      </w:r>
      <w:r w:rsidR="001578FF">
        <w:rPr>
          <w:b/>
        </w:rPr>
        <w:t xml:space="preserve">correctly </w:t>
      </w:r>
      <w:r w:rsidR="00B46B5F" w:rsidRPr="00B46B5F">
        <w:rPr>
          <w:b/>
        </w:rPr>
        <w:t xml:space="preserve">recalculated the customer-specific distribution feeder </w:t>
      </w:r>
      <w:r w:rsidR="008E4B09">
        <w:rPr>
          <w:b/>
        </w:rPr>
        <w:t xml:space="preserve">and substation </w:t>
      </w:r>
      <w:r w:rsidR="00B46B5F" w:rsidRPr="00B46B5F">
        <w:rPr>
          <w:b/>
        </w:rPr>
        <w:t>costs and associated rates?</w:t>
      </w:r>
    </w:p>
    <w:p w:rsidR="001919C4" w:rsidRDefault="001919C4" w:rsidP="00734EBA">
      <w:pPr>
        <w:pStyle w:val="answer"/>
      </w:pPr>
      <w:r>
        <w:lastRenderedPageBreak/>
        <w:t>A.</w:t>
      </w:r>
      <w:r>
        <w:tab/>
        <w:t>Yes.  The results were provided</w:t>
      </w:r>
      <w:r w:rsidR="003710C2">
        <w:t xml:space="preserve"> to the parties in </w:t>
      </w:r>
      <w:r>
        <w:t xml:space="preserve"> PSE’s Response to WUTC Data Request No. 101 and are provided </w:t>
      </w:r>
      <w:r w:rsidR="00F144A1">
        <w:t xml:space="preserve">as </w:t>
      </w:r>
      <w:r w:rsidR="003710C2">
        <w:t>workpapers supporting</w:t>
      </w:r>
      <w:r w:rsidR="00F144A1">
        <w:t xml:space="preserve"> my supplemental testimony</w:t>
      </w:r>
      <w:r w:rsidR="003710C2">
        <w:t>.</w:t>
      </w:r>
      <w:r w:rsidR="00F144A1">
        <w:t xml:space="preserve"> </w:t>
      </w:r>
    </w:p>
    <w:p w:rsidR="001919C4" w:rsidRPr="001919C4" w:rsidRDefault="001919C4" w:rsidP="00734EBA">
      <w:pPr>
        <w:pStyle w:val="answer"/>
        <w:rPr>
          <w:b/>
        </w:rPr>
      </w:pPr>
      <w:r w:rsidRPr="001919C4">
        <w:rPr>
          <w:b/>
        </w:rPr>
        <w:t>Q.</w:t>
      </w:r>
      <w:r w:rsidRPr="001919C4">
        <w:rPr>
          <w:b/>
        </w:rPr>
        <w:tab/>
        <w:t xml:space="preserve">What are the implications </w:t>
      </w:r>
      <w:r w:rsidR="001578FF">
        <w:rPr>
          <w:b/>
        </w:rPr>
        <w:t xml:space="preserve">of these corrected calculations </w:t>
      </w:r>
      <w:r w:rsidRPr="001919C4">
        <w:rPr>
          <w:b/>
        </w:rPr>
        <w:t>for customers not served under Schedule 40?</w:t>
      </w:r>
    </w:p>
    <w:p w:rsidR="00B46B5F" w:rsidRDefault="001919C4" w:rsidP="00734EBA">
      <w:pPr>
        <w:pStyle w:val="answer"/>
      </w:pPr>
      <w:r>
        <w:t>A.</w:t>
      </w:r>
      <w:r>
        <w:tab/>
        <w:t xml:space="preserve">Since the feeder and substation costs were over-allocated to Schedule 40 customers, and therefore included in their rates, a corresponding amount was under-allocated to other customers, and therefore not included in </w:t>
      </w:r>
      <w:r w:rsidR="00F144A1">
        <w:t>the rates of other customers</w:t>
      </w:r>
      <w:r>
        <w:t xml:space="preserve">.  </w:t>
      </w:r>
      <w:r w:rsidR="00B46B5F">
        <w:t>The net effect of the corrected calculations was to reduce the distribution rates for most customers</w:t>
      </w:r>
      <w:r w:rsidR="008E4B09">
        <w:rPr>
          <w:rStyle w:val="FootnoteReference"/>
        </w:rPr>
        <w:footnoteReference w:id="1"/>
      </w:r>
      <w:r w:rsidR="00B46B5F">
        <w:t xml:space="preserve"> served under Schedule 40</w:t>
      </w:r>
      <w:r w:rsidR="001578FF">
        <w:t xml:space="preserve"> and increase them slightly for other customers</w:t>
      </w:r>
      <w:r w:rsidR="00B46B5F" w:rsidRPr="003B5206">
        <w:t>.</w:t>
      </w:r>
    </w:p>
    <w:p w:rsidR="001919C4" w:rsidRPr="001919C4" w:rsidRDefault="001919C4" w:rsidP="00734EBA">
      <w:pPr>
        <w:pStyle w:val="answer"/>
        <w:rPr>
          <w:b/>
        </w:rPr>
      </w:pPr>
      <w:r w:rsidRPr="001919C4">
        <w:rPr>
          <w:b/>
        </w:rPr>
        <w:t>Q.</w:t>
      </w:r>
      <w:r w:rsidRPr="001919C4">
        <w:rPr>
          <w:b/>
        </w:rPr>
        <w:tab/>
        <w:t xml:space="preserve">Has PSE reflected the correctly allocated costs in </w:t>
      </w:r>
      <w:r w:rsidR="001578FF">
        <w:rPr>
          <w:b/>
        </w:rPr>
        <w:t>this supplemental filing</w:t>
      </w:r>
      <w:r w:rsidRPr="001919C4">
        <w:rPr>
          <w:b/>
        </w:rPr>
        <w:t>?</w:t>
      </w:r>
    </w:p>
    <w:p w:rsidR="001919C4" w:rsidRPr="003B5206" w:rsidRDefault="001919C4" w:rsidP="00734EBA">
      <w:pPr>
        <w:pStyle w:val="answer"/>
      </w:pPr>
      <w:r>
        <w:t>A.</w:t>
      </w:r>
      <w:r>
        <w:tab/>
        <w:t xml:space="preserve">Yes.  Along with the other changes being proposed as part of this </w:t>
      </w:r>
      <w:r w:rsidR="00592644">
        <w:t>s</w:t>
      </w:r>
      <w:r>
        <w:t xml:space="preserve">upplemental </w:t>
      </w:r>
      <w:r w:rsidR="00592644">
        <w:t>f</w:t>
      </w:r>
      <w:r>
        <w:t>iling, PSE incorporated the corrected allocations in the overall results presented later in this testimony.</w:t>
      </w:r>
    </w:p>
    <w:p w:rsidR="009A6E26" w:rsidRPr="003B5206" w:rsidRDefault="009A6E26" w:rsidP="00734EBA">
      <w:pPr>
        <w:pStyle w:val="question"/>
      </w:pPr>
      <w:r w:rsidRPr="003B5206">
        <w:t>Q.</w:t>
      </w:r>
      <w:r w:rsidRPr="003B5206">
        <w:tab/>
      </w:r>
      <w:r w:rsidR="001F0B61">
        <w:t xml:space="preserve">Is PSE </w:t>
      </w:r>
      <w:r w:rsidR="001578FF">
        <w:t xml:space="preserve">also </w:t>
      </w:r>
      <w:r w:rsidR="001F0B61">
        <w:t>filing corrected tariff sheets to reflect these corrected calculations</w:t>
      </w:r>
      <w:r w:rsidRPr="003B5206">
        <w:t>?</w:t>
      </w:r>
    </w:p>
    <w:p w:rsidR="009A6E26" w:rsidRPr="003B5206" w:rsidRDefault="009A6E26" w:rsidP="00734EBA">
      <w:pPr>
        <w:pStyle w:val="answer"/>
      </w:pPr>
      <w:r w:rsidRPr="003B5206">
        <w:t>A.</w:t>
      </w:r>
      <w:r w:rsidRPr="003B5206">
        <w:tab/>
      </w:r>
      <w:r w:rsidR="001F0B61">
        <w:t>No</w:t>
      </w:r>
      <w:r w:rsidR="008E4B09">
        <w:t>t at this time</w:t>
      </w:r>
      <w:r w:rsidR="001F0B61">
        <w:t xml:space="preserve">. </w:t>
      </w:r>
      <w:r>
        <w:t xml:space="preserve">PSE proposes to update the </w:t>
      </w:r>
      <w:r w:rsidR="001F0B61">
        <w:t xml:space="preserve">allocation of costs to rate classes and the </w:t>
      </w:r>
      <w:r>
        <w:t>calculation of all rates</w:t>
      </w:r>
      <w:r w:rsidR="008E4B09">
        <w:t>, including</w:t>
      </w:r>
      <w:r w:rsidR="001F0B61">
        <w:t xml:space="preserve"> those for Schedule 40,</w:t>
      </w:r>
      <w:r>
        <w:t xml:space="preserve"> in its compliance </w:t>
      </w:r>
      <w:r w:rsidR="001F0B61">
        <w:lastRenderedPageBreak/>
        <w:t xml:space="preserve">tariff </w:t>
      </w:r>
      <w:r>
        <w:t>filing to reflect the approved revenue requirement</w:t>
      </w:r>
      <w:r w:rsidRPr="003B5206">
        <w:t>.</w:t>
      </w:r>
      <w:r w:rsidR="0021264C">
        <w:t xml:space="preserve">  However, PSE felt it was important to provide an update of the proposed rates and their calculations at this time to reflect these and other changes discussed in this testimony.  </w:t>
      </w:r>
    </w:p>
    <w:p w:rsidR="002F77A9" w:rsidRPr="009075DC" w:rsidRDefault="002F77A9" w:rsidP="00734EBA">
      <w:pPr>
        <w:pStyle w:val="Heading1"/>
        <w:rPr>
          <w:rFonts w:eastAsia="SimSun"/>
        </w:rPr>
      </w:pPr>
      <w:bookmarkStart w:id="9" w:name="_Toc478935877"/>
      <w:r w:rsidRPr="009075DC">
        <w:rPr>
          <w:rFonts w:eastAsia="SimSun"/>
        </w:rPr>
        <w:t>I</w:t>
      </w:r>
      <w:r>
        <w:rPr>
          <w:rFonts w:eastAsia="SimSun"/>
        </w:rPr>
        <w:t>I</w:t>
      </w:r>
      <w:r w:rsidRPr="009075DC">
        <w:rPr>
          <w:rFonts w:eastAsia="SimSun"/>
        </w:rPr>
        <w:t>I.</w:t>
      </w:r>
      <w:r w:rsidRPr="009075DC">
        <w:rPr>
          <w:rFonts w:eastAsia="SimSun"/>
        </w:rPr>
        <w:tab/>
      </w:r>
      <w:r>
        <w:rPr>
          <w:rFonts w:eastAsia="SimSun"/>
        </w:rPr>
        <w:t xml:space="preserve">UPDATE TO </w:t>
      </w:r>
      <w:r w:rsidR="008E0AD5">
        <w:rPr>
          <w:rFonts w:eastAsia="SimSun"/>
        </w:rPr>
        <w:t>NATURAL GAS</w:t>
      </w:r>
      <w:r>
        <w:rPr>
          <w:rFonts w:eastAsia="SimSun"/>
        </w:rPr>
        <w:t xml:space="preserve"> </w:t>
      </w:r>
      <w:r w:rsidR="008E0AD5">
        <w:rPr>
          <w:rFonts w:eastAsia="SimSun"/>
        </w:rPr>
        <w:t>PRO FORMA</w:t>
      </w:r>
      <w:r>
        <w:rPr>
          <w:rFonts w:eastAsia="SimSun"/>
        </w:rPr>
        <w:t xml:space="preserve"> REVENUE</w:t>
      </w:r>
      <w:bookmarkEnd w:id="9"/>
      <w:r w:rsidRPr="009075DC">
        <w:rPr>
          <w:rFonts w:eastAsia="SimSun"/>
        </w:rPr>
        <w:t xml:space="preserve"> </w:t>
      </w:r>
    </w:p>
    <w:p w:rsidR="00C65285" w:rsidRPr="009075DC" w:rsidRDefault="00C65285" w:rsidP="00734EBA">
      <w:pPr>
        <w:pStyle w:val="question"/>
      </w:pPr>
      <w:r w:rsidRPr="009075DC">
        <w:t>Q.</w:t>
      </w:r>
      <w:r w:rsidRPr="009075DC">
        <w:tab/>
      </w:r>
      <w:r w:rsidR="00430D30">
        <w:t>Has PSE</w:t>
      </w:r>
      <w:r w:rsidR="00F144A1">
        <w:t xml:space="preserve"> discovered any errors</w:t>
      </w:r>
      <w:r w:rsidR="00430D30">
        <w:t xml:space="preserve"> that would impact its filed </w:t>
      </w:r>
      <w:r w:rsidR="008E0AD5">
        <w:t>natural gas</w:t>
      </w:r>
      <w:r w:rsidR="00430D30">
        <w:t xml:space="preserve"> </w:t>
      </w:r>
      <w:r w:rsidR="008E0AD5">
        <w:t>pro forma</w:t>
      </w:r>
      <w:r w:rsidR="00430D30">
        <w:t xml:space="preserve"> revenue?</w:t>
      </w:r>
      <w:r w:rsidRPr="009075DC">
        <w:t xml:space="preserve">  </w:t>
      </w:r>
    </w:p>
    <w:p w:rsidR="0092521F" w:rsidRDefault="00C65285" w:rsidP="00734EBA">
      <w:pPr>
        <w:pStyle w:val="answer"/>
      </w:pPr>
      <w:r>
        <w:t>A.</w:t>
      </w:r>
      <w:r>
        <w:tab/>
      </w:r>
      <w:r w:rsidR="00430D30">
        <w:t xml:space="preserve">Yes.  Subsequent to its filing on January 13, 2017, PSE discovered an error </w:t>
      </w:r>
      <w:r w:rsidR="00CE17E6">
        <w:t xml:space="preserve">in </w:t>
      </w:r>
      <w:r w:rsidR="00430D30">
        <w:t xml:space="preserve">its weather normalization calculations for </w:t>
      </w:r>
      <w:r w:rsidR="008E0AD5">
        <w:t>natural gas</w:t>
      </w:r>
      <w:r w:rsidR="00430D30">
        <w:t xml:space="preserve"> service, where an incorrect historic period was used to estimate the </w:t>
      </w:r>
      <w:r w:rsidR="008E0AD5">
        <w:t>natural gas</w:t>
      </w:r>
      <w:r w:rsidR="00430D30">
        <w:t xml:space="preserve"> weather normalization coefficients</w:t>
      </w:r>
      <w:r>
        <w:t>.</w:t>
      </w:r>
      <w:r w:rsidR="00430D30">
        <w:t xml:space="preserve">  </w:t>
      </w:r>
      <w:r w:rsidR="0092521F">
        <w:t xml:space="preserve">This error was first reported in PSE’s Response to WUTC Data Request No. 006 and was further explained in PSE’s Response to WUTC Data Request No. 046, which are </w:t>
      </w:r>
      <w:r w:rsidR="003710C2">
        <w:t>provided</w:t>
      </w:r>
      <w:r w:rsidR="0092521F">
        <w:t xml:space="preserve"> as </w:t>
      </w:r>
      <w:proofErr w:type="spellStart"/>
      <w:r w:rsidR="0092521F">
        <w:t>Exh</w:t>
      </w:r>
      <w:proofErr w:type="spellEnd"/>
      <w:r w:rsidR="003710C2">
        <w:t xml:space="preserve">. </w:t>
      </w:r>
      <w:r w:rsidR="0092521F">
        <w:t>JAP-</w:t>
      </w:r>
      <w:r w:rsidR="0026646A">
        <w:t>36</w:t>
      </w:r>
      <w:r w:rsidR="0092521F">
        <w:t>.  As noted in part (b) of PSE’s Response to WUTC Data Request No. 046, the impact of this error was to reduce PSE’s natural gas pro forma revenue by $50,044.</w:t>
      </w:r>
    </w:p>
    <w:p w:rsidR="00C65285" w:rsidRPr="0092521F" w:rsidRDefault="00C65285" w:rsidP="00734EBA">
      <w:pPr>
        <w:pStyle w:val="answer"/>
        <w:rPr>
          <w:rFonts w:eastAsia="SimSun"/>
          <w:b/>
        </w:rPr>
      </w:pPr>
      <w:r w:rsidRPr="0092521F">
        <w:rPr>
          <w:rFonts w:eastAsia="SimSun"/>
          <w:b/>
        </w:rPr>
        <w:t>Q.</w:t>
      </w:r>
      <w:r w:rsidRPr="0092521F">
        <w:rPr>
          <w:rFonts w:eastAsia="SimSun"/>
          <w:b/>
        </w:rPr>
        <w:tab/>
      </w:r>
      <w:r w:rsidR="00592644" w:rsidRPr="0092521F">
        <w:rPr>
          <w:rFonts w:eastAsia="SimSun"/>
          <w:b/>
        </w:rPr>
        <w:t>Has PSE reflected these corrected amounts in this supplemental filing?</w:t>
      </w:r>
      <w:r w:rsidRPr="0092521F">
        <w:rPr>
          <w:rFonts w:eastAsia="SimSun"/>
          <w:b/>
        </w:rPr>
        <w:t xml:space="preserve">  </w:t>
      </w:r>
    </w:p>
    <w:p w:rsidR="00A1527A" w:rsidRDefault="00C65285" w:rsidP="00734EBA">
      <w:pPr>
        <w:pStyle w:val="answer"/>
      </w:pPr>
      <w:r>
        <w:t>A.</w:t>
      </w:r>
      <w:r>
        <w:tab/>
      </w:r>
      <w:r w:rsidR="00592644">
        <w:t xml:space="preserve">Yes.  The updated </w:t>
      </w:r>
      <w:r w:rsidR="008E0AD5">
        <w:t>natural gas</w:t>
      </w:r>
      <w:r w:rsidR="00592644">
        <w:t xml:space="preserve"> </w:t>
      </w:r>
      <w:r w:rsidR="008E0AD5">
        <w:t>pro forma</w:t>
      </w:r>
      <w:r w:rsidR="00592644">
        <w:t xml:space="preserve"> revenue is reflected in this supplemental filing.  For ease of reference,</w:t>
      </w:r>
      <w:r w:rsidR="008E4B09">
        <w:t xml:space="preserve"> the updated </w:t>
      </w:r>
      <w:r w:rsidR="008E0AD5">
        <w:t>natural gas</w:t>
      </w:r>
      <w:r w:rsidR="008E4B09">
        <w:t xml:space="preserve"> pro forma revenue</w:t>
      </w:r>
      <w:r w:rsidR="00592644">
        <w:t xml:space="preserve"> is presented in </w:t>
      </w:r>
      <w:proofErr w:type="spellStart"/>
      <w:r w:rsidR="00592644">
        <w:t>Exh</w:t>
      </w:r>
      <w:proofErr w:type="spellEnd"/>
      <w:r w:rsidR="0048269E">
        <w:t xml:space="preserve">. </w:t>
      </w:r>
      <w:r w:rsidR="00592644">
        <w:t>JAP-</w:t>
      </w:r>
      <w:r w:rsidR="0026646A">
        <w:t>37</w:t>
      </w:r>
      <w:r w:rsidR="00592644">
        <w:t>, updat</w:t>
      </w:r>
      <w:r w:rsidR="00F144A1">
        <w:t>ing</w:t>
      </w:r>
      <w:r w:rsidR="00592644">
        <w:t xml:space="preserve"> the amounts previously presented in </w:t>
      </w:r>
      <w:proofErr w:type="spellStart"/>
      <w:r w:rsidR="0026646A">
        <w:t>Exh</w:t>
      </w:r>
      <w:proofErr w:type="spellEnd"/>
      <w:r w:rsidR="0026646A">
        <w:t xml:space="preserve">. </w:t>
      </w:r>
      <w:r w:rsidR="00592644">
        <w:t>JAP-4</w:t>
      </w:r>
      <w:r>
        <w:t>.</w:t>
      </w:r>
      <w:r w:rsidR="0021264C">
        <w:t xml:space="preserve">  These updated pro forma revenue are also used to calculate the new revenue deficiency discussed in the </w:t>
      </w:r>
      <w:proofErr w:type="spellStart"/>
      <w:r w:rsidR="0021264C">
        <w:t>Prefiled</w:t>
      </w:r>
      <w:proofErr w:type="spellEnd"/>
      <w:r w:rsidR="0021264C">
        <w:t xml:space="preserve"> Supplemental Direct Testimony of</w:t>
      </w:r>
      <w:r w:rsidR="006065BA">
        <w:t xml:space="preserve"> Ms.</w:t>
      </w:r>
      <w:r w:rsidR="0021264C">
        <w:t xml:space="preserve"> Susan E. Free, </w:t>
      </w:r>
      <w:proofErr w:type="spellStart"/>
      <w:r w:rsidR="0021264C">
        <w:t>Exh</w:t>
      </w:r>
      <w:proofErr w:type="spellEnd"/>
      <w:r w:rsidR="0021264C">
        <w:t>.</w:t>
      </w:r>
      <w:r w:rsidR="0048269E">
        <w:t xml:space="preserve"> </w:t>
      </w:r>
      <w:r w:rsidR="0021264C">
        <w:t>SEF-8T.</w:t>
      </w:r>
    </w:p>
    <w:p w:rsidR="00FC5841" w:rsidRPr="009075DC" w:rsidRDefault="00FC5841" w:rsidP="00734EBA">
      <w:pPr>
        <w:pStyle w:val="Heading1"/>
        <w:rPr>
          <w:rFonts w:eastAsia="SimSun"/>
        </w:rPr>
      </w:pPr>
      <w:bookmarkStart w:id="10" w:name="_Toc478935878"/>
      <w:r w:rsidRPr="009075DC">
        <w:rPr>
          <w:rFonts w:eastAsia="SimSun"/>
        </w:rPr>
        <w:lastRenderedPageBreak/>
        <w:t>I</w:t>
      </w:r>
      <w:r w:rsidR="002F77A9">
        <w:rPr>
          <w:rFonts w:eastAsia="SimSun"/>
        </w:rPr>
        <w:t>V</w:t>
      </w:r>
      <w:r w:rsidRPr="009075DC">
        <w:rPr>
          <w:rFonts w:eastAsia="SimSun"/>
        </w:rPr>
        <w:t>.</w:t>
      </w:r>
      <w:r w:rsidRPr="009075DC">
        <w:rPr>
          <w:rFonts w:eastAsia="SimSun"/>
        </w:rPr>
        <w:tab/>
      </w:r>
      <w:r w:rsidR="00330580">
        <w:rPr>
          <w:rFonts w:eastAsia="SimSun"/>
        </w:rPr>
        <w:t>UPDATED ESTIMATES FOR RESIDENTIAL ELECTRIC THIRD-BLOCK RATES</w:t>
      </w:r>
      <w:bookmarkEnd w:id="10"/>
      <w:r w:rsidRPr="009075DC">
        <w:rPr>
          <w:rFonts w:eastAsia="SimSun"/>
        </w:rPr>
        <w:t xml:space="preserve"> </w:t>
      </w:r>
    </w:p>
    <w:p w:rsidR="00C65285" w:rsidRPr="009075DC" w:rsidRDefault="00C65285" w:rsidP="00734EBA">
      <w:pPr>
        <w:pStyle w:val="question"/>
      </w:pPr>
      <w:r w:rsidRPr="009075DC">
        <w:t>Q.</w:t>
      </w:r>
      <w:r w:rsidRPr="009075DC">
        <w:tab/>
      </w:r>
      <w:r w:rsidR="00792710">
        <w:t>Please provide an overview of how PSE developed its third</w:t>
      </w:r>
      <w:r w:rsidR="0048269E">
        <w:t>-</w:t>
      </w:r>
      <w:r w:rsidR="00792710">
        <w:t>block electric residential rate</w:t>
      </w:r>
      <w:r w:rsidRPr="009075DC">
        <w:t xml:space="preserve">.  </w:t>
      </w:r>
    </w:p>
    <w:p w:rsidR="00C65285" w:rsidRDefault="00C65285" w:rsidP="00734EBA">
      <w:pPr>
        <w:pStyle w:val="answer"/>
      </w:pPr>
      <w:r>
        <w:t>A.</w:t>
      </w:r>
      <w:r>
        <w:tab/>
      </w:r>
      <w:r w:rsidR="00792710">
        <w:t>The third</w:t>
      </w:r>
      <w:r w:rsidR="0048269E">
        <w:t>-</w:t>
      </w:r>
      <w:r w:rsidR="00792710">
        <w:t xml:space="preserve">block electric residential rate </w:t>
      </w:r>
      <w:r w:rsidR="00F144A1">
        <w:t xml:space="preserve">calculated in PSE’s original filing </w:t>
      </w:r>
      <w:r w:rsidR="00792710">
        <w:t xml:space="preserve">was set at a level </w:t>
      </w:r>
      <w:r w:rsidR="00F144A1">
        <w:t xml:space="preserve">that </w:t>
      </w:r>
      <w:r w:rsidR="00792710">
        <w:t>reflect</w:t>
      </w:r>
      <w:r w:rsidR="00F144A1">
        <w:t>s</w:t>
      </w:r>
      <w:r w:rsidR="00792710">
        <w:t xml:space="preserve"> PSE’s long run avoided cost of power and delivery</w:t>
      </w:r>
      <w:r>
        <w:t>.</w:t>
      </w:r>
      <w:r w:rsidR="00792710">
        <w:t xml:space="preserve">  This includes the avoided cost of generation, transmission and distribution capacity</w:t>
      </w:r>
      <w:r w:rsidR="00F144A1">
        <w:t>;</w:t>
      </w:r>
      <w:r w:rsidR="00792710">
        <w:t xml:space="preserve"> energy costs</w:t>
      </w:r>
      <w:r w:rsidR="00F144A1">
        <w:t>;</w:t>
      </w:r>
      <w:r w:rsidR="00792710">
        <w:t xml:space="preserve"> line losses</w:t>
      </w:r>
      <w:r w:rsidR="00421A4E">
        <w:t>;</w:t>
      </w:r>
      <w:r w:rsidR="00792710">
        <w:t xml:space="preserve"> and an adder for conservation benefits.  </w:t>
      </w:r>
      <w:r w:rsidR="00235E91">
        <w:t xml:space="preserve">PSE used the then-current </w:t>
      </w:r>
      <w:r w:rsidR="00792710">
        <w:t>assumptions in these calculations</w:t>
      </w:r>
      <w:r w:rsidR="00235E91">
        <w:t>.</w:t>
      </w:r>
      <w:r w:rsidR="00792710">
        <w:t xml:space="preserve">  </w:t>
      </w:r>
    </w:p>
    <w:p w:rsidR="00C65285" w:rsidRPr="009075DC" w:rsidRDefault="00C65285" w:rsidP="00734EBA">
      <w:pPr>
        <w:pStyle w:val="question"/>
      </w:pPr>
      <w:r w:rsidRPr="009075DC">
        <w:t>Q.</w:t>
      </w:r>
      <w:r w:rsidRPr="009075DC">
        <w:tab/>
      </w:r>
      <w:r w:rsidR="00235E91">
        <w:t>What did the results of this analysis show in the original filing?</w:t>
      </w:r>
      <w:r w:rsidRPr="009075DC">
        <w:t xml:space="preserve">  </w:t>
      </w:r>
    </w:p>
    <w:p w:rsidR="00C65285" w:rsidRDefault="00C65285" w:rsidP="00734EBA">
      <w:pPr>
        <w:pStyle w:val="answer"/>
      </w:pPr>
      <w:r>
        <w:t>A.</w:t>
      </w:r>
      <w:r>
        <w:tab/>
      </w:r>
      <w:r w:rsidR="00235E91">
        <w:t xml:space="preserve">It showed that the long run avoided cost for residential electric service was below the current second tier block rate, leading PSE to the conclusion that </w:t>
      </w:r>
      <w:r w:rsidR="00F144A1">
        <w:t>this</w:t>
      </w:r>
      <w:r w:rsidR="00235E91">
        <w:t xml:space="preserve"> may not be </w:t>
      </w:r>
      <w:r w:rsidR="00F144A1">
        <w:t>an</w:t>
      </w:r>
      <w:r w:rsidR="00235E91">
        <w:t xml:space="preserve"> appropriate time to implement a three</w:t>
      </w:r>
      <w:r w:rsidR="0048269E">
        <w:t>-</w:t>
      </w:r>
      <w:r w:rsidR="00235E91">
        <w:t>block rate structure.</w:t>
      </w:r>
    </w:p>
    <w:p w:rsidR="00235E91" w:rsidRPr="009075DC" w:rsidRDefault="00235E91" w:rsidP="00734EBA">
      <w:pPr>
        <w:pStyle w:val="question"/>
      </w:pPr>
      <w:r w:rsidRPr="009075DC">
        <w:t>Q.</w:t>
      </w:r>
      <w:r w:rsidRPr="009075DC">
        <w:tab/>
      </w:r>
      <w:r>
        <w:t>Have any of the assumptions used for this analysis changed since the original filing?</w:t>
      </w:r>
      <w:r w:rsidRPr="009075DC">
        <w:t xml:space="preserve">  </w:t>
      </w:r>
    </w:p>
    <w:p w:rsidR="00235E91" w:rsidRDefault="00235E91" w:rsidP="00734EBA">
      <w:pPr>
        <w:pStyle w:val="answer"/>
      </w:pPr>
      <w:r>
        <w:t>A.</w:t>
      </w:r>
      <w:r>
        <w:tab/>
        <w:t>Yes.  The original filing used, in part, assumptions tied to its Schedule 91 rate, which also reflects long-run avoided costs.  At the time of the general rate case filing, a new set of rates for Schedule 91 was being considered by the Commission</w:t>
      </w:r>
      <w:r w:rsidR="00421A4E">
        <w:t>,</w:t>
      </w:r>
      <w:r>
        <w:t xml:space="preserve"> and the assumptions underlying those proposed rates were used to support the third</w:t>
      </w:r>
      <w:r w:rsidR="0048269E">
        <w:t>-</w:t>
      </w:r>
      <w:r>
        <w:t>block rate calculations</w:t>
      </w:r>
      <w:r w:rsidR="00FD00D4">
        <w:t xml:space="preserve"> in PSE’s direct filing</w:t>
      </w:r>
      <w:r>
        <w:t>.  Subsequent to PSE’s rate case filing, it made changes recommended by Commission Staff to assumptions used to calculate the rates</w:t>
      </w:r>
      <w:r w:rsidR="00262E08">
        <w:t xml:space="preserve"> with</w:t>
      </w:r>
      <w:r w:rsidR="00F144A1">
        <w:t>in</w:t>
      </w:r>
      <w:r w:rsidR="00262E08">
        <w:t xml:space="preserve"> Schedule 91.  These changes </w:t>
      </w:r>
      <w:r w:rsidR="007A1265">
        <w:lastRenderedPageBreak/>
        <w:t xml:space="preserve">related </w:t>
      </w:r>
      <w:r w:rsidR="00262E08">
        <w:t>to the assumed avoided generation capacity costs, which raised them in the first five years of the projections and lowered them in the later years</w:t>
      </w:r>
      <w:r>
        <w:t>.</w:t>
      </w:r>
      <w:r w:rsidR="00262E08">
        <w:t xml:space="preserve"> These Schedule 91 rates were subsequently approved in Docket UE-161240.</w:t>
      </w:r>
    </w:p>
    <w:p w:rsidR="00235E91" w:rsidRPr="009075DC" w:rsidRDefault="00235E91" w:rsidP="00734EBA">
      <w:pPr>
        <w:pStyle w:val="question"/>
      </w:pPr>
      <w:r w:rsidRPr="009075DC">
        <w:t>Q.</w:t>
      </w:r>
      <w:r w:rsidRPr="009075DC">
        <w:tab/>
      </w:r>
      <w:r w:rsidR="00262E08">
        <w:t>Has PSE updated its third</w:t>
      </w:r>
      <w:r w:rsidR="0048269E">
        <w:t>-</w:t>
      </w:r>
      <w:r w:rsidR="00262E08">
        <w:t>block residential electric rate calculations to reflect its updated avoided cost assumptions?</w:t>
      </w:r>
      <w:r w:rsidRPr="009075DC">
        <w:t xml:space="preserve">  </w:t>
      </w:r>
    </w:p>
    <w:p w:rsidR="00235E91" w:rsidRDefault="00235E91" w:rsidP="00734EBA">
      <w:pPr>
        <w:pStyle w:val="answer"/>
      </w:pPr>
      <w:r>
        <w:t>A.</w:t>
      </w:r>
      <w:r>
        <w:tab/>
      </w:r>
      <w:r w:rsidR="00262E08">
        <w:t xml:space="preserve">Yes.  A summary of the new results are presented in </w:t>
      </w:r>
      <w:r w:rsidR="001F313C">
        <w:t>the graph below.</w:t>
      </w:r>
    </w:p>
    <w:p w:rsidR="00262E08" w:rsidRPr="00262E08" w:rsidRDefault="00262E08" w:rsidP="00734EBA">
      <w:pPr>
        <w:pStyle w:val="Caption"/>
        <w:keepNext/>
        <w:spacing w:before="240"/>
        <w:jc w:val="center"/>
        <w:rPr>
          <w:sz w:val="36"/>
          <w:szCs w:val="36"/>
        </w:rPr>
      </w:pPr>
      <w:r w:rsidRPr="00262E08">
        <w:rPr>
          <w:sz w:val="36"/>
          <w:szCs w:val="36"/>
        </w:rPr>
        <w:t xml:space="preserve">Figure </w:t>
      </w:r>
      <w:r w:rsidRPr="00262E08">
        <w:rPr>
          <w:sz w:val="36"/>
          <w:szCs w:val="36"/>
        </w:rPr>
        <w:fldChar w:fldCharType="begin"/>
      </w:r>
      <w:r w:rsidRPr="00262E08">
        <w:rPr>
          <w:sz w:val="36"/>
          <w:szCs w:val="36"/>
        </w:rPr>
        <w:instrText xml:space="preserve"> SEQ Figure \* ARABIC </w:instrText>
      </w:r>
      <w:r w:rsidRPr="00262E08">
        <w:rPr>
          <w:sz w:val="36"/>
          <w:szCs w:val="36"/>
        </w:rPr>
        <w:fldChar w:fldCharType="separate"/>
      </w:r>
      <w:r w:rsidR="00B906AA">
        <w:rPr>
          <w:noProof/>
          <w:sz w:val="36"/>
          <w:szCs w:val="36"/>
        </w:rPr>
        <w:t>1</w:t>
      </w:r>
      <w:r w:rsidRPr="00262E08">
        <w:rPr>
          <w:sz w:val="36"/>
          <w:szCs w:val="36"/>
        </w:rPr>
        <w:fldChar w:fldCharType="end"/>
      </w:r>
    </w:p>
    <w:p w:rsidR="00262E08" w:rsidRDefault="00262E08" w:rsidP="00734EBA">
      <w:pPr>
        <w:pStyle w:val="answer"/>
        <w:jc w:val="center"/>
      </w:pPr>
      <w:r w:rsidRPr="00262E08">
        <w:rPr>
          <w:noProof/>
          <w:lang w:eastAsia="en-US"/>
        </w:rPr>
        <w:drawing>
          <wp:inline distT="0" distB="0" distL="0" distR="0" wp14:anchorId="5C271601" wp14:editId="6284088A">
            <wp:extent cx="4805464" cy="4499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037" cy="4503545"/>
                    </a:xfrm>
                    <a:prstGeom prst="rect">
                      <a:avLst/>
                    </a:prstGeom>
                    <a:noFill/>
                    <a:ln>
                      <a:noFill/>
                    </a:ln>
                  </pic:spPr>
                </pic:pic>
              </a:graphicData>
            </a:graphic>
          </wp:inline>
        </w:drawing>
      </w:r>
    </w:p>
    <w:p w:rsidR="0007391C" w:rsidRPr="009075DC" w:rsidRDefault="0007391C" w:rsidP="00734EBA">
      <w:pPr>
        <w:pStyle w:val="question"/>
      </w:pPr>
      <w:r w:rsidRPr="009075DC">
        <w:lastRenderedPageBreak/>
        <w:t>Q.</w:t>
      </w:r>
      <w:r w:rsidRPr="009075DC">
        <w:tab/>
      </w:r>
      <w:r w:rsidR="00262E08">
        <w:t>What is the net effect of these updated third</w:t>
      </w:r>
      <w:r w:rsidR="0048269E">
        <w:t>-</w:t>
      </w:r>
      <w:r w:rsidR="00262E08">
        <w:t>block rate calculations?</w:t>
      </w:r>
      <w:r w:rsidRPr="009075DC">
        <w:t xml:space="preserve">  </w:t>
      </w:r>
    </w:p>
    <w:p w:rsidR="00CE54C8" w:rsidRDefault="00CE54C8" w:rsidP="00734EBA">
      <w:pPr>
        <w:pStyle w:val="answer"/>
      </w:pPr>
      <w:r>
        <w:t>A.</w:t>
      </w:r>
      <w:r>
        <w:tab/>
      </w:r>
      <w:r w:rsidR="00262E08">
        <w:t xml:space="preserve">The net effect </w:t>
      </w:r>
      <w:r w:rsidR="00F144A1">
        <w:t>i</w:t>
      </w:r>
      <w:r w:rsidR="00262E08">
        <w:t>s that the calculated third</w:t>
      </w:r>
      <w:r w:rsidR="0048269E">
        <w:t>-</w:t>
      </w:r>
      <w:r w:rsidR="00262E08">
        <w:t>block rate increased from 8.9742 cents per kWh to 9.7774 per kWh.  However, this continues to be below PSE</w:t>
      </w:r>
      <w:r w:rsidR="00F144A1">
        <w:t>’s</w:t>
      </w:r>
      <w:r w:rsidR="00262E08">
        <w:t xml:space="preserve"> existing tail block rates for residential electric services.  Therefore, PSE’s fundamental conclusion that this </w:t>
      </w:r>
      <w:r w:rsidR="00F144A1">
        <w:t>is</w:t>
      </w:r>
      <w:r w:rsidR="00262E08">
        <w:t xml:space="preserve"> not the appropriate time to adopt a third</w:t>
      </w:r>
      <w:r w:rsidR="0048269E">
        <w:t>-</w:t>
      </w:r>
      <w:r w:rsidR="00262E08">
        <w:t>block rate structure remains unchanged</w:t>
      </w:r>
      <w:r>
        <w:t>.</w:t>
      </w:r>
    </w:p>
    <w:p w:rsidR="00F8418D" w:rsidRPr="009075DC" w:rsidRDefault="007816E1" w:rsidP="00734EBA">
      <w:pPr>
        <w:pStyle w:val="Heading1"/>
        <w:rPr>
          <w:rFonts w:eastAsia="SimSun"/>
        </w:rPr>
      </w:pPr>
      <w:bookmarkStart w:id="11" w:name="_Toc229277841"/>
      <w:bookmarkStart w:id="12" w:name="_Toc478935879"/>
      <w:r>
        <w:rPr>
          <w:rFonts w:eastAsia="SimSun"/>
        </w:rPr>
        <w:t>V</w:t>
      </w:r>
      <w:r w:rsidR="00F8418D" w:rsidRPr="009075DC">
        <w:rPr>
          <w:rFonts w:eastAsia="SimSun"/>
        </w:rPr>
        <w:t>.</w:t>
      </w:r>
      <w:r w:rsidR="00F8418D" w:rsidRPr="009075DC">
        <w:rPr>
          <w:rFonts w:eastAsia="SimSun"/>
        </w:rPr>
        <w:tab/>
      </w:r>
      <w:bookmarkEnd w:id="5"/>
      <w:bookmarkEnd w:id="6"/>
      <w:bookmarkEnd w:id="7"/>
      <w:bookmarkEnd w:id="8"/>
      <w:bookmarkEnd w:id="11"/>
      <w:r w:rsidR="0038164D">
        <w:rPr>
          <w:rFonts w:eastAsia="SimSun"/>
        </w:rPr>
        <w:t xml:space="preserve">SCHEDULE 95 RATES FOR </w:t>
      </w:r>
      <w:r w:rsidR="00330580">
        <w:rPr>
          <w:rFonts w:eastAsia="SimSun"/>
        </w:rPr>
        <w:t>UPDATED POWER COSTS</w:t>
      </w:r>
      <w:bookmarkEnd w:id="12"/>
    </w:p>
    <w:p w:rsidR="00C65285" w:rsidRPr="009075DC" w:rsidRDefault="00C65285" w:rsidP="00734EBA">
      <w:pPr>
        <w:pStyle w:val="question"/>
      </w:pPr>
      <w:bookmarkStart w:id="13" w:name="_Toc127023384"/>
      <w:bookmarkStart w:id="14" w:name="_Toc229277843"/>
      <w:r w:rsidRPr="009075DC">
        <w:t>Q.</w:t>
      </w:r>
      <w:r w:rsidRPr="009075DC">
        <w:tab/>
      </w:r>
      <w:r w:rsidR="0021264C">
        <w:t>Were power costs updated as part of PSE’s supplemental filing?</w:t>
      </w:r>
      <w:r w:rsidRPr="009075DC">
        <w:t xml:space="preserve">  </w:t>
      </w:r>
    </w:p>
    <w:p w:rsidR="00C65285" w:rsidRDefault="00C65285" w:rsidP="00734EBA">
      <w:pPr>
        <w:pStyle w:val="answer"/>
      </w:pPr>
      <w:r>
        <w:t>A.</w:t>
      </w:r>
      <w:r>
        <w:tab/>
      </w:r>
      <w:r w:rsidR="0021264C">
        <w:t xml:space="preserve">Yes.  The details of this power cost update are presented in the </w:t>
      </w:r>
      <w:proofErr w:type="spellStart"/>
      <w:r w:rsidR="0021264C">
        <w:t>Prefiled</w:t>
      </w:r>
      <w:proofErr w:type="spellEnd"/>
      <w:r w:rsidR="0021264C">
        <w:t xml:space="preserve"> Supplemental Direct Testimony of </w:t>
      </w:r>
      <w:r w:rsidR="00DF279F">
        <w:t xml:space="preserve">Mr. </w:t>
      </w:r>
      <w:r w:rsidR="0021264C">
        <w:t xml:space="preserve">Paul K. Wetherbee, </w:t>
      </w:r>
      <w:proofErr w:type="spellStart"/>
      <w:r w:rsidR="0021264C">
        <w:t>Exh</w:t>
      </w:r>
      <w:proofErr w:type="spellEnd"/>
      <w:r w:rsidR="0048269E">
        <w:t xml:space="preserve">. </w:t>
      </w:r>
      <w:r w:rsidR="0021264C">
        <w:t>PKW-8</w:t>
      </w:r>
      <w:r w:rsidR="00DD1DA9">
        <w:t>C</w:t>
      </w:r>
      <w:r w:rsidR="0021264C">
        <w:t>T</w:t>
      </w:r>
      <w:r>
        <w:t>.</w:t>
      </w:r>
      <w:r w:rsidR="0021264C">
        <w:t xml:space="preserve">  These power costs were updated under two different assumptions</w:t>
      </w:r>
      <w:r w:rsidR="00063680">
        <w:t xml:space="preserve">: (i) </w:t>
      </w:r>
      <w:r w:rsidR="0021264C">
        <w:t>PSE continues to serve the load of Microsoft under Schedule 40</w:t>
      </w:r>
      <w:r w:rsidR="00063680">
        <w:t xml:space="preserve">; </w:t>
      </w:r>
      <w:r w:rsidR="0021264C">
        <w:t xml:space="preserve"> and </w:t>
      </w:r>
      <w:r w:rsidR="00063680">
        <w:t xml:space="preserve">(ii) </w:t>
      </w:r>
      <w:r w:rsidR="0021264C">
        <w:t>PSE does not serve this load.</w:t>
      </w:r>
    </w:p>
    <w:p w:rsidR="0026246B" w:rsidRPr="009075DC" w:rsidRDefault="0026246B" w:rsidP="00734EBA">
      <w:pPr>
        <w:pStyle w:val="question"/>
      </w:pPr>
      <w:r w:rsidRPr="009075DC">
        <w:t>Q.</w:t>
      </w:r>
      <w:r w:rsidRPr="009075DC">
        <w:tab/>
      </w:r>
      <w:r>
        <w:t>Why did PSE update its power costs with and without this Microsoft load?</w:t>
      </w:r>
      <w:r w:rsidRPr="009075DC">
        <w:t xml:space="preserve">  </w:t>
      </w:r>
    </w:p>
    <w:p w:rsidR="0026246B" w:rsidRDefault="0026246B" w:rsidP="00734EBA">
      <w:pPr>
        <w:pStyle w:val="answer"/>
      </w:pPr>
      <w:r>
        <w:t>A.</w:t>
      </w:r>
      <w:r>
        <w:tab/>
        <w:t xml:space="preserve">As noted in my </w:t>
      </w:r>
      <w:proofErr w:type="spellStart"/>
      <w:r>
        <w:t>prefiled</w:t>
      </w:r>
      <w:proofErr w:type="spellEnd"/>
      <w:r>
        <w:t xml:space="preserve"> direct testimony, the issue of whether Microsoft will be allowed to take retail access service for its loads that are currently served under Schedule 40 is the subject of ongoing discussion in Docket UE-161123.  It is unclear at this time if this request will be granted and, if so, when Microsoft may </w:t>
      </w:r>
      <w:r>
        <w:lastRenderedPageBreak/>
        <w:t>be in a position to begin taking retail access service.</w:t>
      </w:r>
      <w:r w:rsidR="004818C2">
        <w:rPr>
          <w:rStyle w:val="FootnoteReference"/>
        </w:rPr>
        <w:footnoteReference w:id="2"/>
      </w:r>
      <w:r>
        <w:t xml:space="preserve">  However, the first uncertainty (i.e., whether it will be granted) should be resolved prior to the hearings in this </w:t>
      </w:r>
      <w:r w:rsidR="00F144A1">
        <w:t xml:space="preserve">general </w:t>
      </w:r>
      <w:r>
        <w:t>rate</w:t>
      </w:r>
      <w:r w:rsidR="00F144A1">
        <w:t xml:space="preserve"> case</w:t>
      </w:r>
      <w:r>
        <w:t xml:space="preserve"> proceeding.  </w:t>
      </w:r>
    </w:p>
    <w:p w:rsidR="0026246B" w:rsidRPr="00EE4813" w:rsidRDefault="0026246B" w:rsidP="00734EBA">
      <w:pPr>
        <w:pStyle w:val="answer"/>
        <w:rPr>
          <w:b/>
        </w:rPr>
      </w:pPr>
      <w:r w:rsidRPr="00EE4813">
        <w:rPr>
          <w:b/>
        </w:rPr>
        <w:t>Q.</w:t>
      </w:r>
      <w:r w:rsidRPr="00EE4813">
        <w:rPr>
          <w:b/>
        </w:rPr>
        <w:tab/>
        <w:t>Why is it necessary to address this issue at this time?</w:t>
      </w:r>
    </w:p>
    <w:p w:rsidR="00EE4813" w:rsidRDefault="0026246B" w:rsidP="00734EBA">
      <w:pPr>
        <w:pStyle w:val="answer"/>
      </w:pPr>
      <w:r>
        <w:t>A.</w:t>
      </w:r>
      <w:r>
        <w:tab/>
      </w:r>
      <w:r w:rsidR="00063680">
        <w:t xml:space="preserve">If </w:t>
      </w:r>
      <w:r>
        <w:t xml:space="preserve">Microsoft </w:t>
      </w:r>
      <w:r w:rsidR="00063680">
        <w:t xml:space="preserve">takes </w:t>
      </w:r>
      <w:r>
        <w:t>retail wheeling service</w:t>
      </w:r>
      <w:r w:rsidR="00CE17E6">
        <w:t>,</w:t>
      </w:r>
      <w:r>
        <w:t xml:space="preserve"> </w:t>
      </w:r>
      <w:r w:rsidR="00063680">
        <w:t xml:space="preserve">there </w:t>
      </w:r>
      <w:r>
        <w:t xml:space="preserve">will </w:t>
      </w:r>
      <w:r w:rsidR="00063680">
        <w:t xml:space="preserve">be </w:t>
      </w:r>
      <w:r>
        <w:t>cost recovery implications</w:t>
      </w:r>
      <w:r w:rsidR="00EE4813">
        <w:t>.  As PSE is proposing that remaining customers receive one hundred percent of the stranded cost payment that would be made by Mic</w:t>
      </w:r>
      <w:r w:rsidR="00F144A1">
        <w:t>rosoft in consideration of the higher</w:t>
      </w:r>
      <w:r w:rsidR="00EE4813">
        <w:t xml:space="preserve"> </w:t>
      </w:r>
      <w:r w:rsidR="00063680">
        <w:t xml:space="preserve">power costs Microsoft </w:t>
      </w:r>
      <w:r w:rsidR="00F144A1">
        <w:t>is leaving behind</w:t>
      </w:r>
      <w:r w:rsidR="00EE4813">
        <w:t xml:space="preserve">, fairness dictates that </w:t>
      </w:r>
      <w:r w:rsidR="00063680">
        <w:t xml:space="preserve">remaining customers should </w:t>
      </w:r>
      <w:r w:rsidR="00EE4813">
        <w:t>also bear one hundred percent of th</w:t>
      </w:r>
      <w:r w:rsidR="00F144A1">
        <w:t>os</w:t>
      </w:r>
      <w:r w:rsidR="00EE4813">
        <w:t xml:space="preserve">e </w:t>
      </w:r>
      <w:r w:rsidR="00063680">
        <w:t xml:space="preserve">higher </w:t>
      </w:r>
      <w:r w:rsidR="00EE4813">
        <w:t xml:space="preserve">costs.  In other words, the benefits should follow the burdens.  </w:t>
      </w:r>
      <w:r w:rsidR="00F144A1">
        <w:br/>
      </w:r>
      <w:r w:rsidR="00EE4813">
        <w:t xml:space="preserve">In order for this to occur, two things must occur simultaneously with Microsoft beginning to take retail service.  First, customers should begin receiving the stranded cost payment made by Microsoft.  Second, customers’ rates should be </w:t>
      </w:r>
      <w:r w:rsidR="00F144A1">
        <w:t>increas</w:t>
      </w:r>
      <w:r w:rsidR="00EE4813">
        <w:t xml:space="preserve">ed to reflect the higher power costs that </w:t>
      </w:r>
      <w:r w:rsidR="00F144A1">
        <w:t>underlie</w:t>
      </w:r>
      <w:r w:rsidR="00EE4813">
        <w:t xml:space="preserve"> the stranded cost payment.  The power cost update without Microsoft load that is presented in the </w:t>
      </w:r>
      <w:proofErr w:type="spellStart"/>
      <w:r w:rsidR="00EE4813">
        <w:t>Prefiled</w:t>
      </w:r>
      <w:proofErr w:type="spellEnd"/>
      <w:r w:rsidR="00EE4813">
        <w:t xml:space="preserve"> Supplemental Direct Testimony of </w:t>
      </w:r>
      <w:r w:rsidR="00DF279F">
        <w:t xml:space="preserve">Mr. </w:t>
      </w:r>
      <w:r w:rsidR="00EE4813">
        <w:t xml:space="preserve">Paul K. Wetherbee, </w:t>
      </w:r>
      <w:proofErr w:type="spellStart"/>
      <w:r w:rsidR="0048269E">
        <w:t>Exh</w:t>
      </w:r>
      <w:proofErr w:type="spellEnd"/>
      <w:r w:rsidR="0048269E">
        <w:t xml:space="preserve">. </w:t>
      </w:r>
      <w:r w:rsidR="00EE4813">
        <w:t>PKW-8</w:t>
      </w:r>
      <w:r w:rsidR="00DD1DA9">
        <w:t>C</w:t>
      </w:r>
      <w:r w:rsidR="00EE4813">
        <w:t>T forms the foundation for power costs that will need to be recovered from remaining customers</w:t>
      </w:r>
      <w:r w:rsidR="00F144A1">
        <w:t xml:space="preserve"> after Microsoft begins taking retail wheeling service</w:t>
      </w:r>
      <w:r w:rsidR="00EE4813">
        <w:t xml:space="preserve">. </w:t>
      </w:r>
    </w:p>
    <w:p w:rsidR="00EE4813" w:rsidRPr="00CA54B6" w:rsidRDefault="00EE4813" w:rsidP="00734EBA">
      <w:pPr>
        <w:pStyle w:val="answer"/>
        <w:rPr>
          <w:b/>
        </w:rPr>
      </w:pPr>
      <w:r w:rsidRPr="00CA54B6">
        <w:rPr>
          <w:b/>
        </w:rPr>
        <w:lastRenderedPageBreak/>
        <w:t>Q.</w:t>
      </w:r>
      <w:r w:rsidRPr="00CA54B6">
        <w:rPr>
          <w:b/>
        </w:rPr>
        <w:tab/>
        <w:t>How will</w:t>
      </w:r>
      <w:r w:rsidR="00F144A1">
        <w:rPr>
          <w:b/>
        </w:rPr>
        <w:t xml:space="preserve"> the</w:t>
      </w:r>
      <w:r w:rsidRPr="00CA54B6">
        <w:rPr>
          <w:b/>
        </w:rPr>
        <w:t xml:space="preserve"> rates of PSE’s remaining customers be changed as a result of Microsoft taking retail wheeling service?</w:t>
      </w:r>
    </w:p>
    <w:p w:rsidR="00564563" w:rsidRDefault="00EE4813" w:rsidP="00734EBA">
      <w:pPr>
        <w:pStyle w:val="answer"/>
      </w:pPr>
      <w:r>
        <w:t>A.</w:t>
      </w:r>
      <w:r>
        <w:tab/>
        <w:t xml:space="preserve">The rates of PSE’s remaining customers will need to reflect </w:t>
      </w:r>
      <w:r w:rsidR="00CA54B6">
        <w:t xml:space="preserve">the impact the loss of Microsoft’s load will have on </w:t>
      </w:r>
      <w:r w:rsidR="00730C4A">
        <w:t xml:space="preserve">the recovery of PSE’s </w:t>
      </w:r>
      <w:r w:rsidR="00734EBA">
        <w:t>“</w:t>
      </w:r>
      <w:r w:rsidR="00730C4A">
        <w:t>fixed</w:t>
      </w:r>
      <w:r w:rsidR="00734EBA">
        <w:t>”</w:t>
      </w:r>
      <w:r w:rsidR="00730C4A">
        <w:t xml:space="preserve"> </w:t>
      </w:r>
      <w:r w:rsidR="00CA54B6">
        <w:t xml:space="preserve">and </w:t>
      </w:r>
      <w:r w:rsidR="00734EBA">
        <w:t>“</w:t>
      </w:r>
      <w:r w:rsidR="00CA54B6">
        <w:t>variable</w:t>
      </w:r>
      <w:r w:rsidR="00734EBA">
        <w:t>”</w:t>
      </w:r>
      <w:r w:rsidR="00CA54B6">
        <w:t xml:space="preserve"> </w:t>
      </w:r>
      <w:r w:rsidR="00730C4A">
        <w:t>production costs.</w:t>
      </w:r>
      <w:r w:rsidR="00730C4A">
        <w:rPr>
          <w:rStyle w:val="FootnoteReference"/>
        </w:rPr>
        <w:footnoteReference w:id="3"/>
      </w:r>
      <w:r w:rsidR="00730C4A">
        <w:t xml:space="preserve"> </w:t>
      </w:r>
      <w:r>
        <w:t xml:space="preserve"> </w:t>
      </w:r>
      <w:r w:rsidR="00730C4A">
        <w:t>P</w:t>
      </w:r>
      <w:r w:rsidR="00CA54B6">
        <w:t>SE proposes to recover the</w:t>
      </w:r>
      <w:r w:rsidR="00730C4A">
        <w:t xml:space="preserve"> updated fixed production costs through its electric decoupling mechanism.  PSE further proposes to reflect the change in its variable production costs that results from Microsoft taking retail wheeling service through its Schedule 95, in </w:t>
      </w:r>
      <w:r w:rsidR="00F144A1">
        <w:t xml:space="preserve">much </w:t>
      </w:r>
      <w:r w:rsidR="00730C4A">
        <w:t xml:space="preserve">the same way PSE’s rates are adjusted to reflect changes to power costs between general rate cases. </w:t>
      </w:r>
    </w:p>
    <w:p w:rsidR="00564563" w:rsidRPr="00CA54B6" w:rsidRDefault="00564563" w:rsidP="00734EBA">
      <w:pPr>
        <w:pStyle w:val="answer"/>
        <w:rPr>
          <w:b/>
        </w:rPr>
      </w:pPr>
      <w:r w:rsidRPr="00CA54B6">
        <w:rPr>
          <w:b/>
        </w:rPr>
        <w:t>Q.</w:t>
      </w:r>
      <w:r w:rsidRPr="00CA54B6">
        <w:rPr>
          <w:b/>
        </w:rPr>
        <w:tab/>
        <w:t>Has PSE prepared an analysis showing the impact of Microsoft ta</w:t>
      </w:r>
      <w:r w:rsidR="00CA54B6" w:rsidRPr="00CA54B6">
        <w:rPr>
          <w:b/>
        </w:rPr>
        <w:t>king retail wheeling service on remaining customers’ rates</w:t>
      </w:r>
      <w:r w:rsidRPr="00CA54B6">
        <w:rPr>
          <w:b/>
        </w:rPr>
        <w:t>?</w:t>
      </w:r>
    </w:p>
    <w:p w:rsidR="0026246B" w:rsidRDefault="00564563" w:rsidP="00734EBA">
      <w:pPr>
        <w:pStyle w:val="answer"/>
      </w:pPr>
      <w:r>
        <w:t>A.</w:t>
      </w:r>
      <w:r>
        <w:tab/>
        <w:t>Yes</w:t>
      </w:r>
      <w:r w:rsidR="00CA54B6">
        <w:t>, a preliminary estimate of the fixed production cost</w:t>
      </w:r>
      <w:r>
        <w:t xml:space="preserve"> impact</w:t>
      </w:r>
      <w:r w:rsidR="00CA54B6">
        <w:t>s</w:t>
      </w:r>
      <w:r>
        <w:t xml:space="preserve"> was presented in </w:t>
      </w:r>
      <w:proofErr w:type="spellStart"/>
      <w:r w:rsidR="00745B9C">
        <w:t>Exh</w:t>
      </w:r>
      <w:proofErr w:type="spellEnd"/>
      <w:r w:rsidR="00745B9C">
        <w:t xml:space="preserve">. </w:t>
      </w:r>
      <w:r>
        <w:t xml:space="preserve">JAP-33C, supporting my </w:t>
      </w:r>
      <w:proofErr w:type="spellStart"/>
      <w:r>
        <w:t>prefiled</w:t>
      </w:r>
      <w:proofErr w:type="spellEnd"/>
      <w:r w:rsidR="000334C5">
        <w:t xml:space="preserve"> direct</w:t>
      </w:r>
      <w:r>
        <w:t xml:space="preserve"> testimony.  </w:t>
      </w:r>
      <w:r w:rsidR="00DA7D3D">
        <w:t xml:space="preserve">The update to this exhibit will be discussed later in </w:t>
      </w:r>
      <w:r w:rsidR="000334C5">
        <w:t xml:space="preserve">my </w:t>
      </w:r>
      <w:r w:rsidR="00DA7D3D">
        <w:t xml:space="preserve">testimony.  </w:t>
      </w:r>
      <w:r w:rsidR="00EE4813">
        <w:t>The</w:t>
      </w:r>
      <w:r w:rsidR="00CA54B6">
        <w:t xml:space="preserve"> impacts related to the recovery of PSE’s variable costs are presented in </w:t>
      </w:r>
      <w:proofErr w:type="spellStart"/>
      <w:r w:rsidR="00745B9C">
        <w:t>Exh</w:t>
      </w:r>
      <w:proofErr w:type="spellEnd"/>
      <w:r w:rsidR="00745B9C">
        <w:t xml:space="preserve">. </w:t>
      </w:r>
      <w:r w:rsidR="00CA54B6">
        <w:t>JAP-</w:t>
      </w:r>
      <w:r w:rsidR="0026646A">
        <w:t>38</w:t>
      </w:r>
      <w:r w:rsidR="009C68F0">
        <w:t xml:space="preserve">.  This exhibit allocates the approximately $2.3 million revenue deficiency shown on line 11 of page 1 of </w:t>
      </w:r>
      <w:proofErr w:type="spellStart"/>
      <w:r w:rsidR="00745B9C">
        <w:t>Exh</w:t>
      </w:r>
      <w:proofErr w:type="spellEnd"/>
      <w:r w:rsidR="00745B9C">
        <w:t xml:space="preserve">. </w:t>
      </w:r>
      <w:r w:rsidR="009C68F0">
        <w:t>KJB-16 using the peak credit allocation methodology and assumptions used to allocate power costs in this case</w:t>
      </w:r>
      <w:r w:rsidR="0026246B">
        <w:t>.</w:t>
      </w:r>
    </w:p>
    <w:p w:rsidR="0026246B" w:rsidRPr="009075DC" w:rsidRDefault="0026246B" w:rsidP="00734EBA">
      <w:pPr>
        <w:pStyle w:val="question"/>
      </w:pPr>
      <w:r w:rsidRPr="009075DC">
        <w:lastRenderedPageBreak/>
        <w:t>Q.</w:t>
      </w:r>
      <w:r w:rsidRPr="009075DC">
        <w:tab/>
      </w:r>
      <w:r w:rsidR="009C68F0">
        <w:t>Is PSE requesting the Commission to approve these contingent rate calculations in this proceeding?</w:t>
      </w:r>
      <w:r w:rsidRPr="009075DC">
        <w:t xml:space="preserve">  </w:t>
      </w:r>
    </w:p>
    <w:p w:rsidR="0026246B" w:rsidRDefault="0026246B" w:rsidP="00734EBA">
      <w:pPr>
        <w:pStyle w:val="answer"/>
      </w:pPr>
      <w:r>
        <w:t>A.</w:t>
      </w:r>
      <w:r>
        <w:tab/>
      </w:r>
      <w:r w:rsidR="009C68F0">
        <w:t xml:space="preserve">While this is PSE’s preference, it would also understand that the Commission may wish not to do so at this time.  However, it is PSE’s intent to give parties full opportunity to examine these proposed rates </w:t>
      </w:r>
      <w:r w:rsidR="00CB7AE4">
        <w:t>in this proceeding so as to facilitate a smooth and quick</w:t>
      </w:r>
      <w:r w:rsidR="00CB7AE4">
        <w:rPr>
          <w:rStyle w:val="FootnoteReference"/>
        </w:rPr>
        <w:footnoteReference w:id="4"/>
      </w:r>
      <w:r w:rsidR="00CB7AE4">
        <w:t xml:space="preserve"> update to these rates if and when Microsoft begins taking retail wheeling service after the conclusion of this rate case</w:t>
      </w:r>
      <w:r>
        <w:t>.</w:t>
      </w:r>
    </w:p>
    <w:p w:rsidR="00DA7D3D" w:rsidRPr="009075DC" w:rsidRDefault="00DA7D3D" w:rsidP="00734EBA">
      <w:pPr>
        <w:pStyle w:val="Heading1"/>
        <w:rPr>
          <w:rFonts w:eastAsia="SimSun"/>
        </w:rPr>
      </w:pPr>
      <w:bookmarkStart w:id="15" w:name="_Toc478935880"/>
      <w:bookmarkStart w:id="16" w:name="_Toc127352136"/>
      <w:bookmarkStart w:id="17" w:name="_Toc294362332"/>
      <w:bookmarkEnd w:id="13"/>
      <w:bookmarkEnd w:id="14"/>
      <w:r>
        <w:rPr>
          <w:rFonts w:eastAsia="SimSun"/>
        </w:rPr>
        <w:t>VI</w:t>
      </w:r>
      <w:r w:rsidRPr="009075DC">
        <w:rPr>
          <w:rFonts w:eastAsia="SimSun"/>
        </w:rPr>
        <w:t>.</w:t>
      </w:r>
      <w:r w:rsidRPr="009075DC">
        <w:rPr>
          <w:rFonts w:eastAsia="SimSun"/>
        </w:rPr>
        <w:tab/>
      </w:r>
      <w:r>
        <w:rPr>
          <w:rFonts w:eastAsia="SimSun"/>
        </w:rPr>
        <w:t>UPDATED BASE RATES</w:t>
      </w:r>
      <w:bookmarkEnd w:id="15"/>
    </w:p>
    <w:p w:rsidR="00DA7D3D" w:rsidRPr="009075DC" w:rsidRDefault="00DA7D3D" w:rsidP="00734EBA">
      <w:pPr>
        <w:pStyle w:val="question"/>
      </w:pPr>
      <w:r w:rsidRPr="009075DC">
        <w:t>Q.</w:t>
      </w:r>
      <w:r w:rsidRPr="009075DC">
        <w:tab/>
      </w:r>
      <w:r>
        <w:t>Has PSE updated its proposed electric rates to reflect the corrections and cost updates noted earlier in your testimony?</w:t>
      </w:r>
    </w:p>
    <w:p w:rsidR="00FB0D7F" w:rsidRDefault="00DA7D3D" w:rsidP="00734EBA">
      <w:pPr>
        <w:pStyle w:val="answer"/>
        <w:rPr>
          <w:b/>
          <w:bCs/>
          <w:szCs w:val="24"/>
          <w:lang w:eastAsia="en-US"/>
        </w:rPr>
      </w:pPr>
      <w:r>
        <w:t>A.</w:t>
      </w:r>
      <w:r>
        <w:tab/>
        <w:t>Yes.  These proposed electric rates</w:t>
      </w:r>
      <w:r w:rsidR="001227D6">
        <w:t xml:space="preserve">, set to recover the updated electric revenue requirement discussed in the </w:t>
      </w:r>
      <w:proofErr w:type="spellStart"/>
      <w:r w:rsidR="001227D6">
        <w:t>Prefiled</w:t>
      </w:r>
      <w:proofErr w:type="spellEnd"/>
      <w:r w:rsidR="001227D6">
        <w:t xml:space="preserve"> Supplemental Direct Testimony of </w:t>
      </w:r>
      <w:r w:rsidR="006065BA">
        <w:t xml:space="preserve">Ms. </w:t>
      </w:r>
      <w:r w:rsidR="001227D6">
        <w:t xml:space="preserve">Katherine J. Barnard, </w:t>
      </w:r>
      <w:proofErr w:type="spellStart"/>
      <w:r w:rsidR="00745B9C">
        <w:t>Exh</w:t>
      </w:r>
      <w:proofErr w:type="spellEnd"/>
      <w:r w:rsidR="00745B9C">
        <w:t xml:space="preserve">. </w:t>
      </w:r>
      <w:r w:rsidR="001227D6">
        <w:t>KJB-10T,</w:t>
      </w:r>
      <w:r>
        <w:t xml:space="preserve"> are presented in </w:t>
      </w:r>
      <w:proofErr w:type="spellStart"/>
      <w:r w:rsidR="00745B9C">
        <w:t>Exh</w:t>
      </w:r>
      <w:proofErr w:type="spellEnd"/>
      <w:r w:rsidR="00745B9C">
        <w:t xml:space="preserve">. </w:t>
      </w:r>
      <w:r>
        <w:t>JAP-</w:t>
      </w:r>
      <w:r w:rsidR="001F313C">
        <w:t>39</w:t>
      </w:r>
      <w:r>
        <w:t xml:space="preserve">.  </w:t>
      </w:r>
      <w:r w:rsidR="00FB0D7F">
        <w:fldChar w:fldCharType="begin"/>
      </w:r>
      <w:r w:rsidR="00FB0D7F">
        <w:instrText xml:space="preserve"> REF _Ref478390307 \h </w:instrText>
      </w:r>
      <w:r w:rsidR="00FB0D7F">
        <w:fldChar w:fldCharType="separate"/>
      </w:r>
      <w:r w:rsidR="00B906AA" w:rsidRPr="00FB0D7F">
        <w:rPr>
          <w:szCs w:val="24"/>
        </w:rPr>
        <w:t xml:space="preserve">Table </w:t>
      </w:r>
      <w:r w:rsidR="00B906AA">
        <w:rPr>
          <w:noProof/>
          <w:szCs w:val="24"/>
        </w:rPr>
        <w:t>1</w:t>
      </w:r>
      <w:r w:rsidR="00FB0D7F">
        <w:fldChar w:fldCharType="end"/>
      </w:r>
      <w:r w:rsidR="00FB0D7F">
        <w:t xml:space="preserve"> </w:t>
      </w:r>
      <w:r w:rsidR="003C24C0">
        <w:t xml:space="preserve">below </w:t>
      </w:r>
      <w:r w:rsidR="0011347D">
        <w:t xml:space="preserve">summarizes the results in </w:t>
      </w:r>
      <w:proofErr w:type="spellStart"/>
      <w:r w:rsidR="00745B9C">
        <w:t>Exh</w:t>
      </w:r>
      <w:proofErr w:type="spellEnd"/>
      <w:r w:rsidR="00745B9C">
        <w:t xml:space="preserve">. </w:t>
      </w:r>
      <w:r w:rsidR="0011347D">
        <w:t xml:space="preserve">JAP-39 and </w:t>
      </w:r>
      <w:r w:rsidR="003C24C0">
        <w:t xml:space="preserve">shows a comparison of the base rate changes proposed in this </w:t>
      </w:r>
      <w:r w:rsidR="00FB0D7F">
        <w:t xml:space="preserve">supplemental </w:t>
      </w:r>
      <w:r w:rsidR="003C24C0">
        <w:t xml:space="preserve">filing versus </w:t>
      </w:r>
      <w:r w:rsidR="00FB0D7F">
        <w:t xml:space="preserve">the initial </w:t>
      </w:r>
      <w:r w:rsidR="003C24C0">
        <w:t>filing</w:t>
      </w:r>
      <w:r w:rsidR="00FB0D7F">
        <w:t>.</w:t>
      </w:r>
      <w:r w:rsidR="003C24C0">
        <w:t xml:space="preserve"> </w:t>
      </w:r>
      <w:r w:rsidR="00FB0D7F">
        <w:fldChar w:fldCharType="begin"/>
      </w:r>
      <w:r w:rsidR="00FB0D7F">
        <w:instrText xml:space="preserve"> REF _Ref478390307 \h </w:instrText>
      </w:r>
      <w:r w:rsidR="00FB0D7F">
        <w:fldChar w:fldCharType="separate"/>
      </w:r>
      <w:r w:rsidR="00B906AA" w:rsidRPr="00FB0D7F">
        <w:rPr>
          <w:szCs w:val="24"/>
        </w:rPr>
        <w:t xml:space="preserve">Table </w:t>
      </w:r>
      <w:r w:rsidR="00B906AA">
        <w:rPr>
          <w:noProof/>
          <w:szCs w:val="24"/>
        </w:rPr>
        <w:t>1</w:t>
      </w:r>
      <w:r w:rsidR="00FB0D7F">
        <w:fldChar w:fldCharType="end"/>
      </w:r>
      <w:r w:rsidR="00FB0D7F">
        <w:t xml:space="preserve"> </w:t>
      </w:r>
      <w:r>
        <w:t xml:space="preserve">shows </w:t>
      </w:r>
      <w:r w:rsidR="00FB0D7F">
        <w:t xml:space="preserve">that proposed rate increases have dropped for all customers, largely as a result of the lower power costs.  Notably, the proposed increases in the supplemental filing for the Schedule 40 customers </w:t>
      </w:r>
      <w:r w:rsidR="00FF2326">
        <w:t xml:space="preserve">are </w:t>
      </w:r>
      <w:r w:rsidR="00FB0D7F">
        <w:t xml:space="preserve">significantly lower than </w:t>
      </w:r>
      <w:r w:rsidR="00AE1753">
        <w:t>originally proposed.  This is due in large part to the corrected allocation of certain distribution costs as discussed earlier in my testimony.</w:t>
      </w:r>
    </w:p>
    <w:p w:rsidR="00FB0D7F" w:rsidRPr="00FB0D7F" w:rsidRDefault="00FB0D7F" w:rsidP="00734EBA">
      <w:pPr>
        <w:pStyle w:val="Caption"/>
        <w:keepNext/>
        <w:jc w:val="center"/>
        <w:rPr>
          <w:sz w:val="24"/>
          <w:szCs w:val="24"/>
        </w:rPr>
      </w:pPr>
      <w:bookmarkStart w:id="18" w:name="_Ref478390307"/>
      <w:r w:rsidRPr="00FB0D7F">
        <w:rPr>
          <w:sz w:val="24"/>
          <w:szCs w:val="24"/>
        </w:rPr>
        <w:lastRenderedPageBreak/>
        <w:t xml:space="preserve">Table </w:t>
      </w:r>
      <w:r w:rsidRPr="00FB0D7F">
        <w:rPr>
          <w:sz w:val="24"/>
          <w:szCs w:val="24"/>
        </w:rPr>
        <w:fldChar w:fldCharType="begin"/>
      </w:r>
      <w:r w:rsidRPr="00FB0D7F">
        <w:rPr>
          <w:sz w:val="24"/>
          <w:szCs w:val="24"/>
        </w:rPr>
        <w:instrText xml:space="preserve"> SEQ Table \* ARABIC </w:instrText>
      </w:r>
      <w:r w:rsidRPr="00FB0D7F">
        <w:rPr>
          <w:sz w:val="24"/>
          <w:szCs w:val="24"/>
        </w:rPr>
        <w:fldChar w:fldCharType="separate"/>
      </w:r>
      <w:r w:rsidR="00B906AA">
        <w:rPr>
          <w:noProof/>
          <w:sz w:val="24"/>
          <w:szCs w:val="24"/>
        </w:rPr>
        <w:t>1</w:t>
      </w:r>
      <w:r w:rsidRPr="00FB0D7F">
        <w:rPr>
          <w:sz w:val="24"/>
          <w:szCs w:val="24"/>
        </w:rPr>
        <w:fldChar w:fldCharType="end"/>
      </w:r>
      <w:bookmarkEnd w:id="18"/>
      <w:r w:rsidRPr="00FB0D7F">
        <w:rPr>
          <w:sz w:val="24"/>
          <w:szCs w:val="24"/>
        </w:rPr>
        <w:t xml:space="preserve"> - Proposed </w:t>
      </w:r>
      <w:r w:rsidR="00CE5F26">
        <w:rPr>
          <w:sz w:val="24"/>
          <w:szCs w:val="24"/>
        </w:rPr>
        <w:t xml:space="preserve">Electric </w:t>
      </w:r>
      <w:r w:rsidRPr="00FB0D7F">
        <w:rPr>
          <w:noProof/>
          <w:sz w:val="24"/>
          <w:szCs w:val="24"/>
        </w:rPr>
        <w:t>Base Rate Increases</w:t>
      </w:r>
      <w:r w:rsidR="00AE1753">
        <w:rPr>
          <w:noProof/>
          <w:sz w:val="24"/>
          <w:szCs w:val="24"/>
        </w:rPr>
        <w:t xml:space="preserve"> in Initial and Supplemental Filings</w:t>
      </w:r>
    </w:p>
    <w:tbl>
      <w:tblPr>
        <w:tblpPr w:leftFromText="180" w:rightFromText="180" w:vertAnchor="text" w:horzAnchor="margin" w:tblpXSpec="center" w:tblpY="314"/>
        <w:tblW w:w="0" w:type="auto"/>
        <w:tblLayout w:type="fixed"/>
        <w:tblLook w:val="0000" w:firstRow="0" w:lastRow="0" w:firstColumn="0" w:lastColumn="0" w:noHBand="0" w:noVBand="0"/>
      </w:tblPr>
      <w:tblGrid>
        <w:gridCol w:w="3168"/>
        <w:gridCol w:w="1440"/>
        <w:gridCol w:w="1440"/>
        <w:gridCol w:w="1350"/>
        <w:gridCol w:w="630"/>
        <w:gridCol w:w="180"/>
      </w:tblGrid>
      <w:tr w:rsidR="00FB0D7F" w:rsidRPr="009075DC" w:rsidTr="00FB0D7F">
        <w:trPr>
          <w:gridAfter w:val="1"/>
          <w:wAfter w:w="180" w:type="dxa"/>
          <w:cantSplit/>
          <w:trHeight w:val="351"/>
        </w:trPr>
        <w:tc>
          <w:tcPr>
            <w:tcW w:w="3168" w:type="dxa"/>
            <w:tcBorders>
              <w:top w:val="single" w:sz="4" w:space="0" w:color="auto"/>
            </w:tcBorders>
            <w:vAlign w:val="center"/>
          </w:tcPr>
          <w:p w:rsidR="00FB0D7F" w:rsidRPr="009075DC" w:rsidRDefault="00FB0D7F" w:rsidP="00734EBA">
            <w:pPr>
              <w:spacing w:beforeLines="20" w:before="48" w:afterLines="20" w:after="48" w:line="240" w:lineRule="auto"/>
              <w:ind w:firstLine="0"/>
              <w:jc w:val="center"/>
              <w:rPr>
                <w:rFonts w:eastAsia="SimSun"/>
                <w:b/>
                <w:bCs/>
                <w:szCs w:val="24"/>
              </w:rPr>
            </w:pPr>
          </w:p>
        </w:tc>
        <w:tc>
          <w:tcPr>
            <w:tcW w:w="1440" w:type="dxa"/>
            <w:tcBorders>
              <w:top w:val="single" w:sz="4" w:space="0" w:color="auto"/>
            </w:tcBorders>
            <w:vAlign w:val="center"/>
          </w:tcPr>
          <w:p w:rsidR="00FB0D7F" w:rsidRPr="009075DC" w:rsidRDefault="00FB0D7F" w:rsidP="00734EBA">
            <w:pPr>
              <w:spacing w:beforeLines="20" w:before="48" w:afterLines="20" w:after="48" w:line="240" w:lineRule="auto"/>
              <w:ind w:firstLine="0"/>
              <w:jc w:val="center"/>
              <w:rPr>
                <w:rFonts w:eastAsia="SimSun"/>
                <w:b/>
                <w:bCs/>
                <w:szCs w:val="24"/>
              </w:rPr>
            </w:pPr>
          </w:p>
        </w:tc>
        <w:tc>
          <w:tcPr>
            <w:tcW w:w="3420" w:type="dxa"/>
            <w:gridSpan w:val="3"/>
            <w:tcBorders>
              <w:top w:val="single" w:sz="4" w:space="0" w:color="auto"/>
              <w:bottom w:val="single" w:sz="4" w:space="0" w:color="auto"/>
            </w:tcBorders>
            <w:vAlign w:val="center"/>
          </w:tcPr>
          <w:p w:rsidR="00FB0D7F" w:rsidRPr="009075DC" w:rsidRDefault="00FB0D7F" w:rsidP="00734EBA">
            <w:pPr>
              <w:spacing w:beforeLines="20" w:before="48" w:afterLines="20" w:after="48" w:line="240" w:lineRule="auto"/>
              <w:ind w:firstLine="0"/>
              <w:jc w:val="center"/>
              <w:rPr>
                <w:rFonts w:eastAsia="SimSun"/>
                <w:b/>
                <w:bCs/>
                <w:szCs w:val="24"/>
              </w:rPr>
            </w:pPr>
            <w:r>
              <w:rPr>
                <w:rFonts w:eastAsia="SimSun"/>
                <w:b/>
                <w:bCs/>
                <w:szCs w:val="24"/>
              </w:rPr>
              <w:t>Proposed Base Rate Increases</w:t>
            </w:r>
          </w:p>
        </w:tc>
      </w:tr>
      <w:tr w:rsidR="00FB0D7F" w:rsidRPr="009075DC" w:rsidTr="00FB0D7F">
        <w:trPr>
          <w:gridAfter w:val="1"/>
          <w:wAfter w:w="180" w:type="dxa"/>
          <w:cantSplit/>
          <w:trHeight w:val="769"/>
        </w:trPr>
        <w:tc>
          <w:tcPr>
            <w:tcW w:w="3168" w:type="dxa"/>
            <w:tcBorders>
              <w:bottom w:val="single" w:sz="4" w:space="0" w:color="auto"/>
            </w:tcBorders>
            <w:vAlign w:val="center"/>
          </w:tcPr>
          <w:p w:rsidR="00FB0D7F" w:rsidRPr="009075DC" w:rsidRDefault="00FB0D7F" w:rsidP="00734EBA">
            <w:pPr>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bottom w:val="single" w:sz="4" w:space="0" w:color="auto"/>
            </w:tcBorders>
            <w:vAlign w:val="center"/>
          </w:tcPr>
          <w:p w:rsidR="00FB0D7F" w:rsidRPr="009075DC" w:rsidRDefault="00FB0D7F" w:rsidP="00734EBA">
            <w:pPr>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440" w:type="dxa"/>
            <w:tcBorders>
              <w:top w:val="single" w:sz="4" w:space="0" w:color="auto"/>
              <w:bottom w:val="single" w:sz="4" w:space="0" w:color="auto"/>
            </w:tcBorders>
            <w:vAlign w:val="center"/>
          </w:tcPr>
          <w:p w:rsidR="00FB0D7F" w:rsidRPr="009075DC" w:rsidRDefault="00FB0D7F" w:rsidP="00734EBA">
            <w:pPr>
              <w:spacing w:beforeLines="20" w:before="48" w:afterLines="20" w:after="48" w:line="240" w:lineRule="auto"/>
              <w:ind w:firstLine="0"/>
              <w:jc w:val="center"/>
              <w:rPr>
                <w:rFonts w:eastAsia="SimSun"/>
                <w:b/>
                <w:bCs/>
                <w:szCs w:val="24"/>
              </w:rPr>
            </w:pPr>
            <w:r>
              <w:rPr>
                <w:rFonts w:eastAsia="SimSun"/>
                <w:b/>
                <w:bCs/>
                <w:szCs w:val="24"/>
              </w:rPr>
              <w:t>Initial Filing</w:t>
            </w:r>
          </w:p>
        </w:tc>
        <w:tc>
          <w:tcPr>
            <w:tcW w:w="1980" w:type="dxa"/>
            <w:gridSpan w:val="2"/>
            <w:tcBorders>
              <w:top w:val="single" w:sz="4" w:space="0" w:color="auto"/>
              <w:bottom w:val="single" w:sz="4" w:space="0" w:color="auto"/>
            </w:tcBorders>
          </w:tcPr>
          <w:p w:rsidR="00FB0D7F" w:rsidRPr="009075DC" w:rsidRDefault="00FB0D7F" w:rsidP="00734EBA">
            <w:pPr>
              <w:spacing w:beforeLines="50" w:before="120" w:afterLines="20" w:after="48" w:line="240" w:lineRule="auto"/>
              <w:ind w:firstLine="0"/>
              <w:jc w:val="center"/>
              <w:rPr>
                <w:rFonts w:eastAsia="SimSun"/>
                <w:b/>
                <w:bCs/>
                <w:szCs w:val="24"/>
              </w:rPr>
            </w:pPr>
            <w:r>
              <w:rPr>
                <w:rFonts w:eastAsia="SimSun"/>
                <w:b/>
                <w:bCs/>
                <w:szCs w:val="24"/>
              </w:rPr>
              <w:t>Supplemental Filing</w:t>
            </w:r>
          </w:p>
        </w:tc>
      </w:tr>
      <w:tr w:rsidR="0038164D" w:rsidRPr="001D2B74" w:rsidTr="00FB0D7F">
        <w:trPr>
          <w:gridAfter w:val="1"/>
          <w:wAfter w:w="180" w:type="dxa"/>
          <w:cantSplit/>
          <w:trHeight w:val="324"/>
        </w:trPr>
        <w:tc>
          <w:tcPr>
            <w:tcW w:w="3168" w:type="dxa"/>
            <w:tcBorders>
              <w:top w:val="single" w:sz="4" w:space="0" w:color="auto"/>
            </w:tcBorders>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Residential</w:t>
            </w:r>
          </w:p>
        </w:tc>
        <w:tc>
          <w:tcPr>
            <w:tcW w:w="1440" w:type="dxa"/>
            <w:tcBorders>
              <w:top w:val="single" w:sz="4" w:space="0" w:color="auto"/>
            </w:tcBorders>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1440" w:type="dxa"/>
            <w:tcBorders>
              <w:top w:val="single" w:sz="4" w:space="0" w:color="auto"/>
            </w:tcBorders>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8.3</w:t>
            </w:r>
            <w:r w:rsidRPr="00B373B1">
              <w:rPr>
                <w:rFonts w:eastAsia="SimSun"/>
                <w:szCs w:val="24"/>
              </w:rPr>
              <w:t xml:space="preserve"> %</w:t>
            </w:r>
          </w:p>
        </w:tc>
        <w:tc>
          <w:tcPr>
            <w:tcW w:w="1980" w:type="dxa"/>
            <w:gridSpan w:val="2"/>
            <w:tcBorders>
              <w:top w:val="single" w:sz="4" w:space="0" w:color="auto"/>
            </w:tcBorders>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8.</w:t>
            </w:r>
            <w:r w:rsidR="00B74FBA">
              <w:rPr>
                <w:rFonts w:eastAsia="SimSun"/>
                <w:szCs w:val="24"/>
              </w:rPr>
              <w:t>2</w:t>
            </w:r>
            <w:r w:rsidRPr="0038164D">
              <w:rPr>
                <w:rFonts w:eastAsia="SimSun"/>
                <w:szCs w:val="24"/>
              </w:rPr>
              <w:t xml:space="preserve"> %</w:t>
            </w:r>
          </w:p>
        </w:tc>
      </w:tr>
      <w:tr w:rsidR="0038164D" w:rsidRPr="001D2B74" w:rsidTr="00FB0D7F">
        <w:trPr>
          <w:gridAfter w:val="1"/>
          <w:wAfter w:w="180" w:type="dxa"/>
          <w:cantSplit/>
          <w:trHeight w:val="312"/>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General Service, &lt; 51 kW</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6.2</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6.1 %</w:t>
            </w:r>
          </w:p>
        </w:tc>
      </w:tr>
      <w:tr w:rsidR="0038164D" w:rsidRPr="001D2B74" w:rsidTr="00FB0D7F">
        <w:trPr>
          <w:gridAfter w:val="1"/>
          <w:wAfter w:w="180" w:type="dxa"/>
          <w:cantSplit/>
          <w:trHeight w:val="337"/>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General Service, 51 - 350 kW</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r>
              <w:rPr>
                <w:rFonts w:eastAsia="SimSun"/>
                <w:szCs w:val="24"/>
              </w:rPr>
              <w:t>/7A/29</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6.2</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6.1 %</w:t>
            </w:r>
          </w:p>
        </w:tc>
      </w:tr>
      <w:tr w:rsidR="0038164D" w:rsidRPr="001D2B74" w:rsidTr="00FB0D7F">
        <w:trPr>
          <w:gridAfter w:val="1"/>
          <w:wAfter w:w="180" w:type="dxa"/>
          <w:cantSplit/>
          <w:trHeight w:val="312"/>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General Service, &gt;350 kW</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6.2</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6.1 %</w:t>
            </w:r>
          </w:p>
        </w:tc>
      </w:tr>
      <w:tr w:rsidR="0038164D" w:rsidRPr="001D2B74" w:rsidTr="00FB0D7F">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Primary Service</w:t>
            </w:r>
            <w:r>
              <w:rPr>
                <w:rFonts w:eastAsia="SimSun"/>
                <w:szCs w:val="24"/>
              </w:rPr>
              <w:t xml:space="preserve">, Gen &amp; </w:t>
            </w:r>
            <w:proofErr w:type="spellStart"/>
            <w:r>
              <w:rPr>
                <w:rFonts w:eastAsia="SimSun"/>
                <w:szCs w:val="24"/>
              </w:rPr>
              <w:t>Irr</w:t>
            </w:r>
            <w:proofErr w:type="spellEnd"/>
            <w:r>
              <w:rPr>
                <w:rFonts w:eastAsia="SimSun"/>
                <w:szCs w:val="24"/>
              </w:rPr>
              <w:t>.</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31/35</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6.2</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6.1 %</w:t>
            </w:r>
          </w:p>
        </w:tc>
      </w:tr>
      <w:tr w:rsidR="0038164D" w:rsidRPr="001D2B74" w:rsidTr="00FB0D7F">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Pr>
                <w:rFonts w:eastAsia="SimSun"/>
                <w:szCs w:val="24"/>
              </w:rPr>
              <w:t>Primary Service, Schools</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1440" w:type="dxa"/>
          </w:tcPr>
          <w:p w:rsidR="0038164D"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8.3 %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8.</w:t>
            </w:r>
            <w:r w:rsidR="00B74FBA">
              <w:rPr>
                <w:rFonts w:eastAsia="SimSun"/>
                <w:szCs w:val="24"/>
              </w:rPr>
              <w:t>2</w:t>
            </w:r>
            <w:r w:rsidRPr="0038164D">
              <w:rPr>
                <w:rFonts w:eastAsia="SimSun"/>
                <w:szCs w:val="24"/>
              </w:rPr>
              <w:t xml:space="preserve"> %</w:t>
            </w:r>
          </w:p>
        </w:tc>
      </w:tr>
      <w:tr w:rsidR="0038164D" w:rsidRPr="001D2B74" w:rsidTr="00FB0D7F">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Campus Rate*</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13.</w:t>
            </w:r>
            <w:r w:rsidR="00B74FBA">
              <w:rPr>
                <w:rFonts w:eastAsia="SimSun"/>
                <w:szCs w:val="24"/>
              </w:rPr>
              <w:t>3</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8.4 %</w:t>
            </w:r>
          </w:p>
        </w:tc>
      </w:tr>
      <w:tr w:rsidR="0038164D" w:rsidRPr="001D2B74" w:rsidTr="00FB0D7F">
        <w:trPr>
          <w:gridAfter w:val="1"/>
          <w:wAfter w:w="180" w:type="dxa"/>
          <w:cantSplit/>
          <w:trHeight w:val="477"/>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6.2</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6.1 %</w:t>
            </w:r>
          </w:p>
        </w:tc>
      </w:tr>
      <w:tr w:rsidR="0038164D" w:rsidRPr="001D2B74" w:rsidTr="00FB0D7F">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Lighting Service</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w:t>
            </w:r>
            <w:r>
              <w:rPr>
                <w:rFonts w:eastAsia="SimSun"/>
                <w:szCs w:val="24"/>
              </w:rPr>
              <w:t>–</w:t>
            </w:r>
            <w:r w:rsidRPr="009075DC">
              <w:rPr>
                <w:rFonts w:eastAsia="SimSun"/>
                <w:szCs w:val="24"/>
              </w:rPr>
              <w:t xml:space="preserve"> 59</w:t>
            </w:r>
          </w:p>
        </w:tc>
        <w:tc>
          <w:tcPr>
            <w:tcW w:w="1440" w:type="dxa"/>
          </w:tcPr>
          <w:p w:rsidR="0038164D" w:rsidRPr="00B373B1" w:rsidRDefault="0038164D" w:rsidP="00734EBA">
            <w:pPr>
              <w:tabs>
                <w:tab w:val="decimal" w:pos="252"/>
              </w:tabs>
              <w:spacing w:beforeLines="20" w:before="48" w:afterLines="20" w:after="48" w:line="240" w:lineRule="auto"/>
              <w:ind w:firstLine="0"/>
              <w:jc w:val="center"/>
              <w:rPr>
                <w:rFonts w:eastAsia="SimSun"/>
              </w:rPr>
            </w:pPr>
            <w:r>
              <w:rPr>
                <w:rFonts w:eastAsia="SimSun"/>
                <w:szCs w:val="24"/>
              </w:rPr>
              <w:t>8.3</w:t>
            </w:r>
            <w:r w:rsidRPr="00B373B1">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8.</w:t>
            </w:r>
            <w:r w:rsidR="00B74FBA">
              <w:rPr>
                <w:rFonts w:eastAsia="SimSun"/>
                <w:szCs w:val="24"/>
              </w:rPr>
              <w:t>2</w:t>
            </w:r>
            <w:r w:rsidRPr="0038164D">
              <w:rPr>
                <w:rFonts w:eastAsia="SimSun"/>
                <w:szCs w:val="24"/>
              </w:rPr>
              <w:t xml:space="preserve"> %</w:t>
            </w:r>
          </w:p>
        </w:tc>
      </w:tr>
      <w:tr w:rsidR="0038164D" w:rsidRPr="001D2B74" w:rsidTr="00FB0D7F">
        <w:trPr>
          <w:gridAfter w:val="1"/>
          <w:wAfter w:w="180" w:type="dxa"/>
          <w:cantSplit/>
          <w:trHeight w:val="324"/>
        </w:trPr>
        <w:tc>
          <w:tcPr>
            <w:tcW w:w="3168" w:type="dxa"/>
            <w:tcBorders>
              <w:bottom w:val="single" w:sz="4" w:space="0" w:color="auto"/>
            </w:tcBorders>
          </w:tcPr>
          <w:p w:rsidR="0038164D" w:rsidRPr="009075DC" w:rsidRDefault="0038164D" w:rsidP="00734EBA">
            <w:pPr>
              <w:spacing w:beforeLines="20" w:before="48" w:afterLines="20" w:after="48" w:line="240" w:lineRule="auto"/>
              <w:ind w:firstLine="0"/>
              <w:rPr>
                <w:rFonts w:eastAsia="SimSun"/>
              </w:rPr>
            </w:pPr>
            <w:r w:rsidRPr="009075DC">
              <w:rPr>
                <w:rFonts w:eastAsia="SimSun"/>
                <w:szCs w:val="24"/>
              </w:rPr>
              <w:t>Choice/Retail Wheeling</w:t>
            </w:r>
          </w:p>
        </w:tc>
        <w:tc>
          <w:tcPr>
            <w:tcW w:w="1440" w:type="dxa"/>
            <w:tcBorders>
              <w:bottom w:val="single" w:sz="4" w:space="0" w:color="auto"/>
            </w:tcBorders>
          </w:tcPr>
          <w:p w:rsidR="0038164D" w:rsidRPr="009075DC" w:rsidRDefault="0038164D" w:rsidP="00734EBA">
            <w:pPr>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1440" w:type="dxa"/>
            <w:tcBorders>
              <w:bottom w:val="single" w:sz="4" w:space="0" w:color="auto"/>
            </w:tcBorders>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w:t>
            </w:r>
            <w:r w:rsidR="00B74FBA">
              <w:rPr>
                <w:rFonts w:eastAsia="SimSun"/>
                <w:szCs w:val="24"/>
              </w:rPr>
              <w:t>1</w:t>
            </w:r>
            <w:r w:rsidRPr="00B373B1">
              <w:rPr>
                <w:rFonts w:eastAsia="SimSun"/>
                <w:szCs w:val="24"/>
              </w:rPr>
              <w:t xml:space="preserve"> %</w:t>
            </w:r>
          </w:p>
        </w:tc>
        <w:tc>
          <w:tcPr>
            <w:tcW w:w="1980" w:type="dxa"/>
            <w:gridSpan w:val="2"/>
            <w:tcBorders>
              <w:bottom w:val="single" w:sz="4" w:space="0" w:color="auto"/>
            </w:tcBorders>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6.0 %</w:t>
            </w:r>
          </w:p>
        </w:tc>
      </w:tr>
      <w:tr w:rsidR="0038164D" w:rsidRPr="009075DC" w:rsidTr="00FB0D7F">
        <w:trPr>
          <w:gridAfter w:val="1"/>
          <w:wAfter w:w="180" w:type="dxa"/>
          <w:cantSplit/>
          <w:trHeight w:val="692"/>
        </w:trPr>
        <w:tc>
          <w:tcPr>
            <w:tcW w:w="3168" w:type="dxa"/>
            <w:tcBorders>
              <w:top w:val="single" w:sz="4" w:space="0" w:color="auto"/>
              <w:bottom w:val="single" w:sz="4" w:space="0" w:color="auto"/>
            </w:tcBorders>
          </w:tcPr>
          <w:p w:rsidR="0038164D" w:rsidRPr="009075DC" w:rsidRDefault="0038164D" w:rsidP="00734EBA">
            <w:pPr>
              <w:spacing w:beforeLines="20" w:before="48" w:afterLines="20" w:after="48" w:line="240" w:lineRule="auto"/>
              <w:ind w:firstLine="0"/>
              <w:jc w:val="center"/>
              <w:rPr>
                <w:rFonts w:eastAsia="SimSun"/>
                <w:b/>
                <w:szCs w:val="24"/>
              </w:rPr>
            </w:pPr>
            <w:r w:rsidRPr="009075DC">
              <w:rPr>
                <w:rFonts w:eastAsia="SimSun"/>
                <w:b/>
                <w:szCs w:val="24"/>
              </w:rPr>
              <w:t>Total Jurisdictional Retail Sales</w:t>
            </w:r>
          </w:p>
        </w:tc>
        <w:tc>
          <w:tcPr>
            <w:tcW w:w="1440" w:type="dxa"/>
            <w:tcBorders>
              <w:top w:val="single" w:sz="4" w:space="0" w:color="auto"/>
              <w:bottom w:val="single" w:sz="4" w:space="0" w:color="auto"/>
            </w:tcBorders>
          </w:tcPr>
          <w:p w:rsidR="0038164D" w:rsidRPr="009075DC" w:rsidRDefault="0038164D" w:rsidP="00734EBA">
            <w:pPr>
              <w:tabs>
                <w:tab w:val="decimal" w:pos="792"/>
              </w:tabs>
              <w:spacing w:beforeLines="20" w:before="48" w:afterLines="20" w:after="48" w:line="240" w:lineRule="auto"/>
              <w:ind w:firstLine="0"/>
              <w:rPr>
                <w:rFonts w:eastAsia="SimSun"/>
                <w:b/>
                <w:szCs w:val="24"/>
              </w:rPr>
            </w:pPr>
            <w:r w:rsidRPr="009075DC">
              <w:rPr>
                <w:rFonts w:eastAsia="SimSun"/>
                <w:b/>
                <w:szCs w:val="24"/>
              </w:rPr>
              <w:t>n/a</w:t>
            </w:r>
          </w:p>
        </w:tc>
        <w:tc>
          <w:tcPr>
            <w:tcW w:w="1440" w:type="dxa"/>
            <w:tcBorders>
              <w:top w:val="single" w:sz="4" w:space="0" w:color="auto"/>
              <w:bottom w:val="single" w:sz="4" w:space="0" w:color="auto"/>
            </w:tcBorders>
          </w:tcPr>
          <w:p w:rsidR="0038164D" w:rsidRPr="00B373B1"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7.</w:t>
            </w:r>
            <w:r w:rsidR="00B74FBA">
              <w:rPr>
                <w:rFonts w:eastAsia="SimSun"/>
                <w:szCs w:val="24"/>
              </w:rPr>
              <w:t>6</w:t>
            </w:r>
            <w:r w:rsidRPr="00B373B1">
              <w:rPr>
                <w:rFonts w:eastAsia="SimSun"/>
                <w:szCs w:val="24"/>
              </w:rPr>
              <w:t xml:space="preserve"> %</w:t>
            </w:r>
          </w:p>
        </w:tc>
        <w:tc>
          <w:tcPr>
            <w:tcW w:w="1980" w:type="dxa"/>
            <w:gridSpan w:val="2"/>
            <w:tcBorders>
              <w:top w:val="single" w:sz="4" w:space="0" w:color="auto"/>
              <w:bottom w:val="single" w:sz="4" w:space="0" w:color="auto"/>
            </w:tcBorders>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7.3 %</w:t>
            </w:r>
          </w:p>
        </w:tc>
      </w:tr>
      <w:tr w:rsidR="0038164D" w:rsidRPr="009075DC" w:rsidTr="00FB0D7F">
        <w:trPr>
          <w:gridAfter w:val="1"/>
          <w:wAfter w:w="180" w:type="dxa"/>
          <w:cantSplit/>
          <w:trHeight w:val="378"/>
        </w:trPr>
        <w:tc>
          <w:tcPr>
            <w:tcW w:w="3168" w:type="dxa"/>
            <w:tcBorders>
              <w:top w:val="single" w:sz="4" w:space="0" w:color="auto"/>
              <w:bottom w:val="single" w:sz="4" w:space="0" w:color="auto"/>
            </w:tcBorders>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Firm Resale</w:t>
            </w:r>
          </w:p>
        </w:tc>
        <w:tc>
          <w:tcPr>
            <w:tcW w:w="1440" w:type="dxa"/>
            <w:tcBorders>
              <w:top w:val="single" w:sz="4" w:space="0" w:color="auto"/>
              <w:bottom w:val="single" w:sz="4" w:space="0" w:color="auto"/>
            </w:tcBorders>
          </w:tcPr>
          <w:p w:rsidR="0038164D" w:rsidRPr="009075DC" w:rsidRDefault="0038164D" w:rsidP="00734EBA">
            <w:pPr>
              <w:tabs>
                <w:tab w:val="decimal" w:pos="792"/>
              </w:tabs>
              <w:spacing w:beforeLines="20" w:before="48" w:afterLines="20" w:after="48" w:line="240" w:lineRule="auto"/>
              <w:ind w:firstLine="0"/>
              <w:rPr>
                <w:rFonts w:eastAsia="SimSun"/>
                <w:szCs w:val="24"/>
              </w:rPr>
            </w:pPr>
            <w:r w:rsidRPr="009075DC">
              <w:rPr>
                <w:rFonts w:eastAsia="SimSun"/>
                <w:szCs w:val="24"/>
              </w:rPr>
              <w:t>5</w:t>
            </w:r>
          </w:p>
        </w:tc>
        <w:tc>
          <w:tcPr>
            <w:tcW w:w="1440" w:type="dxa"/>
            <w:tcBorders>
              <w:top w:val="single" w:sz="4" w:space="0" w:color="auto"/>
              <w:bottom w:val="single" w:sz="4" w:space="0" w:color="auto"/>
            </w:tcBorders>
          </w:tcPr>
          <w:p w:rsidR="0038164D" w:rsidRPr="009075DC" w:rsidRDefault="0038164D" w:rsidP="00734EBA">
            <w:pPr>
              <w:tabs>
                <w:tab w:val="decimal" w:pos="162"/>
              </w:tabs>
              <w:spacing w:beforeLines="20" w:before="48" w:afterLines="20" w:after="48" w:line="240" w:lineRule="auto"/>
              <w:ind w:firstLine="0"/>
              <w:jc w:val="center"/>
              <w:rPr>
                <w:rFonts w:eastAsia="SimSun"/>
                <w:szCs w:val="24"/>
              </w:rPr>
            </w:pPr>
            <w:r>
              <w:rPr>
                <w:rFonts w:eastAsia="SimSun"/>
                <w:szCs w:val="24"/>
              </w:rPr>
              <w:t>128.</w:t>
            </w:r>
            <w:r w:rsidR="00B74FBA">
              <w:rPr>
                <w:rFonts w:eastAsia="SimSun"/>
                <w:szCs w:val="24"/>
              </w:rPr>
              <w:t>4</w:t>
            </w:r>
            <w:r>
              <w:rPr>
                <w:rFonts w:eastAsia="SimSun"/>
                <w:szCs w:val="24"/>
              </w:rPr>
              <w:t xml:space="preserve"> </w:t>
            </w:r>
            <w:r w:rsidRPr="009075DC">
              <w:rPr>
                <w:rFonts w:eastAsia="SimSun"/>
                <w:szCs w:val="24"/>
              </w:rPr>
              <w:t>%**</w:t>
            </w:r>
          </w:p>
        </w:tc>
        <w:tc>
          <w:tcPr>
            <w:tcW w:w="1980" w:type="dxa"/>
            <w:gridSpan w:val="2"/>
            <w:tcBorders>
              <w:top w:val="single" w:sz="4" w:space="0" w:color="auto"/>
              <w:bottom w:val="single" w:sz="4" w:space="0" w:color="auto"/>
            </w:tcBorders>
          </w:tcPr>
          <w:p w:rsidR="0038164D" w:rsidRPr="0038164D" w:rsidRDefault="0038164D" w:rsidP="00734EBA">
            <w:pPr>
              <w:tabs>
                <w:tab w:val="decimal" w:pos="162"/>
              </w:tabs>
              <w:spacing w:beforeLines="20" w:before="48" w:afterLines="20" w:after="48" w:line="240" w:lineRule="auto"/>
              <w:ind w:firstLine="0"/>
              <w:jc w:val="center"/>
              <w:rPr>
                <w:rFonts w:eastAsia="SimSun"/>
                <w:szCs w:val="24"/>
              </w:rPr>
            </w:pPr>
            <w:r w:rsidRPr="0038164D">
              <w:rPr>
                <w:rFonts w:eastAsia="SimSun"/>
                <w:szCs w:val="24"/>
              </w:rPr>
              <w:t>128.</w:t>
            </w:r>
            <w:r w:rsidR="00B74FBA">
              <w:rPr>
                <w:rFonts w:eastAsia="SimSun"/>
                <w:szCs w:val="24"/>
              </w:rPr>
              <w:t>5</w:t>
            </w:r>
            <w:r w:rsidRPr="0038164D">
              <w:rPr>
                <w:rFonts w:eastAsia="SimSun"/>
                <w:szCs w:val="24"/>
              </w:rPr>
              <w:t xml:space="preserve"> %**</w:t>
            </w:r>
          </w:p>
        </w:tc>
      </w:tr>
      <w:tr w:rsidR="0038164D" w:rsidRPr="009075DC" w:rsidTr="00FB0D7F">
        <w:trPr>
          <w:gridAfter w:val="1"/>
          <w:wAfter w:w="180" w:type="dxa"/>
          <w:cantSplit/>
          <w:trHeight w:val="575"/>
        </w:trPr>
        <w:tc>
          <w:tcPr>
            <w:tcW w:w="3168" w:type="dxa"/>
            <w:tcBorders>
              <w:top w:val="single" w:sz="4" w:space="0" w:color="auto"/>
            </w:tcBorders>
          </w:tcPr>
          <w:p w:rsidR="0038164D" w:rsidRPr="009075DC" w:rsidRDefault="0038164D" w:rsidP="00734EBA">
            <w:pPr>
              <w:spacing w:beforeLines="20" w:before="48" w:afterLines="20" w:after="48" w:line="240" w:lineRule="auto"/>
              <w:ind w:firstLine="0"/>
              <w:jc w:val="center"/>
              <w:rPr>
                <w:rFonts w:eastAsia="SimSun"/>
                <w:b/>
                <w:szCs w:val="24"/>
              </w:rPr>
            </w:pPr>
            <w:r w:rsidRPr="009075DC">
              <w:rPr>
                <w:rFonts w:eastAsia="SimSun"/>
                <w:b/>
                <w:szCs w:val="24"/>
              </w:rPr>
              <w:t>System Total/Average</w:t>
            </w:r>
          </w:p>
        </w:tc>
        <w:tc>
          <w:tcPr>
            <w:tcW w:w="1440" w:type="dxa"/>
            <w:tcBorders>
              <w:top w:val="single" w:sz="4" w:space="0" w:color="auto"/>
            </w:tcBorders>
          </w:tcPr>
          <w:p w:rsidR="0038164D" w:rsidRPr="009075DC" w:rsidRDefault="0038164D" w:rsidP="00734EBA">
            <w:pPr>
              <w:tabs>
                <w:tab w:val="decimal" w:pos="792"/>
              </w:tabs>
              <w:spacing w:beforeLines="20" w:before="48" w:afterLines="20" w:after="48" w:line="240" w:lineRule="auto"/>
              <w:ind w:firstLine="0"/>
              <w:rPr>
                <w:rFonts w:eastAsia="SimSun"/>
                <w:b/>
                <w:szCs w:val="24"/>
              </w:rPr>
            </w:pPr>
          </w:p>
        </w:tc>
        <w:tc>
          <w:tcPr>
            <w:tcW w:w="1440" w:type="dxa"/>
            <w:tcBorders>
              <w:top w:val="single" w:sz="4" w:space="0" w:color="auto"/>
            </w:tcBorders>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7.</w:t>
            </w:r>
            <w:r w:rsidR="00B74FBA">
              <w:rPr>
                <w:rFonts w:eastAsia="SimSun"/>
                <w:szCs w:val="24"/>
              </w:rPr>
              <w:t>6</w:t>
            </w:r>
            <w:r w:rsidRPr="009075DC">
              <w:rPr>
                <w:rFonts w:eastAsia="SimSun"/>
                <w:szCs w:val="24"/>
              </w:rPr>
              <w:t xml:space="preserve"> %</w:t>
            </w:r>
          </w:p>
        </w:tc>
        <w:tc>
          <w:tcPr>
            <w:tcW w:w="1980" w:type="dxa"/>
            <w:gridSpan w:val="2"/>
            <w:tcBorders>
              <w:top w:val="single" w:sz="4" w:space="0" w:color="auto"/>
            </w:tcBorders>
          </w:tcPr>
          <w:p w:rsidR="0038164D" w:rsidRPr="0038164D" w:rsidRDefault="00B74FBA" w:rsidP="00734EBA">
            <w:pPr>
              <w:tabs>
                <w:tab w:val="decimal" w:pos="252"/>
              </w:tabs>
              <w:spacing w:beforeLines="20" w:before="48" w:afterLines="20" w:after="48" w:line="240" w:lineRule="auto"/>
              <w:ind w:firstLine="0"/>
              <w:jc w:val="center"/>
              <w:rPr>
                <w:rFonts w:eastAsia="SimSun"/>
                <w:szCs w:val="24"/>
              </w:rPr>
            </w:pPr>
            <w:r>
              <w:rPr>
                <w:rFonts w:eastAsia="SimSun"/>
                <w:szCs w:val="24"/>
              </w:rPr>
              <w:t>7.3</w:t>
            </w:r>
            <w:r w:rsidR="0038164D" w:rsidRPr="0038164D">
              <w:rPr>
                <w:rFonts w:eastAsia="SimSun"/>
                <w:szCs w:val="24"/>
              </w:rPr>
              <w:t xml:space="preserve"> %</w:t>
            </w:r>
          </w:p>
        </w:tc>
      </w:tr>
      <w:tr w:rsidR="003C24C0" w:rsidRPr="009075DC" w:rsidTr="00FB0D7F">
        <w:trPr>
          <w:cantSplit/>
          <w:trHeight w:val="185"/>
        </w:trPr>
        <w:tc>
          <w:tcPr>
            <w:tcW w:w="7398" w:type="dxa"/>
            <w:gridSpan w:val="4"/>
          </w:tcPr>
          <w:p w:rsidR="003C24C0" w:rsidRPr="009075DC" w:rsidRDefault="003C24C0" w:rsidP="00734EBA">
            <w:pPr>
              <w:tabs>
                <w:tab w:val="decimal" w:pos="792"/>
              </w:tabs>
              <w:spacing w:beforeLines="20" w:before="48" w:afterLines="20" w:after="48" w:line="240" w:lineRule="auto"/>
              <w:ind w:firstLine="0"/>
              <w:rPr>
                <w:rFonts w:eastAsia="SimSun"/>
                <w:sz w:val="20"/>
              </w:rPr>
            </w:pPr>
            <w:r w:rsidRPr="009075DC">
              <w:rPr>
                <w:rFonts w:eastAsia="SimSun"/>
                <w:sz w:val="20"/>
              </w:rPr>
              <w:t>*Campus Rate increase proposal reflects customer-specific distribution rates.</w:t>
            </w:r>
          </w:p>
          <w:p w:rsidR="003C24C0" w:rsidRPr="009075DC" w:rsidRDefault="003C24C0" w:rsidP="00734EBA">
            <w:pPr>
              <w:tabs>
                <w:tab w:val="decimal" w:pos="0"/>
              </w:tabs>
              <w:spacing w:beforeLines="20" w:before="48" w:afterLines="20" w:after="48" w:line="240" w:lineRule="auto"/>
              <w:ind w:firstLine="0"/>
              <w:rPr>
                <w:rFonts w:eastAsia="SimSun"/>
                <w:szCs w:val="24"/>
                <w:highlight w:val="yellow"/>
              </w:rPr>
            </w:pPr>
            <w:r w:rsidRPr="009075DC">
              <w:rPr>
                <w:rFonts w:eastAsia="SimSun"/>
                <w:sz w:val="20"/>
              </w:rPr>
              <w:t>**Reflects the rate increase necessary to move non-jurisdictional rates to parity.</w:t>
            </w:r>
          </w:p>
        </w:tc>
        <w:tc>
          <w:tcPr>
            <w:tcW w:w="810" w:type="dxa"/>
            <w:gridSpan w:val="2"/>
          </w:tcPr>
          <w:p w:rsidR="003C24C0" w:rsidRPr="009075DC" w:rsidRDefault="003C24C0" w:rsidP="00734EBA">
            <w:pPr>
              <w:tabs>
                <w:tab w:val="decimal" w:pos="792"/>
              </w:tabs>
              <w:spacing w:beforeLines="20" w:before="48" w:afterLines="20" w:after="48" w:line="240" w:lineRule="auto"/>
              <w:ind w:firstLine="0"/>
              <w:rPr>
                <w:rFonts w:eastAsia="SimSun"/>
                <w:sz w:val="20"/>
              </w:rPr>
            </w:pPr>
          </w:p>
        </w:tc>
      </w:tr>
    </w:tbl>
    <w:p w:rsidR="00DA509F" w:rsidRDefault="00DA509F" w:rsidP="00734EBA">
      <w:pPr>
        <w:pStyle w:val="question"/>
        <w:spacing w:before="480"/>
      </w:pPr>
      <w:r>
        <w:t>Q.</w:t>
      </w:r>
      <w:r>
        <w:tab/>
        <w:t>Has PSE also updated its rates for its Lighting customers as part of this supplemental filing?</w:t>
      </w:r>
    </w:p>
    <w:p w:rsidR="00DA509F" w:rsidRPr="00DA509F" w:rsidRDefault="00DA509F" w:rsidP="00734EBA">
      <w:pPr>
        <w:pStyle w:val="answer"/>
        <w:rPr>
          <w:rFonts w:eastAsia="SimSun"/>
        </w:rPr>
      </w:pPr>
      <w:r>
        <w:rPr>
          <w:rFonts w:eastAsia="SimSun"/>
        </w:rPr>
        <w:t>A.</w:t>
      </w:r>
      <w:r>
        <w:rPr>
          <w:rFonts w:eastAsia="SimSun"/>
        </w:rPr>
        <w:tab/>
        <w:t xml:space="preserve">No.  As shown </w:t>
      </w:r>
      <w:r w:rsidR="00AE1753">
        <w:rPr>
          <w:rFonts w:eastAsia="SimSun"/>
        </w:rPr>
        <w:t>above</w:t>
      </w:r>
      <w:r>
        <w:rPr>
          <w:rFonts w:eastAsia="SimSun"/>
        </w:rPr>
        <w:t xml:space="preserve">, </w:t>
      </w:r>
      <w:r w:rsidR="0001112F">
        <w:rPr>
          <w:rFonts w:eastAsia="SimSun"/>
        </w:rPr>
        <w:t xml:space="preserve">PSE proposes to increase the overall rates of </w:t>
      </w:r>
      <w:r>
        <w:rPr>
          <w:rFonts w:eastAsia="SimSun"/>
        </w:rPr>
        <w:t xml:space="preserve">Lighting customers </w:t>
      </w:r>
      <w:r w:rsidR="0001112F">
        <w:rPr>
          <w:rFonts w:eastAsia="SimSun"/>
        </w:rPr>
        <w:t xml:space="preserve">by </w:t>
      </w:r>
      <w:r w:rsidR="00AE1753" w:rsidRPr="0038164D">
        <w:rPr>
          <w:rFonts w:eastAsia="SimSun"/>
        </w:rPr>
        <w:t>8.17</w:t>
      </w:r>
      <w:r>
        <w:rPr>
          <w:rFonts w:eastAsia="SimSun"/>
        </w:rPr>
        <w:t xml:space="preserve"> percent based on the updated revenue requirement presented in this supplemental filing</w:t>
      </w:r>
      <w:r w:rsidR="00AE1753">
        <w:rPr>
          <w:rFonts w:eastAsia="SimSun"/>
        </w:rPr>
        <w:t xml:space="preserve"> versus </w:t>
      </w:r>
      <w:r>
        <w:rPr>
          <w:rFonts w:eastAsia="SimSun"/>
        </w:rPr>
        <w:t xml:space="preserve">the </w:t>
      </w:r>
      <w:r w:rsidR="00AE1753">
        <w:rPr>
          <w:rFonts w:eastAsia="SimSun"/>
        </w:rPr>
        <w:t xml:space="preserve">proposed </w:t>
      </w:r>
      <w:r>
        <w:rPr>
          <w:rFonts w:eastAsia="SimSun"/>
        </w:rPr>
        <w:t>8.3</w:t>
      </w:r>
      <w:r w:rsidR="00AE1753">
        <w:rPr>
          <w:rFonts w:eastAsia="SimSun"/>
        </w:rPr>
        <w:t>2</w:t>
      </w:r>
      <w:r>
        <w:rPr>
          <w:rFonts w:eastAsia="SimSun"/>
        </w:rPr>
        <w:t xml:space="preserve"> percent </w:t>
      </w:r>
      <w:r w:rsidR="0001112F">
        <w:rPr>
          <w:rFonts w:eastAsia="SimSun"/>
        </w:rPr>
        <w:t xml:space="preserve">overall </w:t>
      </w:r>
      <w:r>
        <w:rPr>
          <w:rFonts w:eastAsia="SimSun"/>
        </w:rPr>
        <w:t xml:space="preserve">increase </w:t>
      </w:r>
      <w:r w:rsidR="00AE1753">
        <w:rPr>
          <w:rFonts w:eastAsia="SimSun"/>
        </w:rPr>
        <w:t>in the initial filing</w:t>
      </w:r>
      <w:r>
        <w:rPr>
          <w:rFonts w:eastAsia="SimSun"/>
        </w:rPr>
        <w:t xml:space="preserve">. Given this small difference, the voluminous number of rates that would need to be updated and the fact that these rates will need to be updated yet </w:t>
      </w:r>
      <w:r>
        <w:rPr>
          <w:rFonts w:eastAsia="SimSun"/>
        </w:rPr>
        <w:lastRenderedPageBreak/>
        <w:t xml:space="preserve">again in PSE’s compliance filing, the presentation of </w:t>
      </w:r>
      <w:r w:rsidR="00F144A1">
        <w:rPr>
          <w:rFonts w:eastAsia="SimSun"/>
        </w:rPr>
        <w:t xml:space="preserve">updated </w:t>
      </w:r>
      <w:r w:rsidR="00EA0871">
        <w:rPr>
          <w:rFonts w:eastAsia="SimSun"/>
        </w:rPr>
        <w:t>lighting</w:t>
      </w:r>
      <w:r>
        <w:rPr>
          <w:rFonts w:eastAsia="SimSun"/>
        </w:rPr>
        <w:t xml:space="preserve"> rates</w:t>
      </w:r>
      <w:r w:rsidR="0063512A">
        <w:rPr>
          <w:rFonts w:eastAsia="SimSun"/>
        </w:rPr>
        <w:t xml:space="preserve"> have not been included in this </w:t>
      </w:r>
      <w:r w:rsidR="00EA0871">
        <w:rPr>
          <w:rFonts w:eastAsia="SimSun"/>
        </w:rPr>
        <w:t>supplemental filing</w:t>
      </w:r>
      <w:r>
        <w:rPr>
          <w:rFonts w:eastAsia="SimSun"/>
        </w:rPr>
        <w:t>.</w:t>
      </w:r>
      <w:r w:rsidR="00EA0871">
        <w:rPr>
          <w:rFonts w:eastAsia="SimSun"/>
        </w:rPr>
        <w:t xml:space="preserve">  At compliance, PSE </w:t>
      </w:r>
      <w:r w:rsidR="00AE1753">
        <w:rPr>
          <w:rFonts w:eastAsia="SimSun"/>
        </w:rPr>
        <w:t xml:space="preserve">proposes to </w:t>
      </w:r>
      <w:r w:rsidR="00EA0871">
        <w:rPr>
          <w:rFonts w:eastAsia="SimSun"/>
        </w:rPr>
        <w:t>flow the final electric revenue requirement through its electric cost of service and rate design models, and ultimately through its updated lighting study</w:t>
      </w:r>
      <w:r w:rsidR="00B874A3">
        <w:rPr>
          <w:rFonts w:eastAsia="SimSun"/>
        </w:rPr>
        <w:t xml:space="preserve"> presented in </w:t>
      </w:r>
      <w:proofErr w:type="spellStart"/>
      <w:r w:rsidR="0026646A">
        <w:rPr>
          <w:rFonts w:eastAsia="SimSun"/>
        </w:rPr>
        <w:t>Exh</w:t>
      </w:r>
      <w:proofErr w:type="spellEnd"/>
      <w:r w:rsidR="0026646A">
        <w:rPr>
          <w:rFonts w:eastAsia="SimSun"/>
        </w:rPr>
        <w:t xml:space="preserve">. </w:t>
      </w:r>
      <w:r w:rsidR="00B874A3">
        <w:rPr>
          <w:rFonts w:eastAsia="SimSun"/>
        </w:rPr>
        <w:t xml:space="preserve">JAP-20 through </w:t>
      </w:r>
      <w:proofErr w:type="spellStart"/>
      <w:r w:rsidR="0026646A">
        <w:rPr>
          <w:rFonts w:eastAsia="SimSun"/>
        </w:rPr>
        <w:t>Exh</w:t>
      </w:r>
      <w:proofErr w:type="spellEnd"/>
      <w:r w:rsidR="0026646A">
        <w:rPr>
          <w:rFonts w:eastAsia="SimSun"/>
        </w:rPr>
        <w:t xml:space="preserve">. </w:t>
      </w:r>
      <w:r w:rsidR="00B874A3">
        <w:rPr>
          <w:rFonts w:eastAsia="SimSun"/>
        </w:rPr>
        <w:t>JAP-23</w:t>
      </w:r>
      <w:r w:rsidR="0063512A">
        <w:rPr>
          <w:rFonts w:eastAsia="SimSun"/>
        </w:rPr>
        <w:t xml:space="preserve"> to determine the final rates</w:t>
      </w:r>
      <w:r w:rsidR="00AE1753">
        <w:rPr>
          <w:rFonts w:eastAsia="SimSun"/>
        </w:rPr>
        <w:t xml:space="preserve"> for Lighting customers</w:t>
      </w:r>
      <w:r w:rsidR="00B874A3">
        <w:rPr>
          <w:rFonts w:eastAsia="SimSun"/>
        </w:rPr>
        <w:t>.</w:t>
      </w:r>
    </w:p>
    <w:p w:rsidR="001227D6" w:rsidRPr="009075DC" w:rsidRDefault="001227D6" w:rsidP="00734EBA">
      <w:pPr>
        <w:pStyle w:val="question"/>
      </w:pPr>
      <w:r w:rsidRPr="009075DC">
        <w:t>Q.</w:t>
      </w:r>
      <w:r w:rsidRPr="009075DC">
        <w:tab/>
      </w:r>
      <w:r>
        <w:t xml:space="preserve">Has PSE updated its proposed </w:t>
      </w:r>
      <w:r w:rsidR="008E0AD5">
        <w:t>natural gas</w:t>
      </w:r>
      <w:r>
        <w:t xml:space="preserve"> rates to reflect the corrections and cost updates noted earlier in your testimony?</w:t>
      </w:r>
    </w:p>
    <w:p w:rsidR="00D701D2" w:rsidRDefault="001227D6" w:rsidP="00734EBA">
      <w:pPr>
        <w:pStyle w:val="answer"/>
      </w:pPr>
      <w:r>
        <w:t>A.</w:t>
      </w:r>
      <w:r>
        <w:tab/>
        <w:t xml:space="preserve">Yes.  These proposed </w:t>
      </w:r>
      <w:r w:rsidR="008E0AD5">
        <w:t>natural gas</w:t>
      </w:r>
      <w:r>
        <w:t xml:space="preserve"> rates, set to recover the updated </w:t>
      </w:r>
      <w:r w:rsidR="008E0AD5">
        <w:t>natural gas</w:t>
      </w:r>
      <w:r>
        <w:t xml:space="preserve"> revenue requirement discussed in the </w:t>
      </w:r>
      <w:proofErr w:type="spellStart"/>
      <w:r>
        <w:t>Prefiled</w:t>
      </w:r>
      <w:proofErr w:type="spellEnd"/>
      <w:r>
        <w:t xml:space="preserve"> Supplemental Direct Testimony of </w:t>
      </w:r>
      <w:r w:rsidR="006065BA">
        <w:t xml:space="preserve">Ms. </w:t>
      </w:r>
      <w:r>
        <w:t xml:space="preserve">Susan E. Free, </w:t>
      </w:r>
      <w:proofErr w:type="spellStart"/>
      <w:r w:rsidR="00745B9C">
        <w:t>Exh</w:t>
      </w:r>
      <w:proofErr w:type="spellEnd"/>
      <w:r w:rsidR="00745B9C">
        <w:t xml:space="preserve">. </w:t>
      </w:r>
      <w:r>
        <w:t xml:space="preserve">SEF-8T, are presented in </w:t>
      </w:r>
      <w:proofErr w:type="spellStart"/>
      <w:r w:rsidR="00745B9C">
        <w:t>Exh</w:t>
      </w:r>
      <w:proofErr w:type="spellEnd"/>
      <w:r w:rsidR="00745B9C">
        <w:t xml:space="preserve">. </w:t>
      </w:r>
      <w:r>
        <w:t>JAP-</w:t>
      </w:r>
      <w:r w:rsidR="00745B9C">
        <w:t>40</w:t>
      </w:r>
      <w:r>
        <w:t xml:space="preserve">.  </w:t>
      </w:r>
      <w:r w:rsidR="00745B9C">
        <w:t xml:space="preserve">Table 2 </w:t>
      </w:r>
      <w:r w:rsidR="0011347D">
        <w:t xml:space="preserve">summarizes the proposed overall increases proposed to base rates and margin rates in </w:t>
      </w:r>
      <w:proofErr w:type="spellStart"/>
      <w:r w:rsidR="00745B9C">
        <w:t>Exh</w:t>
      </w:r>
      <w:proofErr w:type="spellEnd"/>
      <w:r w:rsidR="00745B9C">
        <w:t xml:space="preserve">. </w:t>
      </w:r>
      <w:r w:rsidR="0011347D">
        <w:t>JAP-40 and compares these results with PSE’s initial filing.  As shown in</w:t>
      </w:r>
      <w:r w:rsidR="00745B9C">
        <w:t xml:space="preserve"> Table 2, </w:t>
      </w:r>
      <w:r w:rsidR="0011347D">
        <w:t xml:space="preserve"> the results are very similar, with only modest changes to the proposed rates of a few classes. These changes are the result of two factors, the lower revenue requirement presented in </w:t>
      </w:r>
      <w:proofErr w:type="spellStart"/>
      <w:r w:rsidR="00745B9C">
        <w:t>Exh</w:t>
      </w:r>
      <w:proofErr w:type="spellEnd"/>
      <w:r w:rsidR="00745B9C">
        <w:t xml:space="preserve">. </w:t>
      </w:r>
      <w:r w:rsidR="0011347D">
        <w:t xml:space="preserve">SEF-8T and a correction to </w:t>
      </w:r>
      <w:r w:rsidR="001A2510">
        <w:t xml:space="preserve">the </w:t>
      </w:r>
      <w:r w:rsidR="0011347D">
        <w:t>calculation of the base rate increase.</w:t>
      </w:r>
      <w:r w:rsidR="0011347D">
        <w:rPr>
          <w:rStyle w:val="FootnoteReference"/>
        </w:rPr>
        <w:footnoteReference w:id="5"/>
      </w:r>
      <w:r w:rsidR="0011347D">
        <w:t xml:space="preserve"> </w:t>
      </w:r>
      <w:bookmarkStart w:id="19" w:name="_Ref478392575"/>
    </w:p>
    <w:p w:rsidR="00CE5F26" w:rsidRPr="00FF2326" w:rsidRDefault="00CE5F26" w:rsidP="00734EBA">
      <w:pPr>
        <w:pStyle w:val="Caption"/>
        <w:keepNext/>
        <w:keepLines/>
        <w:pageBreakBefore/>
        <w:jc w:val="center"/>
        <w:rPr>
          <w:b w:val="0"/>
          <w:bCs w:val="0"/>
          <w:szCs w:val="24"/>
        </w:rPr>
      </w:pPr>
      <w:r w:rsidRPr="00EE2E35">
        <w:rPr>
          <w:sz w:val="24"/>
          <w:szCs w:val="24"/>
        </w:rPr>
        <w:lastRenderedPageBreak/>
        <w:t xml:space="preserve">Table </w:t>
      </w:r>
      <w:r w:rsidRPr="00EE2E35">
        <w:rPr>
          <w:sz w:val="24"/>
          <w:szCs w:val="24"/>
        </w:rPr>
        <w:fldChar w:fldCharType="begin"/>
      </w:r>
      <w:r w:rsidRPr="00EE2E35">
        <w:rPr>
          <w:sz w:val="24"/>
          <w:szCs w:val="24"/>
        </w:rPr>
        <w:instrText xml:space="preserve"> SEQ Table \* ARABIC </w:instrText>
      </w:r>
      <w:r w:rsidRPr="00EE2E35">
        <w:rPr>
          <w:sz w:val="24"/>
          <w:szCs w:val="24"/>
        </w:rPr>
        <w:fldChar w:fldCharType="separate"/>
      </w:r>
      <w:r w:rsidR="00B906AA">
        <w:rPr>
          <w:noProof/>
          <w:sz w:val="24"/>
          <w:szCs w:val="24"/>
        </w:rPr>
        <w:t>2</w:t>
      </w:r>
      <w:r w:rsidRPr="00EE2E35">
        <w:rPr>
          <w:sz w:val="24"/>
          <w:szCs w:val="24"/>
        </w:rPr>
        <w:fldChar w:fldCharType="end"/>
      </w:r>
      <w:bookmarkEnd w:id="19"/>
      <w:r w:rsidRPr="00EE2E35">
        <w:rPr>
          <w:sz w:val="24"/>
          <w:szCs w:val="24"/>
        </w:rPr>
        <w:t xml:space="preserve"> - Proposed Natural Gas Base and Margin Rate Increases in Initial and Supplemental Filings</w:t>
      </w:r>
    </w:p>
    <w:tbl>
      <w:tblPr>
        <w:tblpPr w:leftFromText="180" w:rightFromText="180" w:vertAnchor="text" w:horzAnchor="margin" w:tblpXSpec="center" w:tblpY="314"/>
        <w:tblW w:w="9126" w:type="dxa"/>
        <w:tblLayout w:type="fixed"/>
        <w:tblLook w:val="0000" w:firstRow="0" w:lastRow="0" w:firstColumn="0" w:lastColumn="0" w:noHBand="0" w:noVBand="0"/>
      </w:tblPr>
      <w:tblGrid>
        <w:gridCol w:w="1908"/>
        <w:gridCol w:w="1440"/>
        <w:gridCol w:w="1350"/>
        <w:gridCol w:w="1530"/>
        <w:gridCol w:w="1530"/>
        <w:gridCol w:w="1368"/>
      </w:tblGrid>
      <w:tr w:rsidR="0001112F" w:rsidRPr="009075DC" w:rsidTr="00CE5F26">
        <w:trPr>
          <w:cantSplit/>
          <w:trHeight w:val="349"/>
        </w:trPr>
        <w:tc>
          <w:tcPr>
            <w:tcW w:w="1908" w:type="dxa"/>
            <w:tcBorders>
              <w:top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p>
        </w:tc>
        <w:tc>
          <w:tcPr>
            <w:tcW w:w="1440" w:type="dxa"/>
            <w:tcBorders>
              <w:top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p>
        </w:tc>
        <w:tc>
          <w:tcPr>
            <w:tcW w:w="2880" w:type="dxa"/>
            <w:gridSpan w:val="2"/>
            <w:tcBorders>
              <w:top w:val="single" w:sz="4" w:space="0" w:color="auto"/>
              <w:bottom w:val="single" w:sz="4" w:space="0" w:color="auto"/>
            </w:tcBorders>
            <w:vAlign w:val="center"/>
          </w:tcPr>
          <w:p w:rsidR="0001112F" w:rsidRDefault="0001112F" w:rsidP="00734EBA">
            <w:pPr>
              <w:keepNext/>
              <w:keepLines/>
              <w:spacing w:beforeLines="20" w:before="48" w:afterLines="20" w:after="48" w:line="240" w:lineRule="auto"/>
              <w:ind w:firstLine="0"/>
              <w:jc w:val="center"/>
              <w:rPr>
                <w:rFonts w:eastAsia="SimSun"/>
                <w:b/>
                <w:bCs/>
                <w:szCs w:val="24"/>
              </w:rPr>
            </w:pPr>
            <w:r>
              <w:rPr>
                <w:rFonts w:eastAsia="SimSun"/>
                <w:b/>
                <w:bCs/>
                <w:szCs w:val="24"/>
              </w:rPr>
              <w:t>Proposed Initial</w:t>
            </w:r>
          </w:p>
        </w:tc>
        <w:tc>
          <w:tcPr>
            <w:tcW w:w="2898" w:type="dxa"/>
            <w:gridSpan w:val="2"/>
            <w:tcBorders>
              <w:top w:val="single" w:sz="4" w:space="0" w:color="auto"/>
              <w:bottom w:val="single" w:sz="4" w:space="0" w:color="auto"/>
            </w:tcBorders>
            <w:vAlign w:val="center"/>
          </w:tcPr>
          <w:p w:rsidR="0001112F" w:rsidRDefault="0001112F" w:rsidP="00734EBA">
            <w:pPr>
              <w:keepNext/>
              <w:keepLines/>
              <w:spacing w:beforeLines="20" w:before="48" w:afterLines="20" w:after="48" w:line="240" w:lineRule="auto"/>
              <w:ind w:firstLine="0"/>
              <w:jc w:val="center"/>
              <w:rPr>
                <w:rFonts w:eastAsia="SimSun"/>
                <w:b/>
                <w:bCs/>
                <w:szCs w:val="24"/>
              </w:rPr>
            </w:pPr>
            <w:r>
              <w:rPr>
                <w:rFonts w:eastAsia="SimSun"/>
                <w:b/>
                <w:bCs/>
                <w:szCs w:val="24"/>
              </w:rPr>
              <w:t>Proposed Supplemental</w:t>
            </w:r>
          </w:p>
        </w:tc>
      </w:tr>
      <w:tr w:rsidR="0001112F" w:rsidRPr="009075DC" w:rsidTr="00CE5F26">
        <w:trPr>
          <w:cantSplit/>
          <w:trHeight w:val="769"/>
        </w:trPr>
        <w:tc>
          <w:tcPr>
            <w:tcW w:w="1908" w:type="dxa"/>
            <w:tcBorders>
              <w:bottom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bottom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350" w:type="dxa"/>
            <w:tcBorders>
              <w:top w:val="single" w:sz="4" w:space="0" w:color="auto"/>
              <w:bottom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r>
              <w:rPr>
                <w:rFonts w:eastAsia="SimSun"/>
                <w:b/>
                <w:bCs/>
                <w:szCs w:val="24"/>
              </w:rPr>
              <w:t>Base Rate Increase*</w:t>
            </w:r>
          </w:p>
        </w:tc>
        <w:tc>
          <w:tcPr>
            <w:tcW w:w="1530" w:type="dxa"/>
            <w:tcBorders>
              <w:top w:val="single" w:sz="4" w:space="0" w:color="auto"/>
              <w:bottom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r>
              <w:rPr>
                <w:rFonts w:eastAsia="SimSun"/>
                <w:b/>
                <w:bCs/>
                <w:szCs w:val="24"/>
              </w:rPr>
              <w:t>Margin Increase</w:t>
            </w:r>
          </w:p>
        </w:tc>
        <w:tc>
          <w:tcPr>
            <w:tcW w:w="1530" w:type="dxa"/>
            <w:tcBorders>
              <w:top w:val="single" w:sz="4" w:space="0" w:color="auto"/>
              <w:bottom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r>
              <w:rPr>
                <w:rFonts w:eastAsia="SimSun"/>
                <w:b/>
                <w:bCs/>
                <w:szCs w:val="24"/>
              </w:rPr>
              <w:t>Base Rate Increase*</w:t>
            </w:r>
          </w:p>
        </w:tc>
        <w:tc>
          <w:tcPr>
            <w:tcW w:w="1368" w:type="dxa"/>
            <w:tcBorders>
              <w:top w:val="single" w:sz="4" w:space="0" w:color="auto"/>
              <w:bottom w:val="single" w:sz="4" w:space="0" w:color="auto"/>
            </w:tcBorders>
            <w:vAlign w:val="center"/>
          </w:tcPr>
          <w:p w:rsidR="0001112F" w:rsidRPr="009075DC" w:rsidRDefault="0001112F" w:rsidP="00734EBA">
            <w:pPr>
              <w:keepNext/>
              <w:keepLines/>
              <w:spacing w:beforeLines="20" w:before="48" w:afterLines="20" w:after="48" w:line="240" w:lineRule="auto"/>
              <w:ind w:firstLine="0"/>
              <w:jc w:val="center"/>
              <w:rPr>
                <w:rFonts w:eastAsia="SimSun"/>
                <w:b/>
                <w:bCs/>
                <w:szCs w:val="24"/>
              </w:rPr>
            </w:pPr>
            <w:r>
              <w:rPr>
                <w:rFonts w:eastAsia="SimSun"/>
                <w:b/>
                <w:bCs/>
                <w:szCs w:val="24"/>
              </w:rPr>
              <w:t>Margin Increase</w:t>
            </w:r>
          </w:p>
        </w:tc>
      </w:tr>
      <w:tr w:rsidR="00CE5F26" w:rsidRPr="001D2B74" w:rsidTr="00EE3900">
        <w:trPr>
          <w:cantSplit/>
          <w:trHeight w:val="312"/>
        </w:trPr>
        <w:tc>
          <w:tcPr>
            <w:tcW w:w="1908" w:type="dxa"/>
            <w:vAlign w:val="bottom"/>
          </w:tcPr>
          <w:p w:rsidR="00CE5F26" w:rsidRPr="003B5206" w:rsidRDefault="00CE5F26" w:rsidP="00734EBA">
            <w:pPr>
              <w:pStyle w:val="answer"/>
              <w:keepNext/>
              <w:keepLines/>
              <w:spacing w:before="60" w:after="60" w:line="240" w:lineRule="auto"/>
              <w:ind w:left="0" w:firstLine="0"/>
            </w:pPr>
            <w:r w:rsidRPr="003B5206">
              <w:t>Re</w:t>
            </w:r>
            <w:r>
              <w:t>sidential</w:t>
            </w:r>
          </w:p>
        </w:tc>
        <w:tc>
          <w:tcPr>
            <w:tcW w:w="1440" w:type="dxa"/>
          </w:tcPr>
          <w:p w:rsidR="00CE5F26" w:rsidRPr="00683198" w:rsidRDefault="00CE5F26" w:rsidP="00734EBA">
            <w:pPr>
              <w:pStyle w:val="answer"/>
              <w:keepNext/>
              <w:keepLines/>
              <w:spacing w:before="60" w:after="60" w:line="240" w:lineRule="auto"/>
              <w:ind w:left="0" w:firstLine="0"/>
              <w:jc w:val="center"/>
            </w:pPr>
            <w:r w:rsidRPr="00683198">
              <w:t>16/23/53</w:t>
            </w:r>
          </w:p>
        </w:tc>
        <w:tc>
          <w:tcPr>
            <w:tcW w:w="1350" w:type="dxa"/>
            <w:vAlign w:val="bottom"/>
          </w:tcPr>
          <w:p w:rsidR="00CE5F26" w:rsidRPr="00E8781B" w:rsidRDefault="00CE5F26" w:rsidP="00734EBA">
            <w:pPr>
              <w:pStyle w:val="answer"/>
              <w:keepNext/>
              <w:keepLines/>
              <w:spacing w:before="60" w:after="60" w:line="240" w:lineRule="auto"/>
              <w:ind w:left="0" w:firstLine="0"/>
              <w:jc w:val="center"/>
            </w:pPr>
            <w:r>
              <w:t xml:space="preserve">2.7 </w:t>
            </w:r>
            <w:r w:rsidRPr="00E8781B">
              <w:t>%</w:t>
            </w:r>
          </w:p>
        </w:tc>
        <w:tc>
          <w:tcPr>
            <w:tcW w:w="1530" w:type="dxa"/>
            <w:vAlign w:val="bottom"/>
          </w:tcPr>
          <w:p w:rsidR="00CE5F26" w:rsidRPr="00E8781B" w:rsidRDefault="00CE5F26" w:rsidP="00734EBA">
            <w:pPr>
              <w:pStyle w:val="answer"/>
              <w:keepNext/>
              <w:keepLines/>
              <w:spacing w:before="60" w:after="60" w:line="240" w:lineRule="auto"/>
              <w:ind w:left="0" w:firstLine="0"/>
              <w:jc w:val="center"/>
            </w:pPr>
            <w:r>
              <w:t xml:space="preserve">4.8 </w:t>
            </w:r>
            <w:r w:rsidRPr="00E8781B">
              <w:t>%</w:t>
            </w:r>
          </w:p>
        </w:tc>
        <w:tc>
          <w:tcPr>
            <w:tcW w:w="1530" w:type="dxa"/>
            <w:vAlign w:val="bottom"/>
          </w:tcPr>
          <w:p w:rsidR="00CE5F26" w:rsidRPr="003A5AA0" w:rsidRDefault="00CE5F26" w:rsidP="00734EBA">
            <w:pPr>
              <w:pStyle w:val="answer"/>
              <w:keepNext/>
              <w:keepLines/>
              <w:spacing w:before="60" w:after="60" w:line="240" w:lineRule="auto"/>
              <w:ind w:left="0" w:firstLine="0"/>
              <w:jc w:val="center"/>
            </w:pPr>
            <w:r w:rsidRPr="003A5AA0">
              <w:t>2.7 %</w:t>
            </w:r>
          </w:p>
        </w:tc>
        <w:tc>
          <w:tcPr>
            <w:tcW w:w="1368" w:type="dxa"/>
            <w:vAlign w:val="bottom"/>
          </w:tcPr>
          <w:p w:rsidR="00CE5F26" w:rsidRPr="003A5AA0" w:rsidRDefault="00CE5F26" w:rsidP="00734EBA">
            <w:pPr>
              <w:pStyle w:val="answer"/>
              <w:keepNext/>
              <w:keepLines/>
              <w:spacing w:before="60" w:after="60" w:line="240" w:lineRule="auto"/>
              <w:ind w:left="0" w:firstLine="0"/>
              <w:jc w:val="center"/>
            </w:pPr>
            <w:r w:rsidRPr="003A5AA0">
              <w:t>4.8 %</w:t>
            </w:r>
          </w:p>
        </w:tc>
      </w:tr>
      <w:tr w:rsidR="00CE5F26" w:rsidRPr="001D2B74" w:rsidTr="00EE3900">
        <w:trPr>
          <w:cantSplit/>
          <w:trHeight w:val="337"/>
        </w:trPr>
        <w:tc>
          <w:tcPr>
            <w:tcW w:w="1908" w:type="dxa"/>
            <w:vAlign w:val="bottom"/>
          </w:tcPr>
          <w:p w:rsidR="00CE5F26" w:rsidRPr="003B5206" w:rsidRDefault="00CE5F26" w:rsidP="00734EBA">
            <w:pPr>
              <w:pStyle w:val="answer"/>
              <w:keepNext/>
              <w:spacing w:before="60" w:after="60" w:line="240" w:lineRule="auto"/>
              <w:ind w:left="0" w:firstLine="0"/>
            </w:pPr>
            <w:r w:rsidRPr="003B5206">
              <w:t>Commercial &amp; In</w:t>
            </w:r>
            <w:r>
              <w:t>dustrial</w:t>
            </w:r>
          </w:p>
        </w:tc>
        <w:tc>
          <w:tcPr>
            <w:tcW w:w="1440" w:type="dxa"/>
          </w:tcPr>
          <w:p w:rsidR="00CE5F26" w:rsidRPr="00683198" w:rsidRDefault="00CE5F26" w:rsidP="00734EBA">
            <w:pPr>
              <w:pStyle w:val="answer"/>
              <w:keepNext/>
              <w:spacing w:before="60" w:after="60" w:line="240" w:lineRule="auto"/>
              <w:ind w:left="0" w:firstLine="0"/>
              <w:jc w:val="center"/>
            </w:pPr>
            <w:r w:rsidRPr="00683198">
              <w:t>31/31T</w:t>
            </w:r>
          </w:p>
        </w:tc>
        <w:tc>
          <w:tcPr>
            <w:tcW w:w="1350" w:type="dxa"/>
            <w:vAlign w:val="bottom"/>
          </w:tcPr>
          <w:p w:rsidR="00CE5F26" w:rsidRPr="00E8781B" w:rsidRDefault="00CE5F26" w:rsidP="00734EBA">
            <w:pPr>
              <w:pStyle w:val="answer"/>
              <w:keepNext/>
              <w:spacing w:before="60" w:after="60" w:line="240" w:lineRule="auto"/>
              <w:ind w:left="0" w:firstLine="0"/>
              <w:jc w:val="center"/>
            </w:pPr>
            <w:r>
              <w:t xml:space="preserve">3.5 </w:t>
            </w:r>
            <w:r w:rsidRPr="00E8781B">
              <w:t>%</w:t>
            </w:r>
          </w:p>
        </w:tc>
        <w:tc>
          <w:tcPr>
            <w:tcW w:w="1530" w:type="dxa"/>
            <w:vAlign w:val="bottom"/>
          </w:tcPr>
          <w:p w:rsidR="00CE5F26" w:rsidRPr="00E8781B" w:rsidRDefault="00CE5F26" w:rsidP="00734EBA">
            <w:pPr>
              <w:pStyle w:val="answer"/>
              <w:keepNext/>
              <w:spacing w:before="60" w:after="60" w:line="240" w:lineRule="auto"/>
              <w:ind w:left="0" w:firstLine="0"/>
              <w:jc w:val="center"/>
            </w:pPr>
            <w:r>
              <w:t xml:space="preserve">7.3 </w:t>
            </w:r>
            <w:r w:rsidRPr="00E8781B">
              <w:t>%</w:t>
            </w:r>
          </w:p>
        </w:tc>
        <w:tc>
          <w:tcPr>
            <w:tcW w:w="1530" w:type="dxa"/>
            <w:vAlign w:val="bottom"/>
          </w:tcPr>
          <w:p w:rsidR="00CE5F26" w:rsidRPr="003A5AA0" w:rsidRDefault="00CE5F26" w:rsidP="00734EBA">
            <w:pPr>
              <w:pStyle w:val="answer"/>
              <w:keepNext/>
              <w:spacing w:before="60" w:after="60" w:line="240" w:lineRule="auto"/>
              <w:ind w:left="0" w:firstLine="0"/>
              <w:jc w:val="center"/>
            </w:pPr>
            <w:r w:rsidRPr="003A5AA0">
              <w:t>3.6 %</w:t>
            </w:r>
          </w:p>
        </w:tc>
        <w:tc>
          <w:tcPr>
            <w:tcW w:w="1368" w:type="dxa"/>
            <w:vAlign w:val="bottom"/>
          </w:tcPr>
          <w:p w:rsidR="00CE5F26" w:rsidRPr="003A5AA0" w:rsidRDefault="00CE5F26" w:rsidP="00734EBA">
            <w:pPr>
              <w:pStyle w:val="answer"/>
              <w:keepNext/>
              <w:spacing w:before="60" w:after="60" w:line="240" w:lineRule="auto"/>
              <w:ind w:left="0" w:firstLine="0"/>
              <w:jc w:val="center"/>
            </w:pPr>
            <w:r w:rsidRPr="003A5AA0">
              <w:t>7.</w:t>
            </w:r>
            <w:r w:rsidR="003A5AA0" w:rsidRPr="003A5AA0">
              <w:t>2</w:t>
            </w:r>
            <w:r w:rsidRPr="003A5AA0">
              <w:t xml:space="preserve"> %</w:t>
            </w:r>
          </w:p>
        </w:tc>
      </w:tr>
      <w:tr w:rsidR="00CE5F26" w:rsidRPr="001D2B74" w:rsidTr="00EE3900">
        <w:trPr>
          <w:cantSplit/>
          <w:trHeight w:val="312"/>
        </w:trPr>
        <w:tc>
          <w:tcPr>
            <w:tcW w:w="1908" w:type="dxa"/>
            <w:vAlign w:val="bottom"/>
          </w:tcPr>
          <w:p w:rsidR="00CE5F26" w:rsidRPr="003B5206" w:rsidRDefault="00CE5F26" w:rsidP="00734EBA">
            <w:pPr>
              <w:pStyle w:val="answer"/>
              <w:keepNext/>
              <w:spacing w:before="60" w:after="60" w:line="240" w:lineRule="auto"/>
              <w:ind w:left="0" w:firstLine="0"/>
            </w:pPr>
            <w:r>
              <w:t>Large Volume</w:t>
            </w:r>
          </w:p>
        </w:tc>
        <w:tc>
          <w:tcPr>
            <w:tcW w:w="1440" w:type="dxa"/>
          </w:tcPr>
          <w:p w:rsidR="00CE5F26" w:rsidRPr="00683198" w:rsidRDefault="00CE5F26" w:rsidP="00734EBA">
            <w:pPr>
              <w:pStyle w:val="answer"/>
              <w:keepNext/>
              <w:spacing w:before="60" w:after="60" w:line="240" w:lineRule="auto"/>
              <w:ind w:left="0" w:firstLine="0"/>
              <w:jc w:val="center"/>
            </w:pPr>
            <w:r w:rsidRPr="00683198">
              <w:t>41/41T</w:t>
            </w:r>
          </w:p>
        </w:tc>
        <w:tc>
          <w:tcPr>
            <w:tcW w:w="1350" w:type="dxa"/>
            <w:vAlign w:val="bottom"/>
          </w:tcPr>
          <w:p w:rsidR="00CE5F26" w:rsidRPr="00E8781B" w:rsidRDefault="00CE5F26" w:rsidP="00734EBA">
            <w:pPr>
              <w:pStyle w:val="answer"/>
              <w:keepNext/>
              <w:spacing w:before="60" w:after="60" w:line="240" w:lineRule="auto"/>
              <w:ind w:left="0" w:firstLine="0"/>
              <w:jc w:val="center"/>
            </w:pPr>
            <w:r>
              <w:t xml:space="preserve">1.8 </w:t>
            </w:r>
            <w:r w:rsidRPr="00E8781B">
              <w:t>%</w:t>
            </w:r>
          </w:p>
        </w:tc>
        <w:tc>
          <w:tcPr>
            <w:tcW w:w="1530" w:type="dxa"/>
            <w:vAlign w:val="bottom"/>
          </w:tcPr>
          <w:p w:rsidR="00CE5F26" w:rsidRPr="00E8781B" w:rsidRDefault="00CE5F26" w:rsidP="00734EBA">
            <w:pPr>
              <w:pStyle w:val="answer"/>
              <w:keepNext/>
              <w:spacing w:before="60" w:after="60" w:line="240" w:lineRule="auto"/>
              <w:ind w:left="0" w:firstLine="0"/>
              <w:jc w:val="center"/>
            </w:pPr>
            <w:r w:rsidRPr="00E8781B">
              <w:t>4.</w:t>
            </w:r>
            <w:r>
              <w:t xml:space="preserve">8 </w:t>
            </w:r>
            <w:r w:rsidRPr="00E8781B">
              <w:t>%</w:t>
            </w:r>
          </w:p>
        </w:tc>
        <w:tc>
          <w:tcPr>
            <w:tcW w:w="1530" w:type="dxa"/>
            <w:vAlign w:val="bottom"/>
          </w:tcPr>
          <w:p w:rsidR="00CE5F26" w:rsidRPr="003A5AA0" w:rsidRDefault="00CE5F26" w:rsidP="00734EBA">
            <w:pPr>
              <w:pStyle w:val="answer"/>
              <w:keepNext/>
              <w:spacing w:before="60" w:after="60" w:line="240" w:lineRule="auto"/>
              <w:ind w:left="0" w:firstLine="0"/>
              <w:jc w:val="center"/>
            </w:pPr>
            <w:r w:rsidRPr="003A5AA0">
              <w:t>2.0 %</w:t>
            </w:r>
          </w:p>
        </w:tc>
        <w:tc>
          <w:tcPr>
            <w:tcW w:w="1368" w:type="dxa"/>
            <w:vAlign w:val="bottom"/>
          </w:tcPr>
          <w:p w:rsidR="00CE5F26" w:rsidRPr="003A5AA0" w:rsidRDefault="00CE5F26" w:rsidP="00734EBA">
            <w:pPr>
              <w:pStyle w:val="answer"/>
              <w:keepNext/>
              <w:spacing w:before="60" w:after="60" w:line="240" w:lineRule="auto"/>
              <w:ind w:left="0" w:firstLine="0"/>
              <w:jc w:val="center"/>
            </w:pPr>
            <w:r w:rsidRPr="003A5AA0">
              <w:t>4.8 %</w:t>
            </w:r>
          </w:p>
        </w:tc>
      </w:tr>
      <w:tr w:rsidR="00CE5F26" w:rsidRPr="001D2B74" w:rsidTr="00EE3900">
        <w:trPr>
          <w:cantSplit/>
          <w:trHeight w:val="324"/>
        </w:trPr>
        <w:tc>
          <w:tcPr>
            <w:tcW w:w="1908" w:type="dxa"/>
            <w:vAlign w:val="bottom"/>
          </w:tcPr>
          <w:p w:rsidR="00CE5F26" w:rsidRPr="003B5206" w:rsidRDefault="00CE5F26" w:rsidP="00734EBA">
            <w:pPr>
              <w:pStyle w:val="answer"/>
              <w:keepNext/>
              <w:spacing w:before="60" w:after="60" w:line="240" w:lineRule="auto"/>
              <w:ind w:left="0" w:firstLine="0"/>
            </w:pPr>
            <w:r>
              <w:t>Interruptible</w:t>
            </w:r>
          </w:p>
        </w:tc>
        <w:tc>
          <w:tcPr>
            <w:tcW w:w="1440" w:type="dxa"/>
          </w:tcPr>
          <w:p w:rsidR="00CE5F26" w:rsidRPr="00683198" w:rsidRDefault="00CE5F26" w:rsidP="00734EBA">
            <w:pPr>
              <w:pStyle w:val="answer"/>
              <w:keepNext/>
              <w:spacing w:before="60" w:after="60" w:line="240" w:lineRule="auto"/>
              <w:ind w:left="0" w:firstLine="0"/>
              <w:jc w:val="center"/>
            </w:pPr>
            <w:r w:rsidRPr="00683198">
              <w:t>85/85T</w:t>
            </w:r>
          </w:p>
        </w:tc>
        <w:tc>
          <w:tcPr>
            <w:tcW w:w="1350" w:type="dxa"/>
            <w:vAlign w:val="bottom"/>
          </w:tcPr>
          <w:p w:rsidR="00CE5F26" w:rsidRPr="00E8781B" w:rsidRDefault="00CE5F26" w:rsidP="00734EBA">
            <w:pPr>
              <w:pStyle w:val="answer"/>
              <w:keepNext/>
              <w:spacing w:before="60" w:after="60" w:line="240" w:lineRule="auto"/>
              <w:ind w:left="0" w:firstLine="0"/>
              <w:jc w:val="center"/>
            </w:pPr>
            <w:r>
              <w:t xml:space="preserve">2.3 </w:t>
            </w:r>
            <w:r w:rsidRPr="00E8781B">
              <w:t>%</w:t>
            </w:r>
          </w:p>
        </w:tc>
        <w:tc>
          <w:tcPr>
            <w:tcW w:w="1530" w:type="dxa"/>
            <w:vAlign w:val="bottom"/>
          </w:tcPr>
          <w:p w:rsidR="00CE5F26" w:rsidRPr="00E8781B" w:rsidRDefault="00CE5F26" w:rsidP="00734EBA">
            <w:pPr>
              <w:pStyle w:val="answer"/>
              <w:keepNext/>
              <w:spacing w:before="60" w:after="60" w:line="240" w:lineRule="auto"/>
              <w:ind w:left="0" w:firstLine="0"/>
              <w:jc w:val="center"/>
            </w:pPr>
            <w:r>
              <w:t xml:space="preserve">4.8 </w:t>
            </w:r>
            <w:r w:rsidRPr="00E8781B">
              <w:t>%</w:t>
            </w:r>
          </w:p>
        </w:tc>
        <w:tc>
          <w:tcPr>
            <w:tcW w:w="1530" w:type="dxa"/>
            <w:vAlign w:val="bottom"/>
          </w:tcPr>
          <w:p w:rsidR="00CE5F26" w:rsidRPr="003A5AA0" w:rsidRDefault="00CE5F26" w:rsidP="00734EBA">
            <w:pPr>
              <w:pStyle w:val="answer"/>
              <w:keepNext/>
              <w:spacing w:before="60" w:after="60" w:line="240" w:lineRule="auto"/>
              <w:ind w:left="0" w:firstLine="0"/>
              <w:jc w:val="center"/>
            </w:pPr>
            <w:r w:rsidRPr="003A5AA0">
              <w:t>2.5 %</w:t>
            </w:r>
          </w:p>
        </w:tc>
        <w:tc>
          <w:tcPr>
            <w:tcW w:w="1368" w:type="dxa"/>
            <w:vAlign w:val="bottom"/>
          </w:tcPr>
          <w:p w:rsidR="00CE5F26" w:rsidRPr="003A5AA0" w:rsidRDefault="00CE5F26" w:rsidP="00734EBA">
            <w:pPr>
              <w:pStyle w:val="answer"/>
              <w:keepNext/>
              <w:spacing w:before="60" w:after="60" w:line="240" w:lineRule="auto"/>
              <w:ind w:left="0" w:firstLine="0"/>
              <w:jc w:val="center"/>
            </w:pPr>
            <w:r w:rsidRPr="003A5AA0">
              <w:t>4.8 %</w:t>
            </w:r>
          </w:p>
        </w:tc>
      </w:tr>
      <w:tr w:rsidR="00CE5F26" w:rsidRPr="001D2B74" w:rsidTr="00EE3900">
        <w:trPr>
          <w:cantSplit/>
          <w:trHeight w:val="324"/>
        </w:trPr>
        <w:tc>
          <w:tcPr>
            <w:tcW w:w="1908" w:type="dxa"/>
            <w:vAlign w:val="bottom"/>
          </w:tcPr>
          <w:p w:rsidR="00CE5F26" w:rsidRPr="003B5206" w:rsidRDefault="00CE5F26" w:rsidP="00734EBA">
            <w:pPr>
              <w:pStyle w:val="answer"/>
              <w:keepNext/>
              <w:spacing w:before="60" w:after="60" w:line="240" w:lineRule="auto"/>
              <w:ind w:left="0" w:firstLine="0"/>
            </w:pPr>
            <w:r w:rsidRPr="003B5206">
              <w:t xml:space="preserve">Limited </w:t>
            </w:r>
            <w:r>
              <w:t>Interruptible</w:t>
            </w:r>
          </w:p>
        </w:tc>
        <w:tc>
          <w:tcPr>
            <w:tcW w:w="1440" w:type="dxa"/>
          </w:tcPr>
          <w:p w:rsidR="00CE5F26" w:rsidRPr="00683198" w:rsidRDefault="00CE5F26" w:rsidP="00734EBA">
            <w:pPr>
              <w:pStyle w:val="answer"/>
              <w:keepNext/>
              <w:spacing w:before="60" w:after="60" w:line="240" w:lineRule="auto"/>
              <w:ind w:left="0" w:firstLine="0"/>
              <w:jc w:val="center"/>
            </w:pPr>
            <w:r w:rsidRPr="00683198">
              <w:t>86/86T</w:t>
            </w:r>
          </w:p>
        </w:tc>
        <w:tc>
          <w:tcPr>
            <w:tcW w:w="1350" w:type="dxa"/>
            <w:vAlign w:val="bottom"/>
          </w:tcPr>
          <w:p w:rsidR="00CE5F26" w:rsidRPr="00E8781B" w:rsidRDefault="00CE5F26" w:rsidP="00734EBA">
            <w:pPr>
              <w:pStyle w:val="answer"/>
              <w:keepNext/>
              <w:spacing w:before="60" w:after="60" w:line="240" w:lineRule="auto"/>
              <w:ind w:left="0" w:firstLine="0"/>
              <w:jc w:val="center"/>
            </w:pPr>
            <w:r w:rsidRPr="00E8781B">
              <w:t>0.</w:t>
            </w:r>
            <w:r>
              <w:t xml:space="preserve">9 </w:t>
            </w:r>
            <w:r w:rsidRPr="00E8781B">
              <w:t>%</w:t>
            </w:r>
          </w:p>
        </w:tc>
        <w:tc>
          <w:tcPr>
            <w:tcW w:w="1530" w:type="dxa"/>
            <w:vAlign w:val="bottom"/>
          </w:tcPr>
          <w:p w:rsidR="00CE5F26" w:rsidRPr="00E8781B" w:rsidRDefault="00CE5F26" w:rsidP="00734EBA">
            <w:pPr>
              <w:pStyle w:val="answer"/>
              <w:keepNext/>
              <w:spacing w:before="60" w:after="60" w:line="240" w:lineRule="auto"/>
              <w:ind w:left="0" w:firstLine="0"/>
              <w:jc w:val="center"/>
            </w:pPr>
            <w:r>
              <w:t xml:space="preserve">2.4 </w:t>
            </w:r>
            <w:r w:rsidRPr="00E8781B">
              <w:t>%</w:t>
            </w:r>
          </w:p>
        </w:tc>
        <w:tc>
          <w:tcPr>
            <w:tcW w:w="1530" w:type="dxa"/>
            <w:vAlign w:val="bottom"/>
          </w:tcPr>
          <w:p w:rsidR="00CE5F26" w:rsidRPr="003A5AA0" w:rsidRDefault="00CE5F26" w:rsidP="00734EBA">
            <w:pPr>
              <w:pStyle w:val="answer"/>
              <w:keepNext/>
              <w:spacing w:before="60" w:after="60" w:line="240" w:lineRule="auto"/>
              <w:ind w:left="0" w:firstLine="0"/>
              <w:jc w:val="center"/>
            </w:pPr>
            <w:r w:rsidRPr="003A5AA0">
              <w:t>0.9 %</w:t>
            </w:r>
          </w:p>
        </w:tc>
        <w:tc>
          <w:tcPr>
            <w:tcW w:w="1368" w:type="dxa"/>
            <w:vAlign w:val="bottom"/>
          </w:tcPr>
          <w:p w:rsidR="00CE5F26" w:rsidRPr="003A5AA0" w:rsidRDefault="00CE5F26" w:rsidP="00734EBA">
            <w:pPr>
              <w:pStyle w:val="answer"/>
              <w:keepNext/>
              <w:spacing w:before="60" w:after="60" w:line="240" w:lineRule="auto"/>
              <w:ind w:left="0" w:firstLine="0"/>
              <w:jc w:val="center"/>
            </w:pPr>
            <w:r w:rsidRPr="003A5AA0">
              <w:t>2.4 %</w:t>
            </w:r>
          </w:p>
        </w:tc>
      </w:tr>
      <w:tr w:rsidR="00CE5F26" w:rsidRPr="001D2B74" w:rsidTr="00EE3900">
        <w:trPr>
          <w:cantSplit/>
          <w:trHeight w:val="300"/>
        </w:trPr>
        <w:tc>
          <w:tcPr>
            <w:tcW w:w="1908" w:type="dxa"/>
            <w:vAlign w:val="bottom"/>
          </w:tcPr>
          <w:p w:rsidR="00CE5F26" w:rsidRPr="003B5206" w:rsidRDefault="00CE5F26" w:rsidP="00734EBA">
            <w:pPr>
              <w:pStyle w:val="answer"/>
              <w:keepNext/>
              <w:spacing w:before="60" w:after="60" w:line="240" w:lineRule="auto"/>
              <w:ind w:left="0" w:firstLine="0"/>
            </w:pPr>
            <w:r w:rsidRPr="003B5206">
              <w:t>Non-exclusive I</w:t>
            </w:r>
            <w:r>
              <w:t>nterruptible</w:t>
            </w:r>
          </w:p>
        </w:tc>
        <w:tc>
          <w:tcPr>
            <w:tcW w:w="1440" w:type="dxa"/>
          </w:tcPr>
          <w:p w:rsidR="00CE5F26" w:rsidRPr="00683198" w:rsidRDefault="00CE5F26" w:rsidP="00734EBA">
            <w:pPr>
              <w:pStyle w:val="answer"/>
              <w:keepNext/>
              <w:spacing w:before="60" w:after="60" w:line="240" w:lineRule="auto"/>
              <w:ind w:left="0" w:firstLine="0"/>
              <w:jc w:val="center"/>
            </w:pPr>
            <w:r w:rsidRPr="00683198">
              <w:t>87/87T</w:t>
            </w:r>
          </w:p>
        </w:tc>
        <w:tc>
          <w:tcPr>
            <w:tcW w:w="1350" w:type="dxa"/>
            <w:vAlign w:val="bottom"/>
          </w:tcPr>
          <w:p w:rsidR="00CE5F26" w:rsidRPr="00E8781B" w:rsidRDefault="00CE5F26" w:rsidP="00734EBA">
            <w:pPr>
              <w:pStyle w:val="answer"/>
              <w:keepNext/>
              <w:spacing w:before="60" w:after="60" w:line="240" w:lineRule="auto"/>
              <w:ind w:left="0" w:firstLine="0"/>
              <w:jc w:val="center"/>
            </w:pPr>
            <w:r>
              <w:t xml:space="preserve">2.5 </w:t>
            </w:r>
            <w:r w:rsidRPr="00E8781B">
              <w:t>%</w:t>
            </w:r>
          </w:p>
        </w:tc>
        <w:tc>
          <w:tcPr>
            <w:tcW w:w="1530" w:type="dxa"/>
            <w:vAlign w:val="bottom"/>
          </w:tcPr>
          <w:p w:rsidR="00CE5F26" w:rsidRPr="00E8781B" w:rsidRDefault="00CE5F26" w:rsidP="00734EBA">
            <w:pPr>
              <w:pStyle w:val="answer"/>
              <w:keepNext/>
              <w:spacing w:before="60" w:after="60" w:line="240" w:lineRule="auto"/>
              <w:ind w:left="0" w:firstLine="0"/>
              <w:jc w:val="center"/>
            </w:pPr>
            <w:r>
              <w:t xml:space="preserve">7.3 </w:t>
            </w:r>
            <w:r w:rsidRPr="00E8781B">
              <w:t>%</w:t>
            </w:r>
          </w:p>
        </w:tc>
        <w:tc>
          <w:tcPr>
            <w:tcW w:w="1530" w:type="dxa"/>
            <w:vAlign w:val="bottom"/>
          </w:tcPr>
          <w:p w:rsidR="00CE5F26" w:rsidRPr="003A5AA0" w:rsidRDefault="00CE5F26" w:rsidP="00734EBA">
            <w:pPr>
              <w:pStyle w:val="answer"/>
              <w:keepNext/>
              <w:spacing w:before="60" w:after="60" w:line="240" w:lineRule="auto"/>
              <w:ind w:left="0" w:firstLine="0"/>
              <w:jc w:val="center"/>
            </w:pPr>
            <w:r w:rsidRPr="003A5AA0">
              <w:t>2.6 %</w:t>
            </w:r>
          </w:p>
        </w:tc>
        <w:tc>
          <w:tcPr>
            <w:tcW w:w="1368" w:type="dxa"/>
            <w:vAlign w:val="bottom"/>
          </w:tcPr>
          <w:p w:rsidR="00CE5F26" w:rsidRPr="003A5AA0" w:rsidRDefault="00CE5F26" w:rsidP="00734EBA">
            <w:pPr>
              <w:pStyle w:val="answer"/>
              <w:keepNext/>
              <w:spacing w:before="60" w:after="60" w:line="240" w:lineRule="auto"/>
              <w:ind w:left="0" w:firstLine="0"/>
              <w:jc w:val="center"/>
            </w:pPr>
            <w:r w:rsidRPr="003A5AA0">
              <w:t>7.</w:t>
            </w:r>
            <w:r w:rsidR="003A5AA0" w:rsidRPr="003A5AA0">
              <w:t>2</w:t>
            </w:r>
            <w:r w:rsidRPr="003A5AA0">
              <w:t xml:space="preserve"> %</w:t>
            </w:r>
          </w:p>
        </w:tc>
      </w:tr>
      <w:tr w:rsidR="00CE5F26" w:rsidRPr="001D2B74" w:rsidTr="00EE3900">
        <w:trPr>
          <w:cantSplit/>
          <w:trHeight w:val="324"/>
        </w:trPr>
        <w:tc>
          <w:tcPr>
            <w:tcW w:w="1908" w:type="dxa"/>
            <w:vAlign w:val="bottom"/>
          </w:tcPr>
          <w:p w:rsidR="00CE5F26" w:rsidRPr="003B5206" w:rsidRDefault="00CE5F26" w:rsidP="00734EBA">
            <w:pPr>
              <w:pStyle w:val="answer"/>
              <w:keepNext/>
              <w:spacing w:before="60" w:after="60" w:line="240" w:lineRule="auto"/>
              <w:ind w:left="0" w:firstLine="0"/>
            </w:pPr>
            <w:r w:rsidRPr="003B5206">
              <w:t xml:space="preserve">Special Contracts </w:t>
            </w:r>
          </w:p>
        </w:tc>
        <w:tc>
          <w:tcPr>
            <w:tcW w:w="1440" w:type="dxa"/>
          </w:tcPr>
          <w:p w:rsidR="00CE5F26" w:rsidRPr="00683198" w:rsidRDefault="00CE5F26" w:rsidP="00734EBA">
            <w:pPr>
              <w:pStyle w:val="answer"/>
              <w:keepNext/>
              <w:spacing w:before="60" w:after="60" w:line="240" w:lineRule="auto"/>
              <w:ind w:left="0" w:firstLine="0"/>
              <w:jc w:val="center"/>
            </w:pPr>
          </w:p>
        </w:tc>
        <w:tc>
          <w:tcPr>
            <w:tcW w:w="1350" w:type="dxa"/>
            <w:vAlign w:val="bottom"/>
          </w:tcPr>
          <w:p w:rsidR="00CE5F26" w:rsidRPr="00E8781B" w:rsidRDefault="00CE5F26" w:rsidP="00734EBA">
            <w:pPr>
              <w:pStyle w:val="answer"/>
              <w:keepNext/>
              <w:spacing w:before="60" w:after="60" w:line="240" w:lineRule="auto"/>
              <w:ind w:left="0" w:firstLine="0"/>
              <w:jc w:val="center"/>
            </w:pPr>
            <w:r>
              <w:t xml:space="preserve">5.9 </w:t>
            </w:r>
            <w:r w:rsidRPr="00E8781B">
              <w:t>%</w:t>
            </w:r>
          </w:p>
        </w:tc>
        <w:tc>
          <w:tcPr>
            <w:tcW w:w="1530" w:type="dxa"/>
            <w:vAlign w:val="bottom"/>
          </w:tcPr>
          <w:p w:rsidR="00CE5F26" w:rsidRPr="00E8781B" w:rsidRDefault="00CE5F26" w:rsidP="00734EBA">
            <w:pPr>
              <w:pStyle w:val="answer"/>
              <w:keepNext/>
              <w:spacing w:before="60" w:after="60" w:line="240" w:lineRule="auto"/>
              <w:ind w:left="0" w:firstLine="0"/>
              <w:jc w:val="center"/>
            </w:pPr>
            <w:r w:rsidRPr="00E8781B">
              <w:t>6</w:t>
            </w:r>
            <w:r>
              <w:t xml:space="preserve">.3 </w:t>
            </w:r>
            <w:r w:rsidRPr="00E8781B">
              <w:t>%</w:t>
            </w:r>
          </w:p>
        </w:tc>
        <w:tc>
          <w:tcPr>
            <w:tcW w:w="1530" w:type="dxa"/>
            <w:vAlign w:val="bottom"/>
          </w:tcPr>
          <w:p w:rsidR="00CE5F26" w:rsidRPr="003A5AA0" w:rsidRDefault="00CE5F26" w:rsidP="00734EBA">
            <w:pPr>
              <w:pStyle w:val="answer"/>
              <w:keepNext/>
              <w:spacing w:before="60" w:after="60" w:line="240" w:lineRule="auto"/>
              <w:ind w:left="0" w:firstLine="0"/>
              <w:jc w:val="center"/>
            </w:pPr>
            <w:r w:rsidRPr="003A5AA0">
              <w:t>6.3 %</w:t>
            </w:r>
          </w:p>
        </w:tc>
        <w:tc>
          <w:tcPr>
            <w:tcW w:w="1368" w:type="dxa"/>
            <w:vAlign w:val="bottom"/>
          </w:tcPr>
          <w:p w:rsidR="00CE5F26" w:rsidRPr="003A5AA0" w:rsidRDefault="00CE5F26" w:rsidP="00734EBA">
            <w:pPr>
              <w:pStyle w:val="answer"/>
              <w:keepNext/>
              <w:spacing w:before="60" w:after="60" w:line="240" w:lineRule="auto"/>
              <w:ind w:left="0" w:firstLine="0"/>
              <w:jc w:val="center"/>
            </w:pPr>
            <w:r w:rsidRPr="003A5AA0">
              <w:t>6.3 %</w:t>
            </w:r>
          </w:p>
        </w:tc>
      </w:tr>
      <w:tr w:rsidR="00CE5F26" w:rsidRPr="001D2B74" w:rsidTr="00EE3900">
        <w:trPr>
          <w:cantSplit/>
          <w:trHeight w:val="324"/>
        </w:trPr>
        <w:tc>
          <w:tcPr>
            <w:tcW w:w="1908" w:type="dxa"/>
            <w:tcBorders>
              <w:bottom w:val="single" w:sz="4" w:space="0" w:color="auto"/>
            </w:tcBorders>
            <w:vAlign w:val="bottom"/>
          </w:tcPr>
          <w:p w:rsidR="00CE5F26" w:rsidRPr="003B5206" w:rsidRDefault="00CE5F26" w:rsidP="00734EBA">
            <w:pPr>
              <w:pStyle w:val="answer"/>
              <w:spacing w:before="60" w:after="60" w:line="240" w:lineRule="auto"/>
              <w:ind w:left="0" w:firstLine="0"/>
            </w:pPr>
            <w:r w:rsidRPr="003B5206">
              <w:t>Rentals</w:t>
            </w:r>
          </w:p>
        </w:tc>
        <w:tc>
          <w:tcPr>
            <w:tcW w:w="1440" w:type="dxa"/>
            <w:tcBorders>
              <w:bottom w:val="single" w:sz="4" w:space="0" w:color="auto"/>
            </w:tcBorders>
          </w:tcPr>
          <w:p w:rsidR="00CE5F26" w:rsidRPr="00683198" w:rsidRDefault="00CE5F26" w:rsidP="00734EBA">
            <w:pPr>
              <w:pStyle w:val="answer"/>
              <w:spacing w:before="60" w:after="60" w:line="240" w:lineRule="auto"/>
              <w:ind w:left="0" w:firstLine="0"/>
              <w:jc w:val="center"/>
            </w:pPr>
            <w:r w:rsidRPr="00683198">
              <w:t>71/72/74</w:t>
            </w:r>
          </w:p>
        </w:tc>
        <w:tc>
          <w:tcPr>
            <w:tcW w:w="1350" w:type="dxa"/>
            <w:tcBorders>
              <w:bottom w:val="single" w:sz="4" w:space="0" w:color="auto"/>
            </w:tcBorders>
            <w:vAlign w:val="bottom"/>
          </w:tcPr>
          <w:p w:rsidR="00CE5F26" w:rsidRPr="00E8781B" w:rsidRDefault="00CE5F26" w:rsidP="00734EBA">
            <w:pPr>
              <w:pStyle w:val="answer"/>
              <w:spacing w:before="60" w:after="60" w:line="240" w:lineRule="auto"/>
              <w:ind w:left="0" w:firstLine="0"/>
              <w:jc w:val="center"/>
            </w:pPr>
            <w:r w:rsidRPr="00E8781B">
              <w:t>0.0</w:t>
            </w:r>
            <w:r>
              <w:t xml:space="preserve"> </w:t>
            </w:r>
            <w:r w:rsidRPr="00E8781B">
              <w:t>%</w:t>
            </w:r>
          </w:p>
        </w:tc>
        <w:tc>
          <w:tcPr>
            <w:tcW w:w="1530" w:type="dxa"/>
            <w:tcBorders>
              <w:bottom w:val="single" w:sz="4" w:space="0" w:color="auto"/>
            </w:tcBorders>
            <w:vAlign w:val="bottom"/>
          </w:tcPr>
          <w:p w:rsidR="00CE5F26" w:rsidRPr="00E8781B" w:rsidRDefault="00CE5F26" w:rsidP="00734EBA">
            <w:pPr>
              <w:pStyle w:val="answer"/>
              <w:spacing w:before="60" w:after="60" w:line="240" w:lineRule="auto"/>
              <w:ind w:left="0" w:firstLine="0"/>
              <w:jc w:val="center"/>
            </w:pPr>
            <w:r w:rsidRPr="00E8781B">
              <w:t>0.0</w:t>
            </w:r>
            <w:r>
              <w:t xml:space="preserve"> </w:t>
            </w:r>
            <w:r w:rsidRPr="00E8781B">
              <w:t>%</w:t>
            </w:r>
          </w:p>
        </w:tc>
        <w:tc>
          <w:tcPr>
            <w:tcW w:w="1530" w:type="dxa"/>
            <w:tcBorders>
              <w:bottom w:val="single" w:sz="4" w:space="0" w:color="auto"/>
            </w:tcBorders>
            <w:vAlign w:val="bottom"/>
          </w:tcPr>
          <w:p w:rsidR="00CE5F26" w:rsidRPr="003A5AA0" w:rsidRDefault="00CE5F26" w:rsidP="00734EBA">
            <w:pPr>
              <w:pStyle w:val="answer"/>
              <w:spacing w:before="60" w:after="60" w:line="240" w:lineRule="auto"/>
              <w:ind w:left="0" w:firstLine="0"/>
              <w:jc w:val="center"/>
            </w:pPr>
            <w:r w:rsidRPr="003A5AA0">
              <w:t>0.0 %</w:t>
            </w:r>
          </w:p>
        </w:tc>
        <w:tc>
          <w:tcPr>
            <w:tcW w:w="1368" w:type="dxa"/>
            <w:tcBorders>
              <w:bottom w:val="single" w:sz="4" w:space="0" w:color="auto"/>
            </w:tcBorders>
            <w:vAlign w:val="bottom"/>
          </w:tcPr>
          <w:p w:rsidR="00CE5F26" w:rsidRPr="003A5AA0" w:rsidRDefault="00CE5F26" w:rsidP="00734EBA">
            <w:pPr>
              <w:pStyle w:val="answer"/>
              <w:spacing w:before="60" w:after="60" w:line="240" w:lineRule="auto"/>
              <w:ind w:left="0" w:firstLine="0"/>
              <w:jc w:val="center"/>
            </w:pPr>
            <w:r w:rsidRPr="003A5AA0">
              <w:t>0.0 %</w:t>
            </w:r>
          </w:p>
        </w:tc>
      </w:tr>
      <w:tr w:rsidR="00CE5F26" w:rsidRPr="009075DC" w:rsidTr="00EE3900">
        <w:trPr>
          <w:cantSplit/>
          <w:trHeight w:val="425"/>
        </w:trPr>
        <w:tc>
          <w:tcPr>
            <w:tcW w:w="1908" w:type="dxa"/>
            <w:tcBorders>
              <w:top w:val="single" w:sz="4" w:space="0" w:color="auto"/>
              <w:bottom w:val="single" w:sz="4" w:space="0" w:color="auto"/>
            </w:tcBorders>
            <w:vAlign w:val="bottom"/>
          </w:tcPr>
          <w:p w:rsidR="00CE5F26" w:rsidRPr="00683198" w:rsidRDefault="00CE5F26" w:rsidP="00734EBA">
            <w:pPr>
              <w:pStyle w:val="answer"/>
              <w:spacing w:before="60" w:after="60" w:line="240" w:lineRule="auto"/>
              <w:ind w:left="0" w:firstLine="0"/>
              <w:rPr>
                <w:b/>
              </w:rPr>
            </w:pPr>
            <w:r w:rsidRPr="00683198">
              <w:rPr>
                <w:b/>
              </w:rPr>
              <w:t>Total/System Average</w:t>
            </w:r>
          </w:p>
        </w:tc>
        <w:tc>
          <w:tcPr>
            <w:tcW w:w="1440" w:type="dxa"/>
            <w:tcBorders>
              <w:top w:val="single" w:sz="4" w:space="0" w:color="auto"/>
              <w:bottom w:val="single" w:sz="4" w:space="0" w:color="auto"/>
            </w:tcBorders>
          </w:tcPr>
          <w:p w:rsidR="00CE5F26" w:rsidRPr="00683198" w:rsidRDefault="00CE5F26" w:rsidP="00734EBA">
            <w:pPr>
              <w:pStyle w:val="answer"/>
              <w:spacing w:before="60" w:after="60" w:line="240" w:lineRule="auto"/>
              <w:ind w:left="0" w:firstLine="0"/>
              <w:jc w:val="center"/>
              <w:rPr>
                <w:b/>
                <w:highlight w:val="yellow"/>
              </w:rPr>
            </w:pPr>
          </w:p>
        </w:tc>
        <w:tc>
          <w:tcPr>
            <w:tcW w:w="1350" w:type="dxa"/>
            <w:tcBorders>
              <w:top w:val="single" w:sz="4" w:space="0" w:color="auto"/>
              <w:bottom w:val="single" w:sz="4" w:space="0" w:color="auto"/>
            </w:tcBorders>
            <w:vAlign w:val="bottom"/>
          </w:tcPr>
          <w:p w:rsidR="00CE5F26" w:rsidRPr="00E8781B" w:rsidRDefault="00CE5F26" w:rsidP="00734EBA">
            <w:pPr>
              <w:pStyle w:val="answer"/>
              <w:spacing w:before="60" w:after="60" w:line="240" w:lineRule="auto"/>
              <w:ind w:left="0" w:firstLine="0"/>
              <w:jc w:val="center"/>
              <w:rPr>
                <w:b/>
              </w:rPr>
            </w:pPr>
            <w:r w:rsidRPr="00E8781B">
              <w:rPr>
                <w:b/>
              </w:rPr>
              <w:t>2.</w:t>
            </w:r>
            <w:r>
              <w:rPr>
                <w:b/>
              </w:rPr>
              <w:t xml:space="preserve">8 </w:t>
            </w:r>
            <w:r w:rsidRPr="00E8781B">
              <w:rPr>
                <w:b/>
              </w:rPr>
              <w:t>%</w:t>
            </w:r>
          </w:p>
        </w:tc>
        <w:tc>
          <w:tcPr>
            <w:tcW w:w="1530" w:type="dxa"/>
            <w:tcBorders>
              <w:top w:val="single" w:sz="4" w:space="0" w:color="auto"/>
              <w:bottom w:val="single" w:sz="4" w:space="0" w:color="auto"/>
            </w:tcBorders>
            <w:vAlign w:val="bottom"/>
          </w:tcPr>
          <w:p w:rsidR="00CE5F26" w:rsidRPr="00E8781B" w:rsidRDefault="00CE5F26" w:rsidP="00734EBA">
            <w:pPr>
              <w:pStyle w:val="answer"/>
              <w:spacing w:before="60" w:after="60" w:line="240" w:lineRule="auto"/>
              <w:ind w:left="0" w:firstLine="0"/>
              <w:jc w:val="center"/>
              <w:rPr>
                <w:b/>
              </w:rPr>
            </w:pPr>
            <w:r>
              <w:rPr>
                <w:b/>
              </w:rPr>
              <w:t xml:space="preserve">5.3 </w:t>
            </w:r>
            <w:r w:rsidRPr="00E8781B">
              <w:rPr>
                <w:b/>
              </w:rPr>
              <w:t>%</w:t>
            </w:r>
          </w:p>
        </w:tc>
        <w:tc>
          <w:tcPr>
            <w:tcW w:w="1530" w:type="dxa"/>
            <w:tcBorders>
              <w:top w:val="single" w:sz="4" w:space="0" w:color="auto"/>
              <w:bottom w:val="single" w:sz="4" w:space="0" w:color="auto"/>
            </w:tcBorders>
            <w:vAlign w:val="bottom"/>
          </w:tcPr>
          <w:p w:rsidR="00CE5F26" w:rsidRPr="003A5AA0" w:rsidRDefault="00CE5F26" w:rsidP="00734EBA">
            <w:pPr>
              <w:pStyle w:val="answer"/>
              <w:spacing w:before="60" w:after="60" w:line="240" w:lineRule="auto"/>
              <w:ind w:left="0" w:firstLine="0"/>
              <w:jc w:val="center"/>
              <w:rPr>
                <w:b/>
              </w:rPr>
            </w:pPr>
            <w:r w:rsidRPr="003A5AA0">
              <w:rPr>
                <w:b/>
              </w:rPr>
              <w:t>2.8 %</w:t>
            </w:r>
          </w:p>
        </w:tc>
        <w:tc>
          <w:tcPr>
            <w:tcW w:w="1368" w:type="dxa"/>
            <w:tcBorders>
              <w:top w:val="single" w:sz="4" w:space="0" w:color="auto"/>
              <w:bottom w:val="single" w:sz="4" w:space="0" w:color="auto"/>
            </w:tcBorders>
            <w:vAlign w:val="bottom"/>
          </w:tcPr>
          <w:p w:rsidR="00CE5F26" w:rsidRPr="003A5AA0" w:rsidRDefault="00CE5F26" w:rsidP="00734EBA">
            <w:pPr>
              <w:pStyle w:val="answer"/>
              <w:spacing w:before="60" w:after="60" w:line="240" w:lineRule="auto"/>
              <w:ind w:left="0" w:firstLine="0"/>
              <w:jc w:val="center"/>
              <w:rPr>
                <w:b/>
              </w:rPr>
            </w:pPr>
            <w:r w:rsidRPr="003A5AA0">
              <w:rPr>
                <w:b/>
              </w:rPr>
              <w:t>5.</w:t>
            </w:r>
            <w:r w:rsidR="0011347D" w:rsidRPr="003A5AA0">
              <w:rPr>
                <w:b/>
              </w:rPr>
              <w:t>2</w:t>
            </w:r>
            <w:r w:rsidRPr="003A5AA0">
              <w:rPr>
                <w:b/>
              </w:rPr>
              <w:t xml:space="preserve"> %</w:t>
            </w:r>
          </w:p>
        </w:tc>
      </w:tr>
      <w:tr w:rsidR="00CE5F26" w:rsidRPr="009075DC" w:rsidTr="00EE3900">
        <w:trPr>
          <w:cantSplit/>
          <w:trHeight w:val="425"/>
        </w:trPr>
        <w:tc>
          <w:tcPr>
            <w:tcW w:w="3348" w:type="dxa"/>
            <w:gridSpan w:val="2"/>
            <w:tcBorders>
              <w:top w:val="single" w:sz="4" w:space="0" w:color="auto"/>
            </w:tcBorders>
            <w:vAlign w:val="bottom"/>
          </w:tcPr>
          <w:p w:rsidR="00745B9C" w:rsidRPr="00683198" w:rsidRDefault="00CE5F26" w:rsidP="00734EBA">
            <w:pPr>
              <w:pStyle w:val="answer"/>
              <w:spacing w:before="60" w:after="60" w:line="240" w:lineRule="auto"/>
              <w:ind w:left="0" w:firstLine="0"/>
              <w:rPr>
                <w:b/>
                <w:highlight w:val="yellow"/>
              </w:rPr>
            </w:pPr>
            <w:r w:rsidRPr="00995BC5">
              <w:t>* Includes gas costs</w:t>
            </w:r>
          </w:p>
        </w:tc>
        <w:tc>
          <w:tcPr>
            <w:tcW w:w="1350" w:type="dxa"/>
            <w:tcBorders>
              <w:top w:val="single" w:sz="4" w:space="0" w:color="auto"/>
            </w:tcBorders>
          </w:tcPr>
          <w:p w:rsidR="00CE5F26" w:rsidRPr="00683198" w:rsidRDefault="00CE5F26" w:rsidP="00734EBA">
            <w:pPr>
              <w:pStyle w:val="answer"/>
              <w:spacing w:before="60" w:after="60" w:line="240" w:lineRule="auto"/>
              <w:ind w:left="0" w:firstLine="0"/>
              <w:jc w:val="center"/>
              <w:rPr>
                <w:b/>
                <w:highlight w:val="yellow"/>
              </w:rPr>
            </w:pPr>
          </w:p>
        </w:tc>
        <w:tc>
          <w:tcPr>
            <w:tcW w:w="1530" w:type="dxa"/>
            <w:tcBorders>
              <w:top w:val="single" w:sz="4" w:space="0" w:color="auto"/>
            </w:tcBorders>
          </w:tcPr>
          <w:p w:rsidR="00CE5F26" w:rsidRPr="00683198" w:rsidRDefault="00CE5F26" w:rsidP="00734EBA">
            <w:pPr>
              <w:pStyle w:val="answer"/>
              <w:spacing w:before="60" w:after="60" w:line="240" w:lineRule="auto"/>
              <w:ind w:left="0" w:firstLine="0"/>
              <w:jc w:val="center"/>
              <w:rPr>
                <w:b/>
                <w:highlight w:val="yellow"/>
              </w:rPr>
            </w:pPr>
          </w:p>
        </w:tc>
        <w:tc>
          <w:tcPr>
            <w:tcW w:w="1530" w:type="dxa"/>
            <w:tcBorders>
              <w:top w:val="single" w:sz="4" w:space="0" w:color="auto"/>
            </w:tcBorders>
            <w:vAlign w:val="bottom"/>
          </w:tcPr>
          <w:p w:rsidR="00CE5F26" w:rsidRPr="00683198" w:rsidRDefault="00CE5F26" w:rsidP="00734EBA">
            <w:pPr>
              <w:pStyle w:val="answer"/>
              <w:spacing w:before="60" w:after="60" w:line="240" w:lineRule="auto"/>
              <w:ind w:left="0" w:firstLine="0"/>
              <w:jc w:val="center"/>
              <w:rPr>
                <w:b/>
                <w:highlight w:val="yellow"/>
              </w:rPr>
            </w:pPr>
          </w:p>
        </w:tc>
        <w:tc>
          <w:tcPr>
            <w:tcW w:w="1368" w:type="dxa"/>
            <w:tcBorders>
              <w:top w:val="single" w:sz="4" w:space="0" w:color="auto"/>
            </w:tcBorders>
            <w:vAlign w:val="bottom"/>
          </w:tcPr>
          <w:p w:rsidR="00CE5F26" w:rsidRPr="00683198" w:rsidRDefault="00CE5F26" w:rsidP="00734EBA">
            <w:pPr>
              <w:pStyle w:val="answer"/>
              <w:spacing w:before="60" w:after="60" w:line="240" w:lineRule="auto"/>
              <w:ind w:left="0" w:firstLine="0"/>
              <w:jc w:val="center"/>
              <w:rPr>
                <w:b/>
                <w:highlight w:val="yellow"/>
              </w:rPr>
            </w:pPr>
          </w:p>
        </w:tc>
      </w:tr>
    </w:tbl>
    <w:p w:rsidR="001578FF" w:rsidRPr="009075DC" w:rsidRDefault="001578FF" w:rsidP="00734EBA">
      <w:pPr>
        <w:pStyle w:val="Heading1"/>
        <w:spacing w:before="480"/>
        <w:rPr>
          <w:rFonts w:eastAsia="SimSun"/>
        </w:rPr>
      </w:pPr>
      <w:bookmarkStart w:id="20" w:name="_Toc478935881"/>
      <w:r>
        <w:rPr>
          <w:rFonts w:eastAsia="SimSun"/>
        </w:rPr>
        <w:t>V</w:t>
      </w:r>
      <w:r w:rsidR="00DA7D3D">
        <w:rPr>
          <w:rFonts w:eastAsia="SimSun"/>
        </w:rPr>
        <w:t>I</w:t>
      </w:r>
      <w:r>
        <w:rPr>
          <w:rFonts w:eastAsia="SimSun"/>
        </w:rPr>
        <w:t>I</w:t>
      </w:r>
      <w:r w:rsidRPr="009075DC">
        <w:rPr>
          <w:rFonts w:eastAsia="SimSun"/>
        </w:rPr>
        <w:t>.</w:t>
      </w:r>
      <w:r w:rsidRPr="009075DC">
        <w:rPr>
          <w:rFonts w:eastAsia="SimSun"/>
        </w:rPr>
        <w:tab/>
      </w:r>
      <w:r>
        <w:rPr>
          <w:rFonts w:eastAsia="SimSun"/>
        </w:rPr>
        <w:t>UPDATED DECOUPLING CALCULATIONS</w:t>
      </w:r>
      <w:bookmarkEnd w:id="20"/>
    </w:p>
    <w:p w:rsidR="001227D6" w:rsidRPr="009075DC" w:rsidRDefault="00BF303C" w:rsidP="00734EBA">
      <w:pPr>
        <w:pStyle w:val="question"/>
        <w:keepNext w:val="0"/>
        <w:keepLines w:val="0"/>
      </w:pPr>
      <w:r>
        <w:t>Q.</w:t>
      </w:r>
      <w:r>
        <w:tab/>
      </w:r>
      <w:r w:rsidR="001227D6">
        <w:t>Has PSE updated its proposed electric decoupling mechanism to reflect the proposed rates in this supplemental filing?</w:t>
      </w:r>
    </w:p>
    <w:p w:rsidR="001227D6" w:rsidRDefault="001227D6" w:rsidP="00734EBA">
      <w:pPr>
        <w:pStyle w:val="answer"/>
      </w:pPr>
      <w:r>
        <w:t>A.</w:t>
      </w:r>
      <w:r>
        <w:tab/>
        <w:t xml:space="preserve">Yes.  The allowed revenue proposed in PSE’s electric decoupling mechanism, originally presented in </w:t>
      </w:r>
      <w:proofErr w:type="spellStart"/>
      <w:r w:rsidR="0026646A">
        <w:t>Exh</w:t>
      </w:r>
      <w:proofErr w:type="spellEnd"/>
      <w:r w:rsidR="0026646A">
        <w:t xml:space="preserve">. </w:t>
      </w:r>
      <w:r>
        <w:t>JAP-30</w:t>
      </w:r>
      <w:r w:rsidR="00831B3D">
        <w:t>,</w:t>
      </w:r>
      <w:r>
        <w:t xml:space="preserve"> ha</w:t>
      </w:r>
      <w:r w:rsidR="00831B3D">
        <w:t>s</w:t>
      </w:r>
      <w:r>
        <w:t xml:space="preserve"> been updated to reflect the proposed electric rates in this supplemental filing</w:t>
      </w:r>
      <w:r w:rsidR="00302D0C">
        <w:t xml:space="preserve">. </w:t>
      </w:r>
      <w:r>
        <w:t>Th</w:t>
      </w:r>
      <w:r w:rsidR="00302D0C">
        <w:t>e</w:t>
      </w:r>
      <w:r>
        <w:t xml:space="preserve"> updated electric decoupling analysis </w:t>
      </w:r>
      <w:r w:rsidR="00302D0C">
        <w:t xml:space="preserve">presented in my </w:t>
      </w:r>
      <w:proofErr w:type="spellStart"/>
      <w:r w:rsidR="00831B3D">
        <w:t>Exh</w:t>
      </w:r>
      <w:proofErr w:type="spellEnd"/>
      <w:r w:rsidR="00831B3D">
        <w:t xml:space="preserve">. </w:t>
      </w:r>
      <w:r w:rsidR="00302D0C">
        <w:t xml:space="preserve">JAP-41 </w:t>
      </w:r>
      <w:r>
        <w:t>shows</w:t>
      </w:r>
      <w:r w:rsidR="0025541B">
        <w:t xml:space="preserve"> a modest difference from the original filing, with most classes seeing an approximate 0.5 percent (or less) increase in allowed revenue, except for the group containing Schedules 40, 46 and 49, which saw a </w:t>
      </w:r>
      <w:r w:rsidR="0025541B">
        <w:lastRenderedPageBreak/>
        <w:t>decrease of about 3.5 percent</w:t>
      </w:r>
      <w:r w:rsidR="00302D0C">
        <w:t>. These changes</w:t>
      </w:r>
      <w:r w:rsidR="0025541B">
        <w:t xml:space="preserve"> </w:t>
      </w:r>
      <w:r w:rsidR="00302D0C">
        <w:t>largely reflect</w:t>
      </w:r>
      <w:r w:rsidR="0025541B">
        <w:t xml:space="preserve"> the corrections</w:t>
      </w:r>
      <w:r w:rsidR="00302D0C">
        <w:t xml:space="preserve"> made </w:t>
      </w:r>
      <w:r w:rsidR="0025541B">
        <w:t>to the Schedule 40 distribution rate calculations</w:t>
      </w:r>
      <w:r w:rsidR="006B0268">
        <w:t xml:space="preserve"> noted earlier in this testimony</w:t>
      </w:r>
      <w:r>
        <w:t>.</w:t>
      </w:r>
    </w:p>
    <w:p w:rsidR="001227D6" w:rsidRPr="009075DC" w:rsidRDefault="00BF303C" w:rsidP="00734EBA">
      <w:pPr>
        <w:pStyle w:val="question"/>
      </w:pPr>
      <w:r>
        <w:t>Q.</w:t>
      </w:r>
      <w:r>
        <w:tab/>
      </w:r>
      <w:r w:rsidR="001227D6">
        <w:t xml:space="preserve">Has PSE updated its proposed </w:t>
      </w:r>
      <w:r w:rsidR="008E0AD5">
        <w:t>natural gas</w:t>
      </w:r>
      <w:r w:rsidR="001227D6">
        <w:t xml:space="preserve"> decoupling mechanism to reflect the proposed rates in this supplemental filing?</w:t>
      </w:r>
    </w:p>
    <w:p w:rsidR="001227D6" w:rsidRPr="001227D6" w:rsidRDefault="001227D6" w:rsidP="00734EBA">
      <w:pPr>
        <w:pStyle w:val="answer"/>
        <w:rPr>
          <w:rFonts w:eastAsia="SimSun"/>
          <w:b/>
        </w:rPr>
      </w:pPr>
      <w:r w:rsidRPr="001227D6">
        <w:t>A.</w:t>
      </w:r>
      <w:r w:rsidRPr="001227D6">
        <w:tab/>
        <w:t xml:space="preserve">Yes.  The allowed revenue proposed in PSE’s </w:t>
      </w:r>
      <w:r w:rsidR="008E0AD5">
        <w:t>natural gas</w:t>
      </w:r>
      <w:r w:rsidRPr="001227D6">
        <w:t xml:space="preserve"> decoupling mechanism, originally presented in </w:t>
      </w:r>
      <w:proofErr w:type="spellStart"/>
      <w:r w:rsidR="0026646A">
        <w:t>Exh</w:t>
      </w:r>
      <w:proofErr w:type="spellEnd"/>
      <w:r w:rsidR="0026646A">
        <w:t xml:space="preserve">. </w:t>
      </w:r>
      <w:r w:rsidRPr="001227D6">
        <w:t>JAP-3</w:t>
      </w:r>
      <w:r>
        <w:t>1</w:t>
      </w:r>
      <w:r w:rsidRPr="001227D6">
        <w:t xml:space="preserve"> have been updated to reflect the proposed </w:t>
      </w:r>
      <w:r w:rsidR="008E0AD5">
        <w:t>natural gas</w:t>
      </w:r>
      <w:r>
        <w:t xml:space="preserve"> </w:t>
      </w:r>
      <w:r w:rsidRPr="001227D6">
        <w:t>rates in this supplemental filing</w:t>
      </w:r>
      <w:r w:rsidR="00302D0C">
        <w:t>.  This updated gas decoupling analysis is</w:t>
      </w:r>
      <w:r w:rsidRPr="001227D6">
        <w:t xml:space="preserve"> presented in my </w:t>
      </w:r>
      <w:proofErr w:type="spellStart"/>
      <w:r w:rsidR="00831B3D">
        <w:t>Exh</w:t>
      </w:r>
      <w:proofErr w:type="spellEnd"/>
      <w:r w:rsidR="00831B3D">
        <w:t xml:space="preserve">. </w:t>
      </w:r>
      <w:r w:rsidRPr="001227D6">
        <w:t>JAP-</w:t>
      </w:r>
      <w:r w:rsidR="00831B3D">
        <w:t>42</w:t>
      </w:r>
      <w:r w:rsidRPr="001227D6">
        <w:t xml:space="preserve">.  </w:t>
      </w:r>
      <w:r w:rsidR="00CB6E01">
        <w:t>As expected, with very little change to overall rates, t</w:t>
      </w:r>
      <w:r w:rsidRPr="001227D6">
        <w:t xml:space="preserve">his updated </w:t>
      </w:r>
      <w:r w:rsidR="008E0AD5">
        <w:t>natural gas</w:t>
      </w:r>
      <w:r>
        <w:t xml:space="preserve"> </w:t>
      </w:r>
      <w:r w:rsidRPr="001227D6">
        <w:t xml:space="preserve">decoupling analysis shows </w:t>
      </w:r>
      <w:r w:rsidR="00CB6E01">
        <w:t>equally small impacts to the allowed revenue per customer originally proposed, with the vast majority of customers seeing a small decrease in annual allowed revenues</w:t>
      </w:r>
      <w:r w:rsidRPr="001227D6">
        <w:t>.</w:t>
      </w:r>
    </w:p>
    <w:p w:rsidR="004D1343" w:rsidRPr="009075DC" w:rsidRDefault="00BF303C" w:rsidP="00734EBA">
      <w:pPr>
        <w:pStyle w:val="question"/>
      </w:pPr>
      <w:r>
        <w:t>Q.</w:t>
      </w:r>
      <w:r>
        <w:tab/>
      </w:r>
      <w:r w:rsidR="004D1343">
        <w:t>Has PSE updated its proposed electric decoupling mechanism to reflect the contingent calculations where Microsoft is assumed to take retail wheeling service?</w:t>
      </w:r>
    </w:p>
    <w:p w:rsidR="004D1343" w:rsidRPr="004D1343" w:rsidRDefault="004D1343" w:rsidP="00734EBA">
      <w:pPr>
        <w:pStyle w:val="answer"/>
        <w:rPr>
          <w:b/>
        </w:rPr>
      </w:pPr>
      <w:r w:rsidRPr="004D1343">
        <w:t>A.</w:t>
      </w:r>
      <w:r w:rsidRPr="004D1343">
        <w:tab/>
        <w:t xml:space="preserve">Yes.  The allowed revenue proposed in PSE’s </w:t>
      </w:r>
      <w:r>
        <w:t xml:space="preserve">contingent </w:t>
      </w:r>
      <w:r w:rsidRPr="004D1343">
        <w:t>electric decoupling mechanism</w:t>
      </w:r>
      <w:r>
        <w:t xml:space="preserve"> calculations where Microsoft is assumed to be taking retail wheeling service</w:t>
      </w:r>
      <w:r w:rsidRPr="004D1343">
        <w:t xml:space="preserve">, originally presented in </w:t>
      </w:r>
      <w:proofErr w:type="spellStart"/>
      <w:r w:rsidR="0026646A">
        <w:t>Exh</w:t>
      </w:r>
      <w:proofErr w:type="spellEnd"/>
      <w:r w:rsidR="0026646A">
        <w:t xml:space="preserve">. </w:t>
      </w:r>
      <w:r w:rsidRPr="004D1343">
        <w:t>JAP-3</w:t>
      </w:r>
      <w:r>
        <w:t>3</w:t>
      </w:r>
      <w:r w:rsidRPr="004D1343">
        <w:t xml:space="preserve"> have been updated </w:t>
      </w:r>
      <w:r w:rsidR="007C0F09">
        <w:t>i</w:t>
      </w:r>
      <w:r>
        <w:t xml:space="preserve">n </w:t>
      </w:r>
      <w:proofErr w:type="spellStart"/>
      <w:r w:rsidR="00831B3D">
        <w:t>Exh</w:t>
      </w:r>
      <w:proofErr w:type="spellEnd"/>
      <w:r w:rsidR="00831B3D">
        <w:t xml:space="preserve">. </w:t>
      </w:r>
      <w:r>
        <w:t>JAP-</w:t>
      </w:r>
      <w:r w:rsidR="00831B3D">
        <w:t>43</w:t>
      </w:r>
      <w:r>
        <w:t xml:space="preserve"> </w:t>
      </w:r>
      <w:r w:rsidRPr="004D1343">
        <w:t xml:space="preserve">to reflect the </w:t>
      </w:r>
      <w:r>
        <w:t xml:space="preserve">updated fixed production costs presented in </w:t>
      </w:r>
      <w:proofErr w:type="spellStart"/>
      <w:r w:rsidR="00831B3D">
        <w:t>Exh</w:t>
      </w:r>
      <w:proofErr w:type="spellEnd"/>
      <w:r w:rsidR="00831B3D">
        <w:t xml:space="preserve">. </w:t>
      </w:r>
      <w:r>
        <w:t xml:space="preserve">KJB-16 </w:t>
      </w:r>
      <w:r w:rsidRPr="004D1343">
        <w:t>in this supplemental filing</w:t>
      </w:r>
      <w:r w:rsidR="0063512A">
        <w:t xml:space="preserve"> and the reallocation of these costs to remaining customers</w:t>
      </w:r>
      <w:r w:rsidRPr="004D1343">
        <w:t>.  This updated electric decoupling analysis</w:t>
      </w:r>
      <w:r>
        <w:t xml:space="preserve"> that assumes Microsoft has begun to take retail wheeling service</w:t>
      </w:r>
      <w:r w:rsidRPr="004D1343">
        <w:t xml:space="preserve"> shows </w:t>
      </w:r>
      <w:r w:rsidR="006B0268">
        <w:t xml:space="preserve">results very similar to the original analysis, where most customers see a 0.3 percent to 0.4 percent increase in allowed revenue </w:t>
      </w:r>
      <w:r w:rsidR="006B0268">
        <w:lastRenderedPageBreak/>
        <w:t>and the decoupling group containing</w:t>
      </w:r>
      <w:r w:rsidR="00302D0C">
        <w:t xml:space="preserve"> customers served under</w:t>
      </w:r>
      <w:r w:rsidR="006B0268">
        <w:t xml:space="preserve"> Schedules 40, 46 and 49 see almost a three percent reduction in allowed revenue</w:t>
      </w:r>
      <w:r w:rsidRPr="004D1343">
        <w:t>.</w:t>
      </w:r>
      <w:r w:rsidR="006B0268">
        <w:t xml:space="preserve">  As with the other electric decoupling analysis, the majority of the change in results </w:t>
      </w:r>
      <w:r w:rsidR="00302D0C">
        <w:t xml:space="preserve">is </w:t>
      </w:r>
      <w:r w:rsidR="006B0268">
        <w:t>tied to the correction to the Schedule 40 distribution rate</w:t>
      </w:r>
      <w:r w:rsidR="00302D0C">
        <w:t xml:space="preserve"> calculation</w:t>
      </w:r>
      <w:r w:rsidR="006B0268">
        <w:t>s noted earlier in this testimony.</w:t>
      </w:r>
    </w:p>
    <w:p w:rsidR="007816E1" w:rsidRDefault="007816E1" w:rsidP="00734EBA">
      <w:pPr>
        <w:pStyle w:val="Heading1"/>
        <w:spacing w:line="240" w:lineRule="auto"/>
      </w:pPr>
      <w:bookmarkStart w:id="21" w:name="_Toc478935882"/>
      <w:r w:rsidRPr="003B5206">
        <w:t>V</w:t>
      </w:r>
      <w:r w:rsidR="001578FF">
        <w:t>I</w:t>
      </w:r>
      <w:r w:rsidR="00DA7D3D">
        <w:t>I</w:t>
      </w:r>
      <w:r w:rsidR="002F77A9">
        <w:t>I</w:t>
      </w:r>
      <w:r w:rsidRPr="003B5206">
        <w:t>.</w:t>
      </w:r>
      <w:r w:rsidRPr="003B5206">
        <w:tab/>
      </w:r>
      <w:bookmarkEnd w:id="16"/>
      <w:bookmarkEnd w:id="17"/>
      <w:r w:rsidR="00330580">
        <w:t>UPDATED RATE IMPACTS</w:t>
      </w:r>
      <w:bookmarkEnd w:id="21"/>
    </w:p>
    <w:p w:rsidR="00DA509F" w:rsidRPr="009075DC" w:rsidRDefault="00BF303C" w:rsidP="00734EBA">
      <w:pPr>
        <w:pStyle w:val="question"/>
      </w:pPr>
      <w:r>
        <w:t>Q.</w:t>
      </w:r>
      <w:r>
        <w:tab/>
      </w:r>
      <w:r w:rsidR="00DA509F">
        <w:t xml:space="preserve">Has PSE updated its proposed electric </w:t>
      </w:r>
      <w:r>
        <w:t xml:space="preserve">rate impacts </w:t>
      </w:r>
      <w:r w:rsidR="00DA509F">
        <w:t>to reflect the proposed rates in this supplemental filing?</w:t>
      </w:r>
    </w:p>
    <w:p w:rsidR="007A1265" w:rsidRDefault="00DA509F" w:rsidP="00734EBA">
      <w:pPr>
        <w:pStyle w:val="answer"/>
      </w:pPr>
      <w:r>
        <w:t>A.</w:t>
      </w:r>
      <w:r>
        <w:tab/>
        <w:t xml:space="preserve">Yes.  The </w:t>
      </w:r>
      <w:r w:rsidR="00BF303C">
        <w:t xml:space="preserve">electric rate impacts </w:t>
      </w:r>
      <w:r>
        <w:t xml:space="preserve">originally presented in </w:t>
      </w:r>
      <w:proofErr w:type="spellStart"/>
      <w:r w:rsidR="0026646A">
        <w:t>Exh</w:t>
      </w:r>
      <w:proofErr w:type="spellEnd"/>
      <w:r w:rsidR="0026646A">
        <w:t xml:space="preserve">. </w:t>
      </w:r>
      <w:r>
        <w:t>JAP-</w:t>
      </w:r>
      <w:r w:rsidR="00BF303C">
        <w:t>19</w:t>
      </w:r>
      <w:r>
        <w:t xml:space="preserve"> have been updated </w:t>
      </w:r>
      <w:r w:rsidR="00B874A3">
        <w:t xml:space="preserve">in </w:t>
      </w:r>
      <w:proofErr w:type="spellStart"/>
      <w:r w:rsidR="00831B3D">
        <w:t>Exh</w:t>
      </w:r>
      <w:proofErr w:type="spellEnd"/>
      <w:r w:rsidR="00831B3D">
        <w:t xml:space="preserve">. </w:t>
      </w:r>
      <w:r w:rsidR="00B874A3">
        <w:t>JAP-</w:t>
      </w:r>
      <w:r w:rsidR="00831B3D">
        <w:t>44</w:t>
      </w:r>
      <w:r w:rsidR="00B874A3">
        <w:t xml:space="preserve"> </w:t>
      </w:r>
      <w:r>
        <w:t xml:space="preserve">to reflect the proposed electric rates in this supplemental filing that are presented in my </w:t>
      </w:r>
      <w:proofErr w:type="spellStart"/>
      <w:r w:rsidR="00831B3D">
        <w:t>Exh</w:t>
      </w:r>
      <w:proofErr w:type="spellEnd"/>
      <w:r w:rsidR="00831B3D">
        <w:t xml:space="preserve">. </w:t>
      </w:r>
      <w:r>
        <w:t>JAP-</w:t>
      </w:r>
      <w:r w:rsidR="00831B3D">
        <w:t>39</w:t>
      </w:r>
      <w:r>
        <w:t xml:space="preserve">.  </w:t>
      </w:r>
      <w:r w:rsidR="00BF303C">
        <w:t>They have also been updated to reflect the</w:t>
      </w:r>
      <w:r w:rsidR="0063512A">
        <w:t xml:space="preserve"> recent</w:t>
      </w:r>
      <w:r w:rsidR="00BF303C">
        <w:t xml:space="preserve"> filing of three electric adjusting price schedules: Schedule 120 (Electric Conservation Service Rider), Schedule 140 (Property Tax Tracker) and Schedule 142 (Revenue Decoupling Adjustment Mechanism).  </w:t>
      </w:r>
      <w:r w:rsidR="00FA4290">
        <w:t xml:space="preserve">A summary of the updated overall electric rate impacts are presented in </w:t>
      </w:r>
      <w:r w:rsidR="00831B3D">
        <w:t>Table 3</w:t>
      </w:r>
      <w:r w:rsidR="00FA4290">
        <w:t xml:space="preserve"> below</w:t>
      </w:r>
      <w:r w:rsidR="002503F1">
        <w:t xml:space="preserve">, where </w:t>
      </w:r>
      <w:r w:rsidR="00272458">
        <w:t>these results are compared with the initial filing</w:t>
      </w:r>
      <w:r w:rsidR="00FA4290">
        <w:t xml:space="preserve">.  </w:t>
      </w:r>
      <w:r w:rsidR="003F0734">
        <w:t xml:space="preserve">Table 3 </w:t>
      </w:r>
      <w:r w:rsidR="00FA4290">
        <w:t xml:space="preserve">shows </w:t>
      </w:r>
      <w:r w:rsidR="00272458">
        <w:t xml:space="preserve">that </w:t>
      </w:r>
      <w:r w:rsidR="002503F1">
        <w:t xml:space="preserve">overall </w:t>
      </w:r>
      <w:r w:rsidR="00272458">
        <w:t>system</w:t>
      </w:r>
      <w:r w:rsidR="002503F1">
        <w:t>-</w:t>
      </w:r>
      <w:r w:rsidR="00272458">
        <w:t>level impacts fell from 4.1 percent to 3.</w:t>
      </w:r>
      <w:r w:rsidR="003A5AA0">
        <w:t>2</w:t>
      </w:r>
      <w:r w:rsidR="00272458">
        <w:t xml:space="preserve"> percent, largely </w:t>
      </w:r>
      <w:r w:rsidR="002503F1">
        <w:t xml:space="preserve">as </w:t>
      </w:r>
      <w:r w:rsidR="00272458">
        <w:t>a result of lower power costs, as well as the updates to the other adjusting electric price schedules.  However, the class-specific results are mixed</w:t>
      </w:r>
      <w:r w:rsidR="006455A2">
        <w:t>, with most customers experiencing lower increases in the updated supplemental filing</w:t>
      </w:r>
      <w:r w:rsidR="00272458">
        <w:t>.  These mixed results are primarily a function of the updates to the adjusting price schedules</w:t>
      </w:r>
      <w:r w:rsidR="002503F1">
        <w:t>, particularly Schedule 142</w:t>
      </w:r>
      <w:r w:rsidR="00272458">
        <w:t>.</w:t>
      </w:r>
      <w:r w:rsidR="006455A2">
        <w:t xml:space="preserve">  As with</w:t>
      </w:r>
      <w:r w:rsidR="0038164D">
        <w:t xml:space="preserve"> </w:t>
      </w:r>
      <w:r w:rsidR="003F0734">
        <w:t xml:space="preserve">Table 1 </w:t>
      </w:r>
      <w:r w:rsidR="006455A2">
        <w:t xml:space="preserve">above, the largest difference was for customers </w:t>
      </w:r>
      <w:r w:rsidR="006455A2">
        <w:lastRenderedPageBreak/>
        <w:t>served under Schedule 40, largely due to the correction in the allocation of certain distribution costs.</w:t>
      </w:r>
      <w:bookmarkStart w:id="22" w:name="_Ref478395423"/>
    </w:p>
    <w:p w:rsidR="00D93122" w:rsidRPr="00D93122" w:rsidRDefault="00D93122" w:rsidP="00734EBA">
      <w:pPr>
        <w:pStyle w:val="Caption"/>
        <w:keepNext/>
        <w:keepLines/>
        <w:jc w:val="center"/>
        <w:rPr>
          <w:sz w:val="24"/>
          <w:szCs w:val="24"/>
        </w:rPr>
      </w:pPr>
      <w:r w:rsidRPr="00D93122">
        <w:rPr>
          <w:sz w:val="24"/>
          <w:szCs w:val="24"/>
        </w:rPr>
        <w:t xml:space="preserve">Table </w:t>
      </w:r>
      <w:bookmarkEnd w:id="22"/>
      <w:r w:rsidR="003F0734">
        <w:rPr>
          <w:sz w:val="24"/>
          <w:szCs w:val="24"/>
        </w:rPr>
        <w:t>3</w:t>
      </w:r>
      <w:r w:rsidRPr="00D93122">
        <w:rPr>
          <w:sz w:val="24"/>
          <w:szCs w:val="24"/>
        </w:rPr>
        <w:t xml:space="preserve"> - Estimated Overall Impacts of Proposed Electric Rates in Initial and Supplemental Filing</w:t>
      </w:r>
    </w:p>
    <w:tbl>
      <w:tblPr>
        <w:tblpPr w:leftFromText="180" w:rightFromText="180" w:vertAnchor="text" w:horzAnchor="margin" w:tblpXSpec="center" w:tblpY="314"/>
        <w:tblW w:w="0" w:type="auto"/>
        <w:tblLayout w:type="fixed"/>
        <w:tblLook w:val="0000" w:firstRow="0" w:lastRow="0" w:firstColumn="0" w:lastColumn="0" w:noHBand="0" w:noVBand="0"/>
      </w:tblPr>
      <w:tblGrid>
        <w:gridCol w:w="3168"/>
        <w:gridCol w:w="1440"/>
        <w:gridCol w:w="1440"/>
        <w:gridCol w:w="1350"/>
        <w:gridCol w:w="630"/>
        <w:gridCol w:w="180"/>
      </w:tblGrid>
      <w:tr w:rsidR="00D93122" w:rsidRPr="009075DC" w:rsidTr="00EE3900">
        <w:trPr>
          <w:gridAfter w:val="1"/>
          <w:wAfter w:w="180" w:type="dxa"/>
          <w:cantSplit/>
          <w:trHeight w:val="351"/>
        </w:trPr>
        <w:tc>
          <w:tcPr>
            <w:tcW w:w="3168" w:type="dxa"/>
            <w:tcBorders>
              <w:top w:val="single" w:sz="4" w:space="0" w:color="auto"/>
            </w:tcBorders>
            <w:vAlign w:val="center"/>
          </w:tcPr>
          <w:p w:rsidR="00D93122" w:rsidRPr="009075DC" w:rsidRDefault="00D93122" w:rsidP="00734EBA">
            <w:pPr>
              <w:spacing w:beforeLines="20" w:before="48" w:afterLines="20" w:after="48" w:line="240" w:lineRule="auto"/>
              <w:ind w:firstLine="0"/>
              <w:jc w:val="center"/>
              <w:rPr>
                <w:rFonts w:eastAsia="SimSun"/>
                <w:b/>
                <w:bCs/>
                <w:szCs w:val="24"/>
              </w:rPr>
            </w:pPr>
          </w:p>
        </w:tc>
        <w:tc>
          <w:tcPr>
            <w:tcW w:w="1440" w:type="dxa"/>
            <w:tcBorders>
              <w:top w:val="single" w:sz="4" w:space="0" w:color="auto"/>
            </w:tcBorders>
            <w:vAlign w:val="center"/>
          </w:tcPr>
          <w:p w:rsidR="00D93122" w:rsidRPr="009075DC" w:rsidRDefault="00D93122" w:rsidP="00734EBA">
            <w:pPr>
              <w:spacing w:beforeLines="20" w:before="48" w:afterLines="20" w:after="48" w:line="240" w:lineRule="auto"/>
              <w:ind w:firstLine="0"/>
              <w:jc w:val="center"/>
              <w:rPr>
                <w:rFonts w:eastAsia="SimSun"/>
                <w:b/>
                <w:bCs/>
                <w:szCs w:val="24"/>
              </w:rPr>
            </w:pPr>
          </w:p>
        </w:tc>
        <w:tc>
          <w:tcPr>
            <w:tcW w:w="3420" w:type="dxa"/>
            <w:gridSpan w:val="3"/>
            <w:tcBorders>
              <w:top w:val="single" w:sz="4" w:space="0" w:color="auto"/>
              <w:bottom w:val="single" w:sz="4" w:space="0" w:color="auto"/>
            </w:tcBorders>
            <w:vAlign w:val="center"/>
          </w:tcPr>
          <w:p w:rsidR="00D93122" w:rsidRPr="009075DC" w:rsidRDefault="00D93122" w:rsidP="00734EBA">
            <w:pPr>
              <w:spacing w:beforeLines="20" w:before="48" w:afterLines="20" w:after="48" w:line="240" w:lineRule="auto"/>
              <w:ind w:firstLine="0"/>
              <w:jc w:val="center"/>
              <w:rPr>
                <w:rFonts w:eastAsia="SimSun"/>
                <w:b/>
                <w:bCs/>
                <w:szCs w:val="24"/>
              </w:rPr>
            </w:pPr>
            <w:r>
              <w:rPr>
                <w:rFonts w:eastAsia="SimSun"/>
                <w:b/>
                <w:bCs/>
                <w:szCs w:val="24"/>
              </w:rPr>
              <w:t>Overall Impact</w:t>
            </w:r>
          </w:p>
        </w:tc>
      </w:tr>
      <w:tr w:rsidR="00D93122" w:rsidRPr="009075DC" w:rsidTr="00EE3900">
        <w:trPr>
          <w:gridAfter w:val="1"/>
          <w:wAfter w:w="180" w:type="dxa"/>
          <w:cantSplit/>
          <w:trHeight w:val="769"/>
        </w:trPr>
        <w:tc>
          <w:tcPr>
            <w:tcW w:w="3168" w:type="dxa"/>
            <w:tcBorders>
              <w:bottom w:val="single" w:sz="4" w:space="0" w:color="auto"/>
            </w:tcBorders>
            <w:vAlign w:val="center"/>
          </w:tcPr>
          <w:p w:rsidR="00D93122" w:rsidRPr="009075DC" w:rsidRDefault="00D93122" w:rsidP="00734EBA">
            <w:pPr>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440" w:type="dxa"/>
            <w:tcBorders>
              <w:bottom w:val="single" w:sz="4" w:space="0" w:color="auto"/>
            </w:tcBorders>
            <w:vAlign w:val="center"/>
          </w:tcPr>
          <w:p w:rsidR="00D93122" w:rsidRPr="009075DC" w:rsidRDefault="00D93122" w:rsidP="00734EBA">
            <w:pPr>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440" w:type="dxa"/>
            <w:tcBorders>
              <w:top w:val="single" w:sz="4" w:space="0" w:color="auto"/>
              <w:bottom w:val="single" w:sz="4" w:space="0" w:color="auto"/>
            </w:tcBorders>
            <w:vAlign w:val="center"/>
          </w:tcPr>
          <w:p w:rsidR="00D93122" w:rsidRPr="009075DC" w:rsidRDefault="00D93122" w:rsidP="00734EBA">
            <w:pPr>
              <w:spacing w:beforeLines="20" w:before="48" w:afterLines="20" w:after="48" w:line="240" w:lineRule="auto"/>
              <w:ind w:firstLine="0"/>
              <w:jc w:val="center"/>
              <w:rPr>
                <w:rFonts w:eastAsia="SimSun"/>
                <w:b/>
                <w:bCs/>
                <w:szCs w:val="24"/>
              </w:rPr>
            </w:pPr>
            <w:r>
              <w:rPr>
                <w:rFonts w:eastAsia="SimSun"/>
                <w:b/>
                <w:bCs/>
                <w:szCs w:val="24"/>
              </w:rPr>
              <w:t>Initial Filing</w:t>
            </w:r>
          </w:p>
        </w:tc>
        <w:tc>
          <w:tcPr>
            <w:tcW w:w="1980" w:type="dxa"/>
            <w:gridSpan w:val="2"/>
            <w:tcBorders>
              <w:top w:val="single" w:sz="4" w:space="0" w:color="auto"/>
              <w:bottom w:val="single" w:sz="4" w:space="0" w:color="auto"/>
            </w:tcBorders>
          </w:tcPr>
          <w:p w:rsidR="00D93122" w:rsidRPr="009075DC" w:rsidRDefault="00D93122" w:rsidP="00734EBA">
            <w:pPr>
              <w:spacing w:beforeLines="50" w:before="120" w:afterLines="20" w:after="48" w:line="240" w:lineRule="auto"/>
              <w:ind w:firstLine="0"/>
              <w:jc w:val="center"/>
              <w:rPr>
                <w:rFonts w:eastAsia="SimSun"/>
                <w:b/>
                <w:bCs/>
                <w:szCs w:val="24"/>
              </w:rPr>
            </w:pPr>
            <w:r>
              <w:rPr>
                <w:rFonts w:eastAsia="SimSun"/>
                <w:b/>
                <w:bCs/>
                <w:szCs w:val="24"/>
              </w:rPr>
              <w:t>Supplemental Filing</w:t>
            </w:r>
          </w:p>
        </w:tc>
      </w:tr>
      <w:tr w:rsidR="0038164D" w:rsidRPr="001D2B74" w:rsidTr="00EE3900">
        <w:trPr>
          <w:gridAfter w:val="1"/>
          <w:wAfter w:w="180" w:type="dxa"/>
          <w:cantSplit/>
          <w:trHeight w:val="324"/>
        </w:trPr>
        <w:tc>
          <w:tcPr>
            <w:tcW w:w="3168" w:type="dxa"/>
            <w:tcBorders>
              <w:top w:val="single" w:sz="4" w:space="0" w:color="auto"/>
            </w:tcBorders>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Residential</w:t>
            </w:r>
          </w:p>
        </w:tc>
        <w:tc>
          <w:tcPr>
            <w:tcW w:w="1440" w:type="dxa"/>
            <w:tcBorders>
              <w:top w:val="single" w:sz="4" w:space="0" w:color="auto"/>
            </w:tcBorders>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7</w:t>
            </w:r>
          </w:p>
        </w:tc>
        <w:tc>
          <w:tcPr>
            <w:tcW w:w="1440" w:type="dxa"/>
            <w:tcBorders>
              <w:top w:val="single" w:sz="4" w:space="0" w:color="auto"/>
            </w:tcBorders>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4.0</w:t>
            </w:r>
            <w:r w:rsidRPr="00DB6710">
              <w:rPr>
                <w:rFonts w:eastAsia="SimSun"/>
                <w:szCs w:val="24"/>
              </w:rPr>
              <w:t xml:space="preserve"> %</w:t>
            </w:r>
          </w:p>
        </w:tc>
        <w:tc>
          <w:tcPr>
            <w:tcW w:w="1980" w:type="dxa"/>
            <w:gridSpan w:val="2"/>
            <w:tcBorders>
              <w:top w:val="single" w:sz="4" w:space="0" w:color="auto"/>
            </w:tcBorders>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2.6 %</w:t>
            </w:r>
          </w:p>
        </w:tc>
      </w:tr>
      <w:tr w:rsidR="0038164D" w:rsidRPr="001D2B74" w:rsidTr="00EE3900">
        <w:trPr>
          <w:gridAfter w:val="1"/>
          <w:wAfter w:w="180" w:type="dxa"/>
          <w:cantSplit/>
          <w:trHeight w:val="312"/>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General Service, &lt; 51 kW</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8/</w:t>
            </w:r>
            <w:r w:rsidRPr="009075DC">
              <w:rPr>
                <w:rFonts w:eastAsia="SimSun"/>
                <w:szCs w:val="24"/>
              </w:rPr>
              <w:t>24</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2.8</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3.8 %</w:t>
            </w:r>
          </w:p>
        </w:tc>
      </w:tr>
      <w:tr w:rsidR="0038164D" w:rsidRPr="001D2B74" w:rsidTr="00EE3900">
        <w:trPr>
          <w:gridAfter w:val="1"/>
          <w:wAfter w:w="180" w:type="dxa"/>
          <w:cantSplit/>
          <w:trHeight w:val="337"/>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General Service, 51 - 350 kW</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11/</w:t>
            </w:r>
            <w:r w:rsidRPr="009075DC">
              <w:rPr>
                <w:rFonts w:eastAsia="SimSun"/>
                <w:szCs w:val="24"/>
              </w:rPr>
              <w:t>25</w:t>
            </w:r>
            <w:r>
              <w:rPr>
                <w:rFonts w:eastAsia="SimSun"/>
                <w:szCs w:val="24"/>
              </w:rPr>
              <w:t>/7A/29</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4.8</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4.1 %</w:t>
            </w:r>
          </w:p>
        </w:tc>
      </w:tr>
      <w:tr w:rsidR="0038164D" w:rsidRPr="001D2B74" w:rsidTr="00EE3900">
        <w:trPr>
          <w:gridAfter w:val="1"/>
          <w:wAfter w:w="180" w:type="dxa"/>
          <w:cantSplit/>
          <w:trHeight w:val="312"/>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General Service, &gt;350 kW</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12/</w:t>
            </w:r>
            <w:r w:rsidRPr="009075DC">
              <w:rPr>
                <w:rFonts w:eastAsia="SimSun"/>
                <w:szCs w:val="24"/>
              </w:rPr>
              <w:t>26</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4.3</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4.5 %</w:t>
            </w:r>
          </w:p>
        </w:tc>
      </w:tr>
      <w:tr w:rsidR="0038164D" w:rsidRPr="001D2B74" w:rsidTr="00EE3900">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Primary Service</w:t>
            </w:r>
            <w:r>
              <w:rPr>
                <w:rFonts w:eastAsia="SimSun"/>
                <w:szCs w:val="24"/>
              </w:rPr>
              <w:t xml:space="preserve">, Gen &amp; </w:t>
            </w:r>
            <w:proofErr w:type="spellStart"/>
            <w:r>
              <w:rPr>
                <w:rFonts w:eastAsia="SimSun"/>
                <w:szCs w:val="24"/>
              </w:rPr>
              <w:t>Irr</w:t>
            </w:r>
            <w:proofErr w:type="spellEnd"/>
            <w:r>
              <w:rPr>
                <w:rFonts w:eastAsia="SimSun"/>
                <w:szCs w:val="24"/>
              </w:rPr>
              <w:t>.</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10/</w:t>
            </w:r>
            <w:r w:rsidRPr="009075DC">
              <w:rPr>
                <w:rFonts w:eastAsia="SimSun"/>
                <w:szCs w:val="24"/>
              </w:rPr>
              <w:t>31/35</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4.2</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4.4 %</w:t>
            </w:r>
          </w:p>
        </w:tc>
      </w:tr>
      <w:tr w:rsidR="0038164D" w:rsidRPr="001D2B74" w:rsidTr="00EE3900">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Pr>
                <w:rFonts w:eastAsia="SimSun"/>
                <w:szCs w:val="24"/>
              </w:rPr>
              <w:t>Primary Service, Schools</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Pr>
                <w:rFonts w:eastAsia="SimSun"/>
                <w:szCs w:val="24"/>
              </w:rPr>
              <w:t>43</w:t>
            </w:r>
          </w:p>
        </w:tc>
        <w:tc>
          <w:tcPr>
            <w:tcW w:w="1440" w:type="dxa"/>
          </w:tcPr>
          <w:p w:rsidR="0038164D"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6.7 %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5.5 %</w:t>
            </w:r>
          </w:p>
        </w:tc>
      </w:tr>
      <w:tr w:rsidR="0038164D" w:rsidRPr="001D2B74" w:rsidTr="00EE3900">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Campus Rate*</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40</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12.1</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6.1 %</w:t>
            </w:r>
          </w:p>
        </w:tc>
      </w:tr>
      <w:tr w:rsidR="0038164D" w:rsidRPr="001D2B74" w:rsidTr="00EE3900">
        <w:trPr>
          <w:gridAfter w:val="1"/>
          <w:wAfter w:w="180" w:type="dxa"/>
          <w:cantSplit/>
          <w:trHeight w:val="477"/>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 xml:space="preserve">High Voltage </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46/49</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4.6</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3.0 %</w:t>
            </w:r>
          </w:p>
        </w:tc>
      </w:tr>
      <w:tr w:rsidR="0038164D" w:rsidRPr="001D2B74" w:rsidTr="00EE3900">
        <w:trPr>
          <w:gridAfter w:val="1"/>
          <w:wAfter w:w="180" w:type="dxa"/>
          <w:cantSplit/>
          <w:trHeight w:val="324"/>
        </w:trPr>
        <w:tc>
          <w:tcPr>
            <w:tcW w:w="3168" w:type="dxa"/>
          </w:tcPr>
          <w:p w:rsidR="0038164D" w:rsidRPr="009075DC" w:rsidRDefault="0038164D" w:rsidP="00734EBA">
            <w:pPr>
              <w:spacing w:beforeLines="20" w:before="48" w:afterLines="20" w:after="48" w:line="240" w:lineRule="auto"/>
              <w:ind w:firstLine="0"/>
              <w:rPr>
                <w:rFonts w:eastAsia="SimSun"/>
                <w:szCs w:val="24"/>
              </w:rPr>
            </w:pPr>
            <w:r w:rsidRPr="009075DC">
              <w:rPr>
                <w:rFonts w:eastAsia="SimSun"/>
                <w:szCs w:val="24"/>
              </w:rPr>
              <w:t>Lighting Service</w:t>
            </w:r>
          </w:p>
        </w:tc>
        <w:tc>
          <w:tcPr>
            <w:tcW w:w="1440" w:type="dxa"/>
          </w:tcPr>
          <w:p w:rsidR="0038164D" w:rsidRPr="009075DC" w:rsidRDefault="0038164D" w:rsidP="00734EBA">
            <w:pPr>
              <w:tabs>
                <w:tab w:val="decimal" w:pos="342"/>
              </w:tabs>
              <w:spacing w:beforeLines="20" w:before="48" w:afterLines="20" w:after="48" w:line="240" w:lineRule="auto"/>
              <w:ind w:firstLine="0"/>
              <w:jc w:val="center"/>
              <w:rPr>
                <w:rFonts w:eastAsia="SimSun"/>
                <w:szCs w:val="24"/>
              </w:rPr>
            </w:pPr>
            <w:r w:rsidRPr="009075DC">
              <w:rPr>
                <w:rFonts w:eastAsia="SimSun"/>
                <w:szCs w:val="24"/>
              </w:rPr>
              <w:t>5</w:t>
            </w:r>
            <w:r>
              <w:rPr>
                <w:rFonts w:eastAsia="SimSun"/>
                <w:szCs w:val="24"/>
              </w:rPr>
              <w:t>0</w:t>
            </w:r>
            <w:r w:rsidRPr="009075DC">
              <w:rPr>
                <w:rFonts w:eastAsia="SimSun"/>
                <w:szCs w:val="24"/>
              </w:rPr>
              <w:t xml:space="preserve"> </w:t>
            </w:r>
            <w:r>
              <w:rPr>
                <w:rFonts w:eastAsia="SimSun"/>
                <w:szCs w:val="24"/>
              </w:rPr>
              <w:t>–</w:t>
            </w:r>
            <w:r w:rsidRPr="009075DC">
              <w:rPr>
                <w:rFonts w:eastAsia="SimSun"/>
                <w:szCs w:val="24"/>
              </w:rPr>
              <w:t xml:space="preserve"> 59</w:t>
            </w:r>
          </w:p>
        </w:tc>
        <w:tc>
          <w:tcPr>
            <w:tcW w:w="1440" w:type="dxa"/>
          </w:tcPr>
          <w:p w:rsidR="0038164D" w:rsidRPr="00DB6710" w:rsidRDefault="0038164D" w:rsidP="00734EBA">
            <w:pPr>
              <w:tabs>
                <w:tab w:val="decimal" w:pos="252"/>
              </w:tabs>
              <w:spacing w:beforeLines="20" w:before="48" w:afterLines="20" w:after="48" w:line="240" w:lineRule="auto"/>
              <w:ind w:firstLine="0"/>
              <w:jc w:val="center"/>
              <w:rPr>
                <w:rFonts w:eastAsia="SimSun"/>
              </w:rPr>
            </w:pPr>
            <w:r>
              <w:rPr>
                <w:rFonts w:eastAsia="SimSun"/>
                <w:szCs w:val="24"/>
              </w:rPr>
              <w:t>(3.4)</w:t>
            </w:r>
            <w:r w:rsidRPr="00DB6710">
              <w:rPr>
                <w:rFonts w:eastAsia="SimSun"/>
                <w:szCs w:val="24"/>
              </w:rPr>
              <w:t xml:space="preserve"> %</w:t>
            </w:r>
          </w:p>
        </w:tc>
        <w:tc>
          <w:tcPr>
            <w:tcW w:w="1980" w:type="dxa"/>
            <w:gridSpan w:val="2"/>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(3.4) %</w:t>
            </w:r>
          </w:p>
        </w:tc>
      </w:tr>
      <w:tr w:rsidR="0038164D" w:rsidRPr="001D2B74" w:rsidTr="00EE3900">
        <w:trPr>
          <w:gridAfter w:val="1"/>
          <w:wAfter w:w="180" w:type="dxa"/>
          <w:cantSplit/>
          <w:trHeight w:val="324"/>
        </w:trPr>
        <w:tc>
          <w:tcPr>
            <w:tcW w:w="3168" w:type="dxa"/>
            <w:tcBorders>
              <w:bottom w:val="single" w:sz="4" w:space="0" w:color="auto"/>
            </w:tcBorders>
          </w:tcPr>
          <w:p w:rsidR="0038164D" w:rsidRPr="009075DC" w:rsidRDefault="0038164D" w:rsidP="00734EBA">
            <w:pPr>
              <w:spacing w:beforeLines="20" w:before="48" w:afterLines="20" w:after="48" w:line="240" w:lineRule="auto"/>
              <w:ind w:firstLine="0"/>
              <w:rPr>
                <w:rFonts w:eastAsia="SimSun"/>
              </w:rPr>
            </w:pPr>
            <w:r w:rsidRPr="009075DC">
              <w:rPr>
                <w:rFonts w:eastAsia="SimSun"/>
                <w:szCs w:val="24"/>
              </w:rPr>
              <w:t>Choice/Retail Wheeling</w:t>
            </w:r>
          </w:p>
        </w:tc>
        <w:tc>
          <w:tcPr>
            <w:tcW w:w="1440" w:type="dxa"/>
            <w:tcBorders>
              <w:bottom w:val="single" w:sz="4" w:space="0" w:color="auto"/>
            </w:tcBorders>
          </w:tcPr>
          <w:p w:rsidR="0038164D" w:rsidRPr="009075DC" w:rsidRDefault="0038164D" w:rsidP="00734EBA">
            <w:pPr>
              <w:tabs>
                <w:tab w:val="decimal" w:pos="342"/>
              </w:tabs>
              <w:spacing w:beforeLines="20" w:before="48" w:afterLines="20" w:after="48" w:line="240" w:lineRule="auto"/>
              <w:ind w:firstLine="0"/>
              <w:jc w:val="center"/>
              <w:rPr>
                <w:rFonts w:eastAsia="SimSun"/>
              </w:rPr>
            </w:pPr>
            <w:r w:rsidRPr="009075DC">
              <w:rPr>
                <w:rFonts w:eastAsia="SimSun"/>
                <w:szCs w:val="24"/>
              </w:rPr>
              <w:t>448/449</w:t>
            </w:r>
          </w:p>
        </w:tc>
        <w:tc>
          <w:tcPr>
            <w:tcW w:w="1440" w:type="dxa"/>
            <w:tcBorders>
              <w:bottom w:val="single" w:sz="4" w:space="0" w:color="auto"/>
            </w:tcBorders>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0.6</w:t>
            </w:r>
            <w:r w:rsidRPr="00DB6710">
              <w:rPr>
                <w:rFonts w:eastAsia="SimSun"/>
                <w:szCs w:val="24"/>
              </w:rPr>
              <w:t xml:space="preserve"> %</w:t>
            </w:r>
          </w:p>
        </w:tc>
        <w:tc>
          <w:tcPr>
            <w:tcW w:w="1980" w:type="dxa"/>
            <w:gridSpan w:val="2"/>
            <w:tcBorders>
              <w:bottom w:val="single" w:sz="4" w:space="0" w:color="auto"/>
            </w:tcBorders>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0.6 %</w:t>
            </w:r>
          </w:p>
        </w:tc>
      </w:tr>
      <w:tr w:rsidR="0038164D" w:rsidRPr="009075DC" w:rsidTr="00EE3900">
        <w:trPr>
          <w:gridAfter w:val="1"/>
          <w:wAfter w:w="180" w:type="dxa"/>
          <w:cantSplit/>
          <w:trHeight w:val="692"/>
        </w:trPr>
        <w:tc>
          <w:tcPr>
            <w:tcW w:w="3168" w:type="dxa"/>
            <w:tcBorders>
              <w:top w:val="single" w:sz="4" w:space="0" w:color="auto"/>
              <w:bottom w:val="single" w:sz="4" w:space="0" w:color="auto"/>
            </w:tcBorders>
          </w:tcPr>
          <w:p w:rsidR="0038164D" w:rsidRPr="009075DC" w:rsidRDefault="0038164D" w:rsidP="00734EBA">
            <w:pPr>
              <w:spacing w:beforeLines="20" w:before="48" w:afterLines="20" w:after="48" w:line="240" w:lineRule="auto"/>
              <w:ind w:firstLine="0"/>
              <w:jc w:val="center"/>
              <w:rPr>
                <w:rFonts w:eastAsia="SimSun"/>
                <w:b/>
                <w:szCs w:val="24"/>
              </w:rPr>
            </w:pPr>
            <w:r w:rsidRPr="009075DC">
              <w:rPr>
                <w:rFonts w:eastAsia="SimSun"/>
                <w:b/>
                <w:szCs w:val="24"/>
              </w:rPr>
              <w:t>Total Jurisdictional Retail Sales</w:t>
            </w:r>
          </w:p>
        </w:tc>
        <w:tc>
          <w:tcPr>
            <w:tcW w:w="1440" w:type="dxa"/>
            <w:tcBorders>
              <w:top w:val="single" w:sz="4" w:space="0" w:color="auto"/>
              <w:bottom w:val="single" w:sz="4" w:space="0" w:color="auto"/>
            </w:tcBorders>
          </w:tcPr>
          <w:p w:rsidR="0038164D" w:rsidRPr="009075DC" w:rsidRDefault="0038164D" w:rsidP="00734EBA">
            <w:pPr>
              <w:tabs>
                <w:tab w:val="decimal" w:pos="792"/>
              </w:tabs>
              <w:spacing w:beforeLines="20" w:before="48" w:afterLines="20" w:after="48" w:line="240" w:lineRule="auto"/>
              <w:ind w:firstLine="0"/>
              <w:rPr>
                <w:rFonts w:eastAsia="SimSun"/>
                <w:b/>
                <w:szCs w:val="24"/>
              </w:rPr>
            </w:pPr>
            <w:r w:rsidRPr="009075DC">
              <w:rPr>
                <w:rFonts w:eastAsia="SimSun"/>
                <w:b/>
                <w:szCs w:val="24"/>
              </w:rPr>
              <w:t>n/a</w:t>
            </w:r>
          </w:p>
        </w:tc>
        <w:tc>
          <w:tcPr>
            <w:tcW w:w="1440" w:type="dxa"/>
            <w:tcBorders>
              <w:top w:val="single" w:sz="4" w:space="0" w:color="auto"/>
              <w:bottom w:val="single" w:sz="4" w:space="0" w:color="auto"/>
            </w:tcBorders>
          </w:tcPr>
          <w:p w:rsidR="0038164D" w:rsidRPr="00DB6710" w:rsidRDefault="0038164D" w:rsidP="00734EBA">
            <w:pPr>
              <w:tabs>
                <w:tab w:val="decimal" w:pos="252"/>
              </w:tabs>
              <w:spacing w:beforeLines="20" w:before="48" w:afterLines="20" w:after="48" w:line="240" w:lineRule="auto"/>
              <w:ind w:firstLine="0"/>
              <w:jc w:val="center"/>
              <w:rPr>
                <w:rFonts w:eastAsia="SimSun"/>
                <w:szCs w:val="24"/>
              </w:rPr>
            </w:pPr>
            <w:r>
              <w:rPr>
                <w:rFonts w:eastAsia="SimSun"/>
                <w:szCs w:val="24"/>
              </w:rPr>
              <w:t>4.1</w:t>
            </w:r>
            <w:r w:rsidRPr="00DB6710">
              <w:rPr>
                <w:rFonts w:eastAsia="SimSun"/>
                <w:szCs w:val="24"/>
              </w:rPr>
              <w:t xml:space="preserve"> %</w:t>
            </w:r>
          </w:p>
        </w:tc>
        <w:tc>
          <w:tcPr>
            <w:tcW w:w="1980" w:type="dxa"/>
            <w:gridSpan w:val="2"/>
            <w:tcBorders>
              <w:top w:val="single" w:sz="4" w:space="0" w:color="auto"/>
              <w:bottom w:val="single" w:sz="4" w:space="0" w:color="auto"/>
            </w:tcBorders>
          </w:tcPr>
          <w:p w:rsidR="0038164D" w:rsidRPr="0038164D" w:rsidRDefault="0038164D" w:rsidP="00734EBA">
            <w:pPr>
              <w:tabs>
                <w:tab w:val="decimal" w:pos="252"/>
              </w:tabs>
              <w:spacing w:beforeLines="20" w:before="48" w:afterLines="20" w:after="48" w:line="240" w:lineRule="auto"/>
              <w:ind w:firstLine="0"/>
              <w:jc w:val="center"/>
              <w:rPr>
                <w:rFonts w:eastAsia="SimSun"/>
                <w:szCs w:val="24"/>
              </w:rPr>
            </w:pPr>
            <w:r w:rsidRPr="0038164D">
              <w:rPr>
                <w:rFonts w:eastAsia="SimSun"/>
                <w:szCs w:val="24"/>
              </w:rPr>
              <w:t>3.2 %</w:t>
            </w:r>
          </w:p>
        </w:tc>
      </w:tr>
      <w:tr w:rsidR="00FA4290" w:rsidRPr="009075DC" w:rsidTr="00EE3900">
        <w:trPr>
          <w:cantSplit/>
          <w:trHeight w:val="185"/>
        </w:trPr>
        <w:tc>
          <w:tcPr>
            <w:tcW w:w="7398" w:type="dxa"/>
            <w:gridSpan w:val="4"/>
          </w:tcPr>
          <w:p w:rsidR="00FA4290" w:rsidRPr="00D93122" w:rsidRDefault="00FA4290" w:rsidP="00734EBA">
            <w:pPr>
              <w:tabs>
                <w:tab w:val="decimal" w:pos="792"/>
              </w:tabs>
              <w:spacing w:beforeLines="20" w:before="48" w:afterLines="20" w:after="48" w:line="240" w:lineRule="auto"/>
              <w:ind w:firstLine="0"/>
              <w:rPr>
                <w:rFonts w:eastAsia="SimSun"/>
                <w:sz w:val="20"/>
              </w:rPr>
            </w:pPr>
            <w:r w:rsidRPr="009075DC">
              <w:rPr>
                <w:rFonts w:eastAsia="SimSun"/>
                <w:sz w:val="20"/>
              </w:rPr>
              <w:t>*</w:t>
            </w:r>
            <w:r>
              <w:rPr>
                <w:rFonts w:eastAsia="SimSun"/>
                <w:sz w:val="20"/>
              </w:rPr>
              <w:t>Includes base rates, as well as Schedules 95, 141, 142 and 149</w:t>
            </w:r>
            <w:r w:rsidRPr="009075DC">
              <w:rPr>
                <w:rFonts w:eastAsia="SimSun"/>
                <w:sz w:val="20"/>
              </w:rPr>
              <w:t>.</w:t>
            </w:r>
          </w:p>
        </w:tc>
        <w:tc>
          <w:tcPr>
            <w:tcW w:w="810" w:type="dxa"/>
            <w:gridSpan w:val="2"/>
          </w:tcPr>
          <w:p w:rsidR="00FA4290" w:rsidRPr="009075DC" w:rsidRDefault="00FA4290" w:rsidP="00734EBA">
            <w:pPr>
              <w:tabs>
                <w:tab w:val="decimal" w:pos="792"/>
              </w:tabs>
              <w:spacing w:beforeLines="20" w:before="48" w:afterLines="20" w:after="48" w:line="240" w:lineRule="auto"/>
              <w:ind w:firstLine="0"/>
              <w:rPr>
                <w:rFonts w:eastAsia="SimSun"/>
                <w:sz w:val="20"/>
              </w:rPr>
            </w:pPr>
          </w:p>
        </w:tc>
      </w:tr>
    </w:tbl>
    <w:p w:rsidR="002503F1" w:rsidRPr="009075DC" w:rsidRDefault="002503F1" w:rsidP="00734EBA">
      <w:pPr>
        <w:pStyle w:val="question"/>
        <w:spacing w:before="480"/>
      </w:pPr>
      <w:r w:rsidRPr="009075DC">
        <w:t>Q.</w:t>
      </w:r>
      <w:r w:rsidRPr="009075DC">
        <w:tab/>
      </w:r>
      <w:r>
        <w:t>Based on these updated results, what is the overall monthly bill impact on the typical PSE residential customer</w:t>
      </w:r>
      <w:r w:rsidR="00264A3B">
        <w:t xml:space="preserve"> taking electric service</w:t>
      </w:r>
      <w:r>
        <w:t>?</w:t>
      </w:r>
    </w:p>
    <w:p w:rsidR="002503F1" w:rsidRPr="009075DC" w:rsidRDefault="002503F1" w:rsidP="00734EBA">
      <w:pPr>
        <w:pStyle w:val="answer"/>
        <w:rPr>
          <w:rFonts w:eastAsia="SimSun"/>
        </w:rPr>
      </w:pPr>
      <w:r w:rsidRPr="009075DC">
        <w:rPr>
          <w:rFonts w:eastAsia="SimSun"/>
        </w:rPr>
        <w:t>A.</w:t>
      </w:r>
      <w:r w:rsidRPr="009075DC">
        <w:rPr>
          <w:rFonts w:eastAsia="SimSun"/>
        </w:rPr>
        <w:tab/>
      </w:r>
      <w:r>
        <w:rPr>
          <w:rFonts w:eastAsia="SimSun"/>
        </w:rPr>
        <w:t>The estimated overall monthly bill impact for the typical PSE residential customer using 900 kWh</w:t>
      </w:r>
      <w:r w:rsidR="00264A3B">
        <w:rPr>
          <w:rFonts w:eastAsia="SimSun"/>
        </w:rPr>
        <w:t xml:space="preserve"> per month</w:t>
      </w:r>
      <w:r>
        <w:rPr>
          <w:rFonts w:eastAsia="SimSun"/>
        </w:rPr>
        <w:t xml:space="preserve"> fell from </w:t>
      </w:r>
      <w:r w:rsidR="0038164D">
        <w:rPr>
          <w:rFonts w:eastAsia="SimSun"/>
        </w:rPr>
        <w:t xml:space="preserve">a </w:t>
      </w:r>
      <w:r>
        <w:rPr>
          <w:rFonts w:eastAsia="SimSun"/>
        </w:rPr>
        <w:t xml:space="preserve">$3.73 per month </w:t>
      </w:r>
      <w:r w:rsidR="0038164D">
        <w:rPr>
          <w:rFonts w:eastAsia="SimSun"/>
        </w:rPr>
        <w:t xml:space="preserve">increase </w:t>
      </w:r>
      <w:r>
        <w:rPr>
          <w:rFonts w:eastAsia="SimSun"/>
        </w:rPr>
        <w:t>in the initial filing to $</w:t>
      </w:r>
      <w:r w:rsidR="00A57080">
        <w:rPr>
          <w:rFonts w:eastAsia="SimSun"/>
        </w:rPr>
        <w:t>2.41</w:t>
      </w:r>
      <w:r>
        <w:rPr>
          <w:rFonts w:eastAsia="SimSun"/>
        </w:rPr>
        <w:t xml:space="preserve"> per month in the supplemental filing</w:t>
      </w:r>
      <w:r w:rsidRPr="009075DC">
        <w:rPr>
          <w:rFonts w:eastAsia="SimSun"/>
        </w:rPr>
        <w:t xml:space="preserve">.  </w:t>
      </w:r>
    </w:p>
    <w:p w:rsidR="00BF303C" w:rsidRPr="009075DC" w:rsidRDefault="00BF303C" w:rsidP="00734EBA">
      <w:pPr>
        <w:pStyle w:val="question"/>
      </w:pPr>
      <w:r>
        <w:lastRenderedPageBreak/>
        <w:t>Q.</w:t>
      </w:r>
      <w:r>
        <w:tab/>
        <w:t xml:space="preserve">Has PSE updated its proposed </w:t>
      </w:r>
      <w:r w:rsidR="008E0AD5">
        <w:t>natural gas</w:t>
      </w:r>
      <w:r>
        <w:t xml:space="preserve"> rate impacts to reflect the proposed rates in this supplemental filing?</w:t>
      </w:r>
    </w:p>
    <w:p w:rsidR="003F0734" w:rsidRDefault="00BF303C" w:rsidP="00734EBA">
      <w:pPr>
        <w:pStyle w:val="answer"/>
      </w:pPr>
      <w:r>
        <w:t>A.</w:t>
      </w:r>
      <w:r>
        <w:tab/>
        <w:t xml:space="preserve">Yes.  The </w:t>
      </w:r>
      <w:r w:rsidR="008E0AD5">
        <w:t>natural gas</w:t>
      </w:r>
      <w:r>
        <w:t xml:space="preserve"> rate impacts originally presented in </w:t>
      </w:r>
      <w:proofErr w:type="spellStart"/>
      <w:r w:rsidR="0026646A">
        <w:t>Exh</w:t>
      </w:r>
      <w:proofErr w:type="spellEnd"/>
      <w:r w:rsidR="0026646A">
        <w:t xml:space="preserve">. </w:t>
      </w:r>
      <w:r>
        <w:t xml:space="preserve">JAP-28 have been updated </w:t>
      </w:r>
      <w:r w:rsidR="00B874A3">
        <w:t xml:space="preserve">in </w:t>
      </w:r>
      <w:proofErr w:type="spellStart"/>
      <w:r w:rsidR="003F0734">
        <w:t>Exh</w:t>
      </w:r>
      <w:proofErr w:type="spellEnd"/>
      <w:r w:rsidR="003F0734">
        <w:t xml:space="preserve">. </w:t>
      </w:r>
      <w:r w:rsidR="00B874A3">
        <w:t>JAP-</w:t>
      </w:r>
      <w:r w:rsidR="003F0734">
        <w:t>45</w:t>
      </w:r>
      <w:r w:rsidR="00B874A3">
        <w:t xml:space="preserve"> </w:t>
      </w:r>
      <w:r>
        <w:t xml:space="preserve">to reflect the proposed </w:t>
      </w:r>
      <w:r w:rsidR="008E0AD5">
        <w:t>natural gas</w:t>
      </w:r>
      <w:r>
        <w:t xml:space="preserve"> rates in this supplemental filing that are presented in my </w:t>
      </w:r>
      <w:proofErr w:type="spellStart"/>
      <w:r w:rsidR="003F0734">
        <w:t>Exh</w:t>
      </w:r>
      <w:proofErr w:type="spellEnd"/>
      <w:r w:rsidR="003F0734">
        <w:t xml:space="preserve">. </w:t>
      </w:r>
      <w:r>
        <w:t>JAP-</w:t>
      </w:r>
      <w:r w:rsidR="003F0734">
        <w:t>40</w:t>
      </w:r>
      <w:r>
        <w:t xml:space="preserve">.  They have also been updated to reflect the </w:t>
      </w:r>
      <w:r w:rsidR="0063512A">
        <w:t xml:space="preserve">recent </w:t>
      </w:r>
      <w:r>
        <w:t xml:space="preserve">filing of </w:t>
      </w:r>
      <w:r w:rsidR="0063512A">
        <w:t xml:space="preserve">three </w:t>
      </w:r>
      <w:r w:rsidR="008E0AD5">
        <w:t>natural gas</w:t>
      </w:r>
      <w:r>
        <w:t xml:space="preserve"> electric adjusting price schedules: Schedule 120 (</w:t>
      </w:r>
      <w:r w:rsidR="00617612">
        <w:t xml:space="preserve">Natural </w:t>
      </w:r>
      <w:r>
        <w:t>Gas Conservation Service Rider), Schedule 140 (Property Tax Tracker) and Schedule 142 (Revenue Decoupling Adjustment Mechanism</w:t>
      </w:r>
      <w:r w:rsidR="004C170F">
        <w:t>)</w:t>
      </w:r>
      <w:r>
        <w:t xml:space="preserve">.  </w:t>
      </w:r>
      <w:r w:rsidR="00EE3900">
        <w:t xml:space="preserve">A summary of the updated overall natural gas rate impacts are presented in </w:t>
      </w:r>
      <w:r w:rsidR="003F0734">
        <w:t xml:space="preserve">Table 4 </w:t>
      </w:r>
      <w:r w:rsidR="00EE3900">
        <w:t xml:space="preserve"> below, where these results are compared with the initial filing.  </w:t>
      </w:r>
      <w:r w:rsidR="003F0734">
        <w:t xml:space="preserve">Table 4 </w:t>
      </w:r>
      <w:r w:rsidR="00EE3900">
        <w:t xml:space="preserve">shows that overall system-level impacts fell from 2.4 percent decrease to a </w:t>
      </w:r>
      <w:r w:rsidR="003A5AA0">
        <w:t>3.2</w:t>
      </w:r>
      <w:r w:rsidR="00EE3900">
        <w:t xml:space="preserve"> percent</w:t>
      </w:r>
      <w:r w:rsidR="007C0F09">
        <w:t xml:space="preserve"> decrease</w:t>
      </w:r>
      <w:r w:rsidR="00EE3900">
        <w:t xml:space="preserve">.  However, as with the electric impacts, the class-specific results are mixed for natural gas customers, with some customers experiencing higher or lower decreases, or no change at all.  Again, these mixed results are primarily a function of the updates to the adjusting price schedules, particularly Schedule 142.  For customers whose Schedule 142 rates proposed on March 31, 2017 increased, the overall decrease in </w:t>
      </w:r>
      <w:r w:rsidR="003F0734">
        <w:t xml:space="preserve">Table 4 increased.  </w:t>
      </w:r>
    </w:p>
    <w:p w:rsidR="00EE3900" w:rsidRPr="00EE3900" w:rsidRDefault="00EE3900" w:rsidP="00734EBA">
      <w:pPr>
        <w:pStyle w:val="Caption"/>
        <w:keepNext/>
        <w:keepLines/>
        <w:pageBreakBefore/>
        <w:jc w:val="center"/>
        <w:rPr>
          <w:sz w:val="24"/>
          <w:szCs w:val="24"/>
        </w:rPr>
      </w:pPr>
      <w:bookmarkStart w:id="23" w:name="_Ref478397507"/>
      <w:r w:rsidRPr="00EE3900">
        <w:rPr>
          <w:sz w:val="24"/>
          <w:szCs w:val="24"/>
        </w:rPr>
        <w:lastRenderedPageBreak/>
        <w:t xml:space="preserve">Table </w:t>
      </w:r>
      <w:bookmarkEnd w:id="23"/>
      <w:r w:rsidR="001F313C">
        <w:rPr>
          <w:sz w:val="24"/>
          <w:szCs w:val="24"/>
        </w:rPr>
        <w:t>4</w:t>
      </w:r>
      <w:r w:rsidRPr="00EE3900">
        <w:rPr>
          <w:sz w:val="24"/>
          <w:szCs w:val="24"/>
        </w:rPr>
        <w:t xml:space="preserve"> - Estimated Overall Impacts of Proposed Natural Gas Rates in Initial and Supplemental Filing</w:t>
      </w:r>
    </w:p>
    <w:tbl>
      <w:tblPr>
        <w:tblpPr w:leftFromText="180" w:rightFromText="180" w:vertAnchor="text" w:horzAnchor="margin" w:tblpXSpec="center" w:tblpY="314"/>
        <w:tblW w:w="8298" w:type="dxa"/>
        <w:tblLayout w:type="fixed"/>
        <w:tblLook w:val="0000" w:firstRow="0" w:lastRow="0" w:firstColumn="0" w:lastColumn="0" w:noHBand="0" w:noVBand="0"/>
      </w:tblPr>
      <w:tblGrid>
        <w:gridCol w:w="3078"/>
        <w:gridCol w:w="1890"/>
        <w:gridCol w:w="1530"/>
        <w:gridCol w:w="1800"/>
      </w:tblGrid>
      <w:tr w:rsidR="00264A3B" w:rsidRPr="009075DC" w:rsidTr="00264A3B">
        <w:trPr>
          <w:cantSplit/>
          <w:trHeight w:val="354"/>
        </w:trPr>
        <w:tc>
          <w:tcPr>
            <w:tcW w:w="3078" w:type="dxa"/>
            <w:tcBorders>
              <w:top w:val="single" w:sz="4" w:space="0" w:color="auto"/>
            </w:tcBorders>
            <w:vAlign w:val="center"/>
          </w:tcPr>
          <w:p w:rsidR="00264A3B" w:rsidRPr="009075DC" w:rsidRDefault="00264A3B" w:rsidP="00734EBA">
            <w:pPr>
              <w:spacing w:beforeLines="20" w:before="48" w:afterLines="20" w:after="48" w:line="240" w:lineRule="auto"/>
              <w:ind w:firstLine="0"/>
              <w:jc w:val="center"/>
              <w:rPr>
                <w:rFonts w:eastAsia="SimSun"/>
                <w:b/>
                <w:bCs/>
                <w:szCs w:val="24"/>
              </w:rPr>
            </w:pPr>
          </w:p>
        </w:tc>
        <w:tc>
          <w:tcPr>
            <w:tcW w:w="1890" w:type="dxa"/>
            <w:tcBorders>
              <w:top w:val="single" w:sz="4" w:space="0" w:color="auto"/>
            </w:tcBorders>
            <w:vAlign w:val="center"/>
          </w:tcPr>
          <w:p w:rsidR="00264A3B" w:rsidRPr="009075DC" w:rsidRDefault="00264A3B" w:rsidP="00734EBA">
            <w:pPr>
              <w:spacing w:beforeLines="20" w:before="48" w:afterLines="20" w:after="48" w:line="240" w:lineRule="auto"/>
              <w:ind w:firstLine="0"/>
              <w:jc w:val="center"/>
              <w:rPr>
                <w:rFonts w:eastAsia="SimSun"/>
                <w:b/>
                <w:bCs/>
                <w:szCs w:val="24"/>
              </w:rPr>
            </w:pPr>
          </w:p>
        </w:tc>
        <w:tc>
          <w:tcPr>
            <w:tcW w:w="3330" w:type="dxa"/>
            <w:gridSpan w:val="2"/>
            <w:tcBorders>
              <w:top w:val="single" w:sz="4" w:space="0" w:color="auto"/>
              <w:bottom w:val="single" w:sz="4" w:space="0" w:color="auto"/>
            </w:tcBorders>
          </w:tcPr>
          <w:p w:rsidR="00264A3B" w:rsidRDefault="00264A3B" w:rsidP="00734EBA">
            <w:pPr>
              <w:spacing w:beforeLines="20" w:before="48" w:afterLines="20" w:after="48" w:line="240" w:lineRule="auto"/>
              <w:ind w:firstLine="0"/>
              <w:jc w:val="center"/>
              <w:rPr>
                <w:rFonts w:eastAsia="SimSun"/>
                <w:b/>
                <w:bCs/>
                <w:szCs w:val="24"/>
              </w:rPr>
            </w:pPr>
            <w:r>
              <w:rPr>
                <w:rFonts w:eastAsia="SimSun"/>
                <w:b/>
                <w:bCs/>
                <w:szCs w:val="24"/>
              </w:rPr>
              <w:t>Overall Impact*</w:t>
            </w:r>
          </w:p>
        </w:tc>
      </w:tr>
      <w:tr w:rsidR="00264A3B" w:rsidRPr="009075DC" w:rsidTr="00264A3B">
        <w:trPr>
          <w:cantSplit/>
          <w:trHeight w:val="769"/>
        </w:trPr>
        <w:tc>
          <w:tcPr>
            <w:tcW w:w="3078" w:type="dxa"/>
            <w:tcBorders>
              <w:bottom w:val="single" w:sz="4" w:space="0" w:color="auto"/>
            </w:tcBorders>
            <w:vAlign w:val="center"/>
          </w:tcPr>
          <w:p w:rsidR="00264A3B" w:rsidRPr="009075DC" w:rsidRDefault="00264A3B" w:rsidP="00734EBA">
            <w:pPr>
              <w:spacing w:beforeLines="20" w:before="48" w:afterLines="20" w:after="48" w:line="240" w:lineRule="auto"/>
              <w:ind w:firstLine="0"/>
              <w:jc w:val="center"/>
              <w:rPr>
                <w:rFonts w:eastAsia="SimSun"/>
                <w:b/>
                <w:bCs/>
                <w:szCs w:val="24"/>
              </w:rPr>
            </w:pPr>
            <w:r w:rsidRPr="009075DC">
              <w:rPr>
                <w:rFonts w:eastAsia="SimSun"/>
                <w:b/>
                <w:bCs/>
                <w:szCs w:val="24"/>
              </w:rPr>
              <w:t>Customer Class</w:t>
            </w:r>
          </w:p>
        </w:tc>
        <w:tc>
          <w:tcPr>
            <w:tcW w:w="1890" w:type="dxa"/>
            <w:tcBorders>
              <w:bottom w:val="single" w:sz="4" w:space="0" w:color="auto"/>
            </w:tcBorders>
            <w:vAlign w:val="center"/>
          </w:tcPr>
          <w:p w:rsidR="00264A3B" w:rsidRPr="009075DC" w:rsidRDefault="00264A3B" w:rsidP="00734EBA">
            <w:pPr>
              <w:spacing w:beforeLines="20" w:before="48" w:afterLines="20" w:after="48" w:line="240" w:lineRule="auto"/>
              <w:ind w:firstLine="0"/>
              <w:jc w:val="center"/>
              <w:rPr>
                <w:rFonts w:eastAsia="SimSun"/>
                <w:b/>
                <w:bCs/>
                <w:szCs w:val="24"/>
              </w:rPr>
            </w:pPr>
            <w:r w:rsidRPr="009075DC">
              <w:rPr>
                <w:rFonts w:eastAsia="SimSun"/>
                <w:b/>
                <w:bCs/>
                <w:szCs w:val="24"/>
              </w:rPr>
              <w:t>Rate Schedule</w:t>
            </w:r>
          </w:p>
        </w:tc>
        <w:tc>
          <w:tcPr>
            <w:tcW w:w="1530" w:type="dxa"/>
            <w:tcBorders>
              <w:top w:val="single" w:sz="4" w:space="0" w:color="auto"/>
              <w:bottom w:val="single" w:sz="4" w:space="0" w:color="auto"/>
            </w:tcBorders>
            <w:vAlign w:val="center"/>
          </w:tcPr>
          <w:p w:rsidR="00264A3B" w:rsidRPr="009075DC" w:rsidRDefault="00264A3B" w:rsidP="00734EBA">
            <w:pPr>
              <w:spacing w:beforeLines="20" w:before="48" w:afterLines="20" w:after="48" w:line="240" w:lineRule="auto"/>
              <w:ind w:firstLine="0"/>
              <w:jc w:val="center"/>
              <w:rPr>
                <w:rFonts w:eastAsia="SimSun"/>
                <w:b/>
                <w:bCs/>
                <w:szCs w:val="24"/>
              </w:rPr>
            </w:pPr>
            <w:r>
              <w:rPr>
                <w:rFonts w:eastAsia="SimSun"/>
                <w:b/>
                <w:bCs/>
                <w:szCs w:val="24"/>
              </w:rPr>
              <w:t>Initial Filing</w:t>
            </w:r>
          </w:p>
        </w:tc>
        <w:tc>
          <w:tcPr>
            <w:tcW w:w="1800" w:type="dxa"/>
            <w:tcBorders>
              <w:top w:val="single" w:sz="4" w:space="0" w:color="auto"/>
              <w:bottom w:val="single" w:sz="4" w:space="0" w:color="auto"/>
            </w:tcBorders>
            <w:vAlign w:val="center"/>
          </w:tcPr>
          <w:p w:rsidR="00264A3B" w:rsidRPr="009075DC" w:rsidRDefault="00264A3B" w:rsidP="00734EBA">
            <w:pPr>
              <w:spacing w:beforeLines="20" w:before="48" w:afterLines="20" w:after="48" w:line="240" w:lineRule="auto"/>
              <w:ind w:firstLine="0"/>
              <w:jc w:val="center"/>
              <w:rPr>
                <w:rFonts w:eastAsia="SimSun"/>
                <w:b/>
                <w:bCs/>
                <w:szCs w:val="24"/>
              </w:rPr>
            </w:pPr>
            <w:r>
              <w:rPr>
                <w:rFonts w:eastAsia="SimSun"/>
                <w:b/>
                <w:bCs/>
                <w:szCs w:val="24"/>
              </w:rPr>
              <w:t>Supplemental Filing</w:t>
            </w:r>
          </w:p>
        </w:tc>
      </w:tr>
      <w:tr w:rsidR="00EE3900" w:rsidRPr="001D2B74" w:rsidTr="00264A3B">
        <w:trPr>
          <w:cantSplit/>
          <w:trHeight w:val="312"/>
        </w:trPr>
        <w:tc>
          <w:tcPr>
            <w:tcW w:w="3078" w:type="dxa"/>
            <w:vAlign w:val="bottom"/>
          </w:tcPr>
          <w:p w:rsidR="00EE3900" w:rsidRPr="003B5206" w:rsidRDefault="00EE3900" w:rsidP="00734EBA">
            <w:pPr>
              <w:pStyle w:val="answer"/>
              <w:keepNext/>
              <w:spacing w:before="60" w:after="60" w:line="240" w:lineRule="auto"/>
              <w:ind w:left="0" w:firstLine="0"/>
            </w:pPr>
            <w:r w:rsidRPr="003B5206">
              <w:t>Re</w:t>
            </w:r>
            <w:r>
              <w:t>sidential</w:t>
            </w:r>
          </w:p>
        </w:tc>
        <w:tc>
          <w:tcPr>
            <w:tcW w:w="1890" w:type="dxa"/>
          </w:tcPr>
          <w:p w:rsidR="00EE3900" w:rsidRPr="00683198" w:rsidRDefault="00EE3900" w:rsidP="00734EBA">
            <w:pPr>
              <w:pStyle w:val="answer"/>
              <w:keepNext/>
              <w:spacing w:before="60" w:after="60" w:line="240" w:lineRule="auto"/>
              <w:ind w:left="0" w:firstLine="0"/>
              <w:jc w:val="center"/>
            </w:pPr>
            <w:r w:rsidRPr="00683198">
              <w:t>16/23/53</w:t>
            </w:r>
          </w:p>
        </w:tc>
        <w:tc>
          <w:tcPr>
            <w:tcW w:w="1530" w:type="dxa"/>
            <w:vAlign w:val="bottom"/>
          </w:tcPr>
          <w:p w:rsidR="00EE3900" w:rsidRPr="00B46243" w:rsidRDefault="00EE3900" w:rsidP="00734EBA">
            <w:pPr>
              <w:pStyle w:val="answer"/>
              <w:keepNext/>
              <w:spacing w:before="60" w:after="60" w:line="240" w:lineRule="auto"/>
              <w:ind w:left="0" w:firstLine="0"/>
              <w:jc w:val="center"/>
            </w:pPr>
            <w:r>
              <w:t xml:space="preserve">(2.9)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(4.2) %</w:t>
            </w:r>
          </w:p>
        </w:tc>
      </w:tr>
      <w:tr w:rsidR="00EE3900" w:rsidRPr="001D2B74" w:rsidTr="00264A3B">
        <w:trPr>
          <w:cantSplit/>
          <w:trHeight w:val="337"/>
        </w:trPr>
        <w:tc>
          <w:tcPr>
            <w:tcW w:w="3078" w:type="dxa"/>
            <w:vAlign w:val="bottom"/>
          </w:tcPr>
          <w:p w:rsidR="00EE3900" w:rsidRPr="003B5206" w:rsidRDefault="00EE3900" w:rsidP="00734EBA">
            <w:pPr>
              <w:pStyle w:val="answer"/>
              <w:keepNext/>
              <w:spacing w:before="60" w:after="60" w:line="240" w:lineRule="auto"/>
              <w:ind w:left="0" w:firstLine="0"/>
            </w:pPr>
            <w:r w:rsidRPr="003B5206">
              <w:t>Commercial &amp; In</w:t>
            </w:r>
            <w:r>
              <w:t>dustrial</w:t>
            </w:r>
          </w:p>
        </w:tc>
        <w:tc>
          <w:tcPr>
            <w:tcW w:w="1890" w:type="dxa"/>
          </w:tcPr>
          <w:p w:rsidR="00EE3900" w:rsidRPr="00683198" w:rsidRDefault="00EE3900" w:rsidP="00734EBA">
            <w:pPr>
              <w:pStyle w:val="answer"/>
              <w:keepNext/>
              <w:spacing w:before="60" w:after="60" w:line="240" w:lineRule="auto"/>
              <w:ind w:left="0" w:firstLine="0"/>
              <w:jc w:val="center"/>
            </w:pPr>
            <w:r w:rsidRPr="00683198">
              <w:t>31/31T</w:t>
            </w:r>
          </w:p>
        </w:tc>
        <w:tc>
          <w:tcPr>
            <w:tcW w:w="1530" w:type="dxa"/>
            <w:vAlign w:val="bottom"/>
          </w:tcPr>
          <w:p w:rsidR="00EE3900" w:rsidRPr="00B46243" w:rsidRDefault="00EE3900" w:rsidP="00734EBA">
            <w:pPr>
              <w:pStyle w:val="answer"/>
              <w:keepNext/>
              <w:spacing w:before="60" w:after="60" w:line="240" w:lineRule="auto"/>
              <w:ind w:left="0" w:firstLine="0"/>
              <w:jc w:val="center"/>
            </w:pPr>
            <w:r>
              <w:t xml:space="preserve">(1.0)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(0.3) %</w:t>
            </w:r>
          </w:p>
        </w:tc>
      </w:tr>
      <w:tr w:rsidR="00EE3900" w:rsidRPr="001D2B74" w:rsidTr="00264A3B">
        <w:trPr>
          <w:cantSplit/>
          <w:trHeight w:val="312"/>
        </w:trPr>
        <w:tc>
          <w:tcPr>
            <w:tcW w:w="3078" w:type="dxa"/>
            <w:vAlign w:val="bottom"/>
          </w:tcPr>
          <w:p w:rsidR="00EE3900" w:rsidRPr="003B5206" w:rsidRDefault="00EE3900" w:rsidP="00734EBA">
            <w:pPr>
              <w:pStyle w:val="answer"/>
              <w:keepNext/>
              <w:spacing w:before="60" w:after="60" w:line="240" w:lineRule="auto"/>
              <w:ind w:left="0" w:firstLine="0"/>
            </w:pPr>
            <w:r>
              <w:t>Large Volume</w:t>
            </w:r>
          </w:p>
        </w:tc>
        <w:tc>
          <w:tcPr>
            <w:tcW w:w="1890" w:type="dxa"/>
          </w:tcPr>
          <w:p w:rsidR="00EE3900" w:rsidRPr="00683198" w:rsidRDefault="00EE3900" w:rsidP="00734EBA">
            <w:pPr>
              <w:pStyle w:val="answer"/>
              <w:keepNext/>
              <w:spacing w:before="60" w:after="60" w:line="240" w:lineRule="auto"/>
              <w:ind w:left="0" w:firstLine="0"/>
              <w:jc w:val="center"/>
            </w:pPr>
            <w:r w:rsidRPr="00683198">
              <w:t>41/41T</w:t>
            </w:r>
          </w:p>
        </w:tc>
        <w:tc>
          <w:tcPr>
            <w:tcW w:w="1530" w:type="dxa"/>
            <w:vAlign w:val="bottom"/>
          </w:tcPr>
          <w:p w:rsidR="00EE3900" w:rsidRPr="00B46243" w:rsidRDefault="00EE3900" w:rsidP="00734EBA">
            <w:pPr>
              <w:pStyle w:val="answer"/>
              <w:keepNext/>
              <w:spacing w:before="60" w:after="60" w:line="240" w:lineRule="auto"/>
              <w:ind w:left="0" w:firstLine="0"/>
              <w:jc w:val="center"/>
            </w:pPr>
            <w:r>
              <w:t>(</w:t>
            </w:r>
            <w:r w:rsidRPr="00B46243">
              <w:t>0.</w:t>
            </w:r>
            <w:r>
              <w:t xml:space="preserve">9)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(1.2) %</w:t>
            </w:r>
          </w:p>
        </w:tc>
      </w:tr>
      <w:tr w:rsidR="00EE3900" w:rsidRPr="001D2B74" w:rsidTr="00264A3B">
        <w:trPr>
          <w:cantSplit/>
          <w:trHeight w:val="324"/>
        </w:trPr>
        <w:tc>
          <w:tcPr>
            <w:tcW w:w="3078" w:type="dxa"/>
            <w:vAlign w:val="bottom"/>
          </w:tcPr>
          <w:p w:rsidR="00EE3900" w:rsidRPr="003B5206" w:rsidRDefault="00EE3900" w:rsidP="00734EBA">
            <w:pPr>
              <w:pStyle w:val="answer"/>
              <w:keepNext/>
              <w:spacing w:before="60" w:after="60" w:line="240" w:lineRule="auto"/>
              <w:ind w:left="0" w:firstLine="0"/>
            </w:pPr>
            <w:r>
              <w:t>Interruptible</w:t>
            </w:r>
          </w:p>
        </w:tc>
        <w:tc>
          <w:tcPr>
            <w:tcW w:w="1890" w:type="dxa"/>
          </w:tcPr>
          <w:p w:rsidR="00EE3900" w:rsidRPr="00683198" w:rsidRDefault="00EE3900" w:rsidP="00734EBA">
            <w:pPr>
              <w:pStyle w:val="answer"/>
              <w:keepNext/>
              <w:spacing w:before="60" w:after="60" w:line="240" w:lineRule="auto"/>
              <w:ind w:left="0" w:firstLine="0"/>
              <w:jc w:val="center"/>
            </w:pPr>
            <w:r w:rsidRPr="00683198">
              <w:t>85/85T</w:t>
            </w:r>
          </w:p>
        </w:tc>
        <w:tc>
          <w:tcPr>
            <w:tcW w:w="1530" w:type="dxa"/>
            <w:vAlign w:val="bottom"/>
          </w:tcPr>
          <w:p w:rsidR="00EE3900" w:rsidRPr="00B46243" w:rsidRDefault="00EE3900" w:rsidP="00734EBA">
            <w:pPr>
              <w:pStyle w:val="answer"/>
              <w:keepNext/>
              <w:spacing w:before="60" w:after="60" w:line="240" w:lineRule="auto"/>
              <w:ind w:left="0" w:firstLine="0"/>
              <w:jc w:val="center"/>
            </w:pPr>
            <w:r>
              <w:t xml:space="preserve">(2.7)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(2.7) %</w:t>
            </w:r>
          </w:p>
        </w:tc>
      </w:tr>
      <w:tr w:rsidR="00EE3900" w:rsidRPr="001D2B74" w:rsidTr="00264A3B">
        <w:trPr>
          <w:cantSplit/>
          <w:trHeight w:val="324"/>
        </w:trPr>
        <w:tc>
          <w:tcPr>
            <w:tcW w:w="3078" w:type="dxa"/>
            <w:vAlign w:val="bottom"/>
          </w:tcPr>
          <w:p w:rsidR="00EE3900" w:rsidRPr="003B5206" w:rsidRDefault="00EE3900" w:rsidP="00734EBA">
            <w:pPr>
              <w:pStyle w:val="answer"/>
              <w:keepNext/>
              <w:spacing w:before="60" w:after="60" w:line="240" w:lineRule="auto"/>
              <w:ind w:left="0" w:firstLine="0"/>
            </w:pPr>
            <w:r w:rsidRPr="003B5206">
              <w:t xml:space="preserve">Limited </w:t>
            </w:r>
            <w:r>
              <w:t>Interruptible</w:t>
            </w:r>
          </w:p>
        </w:tc>
        <w:tc>
          <w:tcPr>
            <w:tcW w:w="1890" w:type="dxa"/>
          </w:tcPr>
          <w:p w:rsidR="00EE3900" w:rsidRPr="00683198" w:rsidRDefault="00EE3900" w:rsidP="00734EBA">
            <w:pPr>
              <w:pStyle w:val="answer"/>
              <w:keepNext/>
              <w:spacing w:before="60" w:after="60" w:line="240" w:lineRule="auto"/>
              <w:ind w:left="0" w:firstLine="0"/>
              <w:jc w:val="center"/>
            </w:pPr>
            <w:r w:rsidRPr="00683198">
              <w:t>86/86T</w:t>
            </w:r>
          </w:p>
        </w:tc>
        <w:tc>
          <w:tcPr>
            <w:tcW w:w="1530" w:type="dxa"/>
            <w:vAlign w:val="bottom"/>
          </w:tcPr>
          <w:p w:rsidR="00EE3900" w:rsidRPr="00B46243" w:rsidRDefault="00EE3900" w:rsidP="00734EBA">
            <w:pPr>
              <w:pStyle w:val="answer"/>
              <w:keepNext/>
              <w:spacing w:before="60" w:after="60" w:line="240" w:lineRule="auto"/>
              <w:ind w:left="0" w:firstLine="0"/>
              <w:jc w:val="center"/>
            </w:pPr>
            <w:r>
              <w:t xml:space="preserve">(1.5)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(1.7) %</w:t>
            </w:r>
          </w:p>
        </w:tc>
      </w:tr>
      <w:tr w:rsidR="00EE3900" w:rsidRPr="001D2B74" w:rsidTr="00264A3B">
        <w:trPr>
          <w:cantSplit/>
          <w:trHeight w:val="300"/>
        </w:trPr>
        <w:tc>
          <w:tcPr>
            <w:tcW w:w="3078" w:type="dxa"/>
            <w:vAlign w:val="bottom"/>
          </w:tcPr>
          <w:p w:rsidR="00EE3900" w:rsidRPr="003B5206" w:rsidRDefault="00EE3900" w:rsidP="00734EBA">
            <w:pPr>
              <w:pStyle w:val="answer"/>
              <w:keepNext/>
              <w:spacing w:before="60" w:after="60" w:line="240" w:lineRule="auto"/>
              <w:ind w:left="0" w:firstLine="0"/>
            </w:pPr>
            <w:r w:rsidRPr="003B5206">
              <w:t>Non-exclusive I</w:t>
            </w:r>
            <w:r>
              <w:t>nterruptible</w:t>
            </w:r>
          </w:p>
        </w:tc>
        <w:tc>
          <w:tcPr>
            <w:tcW w:w="1890" w:type="dxa"/>
          </w:tcPr>
          <w:p w:rsidR="00EE3900" w:rsidRPr="00683198" w:rsidRDefault="00EE3900" w:rsidP="00734EBA">
            <w:pPr>
              <w:pStyle w:val="answer"/>
              <w:keepNext/>
              <w:spacing w:before="60" w:after="60" w:line="240" w:lineRule="auto"/>
              <w:ind w:left="0" w:firstLine="0"/>
              <w:jc w:val="center"/>
            </w:pPr>
            <w:r w:rsidRPr="00683198">
              <w:t>87/87T</w:t>
            </w:r>
          </w:p>
        </w:tc>
        <w:tc>
          <w:tcPr>
            <w:tcW w:w="1530" w:type="dxa"/>
            <w:vAlign w:val="bottom"/>
          </w:tcPr>
          <w:p w:rsidR="00EE3900" w:rsidRPr="00B46243" w:rsidRDefault="00EE3900" w:rsidP="00734EBA">
            <w:pPr>
              <w:pStyle w:val="answer"/>
              <w:keepNext/>
              <w:spacing w:before="60" w:after="60" w:line="240" w:lineRule="auto"/>
              <w:ind w:left="0" w:firstLine="0"/>
              <w:jc w:val="center"/>
            </w:pPr>
            <w:r>
              <w:t xml:space="preserve">(2.3)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(2.3) %</w:t>
            </w:r>
          </w:p>
        </w:tc>
      </w:tr>
      <w:tr w:rsidR="00EE3900" w:rsidRPr="001D2B74" w:rsidTr="00264A3B">
        <w:trPr>
          <w:cantSplit/>
          <w:trHeight w:val="324"/>
        </w:trPr>
        <w:tc>
          <w:tcPr>
            <w:tcW w:w="3078" w:type="dxa"/>
            <w:vAlign w:val="bottom"/>
          </w:tcPr>
          <w:p w:rsidR="00EE3900" w:rsidRPr="003B5206" w:rsidRDefault="00EE3900" w:rsidP="00734EBA">
            <w:pPr>
              <w:pStyle w:val="answer"/>
              <w:keepNext/>
              <w:spacing w:before="60" w:after="60" w:line="240" w:lineRule="auto"/>
              <w:ind w:left="0" w:firstLine="0"/>
            </w:pPr>
            <w:r w:rsidRPr="003B5206">
              <w:t xml:space="preserve">Special Contracts </w:t>
            </w:r>
          </w:p>
        </w:tc>
        <w:tc>
          <w:tcPr>
            <w:tcW w:w="1890" w:type="dxa"/>
          </w:tcPr>
          <w:p w:rsidR="00EE3900" w:rsidRPr="00683198" w:rsidRDefault="00EE3900" w:rsidP="00734EBA">
            <w:pPr>
              <w:pStyle w:val="answer"/>
              <w:keepNext/>
              <w:spacing w:before="60" w:after="60" w:line="240" w:lineRule="auto"/>
              <w:ind w:left="0" w:firstLine="0"/>
              <w:jc w:val="center"/>
            </w:pPr>
          </w:p>
        </w:tc>
        <w:tc>
          <w:tcPr>
            <w:tcW w:w="1530" w:type="dxa"/>
            <w:vAlign w:val="bottom"/>
          </w:tcPr>
          <w:p w:rsidR="00EE3900" w:rsidRPr="00B46243" w:rsidRDefault="00EE3900" w:rsidP="00734EBA">
            <w:pPr>
              <w:pStyle w:val="answer"/>
              <w:keepNext/>
              <w:spacing w:before="60" w:after="60" w:line="240" w:lineRule="auto"/>
              <w:ind w:left="0" w:firstLine="0"/>
              <w:jc w:val="center"/>
            </w:pPr>
            <w:r>
              <w:t xml:space="preserve">0.7 </w:t>
            </w:r>
            <w:r w:rsidRPr="00B46243">
              <w:t>%</w:t>
            </w:r>
          </w:p>
        </w:tc>
        <w:tc>
          <w:tcPr>
            <w:tcW w:w="1800" w:type="dxa"/>
            <w:vAlign w:val="bottom"/>
          </w:tcPr>
          <w:p w:rsidR="00EE3900" w:rsidRPr="00B74FBA" w:rsidRDefault="00EE3900" w:rsidP="00734EBA">
            <w:pPr>
              <w:pStyle w:val="answer"/>
              <w:keepNext/>
              <w:spacing w:before="60" w:after="60" w:line="240" w:lineRule="auto"/>
              <w:ind w:left="0" w:firstLine="0"/>
              <w:jc w:val="center"/>
            </w:pPr>
            <w:r w:rsidRPr="00B74FBA">
              <w:t>0.7 %</w:t>
            </w:r>
          </w:p>
        </w:tc>
      </w:tr>
      <w:tr w:rsidR="00EE3900" w:rsidRPr="001D2B74" w:rsidTr="00264A3B">
        <w:trPr>
          <w:cantSplit/>
          <w:trHeight w:val="324"/>
        </w:trPr>
        <w:tc>
          <w:tcPr>
            <w:tcW w:w="3078" w:type="dxa"/>
            <w:tcBorders>
              <w:bottom w:val="single" w:sz="4" w:space="0" w:color="auto"/>
            </w:tcBorders>
            <w:vAlign w:val="bottom"/>
          </w:tcPr>
          <w:p w:rsidR="00EE3900" w:rsidRPr="003B5206" w:rsidRDefault="00EE3900" w:rsidP="00734EBA">
            <w:pPr>
              <w:pStyle w:val="answer"/>
              <w:spacing w:before="60" w:after="60" w:line="240" w:lineRule="auto"/>
              <w:ind w:left="0" w:firstLine="0"/>
            </w:pPr>
            <w:r w:rsidRPr="003B5206">
              <w:t>Rentals</w:t>
            </w:r>
          </w:p>
        </w:tc>
        <w:tc>
          <w:tcPr>
            <w:tcW w:w="1890" w:type="dxa"/>
            <w:tcBorders>
              <w:bottom w:val="single" w:sz="4" w:space="0" w:color="auto"/>
            </w:tcBorders>
          </w:tcPr>
          <w:p w:rsidR="00EE3900" w:rsidRPr="00683198" w:rsidRDefault="00EE3900" w:rsidP="00734EBA">
            <w:pPr>
              <w:pStyle w:val="answer"/>
              <w:spacing w:before="60" w:after="60" w:line="240" w:lineRule="auto"/>
              <w:ind w:left="0" w:firstLine="0"/>
              <w:jc w:val="center"/>
            </w:pPr>
            <w:r w:rsidRPr="00683198">
              <w:t>71/72/74</w:t>
            </w:r>
          </w:p>
        </w:tc>
        <w:tc>
          <w:tcPr>
            <w:tcW w:w="1530" w:type="dxa"/>
            <w:tcBorders>
              <w:bottom w:val="single" w:sz="4" w:space="0" w:color="auto"/>
            </w:tcBorders>
            <w:vAlign w:val="bottom"/>
          </w:tcPr>
          <w:p w:rsidR="00EE3900" w:rsidRPr="00B46243" w:rsidRDefault="00EE3900" w:rsidP="00734EBA">
            <w:pPr>
              <w:pStyle w:val="answer"/>
              <w:spacing w:before="60" w:after="60" w:line="240" w:lineRule="auto"/>
              <w:ind w:left="0" w:firstLine="0"/>
              <w:jc w:val="center"/>
            </w:pPr>
            <w:r>
              <w:t xml:space="preserve">(9.6) </w:t>
            </w:r>
            <w:r w:rsidRPr="00B46243">
              <w:t>%</w:t>
            </w:r>
          </w:p>
        </w:tc>
        <w:tc>
          <w:tcPr>
            <w:tcW w:w="1800" w:type="dxa"/>
            <w:tcBorders>
              <w:bottom w:val="single" w:sz="4" w:space="0" w:color="auto"/>
            </w:tcBorders>
            <w:vAlign w:val="bottom"/>
          </w:tcPr>
          <w:p w:rsidR="00EE3900" w:rsidRPr="00B74FBA" w:rsidRDefault="00EE3900" w:rsidP="00734EBA">
            <w:pPr>
              <w:pStyle w:val="answer"/>
              <w:spacing w:before="60" w:after="60" w:line="240" w:lineRule="auto"/>
              <w:ind w:left="0" w:firstLine="0"/>
              <w:jc w:val="center"/>
            </w:pPr>
            <w:r w:rsidRPr="00B74FBA">
              <w:t>(9.5) %</w:t>
            </w:r>
          </w:p>
        </w:tc>
      </w:tr>
      <w:tr w:rsidR="00EE3900" w:rsidRPr="009075DC" w:rsidTr="00264A3B">
        <w:trPr>
          <w:cantSplit/>
          <w:trHeight w:val="425"/>
        </w:trPr>
        <w:tc>
          <w:tcPr>
            <w:tcW w:w="3078" w:type="dxa"/>
            <w:tcBorders>
              <w:top w:val="single" w:sz="4" w:space="0" w:color="auto"/>
              <w:bottom w:val="single" w:sz="4" w:space="0" w:color="auto"/>
            </w:tcBorders>
            <w:vAlign w:val="bottom"/>
          </w:tcPr>
          <w:p w:rsidR="00EE3900" w:rsidRPr="00683198" w:rsidRDefault="00EE3900" w:rsidP="00734EBA">
            <w:pPr>
              <w:pStyle w:val="answer"/>
              <w:spacing w:before="60" w:after="60" w:line="240" w:lineRule="auto"/>
              <w:ind w:left="0" w:firstLine="0"/>
              <w:rPr>
                <w:b/>
              </w:rPr>
            </w:pPr>
            <w:r w:rsidRPr="00683198">
              <w:rPr>
                <w:b/>
              </w:rPr>
              <w:t>Total/System Average</w:t>
            </w:r>
          </w:p>
        </w:tc>
        <w:tc>
          <w:tcPr>
            <w:tcW w:w="1890" w:type="dxa"/>
            <w:tcBorders>
              <w:top w:val="single" w:sz="4" w:space="0" w:color="auto"/>
              <w:bottom w:val="single" w:sz="4" w:space="0" w:color="auto"/>
            </w:tcBorders>
          </w:tcPr>
          <w:p w:rsidR="00EE3900" w:rsidRPr="00683198" w:rsidRDefault="00EE3900" w:rsidP="00734EBA">
            <w:pPr>
              <w:pStyle w:val="answer"/>
              <w:spacing w:before="60" w:after="60" w:line="240" w:lineRule="auto"/>
              <w:ind w:left="0" w:firstLine="0"/>
              <w:jc w:val="center"/>
              <w:rPr>
                <w:b/>
                <w:highlight w:val="yellow"/>
              </w:rPr>
            </w:pPr>
          </w:p>
        </w:tc>
        <w:tc>
          <w:tcPr>
            <w:tcW w:w="1530" w:type="dxa"/>
            <w:tcBorders>
              <w:top w:val="single" w:sz="4" w:space="0" w:color="auto"/>
              <w:bottom w:val="single" w:sz="4" w:space="0" w:color="auto"/>
            </w:tcBorders>
            <w:vAlign w:val="bottom"/>
          </w:tcPr>
          <w:p w:rsidR="00EE3900" w:rsidRPr="00B46243" w:rsidRDefault="00EE3900" w:rsidP="00734EBA">
            <w:pPr>
              <w:pStyle w:val="answer"/>
              <w:spacing w:before="60" w:after="60" w:line="240" w:lineRule="auto"/>
              <w:ind w:left="0" w:firstLine="0"/>
              <w:jc w:val="center"/>
              <w:rPr>
                <w:b/>
              </w:rPr>
            </w:pPr>
            <w:r>
              <w:rPr>
                <w:b/>
              </w:rPr>
              <w:t xml:space="preserve">(2.4) </w:t>
            </w:r>
            <w:r w:rsidRPr="00B46243">
              <w:rPr>
                <w:b/>
              </w:rPr>
              <w:t>%</w:t>
            </w:r>
          </w:p>
        </w:tc>
        <w:tc>
          <w:tcPr>
            <w:tcW w:w="1800" w:type="dxa"/>
            <w:tcBorders>
              <w:top w:val="single" w:sz="4" w:space="0" w:color="auto"/>
              <w:bottom w:val="single" w:sz="4" w:space="0" w:color="auto"/>
            </w:tcBorders>
            <w:vAlign w:val="bottom"/>
          </w:tcPr>
          <w:p w:rsidR="00EE3900" w:rsidRPr="00B74FBA" w:rsidRDefault="00EE3900" w:rsidP="00734EBA">
            <w:pPr>
              <w:pStyle w:val="answer"/>
              <w:spacing w:before="60" w:after="60" w:line="240" w:lineRule="auto"/>
              <w:ind w:left="0" w:firstLine="0"/>
              <w:jc w:val="center"/>
              <w:rPr>
                <w:b/>
              </w:rPr>
            </w:pPr>
            <w:r w:rsidRPr="00B74FBA">
              <w:rPr>
                <w:b/>
              </w:rPr>
              <w:t>(</w:t>
            </w:r>
            <w:r w:rsidR="00B74FBA" w:rsidRPr="00B74FBA">
              <w:rPr>
                <w:b/>
              </w:rPr>
              <w:t>3.2</w:t>
            </w:r>
            <w:r w:rsidRPr="00B74FBA">
              <w:rPr>
                <w:b/>
              </w:rPr>
              <w:t>) %</w:t>
            </w:r>
          </w:p>
        </w:tc>
      </w:tr>
      <w:tr w:rsidR="00EE3900" w:rsidRPr="009075DC" w:rsidTr="00EE3900">
        <w:trPr>
          <w:cantSplit/>
          <w:trHeight w:val="425"/>
        </w:trPr>
        <w:tc>
          <w:tcPr>
            <w:tcW w:w="8298" w:type="dxa"/>
            <w:gridSpan w:val="4"/>
            <w:tcBorders>
              <w:top w:val="single" w:sz="4" w:space="0" w:color="auto"/>
            </w:tcBorders>
          </w:tcPr>
          <w:p w:rsidR="00EE3900" w:rsidRPr="00801927" w:rsidRDefault="00EE3900" w:rsidP="00734EBA">
            <w:pPr>
              <w:pStyle w:val="answer"/>
              <w:spacing w:before="60" w:after="60" w:line="240" w:lineRule="auto"/>
              <w:ind w:left="0" w:firstLine="0"/>
              <w:rPr>
                <w:b/>
                <w:sz w:val="20"/>
                <w:highlight w:val="yellow"/>
              </w:rPr>
            </w:pPr>
            <w:r w:rsidRPr="00801927">
              <w:rPr>
                <w:sz w:val="20"/>
              </w:rPr>
              <w:t>* Includes base schedules, as well as Schedule 101, 141, 142 and 149.</w:t>
            </w:r>
          </w:p>
        </w:tc>
      </w:tr>
    </w:tbl>
    <w:p w:rsidR="00996D61" w:rsidRPr="009075DC" w:rsidRDefault="00996D61" w:rsidP="00734EBA">
      <w:pPr>
        <w:pStyle w:val="question"/>
        <w:spacing w:before="480"/>
      </w:pPr>
      <w:r w:rsidRPr="009075DC">
        <w:t>Q.</w:t>
      </w:r>
      <w:r w:rsidRPr="009075DC">
        <w:tab/>
      </w:r>
      <w:r>
        <w:t>Based on these updated results, what is the overall monthly bill impact on the typical PSE residential customer taking natural gas service?</w:t>
      </w:r>
    </w:p>
    <w:p w:rsidR="00996D61" w:rsidRPr="009075DC" w:rsidRDefault="00996D61" w:rsidP="00734EBA">
      <w:pPr>
        <w:pStyle w:val="answer"/>
        <w:rPr>
          <w:rFonts w:eastAsia="SimSun"/>
        </w:rPr>
      </w:pPr>
      <w:r w:rsidRPr="009075DC">
        <w:rPr>
          <w:rFonts w:eastAsia="SimSun"/>
        </w:rPr>
        <w:t>A.</w:t>
      </w:r>
      <w:r w:rsidRPr="009075DC">
        <w:rPr>
          <w:rFonts w:eastAsia="SimSun"/>
        </w:rPr>
        <w:tab/>
      </w:r>
      <w:r>
        <w:rPr>
          <w:rFonts w:eastAsia="SimSun"/>
        </w:rPr>
        <w:t xml:space="preserve">The estimated overall monthly bill impact for the typical PSE residential customer using 64 </w:t>
      </w:r>
      <w:proofErr w:type="spellStart"/>
      <w:r>
        <w:rPr>
          <w:rFonts w:eastAsia="SimSun"/>
        </w:rPr>
        <w:t>therms</w:t>
      </w:r>
      <w:proofErr w:type="spellEnd"/>
      <w:r>
        <w:rPr>
          <w:rFonts w:eastAsia="SimSun"/>
        </w:rPr>
        <w:t xml:space="preserve"> per month increased from </w:t>
      </w:r>
      <w:r w:rsidR="003A5AA0">
        <w:rPr>
          <w:rFonts w:eastAsia="SimSun"/>
        </w:rPr>
        <w:t xml:space="preserve">a </w:t>
      </w:r>
      <w:r>
        <w:rPr>
          <w:rFonts w:eastAsia="SimSun"/>
        </w:rPr>
        <w:t>$2.01 per month bill reduction in the initial filing to</w:t>
      </w:r>
      <w:r w:rsidR="003A5AA0">
        <w:rPr>
          <w:rFonts w:eastAsia="SimSun"/>
        </w:rPr>
        <w:t xml:space="preserve"> a </w:t>
      </w:r>
      <w:r>
        <w:rPr>
          <w:rFonts w:eastAsia="SimSun"/>
        </w:rPr>
        <w:t>$</w:t>
      </w:r>
      <w:r w:rsidR="003A5AA0">
        <w:rPr>
          <w:rFonts w:eastAsia="SimSun"/>
        </w:rPr>
        <w:t>2.93</w:t>
      </w:r>
      <w:r>
        <w:rPr>
          <w:rFonts w:eastAsia="SimSun"/>
        </w:rPr>
        <w:t xml:space="preserve"> per month bill reduction in the supplemental filing</w:t>
      </w:r>
      <w:r w:rsidRPr="009075DC">
        <w:rPr>
          <w:rFonts w:eastAsia="SimSun"/>
        </w:rPr>
        <w:t xml:space="preserve">.  </w:t>
      </w:r>
    </w:p>
    <w:p w:rsidR="00BF303C" w:rsidRPr="00BF303C" w:rsidRDefault="00BF303C" w:rsidP="00734EBA">
      <w:pPr>
        <w:pStyle w:val="answer"/>
        <w:rPr>
          <w:b/>
        </w:rPr>
      </w:pPr>
      <w:r w:rsidRPr="00BF303C">
        <w:rPr>
          <w:b/>
        </w:rPr>
        <w:t>Q.</w:t>
      </w:r>
      <w:r w:rsidRPr="00BF303C">
        <w:rPr>
          <w:b/>
        </w:rPr>
        <w:tab/>
        <w:t xml:space="preserve">Have the rates for the three updated electric </w:t>
      </w:r>
      <w:r w:rsidR="00617612">
        <w:rPr>
          <w:b/>
        </w:rPr>
        <w:t xml:space="preserve">and </w:t>
      </w:r>
      <w:r w:rsidR="008E0AD5">
        <w:rPr>
          <w:b/>
        </w:rPr>
        <w:t>natural gas</w:t>
      </w:r>
      <w:r w:rsidR="00617612">
        <w:rPr>
          <w:b/>
        </w:rPr>
        <w:t xml:space="preserve"> </w:t>
      </w:r>
      <w:r w:rsidRPr="00BF303C">
        <w:rPr>
          <w:b/>
        </w:rPr>
        <w:t xml:space="preserve">adjusting price schedules been approved by the Commission? </w:t>
      </w:r>
    </w:p>
    <w:p w:rsidR="00BF303C" w:rsidRDefault="00BF303C" w:rsidP="00734EBA">
      <w:pPr>
        <w:pStyle w:val="answer"/>
      </w:pPr>
      <w:r>
        <w:t>A.</w:t>
      </w:r>
      <w:r>
        <w:tab/>
        <w:t>No.  However, these are better estimates of the rates for these adjusting price schedules</w:t>
      </w:r>
      <w:r w:rsidR="00996D61">
        <w:t xml:space="preserve"> than presented in PSE’s initial filing and, therefore, provide a more </w:t>
      </w:r>
      <w:bookmarkStart w:id="24" w:name="_GoBack"/>
      <w:bookmarkEnd w:id="24"/>
      <w:r w:rsidR="00996D61">
        <w:lastRenderedPageBreak/>
        <w:t xml:space="preserve">accurate estimate of the impacts of PSE’s proposed rates at the conclusion of this </w:t>
      </w:r>
      <w:r>
        <w:t xml:space="preserve">rate case.  </w:t>
      </w:r>
    </w:p>
    <w:p w:rsidR="00F8418D" w:rsidRPr="009075DC" w:rsidRDefault="00DA7D3D" w:rsidP="00734EBA">
      <w:pPr>
        <w:pStyle w:val="Heading1"/>
        <w:keepNext w:val="0"/>
        <w:keepLines w:val="0"/>
        <w:rPr>
          <w:rFonts w:eastAsia="SimSun"/>
        </w:rPr>
      </w:pPr>
      <w:bookmarkStart w:id="25" w:name="_Toc127023404"/>
      <w:bookmarkStart w:id="26" w:name="_Toc478935883"/>
      <w:r>
        <w:rPr>
          <w:rFonts w:eastAsia="SimSun"/>
        </w:rPr>
        <w:t>IX</w:t>
      </w:r>
      <w:r w:rsidR="00F8418D" w:rsidRPr="009075DC">
        <w:rPr>
          <w:rFonts w:eastAsia="SimSun"/>
        </w:rPr>
        <w:t>.</w:t>
      </w:r>
      <w:r w:rsidR="00F8418D" w:rsidRPr="009075DC">
        <w:rPr>
          <w:rFonts w:eastAsia="SimSun"/>
        </w:rPr>
        <w:tab/>
        <w:t>CONCLUSION</w:t>
      </w:r>
      <w:bookmarkEnd w:id="25"/>
      <w:bookmarkEnd w:id="26"/>
    </w:p>
    <w:p w:rsidR="00F8418D" w:rsidRPr="009075DC" w:rsidRDefault="00F8418D" w:rsidP="00734EBA">
      <w:pPr>
        <w:pStyle w:val="question"/>
      </w:pPr>
      <w:r w:rsidRPr="009075DC">
        <w:t>Q.</w:t>
      </w:r>
      <w:r w:rsidRPr="009075DC">
        <w:tab/>
        <w:t>Does this conclude your testimony?</w:t>
      </w:r>
    </w:p>
    <w:p w:rsidR="00734EBA" w:rsidRPr="009075DC" w:rsidRDefault="00F8418D">
      <w:pPr>
        <w:pStyle w:val="answer"/>
        <w:rPr>
          <w:rFonts w:eastAsia="SimSun"/>
        </w:rPr>
      </w:pPr>
      <w:r w:rsidRPr="009075DC">
        <w:rPr>
          <w:rFonts w:eastAsia="SimSun"/>
        </w:rPr>
        <w:t>A.</w:t>
      </w:r>
      <w:r w:rsidRPr="009075DC">
        <w:rPr>
          <w:rFonts w:eastAsia="SimSun"/>
        </w:rPr>
        <w:tab/>
        <w:t>Yes</w:t>
      </w:r>
      <w:r w:rsidR="00406B72">
        <w:rPr>
          <w:rFonts w:eastAsia="SimSun"/>
        </w:rPr>
        <w:t>.</w:t>
      </w:r>
    </w:p>
    <w:sectPr w:rsidR="00734EBA" w:rsidRPr="009075DC" w:rsidSect="00EC61B9">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7E6" w:rsidRDefault="007347E6">
      <w:r>
        <w:separator/>
      </w:r>
    </w:p>
  </w:endnote>
  <w:endnote w:type="continuationSeparator" w:id="0">
    <w:p w:rsidR="007347E6" w:rsidRDefault="0073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right="0" w:hanging="4"/>
      <w:rPr>
        <w:sz w:val="10"/>
        <w:szCs w:val="10"/>
      </w:rPr>
    </w:pPr>
  </w:p>
  <w:p w:rsidR="00914544" w:rsidRDefault="00914544">
    <w:pPr>
      <w:pStyle w:val="Footer"/>
      <w:tabs>
        <w:tab w:val="clear" w:pos="4507"/>
        <w:tab w:val="clear" w:pos="9000"/>
        <w:tab w:val="right" w:pos="8640"/>
      </w:tabs>
      <w:ind w:hanging="4"/>
    </w:pPr>
    <w:proofErr w:type="spellStart"/>
    <w:r>
      <w:t>Prefiled</w:t>
    </w:r>
    <w:proofErr w:type="spellEnd"/>
    <w:r>
      <w:t xml:space="preserve"> Supplemental Direct</w:t>
    </w:r>
    <w:r>
      <w:tab/>
    </w:r>
    <w:proofErr w:type="spellStart"/>
    <w:r>
      <w:t>Exh</w:t>
    </w:r>
    <w:proofErr w:type="spellEnd"/>
    <w:r>
      <w:t>. JAP-34T</w:t>
    </w:r>
  </w:p>
  <w:p w:rsidR="00914544" w:rsidRDefault="001F313C">
    <w:pPr>
      <w:pStyle w:val="Footer"/>
      <w:tabs>
        <w:tab w:val="clear" w:pos="4507"/>
        <w:tab w:val="clear" w:pos="9000"/>
        <w:tab w:val="right" w:pos="8640"/>
      </w:tabs>
      <w:ind w:hanging="4"/>
      <w:rPr>
        <w:rStyle w:val="PageNumber"/>
      </w:rPr>
    </w:pPr>
    <w:r>
      <w:t>Testimony</w:t>
    </w:r>
    <w:r>
      <w:t xml:space="preserve"> </w:t>
    </w:r>
    <w:r w:rsidR="00914544">
      <w:t>(</w:t>
    </w:r>
    <w:proofErr w:type="spellStart"/>
    <w:r w:rsidR="00914544">
      <w:t>Nonconfidential</w:t>
    </w:r>
    <w:proofErr w:type="spellEnd"/>
    <w:r w:rsidR="00914544">
      <w:t>) of</w:t>
    </w:r>
    <w:r w:rsidR="00914544">
      <w:tab/>
      <w:t>Page </w:t>
    </w:r>
    <w:r w:rsidR="00914544">
      <w:rPr>
        <w:rStyle w:val="PageNumber"/>
      </w:rPr>
      <w:fldChar w:fldCharType="begin"/>
    </w:r>
    <w:r w:rsidR="00914544">
      <w:rPr>
        <w:rStyle w:val="PageNumber"/>
      </w:rPr>
      <w:instrText xml:space="preserve"> PAGE </w:instrText>
    </w:r>
    <w:r w:rsidR="00914544">
      <w:rPr>
        <w:rStyle w:val="PageNumber"/>
      </w:rPr>
      <w:fldChar w:fldCharType="separate"/>
    </w:r>
    <w:r w:rsidR="00B906AA">
      <w:rPr>
        <w:rStyle w:val="PageNumber"/>
        <w:noProof/>
      </w:rPr>
      <w:t>i</w:t>
    </w:r>
    <w:r w:rsidR="00914544">
      <w:rPr>
        <w:rStyle w:val="PageNumber"/>
      </w:rPr>
      <w:fldChar w:fldCharType="end"/>
    </w:r>
    <w:r w:rsidR="00914544">
      <w:rPr>
        <w:rStyle w:val="PageNumber"/>
      </w:rPr>
      <w:t xml:space="preserve"> of </w:t>
    </w:r>
    <w:r w:rsidR="00914544">
      <w:t>i</w:t>
    </w:r>
  </w:p>
  <w:p w:rsidR="00914544" w:rsidRDefault="00734EBA" w:rsidP="00734EBA">
    <w:pPr>
      <w:pStyle w:val="Footer"/>
      <w:tabs>
        <w:tab w:val="clear" w:pos="4507"/>
        <w:tab w:val="clear" w:pos="9000"/>
        <w:tab w:val="right" w:pos="8640"/>
      </w:tabs>
      <w:ind w:hanging="4"/>
    </w:pPr>
    <w:r>
      <w:t>Jon A. Piliaris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right="0"/>
      <w:rPr>
        <w:sz w:val="10"/>
      </w:rPr>
    </w:pPr>
  </w:p>
  <w:p w:rsidR="00914544" w:rsidRDefault="00914544">
    <w:pPr>
      <w:pStyle w:val="Footer"/>
      <w:tabs>
        <w:tab w:val="clear" w:pos="4507"/>
        <w:tab w:val="clear" w:pos="9000"/>
        <w:tab w:val="right" w:pos="8640"/>
      </w:tabs>
    </w:pPr>
    <w:proofErr w:type="spellStart"/>
    <w:r>
      <w:t>Prefiled</w:t>
    </w:r>
    <w:proofErr w:type="spellEnd"/>
    <w:r>
      <w:t xml:space="preserve"> Supplemental Direct</w:t>
    </w:r>
    <w:r>
      <w:tab/>
    </w:r>
    <w:proofErr w:type="spellStart"/>
    <w:r>
      <w:t>Exh</w:t>
    </w:r>
    <w:proofErr w:type="spellEnd"/>
    <w:r>
      <w:t>. JAP-34T</w:t>
    </w:r>
  </w:p>
  <w:p w:rsidR="00914544" w:rsidRDefault="001F313C">
    <w:pPr>
      <w:pStyle w:val="Footer"/>
      <w:tabs>
        <w:tab w:val="clear" w:pos="4507"/>
        <w:tab w:val="clear" w:pos="9000"/>
        <w:tab w:val="right" w:pos="8640"/>
      </w:tabs>
      <w:rPr>
        <w:rStyle w:val="PageNumber"/>
      </w:rPr>
    </w:pPr>
    <w:r>
      <w:t>Testimony</w:t>
    </w:r>
    <w:r>
      <w:t xml:space="preserve"> </w:t>
    </w:r>
    <w:r w:rsidR="00914544">
      <w:t>(</w:t>
    </w:r>
    <w:proofErr w:type="spellStart"/>
    <w:r w:rsidR="00914544">
      <w:t>Nonconfidential</w:t>
    </w:r>
    <w:proofErr w:type="spellEnd"/>
    <w:r w:rsidR="00914544">
      <w:t>) of</w:t>
    </w:r>
    <w:r w:rsidR="00914544">
      <w:tab/>
      <w:t>Page </w:t>
    </w:r>
    <w:r w:rsidR="00914544">
      <w:rPr>
        <w:rStyle w:val="PageNumber"/>
      </w:rPr>
      <w:fldChar w:fldCharType="begin"/>
    </w:r>
    <w:r w:rsidR="00914544">
      <w:rPr>
        <w:rStyle w:val="PageNumber"/>
      </w:rPr>
      <w:instrText xml:space="preserve"> PAGE </w:instrText>
    </w:r>
    <w:r w:rsidR="00914544">
      <w:rPr>
        <w:rStyle w:val="PageNumber"/>
      </w:rPr>
      <w:fldChar w:fldCharType="separate"/>
    </w:r>
    <w:r w:rsidR="00B906AA">
      <w:rPr>
        <w:rStyle w:val="PageNumber"/>
        <w:noProof/>
      </w:rPr>
      <w:t>11</w:t>
    </w:r>
    <w:r w:rsidR="00914544">
      <w:rPr>
        <w:rStyle w:val="PageNumber"/>
      </w:rPr>
      <w:fldChar w:fldCharType="end"/>
    </w:r>
    <w:r w:rsidR="00914544">
      <w:rPr>
        <w:rStyle w:val="PageNumber"/>
      </w:rPr>
      <w:t xml:space="preserve"> of </w:t>
    </w:r>
    <w:r w:rsidR="00914544">
      <w:rPr>
        <w:rStyle w:val="PageNumber"/>
      </w:rPr>
      <w:fldChar w:fldCharType="begin"/>
    </w:r>
    <w:r w:rsidR="00914544">
      <w:rPr>
        <w:rStyle w:val="PageNumber"/>
      </w:rPr>
      <w:instrText xml:space="preserve"> SECTIONPAGES </w:instrText>
    </w:r>
    <w:r w:rsidR="00914544">
      <w:rPr>
        <w:rStyle w:val="PageNumber"/>
      </w:rPr>
      <w:fldChar w:fldCharType="separate"/>
    </w:r>
    <w:r w:rsidR="00B906AA">
      <w:rPr>
        <w:rStyle w:val="PageNumber"/>
        <w:noProof/>
      </w:rPr>
      <w:t>20</w:t>
    </w:r>
    <w:r w:rsidR="00914544">
      <w:rPr>
        <w:rStyle w:val="PageNumber"/>
      </w:rPr>
      <w:fldChar w:fldCharType="end"/>
    </w:r>
  </w:p>
  <w:p w:rsidR="00914544" w:rsidRDefault="00914544" w:rsidP="00734EBA">
    <w:pPr>
      <w:pStyle w:val="Footer"/>
      <w:tabs>
        <w:tab w:val="clear" w:pos="4507"/>
        <w:tab w:val="clear" w:pos="9000"/>
        <w:tab w:val="right" w:pos="8640"/>
      </w:tabs>
    </w:pPr>
    <w:r>
      <w:t xml:space="preserve">Jon A. Piliaris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914544" w:rsidRDefault="00914544">
    <w:pPr>
      <w:pStyle w:val="Footer"/>
      <w:tabs>
        <w:tab w:val="clear" w:pos="4507"/>
        <w:tab w:val="clear" w:pos="9000"/>
        <w:tab w:val="right" w:pos="8640"/>
      </w:tabs>
      <w:spacing w:line="240" w:lineRule="auto"/>
      <w:ind w:left="-630" w:right="0" w:hanging="4"/>
      <w:rPr>
        <w:sz w:val="10"/>
      </w:rPr>
    </w:pPr>
  </w:p>
  <w:p w:rsidR="00914544" w:rsidRDefault="00914544">
    <w:pPr>
      <w:pStyle w:val="Footer"/>
      <w:tabs>
        <w:tab w:val="clear" w:pos="4507"/>
        <w:tab w:val="clear" w:pos="9000"/>
        <w:tab w:val="right" w:pos="8640"/>
      </w:tabs>
      <w:ind w:left="-630" w:hanging="4"/>
    </w:pPr>
    <w:proofErr w:type="spellStart"/>
    <w:r>
      <w:t>Prefiled</w:t>
    </w:r>
    <w:proofErr w:type="spellEnd"/>
    <w:r>
      <w:t xml:space="preserve"> Direct Testimony of</w:t>
    </w:r>
    <w:r>
      <w:tab/>
      <w:t>Exhibit No. ___(JD-1CT)</w:t>
    </w:r>
  </w:p>
  <w:p w:rsidR="00914544" w:rsidRDefault="00914544">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B906AA">
      <w:rPr>
        <w:rStyle w:val="PageNumber"/>
        <w:noProof/>
      </w:rPr>
      <w:t>20</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7E6" w:rsidRDefault="007347E6">
      <w:r>
        <w:separator/>
      </w:r>
    </w:p>
  </w:footnote>
  <w:footnote w:type="continuationSeparator" w:id="0">
    <w:p w:rsidR="007347E6" w:rsidRDefault="007347E6">
      <w:r>
        <w:continuationSeparator/>
      </w:r>
    </w:p>
  </w:footnote>
  <w:footnote w:id="1">
    <w:p w:rsidR="00914544" w:rsidRDefault="00914544" w:rsidP="00734EBA">
      <w:pPr>
        <w:pStyle w:val="FootnoteText"/>
        <w:keepLines/>
        <w:spacing w:before="60" w:after="60" w:line="240" w:lineRule="auto"/>
      </w:pPr>
      <w:r>
        <w:rPr>
          <w:rStyle w:val="FootnoteReference"/>
        </w:rPr>
        <w:footnoteRef/>
      </w:r>
      <w:r>
        <w:t xml:space="preserve"> Several campuses are the only load on certain feeders; therefore, their costs calculated in the original filing are unchanged in this supplemental filing.</w:t>
      </w:r>
    </w:p>
  </w:footnote>
  <w:footnote w:id="2">
    <w:p w:rsidR="00914544" w:rsidRDefault="00914544" w:rsidP="00734EBA">
      <w:pPr>
        <w:pStyle w:val="FootnoteText"/>
        <w:keepLines/>
        <w:spacing w:before="60" w:after="60" w:line="240" w:lineRule="auto"/>
      </w:pPr>
      <w:r>
        <w:rPr>
          <w:rStyle w:val="FootnoteReference"/>
        </w:rPr>
        <w:footnoteRef/>
      </w:r>
      <w:r>
        <w:t xml:space="preserve"> At the time of this supplemental filing, PSE is working with parties to convert the current tariff filing into a special contract for retail wheeling service pursuant to an all-party settlement in this proceeding.  PSE expects this special contract, the settlement agreement and supportive testimony to be filed no later than April 11, 2017.</w:t>
      </w:r>
    </w:p>
  </w:footnote>
  <w:footnote w:id="3">
    <w:p w:rsidR="00914544" w:rsidRDefault="00914544" w:rsidP="00734EBA">
      <w:pPr>
        <w:pStyle w:val="FootnoteText"/>
        <w:keepLines/>
        <w:spacing w:before="60" w:after="60" w:line="240" w:lineRule="auto"/>
      </w:pPr>
      <w:r>
        <w:rPr>
          <w:rStyle w:val="FootnoteReference"/>
        </w:rPr>
        <w:footnoteRef/>
      </w:r>
      <w:r>
        <w:t xml:space="preserve"> For purposes of this discussion, “fixed” and “variable” power costs are defined consistent with the way they are presented in </w:t>
      </w:r>
      <w:proofErr w:type="spellStart"/>
      <w:r>
        <w:t>Exh</w:t>
      </w:r>
      <w:proofErr w:type="spellEnd"/>
      <w:r>
        <w:t xml:space="preserve">. KJB-15 and </w:t>
      </w:r>
      <w:proofErr w:type="spellStart"/>
      <w:r>
        <w:t>Exh</w:t>
      </w:r>
      <w:proofErr w:type="spellEnd"/>
      <w:r>
        <w:t xml:space="preserve">. KJB-16, supporting the </w:t>
      </w:r>
      <w:proofErr w:type="spellStart"/>
      <w:r>
        <w:t>Prefiled</w:t>
      </w:r>
      <w:proofErr w:type="spellEnd"/>
      <w:r>
        <w:t xml:space="preserve"> Supplemental Direct Testimony of Ms. Katherine J. Barnard, </w:t>
      </w:r>
      <w:proofErr w:type="spellStart"/>
      <w:r>
        <w:t>Exh</w:t>
      </w:r>
      <w:proofErr w:type="spellEnd"/>
      <w:r>
        <w:t>. KJB-10T.</w:t>
      </w:r>
    </w:p>
  </w:footnote>
  <w:footnote w:id="4">
    <w:p w:rsidR="00914544" w:rsidRDefault="00914544" w:rsidP="00734EBA">
      <w:pPr>
        <w:pStyle w:val="FootnoteText"/>
        <w:keepLines/>
        <w:spacing w:before="60" w:after="60" w:line="240" w:lineRule="auto"/>
      </w:pPr>
      <w:r>
        <w:rPr>
          <w:rStyle w:val="FootnoteReference"/>
        </w:rPr>
        <w:footnoteRef/>
      </w:r>
      <w:r>
        <w:t xml:space="preserve"> PSE intends for these filings to take effect no later than the 30 day from filing.  </w:t>
      </w:r>
    </w:p>
  </w:footnote>
  <w:footnote w:id="5">
    <w:p w:rsidR="00914544" w:rsidRDefault="00914544" w:rsidP="00734EBA">
      <w:pPr>
        <w:pStyle w:val="FootnoteText"/>
        <w:keepLines/>
        <w:spacing w:before="60" w:after="60" w:line="240" w:lineRule="auto"/>
      </w:pPr>
      <w:r>
        <w:rPr>
          <w:rStyle w:val="FootnoteReference"/>
        </w:rPr>
        <w:footnoteRef/>
      </w:r>
      <w:r>
        <w:t xml:space="preserve"> The base rate increases were originally calculated relative to total revenues at proposed rates, rather than total revenue at existing rates.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Header"/>
    </w:pPr>
    <w:r>
      <w:rPr>
        <w:noProof/>
        <w:lang w:eastAsia="en-US"/>
      </w:rPr>
      <mc:AlternateContent>
        <mc:Choice Requires="wps">
          <w:drawing>
            <wp:anchor distT="0" distB="0" distL="114300" distR="114300" simplePos="0" relativeHeight="251660288" behindDoc="0" locked="0" layoutInCell="0" allowOverlap="1" wp14:anchorId="006BFC07" wp14:editId="49B053D0">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44" w:rsidRDefault="00914544">
    <w:pPr>
      <w:pStyle w:val="Header"/>
    </w:pPr>
    <w:r>
      <w:rPr>
        <w:noProof/>
        <w:lang w:eastAsia="en-US"/>
      </w:rPr>
      <mc:AlternateContent>
        <mc:Choice Requires="wps">
          <w:drawing>
            <wp:anchor distT="0" distB="0" distL="114300" distR="114300" simplePos="0" relativeHeight="251662336" behindDoc="0" locked="0" layoutInCell="1" allowOverlap="1" wp14:anchorId="6B6C0B1E" wp14:editId="2AF365D3">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6">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8">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7">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0">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1">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2">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3">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6">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7">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38">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0">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0"/>
  </w:num>
  <w:num w:numId="13">
    <w:abstractNumId w:val="37"/>
  </w:num>
  <w:num w:numId="14">
    <w:abstractNumId w:val="23"/>
  </w:num>
  <w:num w:numId="15">
    <w:abstractNumId w:val="32"/>
  </w:num>
  <w:num w:numId="16">
    <w:abstractNumId w:val="35"/>
  </w:num>
  <w:num w:numId="17">
    <w:abstractNumId w:val="39"/>
  </w:num>
  <w:num w:numId="18">
    <w:abstractNumId w:val="26"/>
  </w:num>
  <w:num w:numId="19">
    <w:abstractNumId w:val="40"/>
  </w:num>
  <w:num w:numId="20">
    <w:abstractNumId w:val="29"/>
  </w:num>
  <w:num w:numId="21">
    <w:abstractNumId w:val="31"/>
  </w:num>
  <w:num w:numId="22">
    <w:abstractNumId w:val="17"/>
  </w:num>
  <w:num w:numId="23">
    <w:abstractNumId w:val="15"/>
  </w:num>
  <w:num w:numId="24">
    <w:abstractNumId w:val="21"/>
  </w:num>
  <w:num w:numId="25">
    <w:abstractNumId w:val="19"/>
  </w:num>
  <w:num w:numId="26">
    <w:abstractNumId w:val="3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7"/>
  </w:num>
  <w:num w:numId="30">
    <w:abstractNumId w:val="12"/>
  </w:num>
  <w:num w:numId="31">
    <w:abstractNumId w:val="24"/>
  </w:num>
  <w:num w:numId="32">
    <w:abstractNumId w:val="28"/>
  </w:num>
  <w:num w:numId="33">
    <w:abstractNumId w:val="22"/>
  </w:num>
  <w:num w:numId="34">
    <w:abstractNumId w:val="11"/>
  </w:num>
  <w:num w:numId="35">
    <w:abstractNumId w:val="13"/>
  </w:num>
  <w:num w:numId="36">
    <w:abstractNumId w:val="14"/>
  </w:num>
  <w:num w:numId="37">
    <w:abstractNumId w:val="34"/>
  </w:num>
  <w:num w:numId="38">
    <w:abstractNumId w:val="25"/>
  </w:num>
  <w:num w:numId="39">
    <w:abstractNumId w:val="18"/>
  </w:num>
  <w:num w:numId="40">
    <w:abstractNumId w:val="20"/>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MPDocID" w:val="07771-0045/135015530.1"/>
    <w:docVar w:name="MPDocIDTemplate" w:val="%c-|%m/|%n|.%v"/>
    <w:docVar w:name="MPDocIDTemplateDefault" w:val="%c-|%m/|%n|.%v"/>
    <w:docVar w:name="NewDocStampType" w:val="1"/>
  </w:docVars>
  <w:rsids>
    <w:rsidRoot w:val="00CD1A65"/>
    <w:rsid w:val="00000A6F"/>
    <w:rsid w:val="000018F4"/>
    <w:rsid w:val="00002751"/>
    <w:rsid w:val="00003202"/>
    <w:rsid w:val="00003CCA"/>
    <w:rsid w:val="00004D39"/>
    <w:rsid w:val="0000554F"/>
    <w:rsid w:val="0000723E"/>
    <w:rsid w:val="00007913"/>
    <w:rsid w:val="000101C9"/>
    <w:rsid w:val="0001112F"/>
    <w:rsid w:val="00011F34"/>
    <w:rsid w:val="00012170"/>
    <w:rsid w:val="00012CC9"/>
    <w:rsid w:val="000139D8"/>
    <w:rsid w:val="000166B1"/>
    <w:rsid w:val="00017DB9"/>
    <w:rsid w:val="00020C64"/>
    <w:rsid w:val="0002256A"/>
    <w:rsid w:val="0002428B"/>
    <w:rsid w:val="00024ADC"/>
    <w:rsid w:val="000251EE"/>
    <w:rsid w:val="0003005E"/>
    <w:rsid w:val="00031B05"/>
    <w:rsid w:val="00032928"/>
    <w:rsid w:val="00032B65"/>
    <w:rsid w:val="00032BAE"/>
    <w:rsid w:val="000334C5"/>
    <w:rsid w:val="0003603B"/>
    <w:rsid w:val="000373BB"/>
    <w:rsid w:val="00037CE8"/>
    <w:rsid w:val="00040032"/>
    <w:rsid w:val="00040E73"/>
    <w:rsid w:val="00041701"/>
    <w:rsid w:val="000425A2"/>
    <w:rsid w:val="00043BF2"/>
    <w:rsid w:val="00044F9A"/>
    <w:rsid w:val="000456B9"/>
    <w:rsid w:val="000458B0"/>
    <w:rsid w:val="000460D8"/>
    <w:rsid w:val="0004727F"/>
    <w:rsid w:val="0005073B"/>
    <w:rsid w:val="00051008"/>
    <w:rsid w:val="000528F5"/>
    <w:rsid w:val="00052A37"/>
    <w:rsid w:val="00053B7F"/>
    <w:rsid w:val="00054C6A"/>
    <w:rsid w:val="00054CEF"/>
    <w:rsid w:val="00055FFA"/>
    <w:rsid w:val="00057091"/>
    <w:rsid w:val="00057AE7"/>
    <w:rsid w:val="00057C3E"/>
    <w:rsid w:val="00060493"/>
    <w:rsid w:val="000623F4"/>
    <w:rsid w:val="00063680"/>
    <w:rsid w:val="00064171"/>
    <w:rsid w:val="00064903"/>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4DAC"/>
    <w:rsid w:val="0008555B"/>
    <w:rsid w:val="00085C4A"/>
    <w:rsid w:val="00085CC0"/>
    <w:rsid w:val="00085F69"/>
    <w:rsid w:val="000867DE"/>
    <w:rsid w:val="000905D7"/>
    <w:rsid w:val="00091AD2"/>
    <w:rsid w:val="00091AE5"/>
    <w:rsid w:val="00092201"/>
    <w:rsid w:val="00093447"/>
    <w:rsid w:val="00093522"/>
    <w:rsid w:val="00093C4A"/>
    <w:rsid w:val="000969E2"/>
    <w:rsid w:val="000A0290"/>
    <w:rsid w:val="000A0F0E"/>
    <w:rsid w:val="000A4ADD"/>
    <w:rsid w:val="000A56A7"/>
    <w:rsid w:val="000A7131"/>
    <w:rsid w:val="000A7F6A"/>
    <w:rsid w:val="000B068C"/>
    <w:rsid w:val="000B18E9"/>
    <w:rsid w:val="000B1EA2"/>
    <w:rsid w:val="000B38BF"/>
    <w:rsid w:val="000B3FB1"/>
    <w:rsid w:val="000B547D"/>
    <w:rsid w:val="000B6388"/>
    <w:rsid w:val="000B6DD9"/>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D40"/>
    <w:rsid w:val="000F23B3"/>
    <w:rsid w:val="000F31BD"/>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347D"/>
    <w:rsid w:val="00113B9D"/>
    <w:rsid w:val="00113E20"/>
    <w:rsid w:val="00114B5C"/>
    <w:rsid w:val="00115F53"/>
    <w:rsid w:val="00116CF5"/>
    <w:rsid w:val="0012055A"/>
    <w:rsid w:val="001222A4"/>
    <w:rsid w:val="001227D6"/>
    <w:rsid w:val="001235E4"/>
    <w:rsid w:val="001248E8"/>
    <w:rsid w:val="00125292"/>
    <w:rsid w:val="00126228"/>
    <w:rsid w:val="00127342"/>
    <w:rsid w:val="001310AA"/>
    <w:rsid w:val="001314A8"/>
    <w:rsid w:val="0013195B"/>
    <w:rsid w:val="00132447"/>
    <w:rsid w:val="0013586D"/>
    <w:rsid w:val="00137615"/>
    <w:rsid w:val="00140EC8"/>
    <w:rsid w:val="00141044"/>
    <w:rsid w:val="001417A7"/>
    <w:rsid w:val="00141820"/>
    <w:rsid w:val="00141A46"/>
    <w:rsid w:val="00142532"/>
    <w:rsid w:val="001433AA"/>
    <w:rsid w:val="00143E87"/>
    <w:rsid w:val="00146EDB"/>
    <w:rsid w:val="001479BB"/>
    <w:rsid w:val="001507AA"/>
    <w:rsid w:val="00150B43"/>
    <w:rsid w:val="00151400"/>
    <w:rsid w:val="00151E68"/>
    <w:rsid w:val="001527E4"/>
    <w:rsid w:val="001530C6"/>
    <w:rsid w:val="001533D3"/>
    <w:rsid w:val="00153529"/>
    <w:rsid w:val="00155A5E"/>
    <w:rsid w:val="00155ABF"/>
    <w:rsid w:val="001578FF"/>
    <w:rsid w:val="001603DB"/>
    <w:rsid w:val="0016182B"/>
    <w:rsid w:val="00161845"/>
    <w:rsid w:val="00163F6E"/>
    <w:rsid w:val="0016430B"/>
    <w:rsid w:val="001664B2"/>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80C05"/>
    <w:rsid w:val="001812AB"/>
    <w:rsid w:val="001812C0"/>
    <w:rsid w:val="001817F0"/>
    <w:rsid w:val="00181A1F"/>
    <w:rsid w:val="00182226"/>
    <w:rsid w:val="00182C81"/>
    <w:rsid w:val="00183093"/>
    <w:rsid w:val="00184D5A"/>
    <w:rsid w:val="00185C17"/>
    <w:rsid w:val="00185D01"/>
    <w:rsid w:val="001919C4"/>
    <w:rsid w:val="00192832"/>
    <w:rsid w:val="00192868"/>
    <w:rsid w:val="001936DE"/>
    <w:rsid w:val="0019637E"/>
    <w:rsid w:val="00196CB7"/>
    <w:rsid w:val="00196FCA"/>
    <w:rsid w:val="00197652"/>
    <w:rsid w:val="00197984"/>
    <w:rsid w:val="001A1529"/>
    <w:rsid w:val="001A2510"/>
    <w:rsid w:val="001A2DBE"/>
    <w:rsid w:val="001A4255"/>
    <w:rsid w:val="001A4458"/>
    <w:rsid w:val="001A4A08"/>
    <w:rsid w:val="001A66B6"/>
    <w:rsid w:val="001A7397"/>
    <w:rsid w:val="001B05DD"/>
    <w:rsid w:val="001B0F21"/>
    <w:rsid w:val="001B163F"/>
    <w:rsid w:val="001B4051"/>
    <w:rsid w:val="001B4343"/>
    <w:rsid w:val="001B61DF"/>
    <w:rsid w:val="001B7283"/>
    <w:rsid w:val="001B79DB"/>
    <w:rsid w:val="001C097C"/>
    <w:rsid w:val="001C1757"/>
    <w:rsid w:val="001C2894"/>
    <w:rsid w:val="001C5CAF"/>
    <w:rsid w:val="001C7603"/>
    <w:rsid w:val="001D0F46"/>
    <w:rsid w:val="001D186B"/>
    <w:rsid w:val="001D1D31"/>
    <w:rsid w:val="001D2261"/>
    <w:rsid w:val="001D2653"/>
    <w:rsid w:val="001D2B74"/>
    <w:rsid w:val="001D3062"/>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12EA"/>
    <w:rsid w:val="001F1AB5"/>
    <w:rsid w:val="001F313C"/>
    <w:rsid w:val="00201995"/>
    <w:rsid w:val="00202C2B"/>
    <w:rsid w:val="00203289"/>
    <w:rsid w:val="00204D0F"/>
    <w:rsid w:val="00206603"/>
    <w:rsid w:val="00206F0F"/>
    <w:rsid w:val="00210AF9"/>
    <w:rsid w:val="00210FD3"/>
    <w:rsid w:val="002111FC"/>
    <w:rsid w:val="0021264C"/>
    <w:rsid w:val="002176C8"/>
    <w:rsid w:val="00217738"/>
    <w:rsid w:val="002200C5"/>
    <w:rsid w:val="00220BA5"/>
    <w:rsid w:val="0022127D"/>
    <w:rsid w:val="00221CB5"/>
    <w:rsid w:val="002225DC"/>
    <w:rsid w:val="00222C36"/>
    <w:rsid w:val="0022574D"/>
    <w:rsid w:val="002272F9"/>
    <w:rsid w:val="00227B90"/>
    <w:rsid w:val="00235E91"/>
    <w:rsid w:val="002366CD"/>
    <w:rsid w:val="002370A7"/>
    <w:rsid w:val="00237BC7"/>
    <w:rsid w:val="00237DAF"/>
    <w:rsid w:val="0024042B"/>
    <w:rsid w:val="00240D91"/>
    <w:rsid w:val="0024173A"/>
    <w:rsid w:val="002423F8"/>
    <w:rsid w:val="00242803"/>
    <w:rsid w:val="00242F00"/>
    <w:rsid w:val="002439A7"/>
    <w:rsid w:val="00243C0C"/>
    <w:rsid w:val="00243D81"/>
    <w:rsid w:val="0024414E"/>
    <w:rsid w:val="002503F1"/>
    <w:rsid w:val="00250A52"/>
    <w:rsid w:val="002514AA"/>
    <w:rsid w:val="0025348F"/>
    <w:rsid w:val="00253A60"/>
    <w:rsid w:val="00253D38"/>
    <w:rsid w:val="0025416C"/>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4A3B"/>
    <w:rsid w:val="00265322"/>
    <w:rsid w:val="00265D55"/>
    <w:rsid w:val="0026646A"/>
    <w:rsid w:val="0027022C"/>
    <w:rsid w:val="00271076"/>
    <w:rsid w:val="00271C28"/>
    <w:rsid w:val="00272458"/>
    <w:rsid w:val="002727F1"/>
    <w:rsid w:val="002747B0"/>
    <w:rsid w:val="002758F7"/>
    <w:rsid w:val="002776EB"/>
    <w:rsid w:val="00281869"/>
    <w:rsid w:val="00281FB1"/>
    <w:rsid w:val="00282FFC"/>
    <w:rsid w:val="00284894"/>
    <w:rsid w:val="00285457"/>
    <w:rsid w:val="00285588"/>
    <w:rsid w:val="00287F1B"/>
    <w:rsid w:val="00290409"/>
    <w:rsid w:val="002909F6"/>
    <w:rsid w:val="00290A9F"/>
    <w:rsid w:val="00291DF5"/>
    <w:rsid w:val="00292DA1"/>
    <w:rsid w:val="00292FA1"/>
    <w:rsid w:val="00296A6A"/>
    <w:rsid w:val="00296C41"/>
    <w:rsid w:val="00297CE7"/>
    <w:rsid w:val="002A0971"/>
    <w:rsid w:val="002A11DF"/>
    <w:rsid w:val="002A134B"/>
    <w:rsid w:val="002A192D"/>
    <w:rsid w:val="002A1CC8"/>
    <w:rsid w:val="002A2592"/>
    <w:rsid w:val="002A2B26"/>
    <w:rsid w:val="002A5324"/>
    <w:rsid w:val="002A6C1E"/>
    <w:rsid w:val="002A728C"/>
    <w:rsid w:val="002B0674"/>
    <w:rsid w:val="002B19A0"/>
    <w:rsid w:val="002B1D5B"/>
    <w:rsid w:val="002B3F2B"/>
    <w:rsid w:val="002B45F5"/>
    <w:rsid w:val="002B7714"/>
    <w:rsid w:val="002C091A"/>
    <w:rsid w:val="002C4A47"/>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59E"/>
    <w:rsid w:val="002E5103"/>
    <w:rsid w:val="002E5502"/>
    <w:rsid w:val="002E5518"/>
    <w:rsid w:val="002E6F7D"/>
    <w:rsid w:val="002F0FE8"/>
    <w:rsid w:val="002F4BC1"/>
    <w:rsid w:val="002F4CD2"/>
    <w:rsid w:val="002F6E18"/>
    <w:rsid w:val="002F706F"/>
    <w:rsid w:val="002F77A9"/>
    <w:rsid w:val="002F7A4E"/>
    <w:rsid w:val="002F7C7C"/>
    <w:rsid w:val="00300996"/>
    <w:rsid w:val="0030150A"/>
    <w:rsid w:val="00301A6C"/>
    <w:rsid w:val="00302D0C"/>
    <w:rsid w:val="00302E7A"/>
    <w:rsid w:val="00304BA0"/>
    <w:rsid w:val="0030575E"/>
    <w:rsid w:val="00306F7C"/>
    <w:rsid w:val="0030775B"/>
    <w:rsid w:val="00311821"/>
    <w:rsid w:val="003150B6"/>
    <w:rsid w:val="00315629"/>
    <w:rsid w:val="00317739"/>
    <w:rsid w:val="00320F41"/>
    <w:rsid w:val="00322395"/>
    <w:rsid w:val="00322508"/>
    <w:rsid w:val="00322CA7"/>
    <w:rsid w:val="003239D7"/>
    <w:rsid w:val="003244A3"/>
    <w:rsid w:val="003244FC"/>
    <w:rsid w:val="00325B31"/>
    <w:rsid w:val="00325CC4"/>
    <w:rsid w:val="0032685E"/>
    <w:rsid w:val="0032688C"/>
    <w:rsid w:val="00326E7E"/>
    <w:rsid w:val="003303D4"/>
    <w:rsid w:val="00330580"/>
    <w:rsid w:val="0033255F"/>
    <w:rsid w:val="003325A3"/>
    <w:rsid w:val="0033262E"/>
    <w:rsid w:val="00332A3D"/>
    <w:rsid w:val="00332EF1"/>
    <w:rsid w:val="00335F02"/>
    <w:rsid w:val="003360EB"/>
    <w:rsid w:val="0033664C"/>
    <w:rsid w:val="00336842"/>
    <w:rsid w:val="003375D2"/>
    <w:rsid w:val="0034112B"/>
    <w:rsid w:val="003415CD"/>
    <w:rsid w:val="00341838"/>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10C2"/>
    <w:rsid w:val="00372422"/>
    <w:rsid w:val="00372F79"/>
    <w:rsid w:val="00373813"/>
    <w:rsid w:val="00373D78"/>
    <w:rsid w:val="0037404C"/>
    <w:rsid w:val="00380B7D"/>
    <w:rsid w:val="0038156A"/>
    <w:rsid w:val="0038164D"/>
    <w:rsid w:val="00382131"/>
    <w:rsid w:val="00382C51"/>
    <w:rsid w:val="00385174"/>
    <w:rsid w:val="003854E8"/>
    <w:rsid w:val="0038685C"/>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135D"/>
    <w:rsid w:val="003A24F0"/>
    <w:rsid w:val="003A25AC"/>
    <w:rsid w:val="003A358A"/>
    <w:rsid w:val="003A37CF"/>
    <w:rsid w:val="003A3FD8"/>
    <w:rsid w:val="003A4E91"/>
    <w:rsid w:val="003A5AA0"/>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51B6"/>
    <w:rsid w:val="003C58FE"/>
    <w:rsid w:val="003C64DB"/>
    <w:rsid w:val="003C6CFA"/>
    <w:rsid w:val="003D03FF"/>
    <w:rsid w:val="003D094A"/>
    <w:rsid w:val="003D25AE"/>
    <w:rsid w:val="003D2AE7"/>
    <w:rsid w:val="003D2CAA"/>
    <w:rsid w:val="003D3E30"/>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A19"/>
    <w:rsid w:val="003F6D15"/>
    <w:rsid w:val="003F7BA0"/>
    <w:rsid w:val="004005CD"/>
    <w:rsid w:val="00400E04"/>
    <w:rsid w:val="004011EA"/>
    <w:rsid w:val="00401D31"/>
    <w:rsid w:val="004036B6"/>
    <w:rsid w:val="00404453"/>
    <w:rsid w:val="00404CFE"/>
    <w:rsid w:val="004059EB"/>
    <w:rsid w:val="0040642A"/>
    <w:rsid w:val="0040651F"/>
    <w:rsid w:val="004067DB"/>
    <w:rsid w:val="00406B72"/>
    <w:rsid w:val="004100FF"/>
    <w:rsid w:val="00410F83"/>
    <w:rsid w:val="00410FB9"/>
    <w:rsid w:val="00411F09"/>
    <w:rsid w:val="004142F6"/>
    <w:rsid w:val="0041507C"/>
    <w:rsid w:val="00416515"/>
    <w:rsid w:val="00417494"/>
    <w:rsid w:val="00420933"/>
    <w:rsid w:val="00421117"/>
    <w:rsid w:val="00421A4E"/>
    <w:rsid w:val="00421D6D"/>
    <w:rsid w:val="004233FB"/>
    <w:rsid w:val="0042344B"/>
    <w:rsid w:val="00423A55"/>
    <w:rsid w:val="0042489F"/>
    <w:rsid w:val="004266CA"/>
    <w:rsid w:val="0042791E"/>
    <w:rsid w:val="004306BC"/>
    <w:rsid w:val="00430D30"/>
    <w:rsid w:val="00430D80"/>
    <w:rsid w:val="0043239C"/>
    <w:rsid w:val="00432B60"/>
    <w:rsid w:val="0043326F"/>
    <w:rsid w:val="0043332D"/>
    <w:rsid w:val="00433619"/>
    <w:rsid w:val="0043396E"/>
    <w:rsid w:val="00433CB2"/>
    <w:rsid w:val="00433CD9"/>
    <w:rsid w:val="00434515"/>
    <w:rsid w:val="00434BDA"/>
    <w:rsid w:val="0043516D"/>
    <w:rsid w:val="004363AE"/>
    <w:rsid w:val="00436552"/>
    <w:rsid w:val="00440346"/>
    <w:rsid w:val="0044097A"/>
    <w:rsid w:val="00442BDB"/>
    <w:rsid w:val="00443378"/>
    <w:rsid w:val="00443445"/>
    <w:rsid w:val="004441C3"/>
    <w:rsid w:val="00445291"/>
    <w:rsid w:val="004479B6"/>
    <w:rsid w:val="0045217A"/>
    <w:rsid w:val="00452684"/>
    <w:rsid w:val="0045400D"/>
    <w:rsid w:val="00454484"/>
    <w:rsid w:val="00455FB0"/>
    <w:rsid w:val="00461E19"/>
    <w:rsid w:val="004634CD"/>
    <w:rsid w:val="00463EFF"/>
    <w:rsid w:val="00464D88"/>
    <w:rsid w:val="00465629"/>
    <w:rsid w:val="00466E61"/>
    <w:rsid w:val="004674DD"/>
    <w:rsid w:val="0046783D"/>
    <w:rsid w:val="0046788D"/>
    <w:rsid w:val="00467D78"/>
    <w:rsid w:val="004708DE"/>
    <w:rsid w:val="004709B1"/>
    <w:rsid w:val="00472593"/>
    <w:rsid w:val="00472ED7"/>
    <w:rsid w:val="00473CB4"/>
    <w:rsid w:val="00474F45"/>
    <w:rsid w:val="004758A2"/>
    <w:rsid w:val="00476A1F"/>
    <w:rsid w:val="00480054"/>
    <w:rsid w:val="004807DC"/>
    <w:rsid w:val="00480BEE"/>
    <w:rsid w:val="00480DFA"/>
    <w:rsid w:val="004818C2"/>
    <w:rsid w:val="0048269E"/>
    <w:rsid w:val="0048295A"/>
    <w:rsid w:val="00482CE9"/>
    <w:rsid w:val="004837B4"/>
    <w:rsid w:val="004847D0"/>
    <w:rsid w:val="00486844"/>
    <w:rsid w:val="00486F8C"/>
    <w:rsid w:val="00490281"/>
    <w:rsid w:val="00491882"/>
    <w:rsid w:val="004949C9"/>
    <w:rsid w:val="00494CF7"/>
    <w:rsid w:val="0049768D"/>
    <w:rsid w:val="00497C3C"/>
    <w:rsid w:val="004A1256"/>
    <w:rsid w:val="004A1BA4"/>
    <w:rsid w:val="004A1F3B"/>
    <w:rsid w:val="004A36C8"/>
    <w:rsid w:val="004A390A"/>
    <w:rsid w:val="004A4D0C"/>
    <w:rsid w:val="004A636A"/>
    <w:rsid w:val="004A694E"/>
    <w:rsid w:val="004A75AA"/>
    <w:rsid w:val="004A78E3"/>
    <w:rsid w:val="004B0A53"/>
    <w:rsid w:val="004B3487"/>
    <w:rsid w:val="004B3E9E"/>
    <w:rsid w:val="004B4939"/>
    <w:rsid w:val="004B4B95"/>
    <w:rsid w:val="004B6069"/>
    <w:rsid w:val="004B62CF"/>
    <w:rsid w:val="004C05B4"/>
    <w:rsid w:val="004C09FD"/>
    <w:rsid w:val="004C168F"/>
    <w:rsid w:val="004C16E8"/>
    <w:rsid w:val="004C170F"/>
    <w:rsid w:val="004C2A9D"/>
    <w:rsid w:val="004C3E5A"/>
    <w:rsid w:val="004C4A2E"/>
    <w:rsid w:val="004C638F"/>
    <w:rsid w:val="004C6641"/>
    <w:rsid w:val="004C69B5"/>
    <w:rsid w:val="004C6CED"/>
    <w:rsid w:val="004C71E1"/>
    <w:rsid w:val="004D03B3"/>
    <w:rsid w:val="004D1343"/>
    <w:rsid w:val="004D2851"/>
    <w:rsid w:val="004D2A90"/>
    <w:rsid w:val="004D3D21"/>
    <w:rsid w:val="004D400A"/>
    <w:rsid w:val="004D4861"/>
    <w:rsid w:val="004D4984"/>
    <w:rsid w:val="004D4B77"/>
    <w:rsid w:val="004D4DCA"/>
    <w:rsid w:val="004D5B37"/>
    <w:rsid w:val="004D7505"/>
    <w:rsid w:val="004D7A7F"/>
    <w:rsid w:val="004E01A2"/>
    <w:rsid w:val="004E0DE1"/>
    <w:rsid w:val="004E1648"/>
    <w:rsid w:val="004E17E1"/>
    <w:rsid w:val="004E1E18"/>
    <w:rsid w:val="004E2C82"/>
    <w:rsid w:val="004E36E2"/>
    <w:rsid w:val="004E4D21"/>
    <w:rsid w:val="004E5469"/>
    <w:rsid w:val="004E5E66"/>
    <w:rsid w:val="004E65AF"/>
    <w:rsid w:val="004F0344"/>
    <w:rsid w:val="004F11E5"/>
    <w:rsid w:val="004F1C95"/>
    <w:rsid w:val="004F25CC"/>
    <w:rsid w:val="004F272B"/>
    <w:rsid w:val="004F42E7"/>
    <w:rsid w:val="004F50A3"/>
    <w:rsid w:val="004F55BA"/>
    <w:rsid w:val="004F5EC4"/>
    <w:rsid w:val="004F6C25"/>
    <w:rsid w:val="004F7BB1"/>
    <w:rsid w:val="00501565"/>
    <w:rsid w:val="00503B4D"/>
    <w:rsid w:val="00504484"/>
    <w:rsid w:val="005044D0"/>
    <w:rsid w:val="00504618"/>
    <w:rsid w:val="00504687"/>
    <w:rsid w:val="005051C0"/>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45FB"/>
    <w:rsid w:val="00524B1B"/>
    <w:rsid w:val="00525A4A"/>
    <w:rsid w:val="00525D2A"/>
    <w:rsid w:val="00526204"/>
    <w:rsid w:val="00527418"/>
    <w:rsid w:val="00527866"/>
    <w:rsid w:val="00530959"/>
    <w:rsid w:val="005315E5"/>
    <w:rsid w:val="00533B23"/>
    <w:rsid w:val="00533EF1"/>
    <w:rsid w:val="00533F86"/>
    <w:rsid w:val="00537591"/>
    <w:rsid w:val="00537B92"/>
    <w:rsid w:val="00540997"/>
    <w:rsid w:val="00540E13"/>
    <w:rsid w:val="00541AB6"/>
    <w:rsid w:val="0054244E"/>
    <w:rsid w:val="005447C6"/>
    <w:rsid w:val="00545293"/>
    <w:rsid w:val="00545CA3"/>
    <w:rsid w:val="005468D3"/>
    <w:rsid w:val="0054761B"/>
    <w:rsid w:val="00550EF4"/>
    <w:rsid w:val="00550F70"/>
    <w:rsid w:val="00551C94"/>
    <w:rsid w:val="00552EF6"/>
    <w:rsid w:val="00553157"/>
    <w:rsid w:val="00553D39"/>
    <w:rsid w:val="00554649"/>
    <w:rsid w:val="00554CEB"/>
    <w:rsid w:val="005557AF"/>
    <w:rsid w:val="00556755"/>
    <w:rsid w:val="00556802"/>
    <w:rsid w:val="00556BD8"/>
    <w:rsid w:val="00557FF3"/>
    <w:rsid w:val="00560BDC"/>
    <w:rsid w:val="0056302F"/>
    <w:rsid w:val="00563CE2"/>
    <w:rsid w:val="00564239"/>
    <w:rsid w:val="005642B7"/>
    <w:rsid w:val="00564563"/>
    <w:rsid w:val="005651E0"/>
    <w:rsid w:val="00565A01"/>
    <w:rsid w:val="005661BE"/>
    <w:rsid w:val="005665C3"/>
    <w:rsid w:val="00566656"/>
    <w:rsid w:val="00566D9B"/>
    <w:rsid w:val="0057057E"/>
    <w:rsid w:val="00571AEF"/>
    <w:rsid w:val="00571D94"/>
    <w:rsid w:val="00571F90"/>
    <w:rsid w:val="00572594"/>
    <w:rsid w:val="0057278B"/>
    <w:rsid w:val="00572A1B"/>
    <w:rsid w:val="00572DD7"/>
    <w:rsid w:val="00573849"/>
    <w:rsid w:val="005775FE"/>
    <w:rsid w:val="005809F6"/>
    <w:rsid w:val="00585BB2"/>
    <w:rsid w:val="00586948"/>
    <w:rsid w:val="00587372"/>
    <w:rsid w:val="0058766E"/>
    <w:rsid w:val="005879F2"/>
    <w:rsid w:val="00587E33"/>
    <w:rsid w:val="00591A61"/>
    <w:rsid w:val="00592134"/>
    <w:rsid w:val="00592351"/>
    <w:rsid w:val="00592472"/>
    <w:rsid w:val="00592644"/>
    <w:rsid w:val="00592D78"/>
    <w:rsid w:val="0059465D"/>
    <w:rsid w:val="00596396"/>
    <w:rsid w:val="00597808"/>
    <w:rsid w:val="005979E2"/>
    <w:rsid w:val="005A0B57"/>
    <w:rsid w:val="005A155A"/>
    <w:rsid w:val="005A1926"/>
    <w:rsid w:val="005A2318"/>
    <w:rsid w:val="005A3A5E"/>
    <w:rsid w:val="005A5933"/>
    <w:rsid w:val="005A5C7F"/>
    <w:rsid w:val="005A662D"/>
    <w:rsid w:val="005A7582"/>
    <w:rsid w:val="005A7B39"/>
    <w:rsid w:val="005B041E"/>
    <w:rsid w:val="005B0F70"/>
    <w:rsid w:val="005B1227"/>
    <w:rsid w:val="005B1BDA"/>
    <w:rsid w:val="005B1CB8"/>
    <w:rsid w:val="005B2176"/>
    <w:rsid w:val="005B2405"/>
    <w:rsid w:val="005B314D"/>
    <w:rsid w:val="005B485C"/>
    <w:rsid w:val="005B594E"/>
    <w:rsid w:val="005B5A0A"/>
    <w:rsid w:val="005B742D"/>
    <w:rsid w:val="005B7B14"/>
    <w:rsid w:val="005B7B34"/>
    <w:rsid w:val="005C26D2"/>
    <w:rsid w:val="005C3071"/>
    <w:rsid w:val="005C3BDA"/>
    <w:rsid w:val="005C4350"/>
    <w:rsid w:val="005C51E1"/>
    <w:rsid w:val="005C58C8"/>
    <w:rsid w:val="005C6F49"/>
    <w:rsid w:val="005D058D"/>
    <w:rsid w:val="005D0E49"/>
    <w:rsid w:val="005D1EA0"/>
    <w:rsid w:val="005D27C9"/>
    <w:rsid w:val="005D2DF2"/>
    <w:rsid w:val="005D3306"/>
    <w:rsid w:val="005D391D"/>
    <w:rsid w:val="005D5262"/>
    <w:rsid w:val="005D6946"/>
    <w:rsid w:val="005D7148"/>
    <w:rsid w:val="005D7606"/>
    <w:rsid w:val="005D78A6"/>
    <w:rsid w:val="005D7C82"/>
    <w:rsid w:val="005E09DF"/>
    <w:rsid w:val="005E0C3F"/>
    <w:rsid w:val="005E1BF9"/>
    <w:rsid w:val="005E2C8E"/>
    <w:rsid w:val="005E30B2"/>
    <w:rsid w:val="005E446E"/>
    <w:rsid w:val="005E4883"/>
    <w:rsid w:val="005E4CEA"/>
    <w:rsid w:val="005E6AA5"/>
    <w:rsid w:val="005E7DF8"/>
    <w:rsid w:val="005F0775"/>
    <w:rsid w:val="005F0DAB"/>
    <w:rsid w:val="005F2A8D"/>
    <w:rsid w:val="005F411E"/>
    <w:rsid w:val="005F577C"/>
    <w:rsid w:val="005F76C3"/>
    <w:rsid w:val="00600A48"/>
    <w:rsid w:val="00601B12"/>
    <w:rsid w:val="00601F0F"/>
    <w:rsid w:val="00603A47"/>
    <w:rsid w:val="00605756"/>
    <w:rsid w:val="006060D0"/>
    <w:rsid w:val="006065BA"/>
    <w:rsid w:val="00607FCD"/>
    <w:rsid w:val="00610390"/>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17612"/>
    <w:rsid w:val="00621388"/>
    <w:rsid w:val="006219C1"/>
    <w:rsid w:val="00621A32"/>
    <w:rsid w:val="00621F71"/>
    <w:rsid w:val="00622E2B"/>
    <w:rsid w:val="00623EAD"/>
    <w:rsid w:val="00624398"/>
    <w:rsid w:val="006254D3"/>
    <w:rsid w:val="00630315"/>
    <w:rsid w:val="00630EAD"/>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55A2"/>
    <w:rsid w:val="00646A22"/>
    <w:rsid w:val="00650CC9"/>
    <w:rsid w:val="006511CF"/>
    <w:rsid w:val="00652CDE"/>
    <w:rsid w:val="0065388B"/>
    <w:rsid w:val="00653E0A"/>
    <w:rsid w:val="00655A63"/>
    <w:rsid w:val="00655E60"/>
    <w:rsid w:val="00657F91"/>
    <w:rsid w:val="0066089E"/>
    <w:rsid w:val="00660D21"/>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782C"/>
    <w:rsid w:val="006806DF"/>
    <w:rsid w:val="00680A76"/>
    <w:rsid w:val="006811D1"/>
    <w:rsid w:val="006819F1"/>
    <w:rsid w:val="00681AF1"/>
    <w:rsid w:val="00681E92"/>
    <w:rsid w:val="00683198"/>
    <w:rsid w:val="006863FB"/>
    <w:rsid w:val="006871DF"/>
    <w:rsid w:val="0068740D"/>
    <w:rsid w:val="006874DF"/>
    <w:rsid w:val="00687B3E"/>
    <w:rsid w:val="00687BB4"/>
    <w:rsid w:val="006936D1"/>
    <w:rsid w:val="00693729"/>
    <w:rsid w:val="00693C4C"/>
    <w:rsid w:val="00693C60"/>
    <w:rsid w:val="0069502F"/>
    <w:rsid w:val="00696255"/>
    <w:rsid w:val="006971DB"/>
    <w:rsid w:val="00697BE3"/>
    <w:rsid w:val="006A01EE"/>
    <w:rsid w:val="006A192F"/>
    <w:rsid w:val="006A262E"/>
    <w:rsid w:val="006A2A87"/>
    <w:rsid w:val="006A31F3"/>
    <w:rsid w:val="006A36EB"/>
    <w:rsid w:val="006A3DBA"/>
    <w:rsid w:val="006A5744"/>
    <w:rsid w:val="006A716E"/>
    <w:rsid w:val="006A74F5"/>
    <w:rsid w:val="006A7DEB"/>
    <w:rsid w:val="006A7F43"/>
    <w:rsid w:val="006B0268"/>
    <w:rsid w:val="006B146E"/>
    <w:rsid w:val="006B16C0"/>
    <w:rsid w:val="006B2755"/>
    <w:rsid w:val="006B40A8"/>
    <w:rsid w:val="006B4712"/>
    <w:rsid w:val="006B50D3"/>
    <w:rsid w:val="006B5757"/>
    <w:rsid w:val="006B79D5"/>
    <w:rsid w:val="006C03DD"/>
    <w:rsid w:val="006C15B5"/>
    <w:rsid w:val="006C1BFE"/>
    <w:rsid w:val="006C25C2"/>
    <w:rsid w:val="006C2AE1"/>
    <w:rsid w:val="006C2ED2"/>
    <w:rsid w:val="006C3EAD"/>
    <w:rsid w:val="006C4F89"/>
    <w:rsid w:val="006C793A"/>
    <w:rsid w:val="006D065D"/>
    <w:rsid w:val="006D07F2"/>
    <w:rsid w:val="006D478A"/>
    <w:rsid w:val="006D48DF"/>
    <w:rsid w:val="006D5D2B"/>
    <w:rsid w:val="006D6D2C"/>
    <w:rsid w:val="006E034B"/>
    <w:rsid w:val="006E041D"/>
    <w:rsid w:val="006E08AF"/>
    <w:rsid w:val="006E159E"/>
    <w:rsid w:val="006E1B73"/>
    <w:rsid w:val="006E38DF"/>
    <w:rsid w:val="006E39DE"/>
    <w:rsid w:val="006E3A4D"/>
    <w:rsid w:val="006E3F70"/>
    <w:rsid w:val="006E42AB"/>
    <w:rsid w:val="006E4E94"/>
    <w:rsid w:val="006E5139"/>
    <w:rsid w:val="006E670F"/>
    <w:rsid w:val="006E73FB"/>
    <w:rsid w:val="006E7532"/>
    <w:rsid w:val="006F0464"/>
    <w:rsid w:val="006F0CA7"/>
    <w:rsid w:val="006F0EC2"/>
    <w:rsid w:val="006F0F09"/>
    <w:rsid w:val="006F268B"/>
    <w:rsid w:val="006F4B75"/>
    <w:rsid w:val="006F5553"/>
    <w:rsid w:val="006F58D6"/>
    <w:rsid w:val="006F741F"/>
    <w:rsid w:val="00700AF8"/>
    <w:rsid w:val="007027F0"/>
    <w:rsid w:val="00702F60"/>
    <w:rsid w:val="00704232"/>
    <w:rsid w:val="00704B71"/>
    <w:rsid w:val="007068E6"/>
    <w:rsid w:val="00706B06"/>
    <w:rsid w:val="007112A2"/>
    <w:rsid w:val="00711ECD"/>
    <w:rsid w:val="00711F8C"/>
    <w:rsid w:val="00713452"/>
    <w:rsid w:val="007134DF"/>
    <w:rsid w:val="007138BD"/>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0C4A"/>
    <w:rsid w:val="0073104F"/>
    <w:rsid w:val="007324FB"/>
    <w:rsid w:val="0073473E"/>
    <w:rsid w:val="007347E6"/>
    <w:rsid w:val="00734EBA"/>
    <w:rsid w:val="00740802"/>
    <w:rsid w:val="00741A4C"/>
    <w:rsid w:val="00741D0C"/>
    <w:rsid w:val="0074206F"/>
    <w:rsid w:val="00743A49"/>
    <w:rsid w:val="00745606"/>
    <w:rsid w:val="00745B9C"/>
    <w:rsid w:val="007464C7"/>
    <w:rsid w:val="0074780F"/>
    <w:rsid w:val="007479D7"/>
    <w:rsid w:val="00747E79"/>
    <w:rsid w:val="007500C0"/>
    <w:rsid w:val="0075114A"/>
    <w:rsid w:val="00752492"/>
    <w:rsid w:val="00752EBB"/>
    <w:rsid w:val="00754552"/>
    <w:rsid w:val="007547FF"/>
    <w:rsid w:val="00756AAC"/>
    <w:rsid w:val="00760094"/>
    <w:rsid w:val="007608D1"/>
    <w:rsid w:val="00761068"/>
    <w:rsid w:val="0076163B"/>
    <w:rsid w:val="00761722"/>
    <w:rsid w:val="00761E8E"/>
    <w:rsid w:val="007634AB"/>
    <w:rsid w:val="00764DAF"/>
    <w:rsid w:val="00765BC2"/>
    <w:rsid w:val="00770765"/>
    <w:rsid w:val="00771ADE"/>
    <w:rsid w:val="00771B62"/>
    <w:rsid w:val="00772CF4"/>
    <w:rsid w:val="0077386A"/>
    <w:rsid w:val="00774F17"/>
    <w:rsid w:val="007773E2"/>
    <w:rsid w:val="00777698"/>
    <w:rsid w:val="007777E6"/>
    <w:rsid w:val="00780212"/>
    <w:rsid w:val="0078122C"/>
    <w:rsid w:val="007816E1"/>
    <w:rsid w:val="0078192B"/>
    <w:rsid w:val="0078337F"/>
    <w:rsid w:val="00784F4E"/>
    <w:rsid w:val="007853ED"/>
    <w:rsid w:val="00785BD9"/>
    <w:rsid w:val="00786F84"/>
    <w:rsid w:val="007879A0"/>
    <w:rsid w:val="007879D2"/>
    <w:rsid w:val="00787F86"/>
    <w:rsid w:val="007900B1"/>
    <w:rsid w:val="007917E4"/>
    <w:rsid w:val="00792710"/>
    <w:rsid w:val="00792C58"/>
    <w:rsid w:val="00793B29"/>
    <w:rsid w:val="00793ED4"/>
    <w:rsid w:val="00794BAC"/>
    <w:rsid w:val="007955DE"/>
    <w:rsid w:val="0079592D"/>
    <w:rsid w:val="007964B6"/>
    <w:rsid w:val="00796AB9"/>
    <w:rsid w:val="007A0359"/>
    <w:rsid w:val="007A038A"/>
    <w:rsid w:val="007A09DE"/>
    <w:rsid w:val="007A1265"/>
    <w:rsid w:val="007A1C62"/>
    <w:rsid w:val="007A50D7"/>
    <w:rsid w:val="007A5685"/>
    <w:rsid w:val="007B0D7A"/>
    <w:rsid w:val="007B105B"/>
    <w:rsid w:val="007B1A40"/>
    <w:rsid w:val="007B330C"/>
    <w:rsid w:val="007B3B09"/>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1060"/>
    <w:rsid w:val="007F1B32"/>
    <w:rsid w:val="007F1DA1"/>
    <w:rsid w:val="007F274C"/>
    <w:rsid w:val="007F2833"/>
    <w:rsid w:val="007F3EA4"/>
    <w:rsid w:val="007F4174"/>
    <w:rsid w:val="007F6A9D"/>
    <w:rsid w:val="007F6C03"/>
    <w:rsid w:val="007F7E67"/>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B2E"/>
    <w:rsid w:val="008171E7"/>
    <w:rsid w:val="00817414"/>
    <w:rsid w:val="00821648"/>
    <w:rsid w:val="008232C8"/>
    <w:rsid w:val="008244E3"/>
    <w:rsid w:val="008254AA"/>
    <w:rsid w:val="008261C3"/>
    <w:rsid w:val="008272EF"/>
    <w:rsid w:val="00827622"/>
    <w:rsid w:val="008300E7"/>
    <w:rsid w:val="00831B3D"/>
    <w:rsid w:val="0083228E"/>
    <w:rsid w:val="00832B64"/>
    <w:rsid w:val="00834814"/>
    <w:rsid w:val="00834A08"/>
    <w:rsid w:val="008355D2"/>
    <w:rsid w:val="0083638D"/>
    <w:rsid w:val="00836702"/>
    <w:rsid w:val="00837E3B"/>
    <w:rsid w:val="00840CFB"/>
    <w:rsid w:val="008418FE"/>
    <w:rsid w:val="008426C6"/>
    <w:rsid w:val="00844ABF"/>
    <w:rsid w:val="00845A09"/>
    <w:rsid w:val="00846025"/>
    <w:rsid w:val="0084663C"/>
    <w:rsid w:val="0084669B"/>
    <w:rsid w:val="00847364"/>
    <w:rsid w:val="00850735"/>
    <w:rsid w:val="00851207"/>
    <w:rsid w:val="0085187B"/>
    <w:rsid w:val="008520E5"/>
    <w:rsid w:val="00852A67"/>
    <w:rsid w:val="008554E1"/>
    <w:rsid w:val="008560AA"/>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7B7"/>
    <w:rsid w:val="00872887"/>
    <w:rsid w:val="0087325E"/>
    <w:rsid w:val="00873862"/>
    <w:rsid w:val="00877BC0"/>
    <w:rsid w:val="00881A27"/>
    <w:rsid w:val="00882659"/>
    <w:rsid w:val="008827A7"/>
    <w:rsid w:val="00884379"/>
    <w:rsid w:val="0088470E"/>
    <w:rsid w:val="00884985"/>
    <w:rsid w:val="00885BEC"/>
    <w:rsid w:val="00885F68"/>
    <w:rsid w:val="00886451"/>
    <w:rsid w:val="008906F3"/>
    <w:rsid w:val="0089212C"/>
    <w:rsid w:val="00892520"/>
    <w:rsid w:val="008948DC"/>
    <w:rsid w:val="0089595B"/>
    <w:rsid w:val="00896299"/>
    <w:rsid w:val="00896CD7"/>
    <w:rsid w:val="008978DD"/>
    <w:rsid w:val="00897A6D"/>
    <w:rsid w:val="008A0B3E"/>
    <w:rsid w:val="008A1F10"/>
    <w:rsid w:val="008A288C"/>
    <w:rsid w:val="008A2EDB"/>
    <w:rsid w:val="008A5E4E"/>
    <w:rsid w:val="008A606D"/>
    <w:rsid w:val="008A66A7"/>
    <w:rsid w:val="008A6B5F"/>
    <w:rsid w:val="008A70F5"/>
    <w:rsid w:val="008A7CA1"/>
    <w:rsid w:val="008A7F35"/>
    <w:rsid w:val="008B0D24"/>
    <w:rsid w:val="008B25E3"/>
    <w:rsid w:val="008B3D6F"/>
    <w:rsid w:val="008B6B95"/>
    <w:rsid w:val="008B7304"/>
    <w:rsid w:val="008B7B64"/>
    <w:rsid w:val="008C0615"/>
    <w:rsid w:val="008C10C0"/>
    <w:rsid w:val="008C1BAC"/>
    <w:rsid w:val="008C20FF"/>
    <w:rsid w:val="008C4586"/>
    <w:rsid w:val="008C4AE3"/>
    <w:rsid w:val="008C589D"/>
    <w:rsid w:val="008C5DCB"/>
    <w:rsid w:val="008C5F34"/>
    <w:rsid w:val="008C69DB"/>
    <w:rsid w:val="008C7983"/>
    <w:rsid w:val="008C79FE"/>
    <w:rsid w:val="008D03EA"/>
    <w:rsid w:val="008D3FE1"/>
    <w:rsid w:val="008D428E"/>
    <w:rsid w:val="008D4C23"/>
    <w:rsid w:val="008D5499"/>
    <w:rsid w:val="008D5784"/>
    <w:rsid w:val="008D712B"/>
    <w:rsid w:val="008E005F"/>
    <w:rsid w:val="008E00EF"/>
    <w:rsid w:val="008E0AD5"/>
    <w:rsid w:val="008E1390"/>
    <w:rsid w:val="008E13BF"/>
    <w:rsid w:val="008E1824"/>
    <w:rsid w:val="008E4520"/>
    <w:rsid w:val="008E4B09"/>
    <w:rsid w:val="008E5C68"/>
    <w:rsid w:val="008E61BB"/>
    <w:rsid w:val="008E7A0D"/>
    <w:rsid w:val="008E7D08"/>
    <w:rsid w:val="008F0360"/>
    <w:rsid w:val="008F1DFD"/>
    <w:rsid w:val="008F1F8B"/>
    <w:rsid w:val="008F21F0"/>
    <w:rsid w:val="008F2CAF"/>
    <w:rsid w:val="008F2DD6"/>
    <w:rsid w:val="008F3187"/>
    <w:rsid w:val="008F4C14"/>
    <w:rsid w:val="008F7306"/>
    <w:rsid w:val="008F739E"/>
    <w:rsid w:val="008F7F79"/>
    <w:rsid w:val="009013D9"/>
    <w:rsid w:val="00902AA1"/>
    <w:rsid w:val="009041B6"/>
    <w:rsid w:val="00904733"/>
    <w:rsid w:val="00906383"/>
    <w:rsid w:val="009067E4"/>
    <w:rsid w:val="009075DC"/>
    <w:rsid w:val="0090760E"/>
    <w:rsid w:val="00910E4B"/>
    <w:rsid w:val="00911969"/>
    <w:rsid w:val="00911D1B"/>
    <w:rsid w:val="00912ACA"/>
    <w:rsid w:val="009139C3"/>
    <w:rsid w:val="00914544"/>
    <w:rsid w:val="00914617"/>
    <w:rsid w:val="0091508E"/>
    <w:rsid w:val="009225E7"/>
    <w:rsid w:val="009235FB"/>
    <w:rsid w:val="0092367C"/>
    <w:rsid w:val="009243DE"/>
    <w:rsid w:val="00924F80"/>
    <w:rsid w:val="0092521F"/>
    <w:rsid w:val="00925EB8"/>
    <w:rsid w:val="00926395"/>
    <w:rsid w:val="00926838"/>
    <w:rsid w:val="00926BB5"/>
    <w:rsid w:val="00926F84"/>
    <w:rsid w:val="00931AF0"/>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7B74"/>
    <w:rsid w:val="00947F23"/>
    <w:rsid w:val="00951391"/>
    <w:rsid w:val="009517DD"/>
    <w:rsid w:val="0095467F"/>
    <w:rsid w:val="00955380"/>
    <w:rsid w:val="00955F63"/>
    <w:rsid w:val="009576BE"/>
    <w:rsid w:val="00960171"/>
    <w:rsid w:val="00961E05"/>
    <w:rsid w:val="00963942"/>
    <w:rsid w:val="009647FA"/>
    <w:rsid w:val="00966474"/>
    <w:rsid w:val="00966588"/>
    <w:rsid w:val="00966B10"/>
    <w:rsid w:val="00966C81"/>
    <w:rsid w:val="00966F57"/>
    <w:rsid w:val="00966FC0"/>
    <w:rsid w:val="00967449"/>
    <w:rsid w:val="00971C72"/>
    <w:rsid w:val="00972197"/>
    <w:rsid w:val="0097229E"/>
    <w:rsid w:val="009722A3"/>
    <w:rsid w:val="00972D2E"/>
    <w:rsid w:val="00975BAB"/>
    <w:rsid w:val="009760D8"/>
    <w:rsid w:val="009773FF"/>
    <w:rsid w:val="009775C7"/>
    <w:rsid w:val="00980834"/>
    <w:rsid w:val="00980A58"/>
    <w:rsid w:val="0098299A"/>
    <w:rsid w:val="00983DD9"/>
    <w:rsid w:val="00984A44"/>
    <w:rsid w:val="00985F35"/>
    <w:rsid w:val="00987C56"/>
    <w:rsid w:val="00990297"/>
    <w:rsid w:val="00990591"/>
    <w:rsid w:val="00991A60"/>
    <w:rsid w:val="0099224E"/>
    <w:rsid w:val="00993BD7"/>
    <w:rsid w:val="00995BC5"/>
    <w:rsid w:val="00996D61"/>
    <w:rsid w:val="009973D1"/>
    <w:rsid w:val="009A0AD1"/>
    <w:rsid w:val="009A10FB"/>
    <w:rsid w:val="009A1FF8"/>
    <w:rsid w:val="009A3260"/>
    <w:rsid w:val="009A33B2"/>
    <w:rsid w:val="009A6969"/>
    <w:rsid w:val="009A6E26"/>
    <w:rsid w:val="009A7BEE"/>
    <w:rsid w:val="009B0DB9"/>
    <w:rsid w:val="009B0E8E"/>
    <w:rsid w:val="009B0EB2"/>
    <w:rsid w:val="009B0EB3"/>
    <w:rsid w:val="009B1285"/>
    <w:rsid w:val="009B4BA8"/>
    <w:rsid w:val="009B5733"/>
    <w:rsid w:val="009B67C5"/>
    <w:rsid w:val="009C109B"/>
    <w:rsid w:val="009C12C0"/>
    <w:rsid w:val="009C17B4"/>
    <w:rsid w:val="009C1C81"/>
    <w:rsid w:val="009C1DF9"/>
    <w:rsid w:val="009C28B1"/>
    <w:rsid w:val="009C3E90"/>
    <w:rsid w:val="009C5049"/>
    <w:rsid w:val="009C55D9"/>
    <w:rsid w:val="009C6207"/>
    <w:rsid w:val="009C6355"/>
    <w:rsid w:val="009C6452"/>
    <w:rsid w:val="009C68F0"/>
    <w:rsid w:val="009C6B2A"/>
    <w:rsid w:val="009D0FDD"/>
    <w:rsid w:val="009D172E"/>
    <w:rsid w:val="009D1CD4"/>
    <w:rsid w:val="009D1F78"/>
    <w:rsid w:val="009D2CBD"/>
    <w:rsid w:val="009D2F06"/>
    <w:rsid w:val="009D4767"/>
    <w:rsid w:val="009D6790"/>
    <w:rsid w:val="009D7FA2"/>
    <w:rsid w:val="009E01FD"/>
    <w:rsid w:val="009E0B51"/>
    <w:rsid w:val="009E27EB"/>
    <w:rsid w:val="009E2B56"/>
    <w:rsid w:val="009E40D0"/>
    <w:rsid w:val="009E5A09"/>
    <w:rsid w:val="009E758A"/>
    <w:rsid w:val="009F0584"/>
    <w:rsid w:val="009F16F6"/>
    <w:rsid w:val="009F2286"/>
    <w:rsid w:val="009F303B"/>
    <w:rsid w:val="009F3A4C"/>
    <w:rsid w:val="009F3D88"/>
    <w:rsid w:val="009F5360"/>
    <w:rsid w:val="009F6332"/>
    <w:rsid w:val="00A0051F"/>
    <w:rsid w:val="00A00A07"/>
    <w:rsid w:val="00A02DD0"/>
    <w:rsid w:val="00A031E6"/>
    <w:rsid w:val="00A0341E"/>
    <w:rsid w:val="00A03C2C"/>
    <w:rsid w:val="00A0488E"/>
    <w:rsid w:val="00A10F73"/>
    <w:rsid w:val="00A130CD"/>
    <w:rsid w:val="00A13807"/>
    <w:rsid w:val="00A1390B"/>
    <w:rsid w:val="00A148EB"/>
    <w:rsid w:val="00A14A3F"/>
    <w:rsid w:val="00A1527A"/>
    <w:rsid w:val="00A16FBB"/>
    <w:rsid w:val="00A1796F"/>
    <w:rsid w:val="00A21717"/>
    <w:rsid w:val="00A2288B"/>
    <w:rsid w:val="00A22B03"/>
    <w:rsid w:val="00A24DEB"/>
    <w:rsid w:val="00A24F0A"/>
    <w:rsid w:val="00A27109"/>
    <w:rsid w:val="00A27290"/>
    <w:rsid w:val="00A27F45"/>
    <w:rsid w:val="00A27F4D"/>
    <w:rsid w:val="00A339F5"/>
    <w:rsid w:val="00A3415A"/>
    <w:rsid w:val="00A354F2"/>
    <w:rsid w:val="00A35C7F"/>
    <w:rsid w:val="00A36F59"/>
    <w:rsid w:val="00A370FB"/>
    <w:rsid w:val="00A3719C"/>
    <w:rsid w:val="00A373A2"/>
    <w:rsid w:val="00A37C23"/>
    <w:rsid w:val="00A41041"/>
    <w:rsid w:val="00A42875"/>
    <w:rsid w:val="00A47A93"/>
    <w:rsid w:val="00A50417"/>
    <w:rsid w:val="00A52A23"/>
    <w:rsid w:val="00A52CE9"/>
    <w:rsid w:val="00A52FBE"/>
    <w:rsid w:val="00A55CD4"/>
    <w:rsid w:val="00A56D01"/>
    <w:rsid w:val="00A57080"/>
    <w:rsid w:val="00A57BFE"/>
    <w:rsid w:val="00A635F6"/>
    <w:rsid w:val="00A643B3"/>
    <w:rsid w:val="00A67509"/>
    <w:rsid w:val="00A679F1"/>
    <w:rsid w:val="00A72C03"/>
    <w:rsid w:val="00A75BCB"/>
    <w:rsid w:val="00A75C01"/>
    <w:rsid w:val="00A76BF9"/>
    <w:rsid w:val="00A76E2F"/>
    <w:rsid w:val="00A77667"/>
    <w:rsid w:val="00A8078F"/>
    <w:rsid w:val="00A81093"/>
    <w:rsid w:val="00A81383"/>
    <w:rsid w:val="00A817DE"/>
    <w:rsid w:val="00A82B18"/>
    <w:rsid w:val="00A83E17"/>
    <w:rsid w:val="00A84915"/>
    <w:rsid w:val="00A860B7"/>
    <w:rsid w:val="00A87832"/>
    <w:rsid w:val="00A92F14"/>
    <w:rsid w:val="00A943DE"/>
    <w:rsid w:val="00A950BE"/>
    <w:rsid w:val="00A9627B"/>
    <w:rsid w:val="00A962D0"/>
    <w:rsid w:val="00A96BA8"/>
    <w:rsid w:val="00A96FF2"/>
    <w:rsid w:val="00AA0A33"/>
    <w:rsid w:val="00AA0F3E"/>
    <w:rsid w:val="00AA2435"/>
    <w:rsid w:val="00AA2591"/>
    <w:rsid w:val="00AA3023"/>
    <w:rsid w:val="00AA3302"/>
    <w:rsid w:val="00AA3626"/>
    <w:rsid w:val="00AA63DC"/>
    <w:rsid w:val="00AB1B73"/>
    <w:rsid w:val="00AB246C"/>
    <w:rsid w:val="00AB3379"/>
    <w:rsid w:val="00AB5D04"/>
    <w:rsid w:val="00AB5F0F"/>
    <w:rsid w:val="00AB6B68"/>
    <w:rsid w:val="00AB6DAC"/>
    <w:rsid w:val="00AB75F7"/>
    <w:rsid w:val="00AB7AC0"/>
    <w:rsid w:val="00AC0EFD"/>
    <w:rsid w:val="00AC3234"/>
    <w:rsid w:val="00AC5FC7"/>
    <w:rsid w:val="00AC6E75"/>
    <w:rsid w:val="00AC78A7"/>
    <w:rsid w:val="00AC7AED"/>
    <w:rsid w:val="00AC7C43"/>
    <w:rsid w:val="00AD03A4"/>
    <w:rsid w:val="00AD17A6"/>
    <w:rsid w:val="00AD202A"/>
    <w:rsid w:val="00AD34D4"/>
    <w:rsid w:val="00AD36AA"/>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207F"/>
    <w:rsid w:val="00AF2386"/>
    <w:rsid w:val="00AF2B4F"/>
    <w:rsid w:val="00AF3257"/>
    <w:rsid w:val="00AF34B0"/>
    <w:rsid w:val="00AF426F"/>
    <w:rsid w:val="00AF5CAD"/>
    <w:rsid w:val="00AF6283"/>
    <w:rsid w:val="00B01500"/>
    <w:rsid w:val="00B0164A"/>
    <w:rsid w:val="00B0213C"/>
    <w:rsid w:val="00B0263C"/>
    <w:rsid w:val="00B027A9"/>
    <w:rsid w:val="00B04D94"/>
    <w:rsid w:val="00B0701E"/>
    <w:rsid w:val="00B07E93"/>
    <w:rsid w:val="00B105AD"/>
    <w:rsid w:val="00B10D55"/>
    <w:rsid w:val="00B1463B"/>
    <w:rsid w:val="00B14D9B"/>
    <w:rsid w:val="00B14DE9"/>
    <w:rsid w:val="00B15EDE"/>
    <w:rsid w:val="00B17F8A"/>
    <w:rsid w:val="00B20BBF"/>
    <w:rsid w:val="00B2223B"/>
    <w:rsid w:val="00B223B9"/>
    <w:rsid w:val="00B22DF8"/>
    <w:rsid w:val="00B23136"/>
    <w:rsid w:val="00B23A48"/>
    <w:rsid w:val="00B24CBD"/>
    <w:rsid w:val="00B266D7"/>
    <w:rsid w:val="00B27039"/>
    <w:rsid w:val="00B278E8"/>
    <w:rsid w:val="00B30725"/>
    <w:rsid w:val="00B31C09"/>
    <w:rsid w:val="00B32C85"/>
    <w:rsid w:val="00B3467C"/>
    <w:rsid w:val="00B3683E"/>
    <w:rsid w:val="00B36A6E"/>
    <w:rsid w:val="00B373B1"/>
    <w:rsid w:val="00B44620"/>
    <w:rsid w:val="00B4519A"/>
    <w:rsid w:val="00B4527B"/>
    <w:rsid w:val="00B45BFA"/>
    <w:rsid w:val="00B4622E"/>
    <w:rsid w:val="00B46243"/>
    <w:rsid w:val="00B46B5F"/>
    <w:rsid w:val="00B50B31"/>
    <w:rsid w:val="00B51D81"/>
    <w:rsid w:val="00B5217C"/>
    <w:rsid w:val="00B5579B"/>
    <w:rsid w:val="00B55D6C"/>
    <w:rsid w:val="00B566E6"/>
    <w:rsid w:val="00B56E59"/>
    <w:rsid w:val="00B57332"/>
    <w:rsid w:val="00B57BEC"/>
    <w:rsid w:val="00B62952"/>
    <w:rsid w:val="00B62B61"/>
    <w:rsid w:val="00B62D23"/>
    <w:rsid w:val="00B63675"/>
    <w:rsid w:val="00B63A0E"/>
    <w:rsid w:val="00B645E3"/>
    <w:rsid w:val="00B64BF6"/>
    <w:rsid w:val="00B64EDA"/>
    <w:rsid w:val="00B64F79"/>
    <w:rsid w:val="00B658A6"/>
    <w:rsid w:val="00B67D2F"/>
    <w:rsid w:val="00B7150D"/>
    <w:rsid w:val="00B7217C"/>
    <w:rsid w:val="00B72B8E"/>
    <w:rsid w:val="00B73F34"/>
    <w:rsid w:val="00B73FBB"/>
    <w:rsid w:val="00B74FBA"/>
    <w:rsid w:val="00B7633E"/>
    <w:rsid w:val="00B773FF"/>
    <w:rsid w:val="00B77EA2"/>
    <w:rsid w:val="00B81686"/>
    <w:rsid w:val="00B83055"/>
    <w:rsid w:val="00B86876"/>
    <w:rsid w:val="00B874A3"/>
    <w:rsid w:val="00B87598"/>
    <w:rsid w:val="00B906AA"/>
    <w:rsid w:val="00B93265"/>
    <w:rsid w:val="00B94A1E"/>
    <w:rsid w:val="00B97BA8"/>
    <w:rsid w:val="00BA0156"/>
    <w:rsid w:val="00BA01EC"/>
    <w:rsid w:val="00BA0530"/>
    <w:rsid w:val="00BA120F"/>
    <w:rsid w:val="00BA17EA"/>
    <w:rsid w:val="00BA18DA"/>
    <w:rsid w:val="00BA2D49"/>
    <w:rsid w:val="00BA34B2"/>
    <w:rsid w:val="00BA4435"/>
    <w:rsid w:val="00BA49FE"/>
    <w:rsid w:val="00BA6566"/>
    <w:rsid w:val="00BA6F03"/>
    <w:rsid w:val="00BA7B3C"/>
    <w:rsid w:val="00BB068C"/>
    <w:rsid w:val="00BB0E95"/>
    <w:rsid w:val="00BB1386"/>
    <w:rsid w:val="00BB2842"/>
    <w:rsid w:val="00BB3B79"/>
    <w:rsid w:val="00BB56E2"/>
    <w:rsid w:val="00BB58AE"/>
    <w:rsid w:val="00BB6B94"/>
    <w:rsid w:val="00BB71E9"/>
    <w:rsid w:val="00BB75FC"/>
    <w:rsid w:val="00BC0C2B"/>
    <w:rsid w:val="00BC29F7"/>
    <w:rsid w:val="00BC2D15"/>
    <w:rsid w:val="00BC3351"/>
    <w:rsid w:val="00BC4460"/>
    <w:rsid w:val="00BC45CD"/>
    <w:rsid w:val="00BC48B1"/>
    <w:rsid w:val="00BC5A31"/>
    <w:rsid w:val="00BC6B8F"/>
    <w:rsid w:val="00BD050D"/>
    <w:rsid w:val="00BD094A"/>
    <w:rsid w:val="00BD0976"/>
    <w:rsid w:val="00BD0FA2"/>
    <w:rsid w:val="00BD1824"/>
    <w:rsid w:val="00BD265A"/>
    <w:rsid w:val="00BD3447"/>
    <w:rsid w:val="00BD4BAF"/>
    <w:rsid w:val="00BD50E5"/>
    <w:rsid w:val="00BD5285"/>
    <w:rsid w:val="00BD5D14"/>
    <w:rsid w:val="00BD61E5"/>
    <w:rsid w:val="00BD6611"/>
    <w:rsid w:val="00BD6B3D"/>
    <w:rsid w:val="00BE0B31"/>
    <w:rsid w:val="00BE1655"/>
    <w:rsid w:val="00BE165C"/>
    <w:rsid w:val="00BE2A55"/>
    <w:rsid w:val="00BE308C"/>
    <w:rsid w:val="00BE3AC1"/>
    <w:rsid w:val="00BE43D3"/>
    <w:rsid w:val="00BE540B"/>
    <w:rsid w:val="00BE57AC"/>
    <w:rsid w:val="00BE7C9B"/>
    <w:rsid w:val="00BF16FF"/>
    <w:rsid w:val="00BF274B"/>
    <w:rsid w:val="00BF2C19"/>
    <w:rsid w:val="00BF303C"/>
    <w:rsid w:val="00BF328C"/>
    <w:rsid w:val="00BF3A9D"/>
    <w:rsid w:val="00BF4C8F"/>
    <w:rsid w:val="00BF5CBB"/>
    <w:rsid w:val="00BF65D6"/>
    <w:rsid w:val="00BF774D"/>
    <w:rsid w:val="00C004F0"/>
    <w:rsid w:val="00C00B5E"/>
    <w:rsid w:val="00C017CB"/>
    <w:rsid w:val="00C01DCE"/>
    <w:rsid w:val="00C0338C"/>
    <w:rsid w:val="00C03D0A"/>
    <w:rsid w:val="00C05B97"/>
    <w:rsid w:val="00C062FD"/>
    <w:rsid w:val="00C07256"/>
    <w:rsid w:val="00C0752B"/>
    <w:rsid w:val="00C07B3D"/>
    <w:rsid w:val="00C1018E"/>
    <w:rsid w:val="00C10B0E"/>
    <w:rsid w:val="00C10DC6"/>
    <w:rsid w:val="00C11A4B"/>
    <w:rsid w:val="00C12ADD"/>
    <w:rsid w:val="00C12C7D"/>
    <w:rsid w:val="00C14D1F"/>
    <w:rsid w:val="00C15F53"/>
    <w:rsid w:val="00C16C86"/>
    <w:rsid w:val="00C17442"/>
    <w:rsid w:val="00C20DD3"/>
    <w:rsid w:val="00C21220"/>
    <w:rsid w:val="00C216CC"/>
    <w:rsid w:val="00C22377"/>
    <w:rsid w:val="00C22D7C"/>
    <w:rsid w:val="00C2328D"/>
    <w:rsid w:val="00C23367"/>
    <w:rsid w:val="00C23566"/>
    <w:rsid w:val="00C236BE"/>
    <w:rsid w:val="00C25F56"/>
    <w:rsid w:val="00C26681"/>
    <w:rsid w:val="00C269BA"/>
    <w:rsid w:val="00C31DDE"/>
    <w:rsid w:val="00C32CE6"/>
    <w:rsid w:val="00C34E59"/>
    <w:rsid w:val="00C362B1"/>
    <w:rsid w:val="00C36E56"/>
    <w:rsid w:val="00C40716"/>
    <w:rsid w:val="00C409D7"/>
    <w:rsid w:val="00C40B5E"/>
    <w:rsid w:val="00C40D2D"/>
    <w:rsid w:val="00C41D80"/>
    <w:rsid w:val="00C428C1"/>
    <w:rsid w:val="00C42D03"/>
    <w:rsid w:val="00C44C3F"/>
    <w:rsid w:val="00C46ACD"/>
    <w:rsid w:val="00C4711F"/>
    <w:rsid w:val="00C4777A"/>
    <w:rsid w:val="00C50E6D"/>
    <w:rsid w:val="00C51203"/>
    <w:rsid w:val="00C51C0F"/>
    <w:rsid w:val="00C51E10"/>
    <w:rsid w:val="00C52206"/>
    <w:rsid w:val="00C5236E"/>
    <w:rsid w:val="00C52DDE"/>
    <w:rsid w:val="00C54333"/>
    <w:rsid w:val="00C5538C"/>
    <w:rsid w:val="00C55508"/>
    <w:rsid w:val="00C5553B"/>
    <w:rsid w:val="00C55B2C"/>
    <w:rsid w:val="00C55BCD"/>
    <w:rsid w:val="00C56552"/>
    <w:rsid w:val="00C5786C"/>
    <w:rsid w:val="00C6018D"/>
    <w:rsid w:val="00C60C58"/>
    <w:rsid w:val="00C6327D"/>
    <w:rsid w:val="00C63444"/>
    <w:rsid w:val="00C63D7A"/>
    <w:rsid w:val="00C64106"/>
    <w:rsid w:val="00C64910"/>
    <w:rsid w:val="00C64F37"/>
    <w:rsid w:val="00C65285"/>
    <w:rsid w:val="00C65753"/>
    <w:rsid w:val="00C65A08"/>
    <w:rsid w:val="00C662FA"/>
    <w:rsid w:val="00C6667C"/>
    <w:rsid w:val="00C6713F"/>
    <w:rsid w:val="00C707EF"/>
    <w:rsid w:val="00C70AD4"/>
    <w:rsid w:val="00C725AD"/>
    <w:rsid w:val="00C736E6"/>
    <w:rsid w:val="00C73C6C"/>
    <w:rsid w:val="00C75CDD"/>
    <w:rsid w:val="00C7683A"/>
    <w:rsid w:val="00C8021D"/>
    <w:rsid w:val="00C807B6"/>
    <w:rsid w:val="00C80B6B"/>
    <w:rsid w:val="00C8119A"/>
    <w:rsid w:val="00C83D1D"/>
    <w:rsid w:val="00C843DC"/>
    <w:rsid w:val="00C854E1"/>
    <w:rsid w:val="00C86ED6"/>
    <w:rsid w:val="00C914FC"/>
    <w:rsid w:val="00C91AAE"/>
    <w:rsid w:val="00C92CD7"/>
    <w:rsid w:val="00C93694"/>
    <w:rsid w:val="00C93962"/>
    <w:rsid w:val="00C94219"/>
    <w:rsid w:val="00C9450A"/>
    <w:rsid w:val="00C94774"/>
    <w:rsid w:val="00C948B1"/>
    <w:rsid w:val="00C949EB"/>
    <w:rsid w:val="00C968F0"/>
    <w:rsid w:val="00CA012D"/>
    <w:rsid w:val="00CA1F02"/>
    <w:rsid w:val="00CA3B3D"/>
    <w:rsid w:val="00CA54B6"/>
    <w:rsid w:val="00CA5B05"/>
    <w:rsid w:val="00CA6C90"/>
    <w:rsid w:val="00CA6F2E"/>
    <w:rsid w:val="00CA7F28"/>
    <w:rsid w:val="00CB0501"/>
    <w:rsid w:val="00CB089E"/>
    <w:rsid w:val="00CB0A6C"/>
    <w:rsid w:val="00CB1F21"/>
    <w:rsid w:val="00CB25A6"/>
    <w:rsid w:val="00CB26FE"/>
    <w:rsid w:val="00CB52AF"/>
    <w:rsid w:val="00CB6B51"/>
    <w:rsid w:val="00CB6E01"/>
    <w:rsid w:val="00CB7AE4"/>
    <w:rsid w:val="00CC04BC"/>
    <w:rsid w:val="00CC06B8"/>
    <w:rsid w:val="00CC1227"/>
    <w:rsid w:val="00CC1BCD"/>
    <w:rsid w:val="00CC216D"/>
    <w:rsid w:val="00CC29C6"/>
    <w:rsid w:val="00CC2B6B"/>
    <w:rsid w:val="00CC55C8"/>
    <w:rsid w:val="00CC63B9"/>
    <w:rsid w:val="00CC6CDE"/>
    <w:rsid w:val="00CC771C"/>
    <w:rsid w:val="00CC7E24"/>
    <w:rsid w:val="00CD029F"/>
    <w:rsid w:val="00CD1A65"/>
    <w:rsid w:val="00CD2306"/>
    <w:rsid w:val="00CD3F12"/>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F26"/>
    <w:rsid w:val="00CF0530"/>
    <w:rsid w:val="00CF098F"/>
    <w:rsid w:val="00CF1119"/>
    <w:rsid w:val="00CF1E44"/>
    <w:rsid w:val="00CF358D"/>
    <w:rsid w:val="00CF5213"/>
    <w:rsid w:val="00CF7001"/>
    <w:rsid w:val="00CF7048"/>
    <w:rsid w:val="00CF74F3"/>
    <w:rsid w:val="00D00D4C"/>
    <w:rsid w:val="00D01773"/>
    <w:rsid w:val="00D01B6A"/>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781"/>
    <w:rsid w:val="00D173FD"/>
    <w:rsid w:val="00D1798E"/>
    <w:rsid w:val="00D203D3"/>
    <w:rsid w:val="00D21686"/>
    <w:rsid w:val="00D22E5B"/>
    <w:rsid w:val="00D231AA"/>
    <w:rsid w:val="00D242CA"/>
    <w:rsid w:val="00D24501"/>
    <w:rsid w:val="00D274CF"/>
    <w:rsid w:val="00D27F9C"/>
    <w:rsid w:val="00D307C6"/>
    <w:rsid w:val="00D3158F"/>
    <w:rsid w:val="00D33228"/>
    <w:rsid w:val="00D34B7B"/>
    <w:rsid w:val="00D34F29"/>
    <w:rsid w:val="00D35801"/>
    <w:rsid w:val="00D41FFC"/>
    <w:rsid w:val="00D430CB"/>
    <w:rsid w:val="00D43B6E"/>
    <w:rsid w:val="00D45FEB"/>
    <w:rsid w:val="00D463A0"/>
    <w:rsid w:val="00D5240F"/>
    <w:rsid w:val="00D5747F"/>
    <w:rsid w:val="00D60E8B"/>
    <w:rsid w:val="00D62AE4"/>
    <w:rsid w:val="00D63BF5"/>
    <w:rsid w:val="00D65113"/>
    <w:rsid w:val="00D6547D"/>
    <w:rsid w:val="00D65CC4"/>
    <w:rsid w:val="00D6728D"/>
    <w:rsid w:val="00D701D2"/>
    <w:rsid w:val="00D70E42"/>
    <w:rsid w:val="00D7337C"/>
    <w:rsid w:val="00D733E9"/>
    <w:rsid w:val="00D74BE2"/>
    <w:rsid w:val="00D7575D"/>
    <w:rsid w:val="00D7577A"/>
    <w:rsid w:val="00D76783"/>
    <w:rsid w:val="00D82F5E"/>
    <w:rsid w:val="00D83BD3"/>
    <w:rsid w:val="00D83F66"/>
    <w:rsid w:val="00D847C4"/>
    <w:rsid w:val="00D8483D"/>
    <w:rsid w:val="00D85EAE"/>
    <w:rsid w:val="00D863C2"/>
    <w:rsid w:val="00D90FF4"/>
    <w:rsid w:val="00D93122"/>
    <w:rsid w:val="00D94101"/>
    <w:rsid w:val="00D95151"/>
    <w:rsid w:val="00D97E81"/>
    <w:rsid w:val="00DA0153"/>
    <w:rsid w:val="00DA0331"/>
    <w:rsid w:val="00DA5026"/>
    <w:rsid w:val="00DA509F"/>
    <w:rsid w:val="00DA7469"/>
    <w:rsid w:val="00DA7D3D"/>
    <w:rsid w:val="00DB08C0"/>
    <w:rsid w:val="00DB0A6C"/>
    <w:rsid w:val="00DB0E0E"/>
    <w:rsid w:val="00DB2869"/>
    <w:rsid w:val="00DB301E"/>
    <w:rsid w:val="00DB4568"/>
    <w:rsid w:val="00DB5488"/>
    <w:rsid w:val="00DB64DC"/>
    <w:rsid w:val="00DB6710"/>
    <w:rsid w:val="00DB6949"/>
    <w:rsid w:val="00DB707C"/>
    <w:rsid w:val="00DC35E5"/>
    <w:rsid w:val="00DC3C34"/>
    <w:rsid w:val="00DC3F6F"/>
    <w:rsid w:val="00DC6CA9"/>
    <w:rsid w:val="00DC78A5"/>
    <w:rsid w:val="00DD0029"/>
    <w:rsid w:val="00DD0489"/>
    <w:rsid w:val="00DD07FD"/>
    <w:rsid w:val="00DD0ACB"/>
    <w:rsid w:val="00DD0EA5"/>
    <w:rsid w:val="00DD1DA9"/>
    <w:rsid w:val="00DD1DCF"/>
    <w:rsid w:val="00DD2250"/>
    <w:rsid w:val="00DD233F"/>
    <w:rsid w:val="00DD3BEB"/>
    <w:rsid w:val="00DD4985"/>
    <w:rsid w:val="00DD4EF5"/>
    <w:rsid w:val="00DD68D1"/>
    <w:rsid w:val="00DE2318"/>
    <w:rsid w:val="00DE37B3"/>
    <w:rsid w:val="00DE4F77"/>
    <w:rsid w:val="00DE69DD"/>
    <w:rsid w:val="00DE6A65"/>
    <w:rsid w:val="00DF1108"/>
    <w:rsid w:val="00DF1E8A"/>
    <w:rsid w:val="00DF20AA"/>
    <w:rsid w:val="00DF279F"/>
    <w:rsid w:val="00DF3335"/>
    <w:rsid w:val="00DF5529"/>
    <w:rsid w:val="00DF55B2"/>
    <w:rsid w:val="00DF5AC8"/>
    <w:rsid w:val="00DF5C77"/>
    <w:rsid w:val="00DF5D71"/>
    <w:rsid w:val="00DF6BA9"/>
    <w:rsid w:val="00DF7CB8"/>
    <w:rsid w:val="00DF7DCA"/>
    <w:rsid w:val="00E02CD1"/>
    <w:rsid w:val="00E02DCE"/>
    <w:rsid w:val="00E034F1"/>
    <w:rsid w:val="00E03641"/>
    <w:rsid w:val="00E0439A"/>
    <w:rsid w:val="00E04CE3"/>
    <w:rsid w:val="00E05014"/>
    <w:rsid w:val="00E054D8"/>
    <w:rsid w:val="00E060DE"/>
    <w:rsid w:val="00E078C5"/>
    <w:rsid w:val="00E104A8"/>
    <w:rsid w:val="00E10EF1"/>
    <w:rsid w:val="00E147DB"/>
    <w:rsid w:val="00E172F7"/>
    <w:rsid w:val="00E1747D"/>
    <w:rsid w:val="00E17ED9"/>
    <w:rsid w:val="00E20737"/>
    <w:rsid w:val="00E22C54"/>
    <w:rsid w:val="00E2622B"/>
    <w:rsid w:val="00E26E5A"/>
    <w:rsid w:val="00E2712A"/>
    <w:rsid w:val="00E27937"/>
    <w:rsid w:val="00E3143B"/>
    <w:rsid w:val="00E32941"/>
    <w:rsid w:val="00E332F6"/>
    <w:rsid w:val="00E33738"/>
    <w:rsid w:val="00E35091"/>
    <w:rsid w:val="00E3529D"/>
    <w:rsid w:val="00E36103"/>
    <w:rsid w:val="00E361D9"/>
    <w:rsid w:val="00E369CA"/>
    <w:rsid w:val="00E3736A"/>
    <w:rsid w:val="00E37E5D"/>
    <w:rsid w:val="00E41290"/>
    <w:rsid w:val="00E4193E"/>
    <w:rsid w:val="00E42118"/>
    <w:rsid w:val="00E4232C"/>
    <w:rsid w:val="00E423A8"/>
    <w:rsid w:val="00E4294C"/>
    <w:rsid w:val="00E42E09"/>
    <w:rsid w:val="00E42E37"/>
    <w:rsid w:val="00E43439"/>
    <w:rsid w:val="00E44025"/>
    <w:rsid w:val="00E46085"/>
    <w:rsid w:val="00E46107"/>
    <w:rsid w:val="00E4629B"/>
    <w:rsid w:val="00E51B87"/>
    <w:rsid w:val="00E52355"/>
    <w:rsid w:val="00E52F45"/>
    <w:rsid w:val="00E53AC8"/>
    <w:rsid w:val="00E54077"/>
    <w:rsid w:val="00E54542"/>
    <w:rsid w:val="00E557AC"/>
    <w:rsid w:val="00E56EC1"/>
    <w:rsid w:val="00E607EC"/>
    <w:rsid w:val="00E60934"/>
    <w:rsid w:val="00E63C00"/>
    <w:rsid w:val="00E65581"/>
    <w:rsid w:val="00E6776D"/>
    <w:rsid w:val="00E70958"/>
    <w:rsid w:val="00E712C4"/>
    <w:rsid w:val="00E71B57"/>
    <w:rsid w:val="00E73AC1"/>
    <w:rsid w:val="00E74183"/>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90E"/>
    <w:rsid w:val="00E9506C"/>
    <w:rsid w:val="00E956C2"/>
    <w:rsid w:val="00E9590B"/>
    <w:rsid w:val="00E96B31"/>
    <w:rsid w:val="00E96E4D"/>
    <w:rsid w:val="00EA0871"/>
    <w:rsid w:val="00EA10BF"/>
    <w:rsid w:val="00EA12D0"/>
    <w:rsid w:val="00EA1534"/>
    <w:rsid w:val="00EA22D8"/>
    <w:rsid w:val="00EA5149"/>
    <w:rsid w:val="00EA724E"/>
    <w:rsid w:val="00EB07F5"/>
    <w:rsid w:val="00EB0B86"/>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1644"/>
    <w:rsid w:val="00ED300B"/>
    <w:rsid w:val="00ED3116"/>
    <w:rsid w:val="00ED3D8A"/>
    <w:rsid w:val="00ED423F"/>
    <w:rsid w:val="00ED58ED"/>
    <w:rsid w:val="00ED5C89"/>
    <w:rsid w:val="00ED6024"/>
    <w:rsid w:val="00ED687B"/>
    <w:rsid w:val="00ED6A6E"/>
    <w:rsid w:val="00EE0B22"/>
    <w:rsid w:val="00EE12F6"/>
    <w:rsid w:val="00EE1640"/>
    <w:rsid w:val="00EE195F"/>
    <w:rsid w:val="00EE1AC4"/>
    <w:rsid w:val="00EE1EA9"/>
    <w:rsid w:val="00EE21E9"/>
    <w:rsid w:val="00EE2746"/>
    <w:rsid w:val="00EE2E35"/>
    <w:rsid w:val="00EE3900"/>
    <w:rsid w:val="00EE4294"/>
    <w:rsid w:val="00EE42BF"/>
    <w:rsid w:val="00EE4613"/>
    <w:rsid w:val="00EE4813"/>
    <w:rsid w:val="00EE4FC6"/>
    <w:rsid w:val="00EE5E3B"/>
    <w:rsid w:val="00EF00EC"/>
    <w:rsid w:val="00EF0976"/>
    <w:rsid w:val="00EF2085"/>
    <w:rsid w:val="00EF3B62"/>
    <w:rsid w:val="00EF4FC8"/>
    <w:rsid w:val="00EF5C09"/>
    <w:rsid w:val="00EF5CC2"/>
    <w:rsid w:val="00EF6F01"/>
    <w:rsid w:val="00F00047"/>
    <w:rsid w:val="00F003F6"/>
    <w:rsid w:val="00F01262"/>
    <w:rsid w:val="00F01467"/>
    <w:rsid w:val="00F01C6A"/>
    <w:rsid w:val="00F04ABF"/>
    <w:rsid w:val="00F04E1C"/>
    <w:rsid w:val="00F06D30"/>
    <w:rsid w:val="00F06FFD"/>
    <w:rsid w:val="00F11FB9"/>
    <w:rsid w:val="00F1300E"/>
    <w:rsid w:val="00F139A3"/>
    <w:rsid w:val="00F144A1"/>
    <w:rsid w:val="00F151DF"/>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58B9"/>
    <w:rsid w:val="00F37B02"/>
    <w:rsid w:val="00F400E2"/>
    <w:rsid w:val="00F40918"/>
    <w:rsid w:val="00F409F5"/>
    <w:rsid w:val="00F41B35"/>
    <w:rsid w:val="00F42412"/>
    <w:rsid w:val="00F43BE6"/>
    <w:rsid w:val="00F43E9B"/>
    <w:rsid w:val="00F4496E"/>
    <w:rsid w:val="00F45321"/>
    <w:rsid w:val="00F4532A"/>
    <w:rsid w:val="00F4555E"/>
    <w:rsid w:val="00F456FE"/>
    <w:rsid w:val="00F45E6C"/>
    <w:rsid w:val="00F46C9B"/>
    <w:rsid w:val="00F46FCF"/>
    <w:rsid w:val="00F47257"/>
    <w:rsid w:val="00F47952"/>
    <w:rsid w:val="00F47BB1"/>
    <w:rsid w:val="00F5016E"/>
    <w:rsid w:val="00F514D0"/>
    <w:rsid w:val="00F52174"/>
    <w:rsid w:val="00F5297A"/>
    <w:rsid w:val="00F52CEC"/>
    <w:rsid w:val="00F52EB7"/>
    <w:rsid w:val="00F54EB2"/>
    <w:rsid w:val="00F56256"/>
    <w:rsid w:val="00F57641"/>
    <w:rsid w:val="00F57882"/>
    <w:rsid w:val="00F60BF1"/>
    <w:rsid w:val="00F6120A"/>
    <w:rsid w:val="00F617A0"/>
    <w:rsid w:val="00F61E32"/>
    <w:rsid w:val="00F637CB"/>
    <w:rsid w:val="00F63A44"/>
    <w:rsid w:val="00F6607A"/>
    <w:rsid w:val="00F668C7"/>
    <w:rsid w:val="00F66F62"/>
    <w:rsid w:val="00F67965"/>
    <w:rsid w:val="00F7294B"/>
    <w:rsid w:val="00F74892"/>
    <w:rsid w:val="00F74A9E"/>
    <w:rsid w:val="00F7519D"/>
    <w:rsid w:val="00F7641D"/>
    <w:rsid w:val="00F76A25"/>
    <w:rsid w:val="00F76D9B"/>
    <w:rsid w:val="00F80B4C"/>
    <w:rsid w:val="00F80FF6"/>
    <w:rsid w:val="00F8418D"/>
    <w:rsid w:val="00F848A5"/>
    <w:rsid w:val="00F85D5F"/>
    <w:rsid w:val="00F85F00"/>
    <w:rsid w:val="00F86385"/>
    <w:rsid w:val="00F86691"/>
    <w:rsid w:val="00F87670"/>
    <w:rsid w:val="00F90CF4"/>
    <w:rsid w:val="00F91105"/>
    <w:rsid w:val="00F92EA1"/>
    <w:rsid w:val="00F939B7"/>
    <w:rsid w:val="00F94661"/>
    <w:rsid w:val="00F9505F"/>
    <w:rsid w:val="00F962FF"/>
    <w:rsid w:val="00F96CB9"/>
    <w:rsid w:val="00F96E34"/>
    <w:rsid w:val="00FA093D"/>
    <w:rsid w:val="00FA1491"/>
    <w:rsid w:val="00FA22CD"/>
    <w:rsid w:val="00FA29D5"/>
    <w:rsid w:val="00FA3672"/>
    <w:rsid w:val="00FA4134"/>
    <w:rsid w:val="00FA4290"/>
    <w:rsid w:val="00FA42D7"/>
    <w:rsid w:val="00FA5143"/>
    <w:rsid w:val="00FA6A03"/>
    <w:rsid w:val="00FA7423"/>
    <w:rsid w:val="00FA7797"/>
    <w:rsid w:val="00FA7E08"/>
    <w:rsid w:val="00FB0C7B"/>
    <w:rsid w:val="00FB0D7F"/>
    <w:rsid w:val="00FB1380"/>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D00D4"/>
    <w:rsid w:val="00FD1025"/>
    <w:rsid w:val="00FD1570"/>
    <w:rsid w:val="00FD2477"/>
    <w:rsid w:val="00FD309A"/>
    <w:rsid w:val="00FD43FD"/>
    <w:rsid w:val="00FD4F62"/>
    <w:rsid w:val="00FD5488"/>
    <w:rsid w:val="00FD5B44"/>
    <w:rsid w:val="00FD7ACD"/>
    <w:rsid w:val="00FD7BB7"/>
    <w:rsid w:val="00FE2CFD"/>
    <w:rsid w:val="00FE3862"/>
    <w:rsid w:val="00FE41DF"/>
    <w:rsid w:val="00FE4E26"/>
    <w:rsid w:val="00FE7709"/>
    <w:rsid w:val="00FF08C2"/>
    <w:rsid w:val="00FF13E8"/>
    <w:rsid w:val="00FF2050"/>
    <w:rsid w:val="00FF2326"/>
    <w:rsid w:val="00FF3435"/>
    <w:rsid w:val="00FF3D0A"/>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DD1DA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1B9"/>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DD1DA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2017-04-03T07:00:00+00:00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B0612DC-B633-4E45-90AB-863248CC2DD4}">
  <ds:schemaRefs>
    <ds:schemaRef ds:uri="http://schemas.openxmlformats.org/officeDocument/2006/bibliography"/>
  </ds:schemaRefs>
</ds:datastoreItem>
</file>

<file path=customXml/itemProps2.xml><?xml version="1.0" encoding="utf-8"?>
<ds:datastoreItem xmlns:ds="http://schemas.openxmlformats.org/officeDocument/2006/customXml" ds:itemID="{9596BAFD-B0AD-4F42-B7E1-A3E92798B47C}"/>
</file>

<file path=customXml/itemProps3.xml><?xml version="1.0" encoding="utf-8"?>
<ds:datastoreItem xmlns:ds="http://schemas.openxmlformats.org/officeDocument/2006/customXml" ds:itemID="{BF9356BE-F203-4A8B-BA0A-D13258CAD311}"/>
</file>

<file path=customXml/itemProps4.xml><?xml version="1.0" encoding="utf-8"?>
<ds:datastoreItem xmlns:ds="http://schemas.openxmlformats.org/officeDocument/2006/customXml" ds:itemID="{8A0CE67B-98B3-4E66-BA78-256AAECEAC70}"/>
</file>

<file path=customXml/itemProps5.xml><?xml version="1.0" encoding="utf-8"?>
<ds:datastoreItem xmlns:ds="http://schemas.openxmlformats.org/officeDocument/2006/customXml" ds:itemID="{F4C06EBE-5476-4E58-B462-50BD6ADC2271}"/>
</file>

<file path=docProps/app.xml><?xml version="1.0" encoding="utf-8"?>
<Properties xmlns="http://schemas.openxmlformats.org/officeDocument/2006/extended-properties" xmlns:vt="http://schemas.openxmlformats.org/officeDocument/2006/docPropsVTypes">
  <Template>Normal.dotm</Template>
  <TotalTime>428</TotalTime>
  <Pages>1</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26927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15</cp:revision>
  <cp:lastPrinted>2017-04-03T17:41:00Z</cp:lastPrinted>
  <dcterms:created xsi:type="dcterms:W3CDTF">2017-03-30T15:43:00Z</dcterms:created>
  <dcterms:modified xsi:type="dcterms:W3CDTF">2017-04-03T17:41:00Z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