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39" w:rsidRDefault="00265339" w:rsidP="00265339">
      <w:pPr>
        <w:pStyle w:val="Header"/>
        <w:tabs>
          <w:tab w:val="clear" w:pos="4320"/>
          <w:tab w:val="clear" w:pos="8640"/>
          <w:tab w:val="center" w:pos="4680"/>
        </w:tabs>
        <w:spacing w:line="480" w:lineRule="auto"/>
        <w:jc w:val="center"/>
        <w:rPr>
          <w:b/>
          <w:bCs/>
          <w:sz w:val="24"/>
        </w:rPr>
      </w:pPr>
      <w:r>
        <w:rPr>
          <w:b/>
          <w:bCs/>
          <w:sz w:val="24"/>
        </w:rPr>
        <w:t>BEFORE THE</w:t>
      </w:r>
    </w:p>
    <w:p w:rsidR="00265339" w:rsidRDefault="00265339" w:rsidP="00265339">
      <w:pPr>
        <w:pStyle w:val="Heading1"/>
      </w:pPr>
      <w:r>
        <w:t>WASHINGTON UTILITIES AND TRANSPORTATION COMMISSION</w:t>
      </w: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265339" w:rsidTr="0000085A">
        <w:trPr>
          <w:trHeight w:val="2268"/>
        </w:trPr>
        <w:tc>
          <w:tcPr>
            <w:tcW w:w="4328" w:type="dxa"/>
            <w:tcBorders>
              <w:bottom w:val="single" w:sz="4" w:space="0" w:color="auto"/>
            </w:tcBorders>
          </w:tcPr>
          <w:p w:rsidR="00265339" w:rsidRDefault="00265339" w:rsidP="0000085A">
            <w:pPr>
              <w:pStyle w:val="Footer"/>
              <w:widowControl/>
              <w:tabs>
                <w:tab w:val="clear" w:pos="4320"/>
                <w:tab w:val="clear" w:pos="8640"/>
              </w:tabs>
              <w:rPr>
                <w:snapToGrid/>
              </w:rPr>
            </w:pPr>
            <w:r>
              <w:rPr>
                <w:snapToGrid/>
              </w:rPr>
              <w:t>WASHINGTON UTILITIES AND TRANSPORTATION COMMISSION,</w:t>
            </w:r>
          </w:p>
          <w:p w:rsidR="00265339" w:rsidRDefault="00265339" w:rsidP="0000085A">
            <w:pPr>
              <w:pStyle w:val="Footer"/>
              <w:widowControl/>
              <w:tabs>
                <w:tab w:val="clear" w:pos="4320"/>
                <w:tab w:val="clear" w:pos="8640"/>
              </w:tabs>
              <w:rPr>
                <w:snapToGrid/>
              </w:rPr>
            </w:pPr>
          </w:p>
          <w:p w:rsidR="00265339" w:rsidRDefault="00265339" w:rsidP="0000085A">
            <w:pPr>
              <w:pStyle w:val="Footer"/>
              <w:widowControl/>
              <w:tabs>
                <w:tab w:val="clear" w:pos="4320"/>
                <w:tab w:val="clear" w:pos="8640"/>
              </w:tabs>
              <w:ind w:firstLine="2070"/>
              <w:rPr>
                <w:snapToGrid/>
              </w:rPr>
            </w:pPr>
            <w:r>
              <w:rPr>
                <w:snapToGrid/>
              </w:rPr>
              <w:t>Complainant,</w:t>
            </w:r>
          </w:p>
          <w:p w:rsidR="00265339" w:rsidRDefault="00265339" w:rsidP="0000085A">
            <w:pPr>
              <w:pStyle w:val="Footer"/>
              <w:widowControl/>
              <w:tabs>
                <w:tab w:val="clear" w:pos="4320"/>
                <w:tab w:val="clear" w:pos="8640"/>
              </w:tabs>
              <w:ind w:firstLine="2070"/>
              <w:rPr>
                <w:snapToGrid/>
              </w:rPr>
            </w:pPr>
          </w:p>
          <w:p w:rsidR="00265339" w:rsidRDefault="00265339" w:rsidP="0000085A">
            <w:pPr>
              <w:pStyle w:val="Footer"/>
              <w:widowControl/>
              <w:tabs>
                <w:tab w:val="clear" w:pos="4320"/>
                <w:tab w:val="clear" w:pos="8640"/>
              </w:tabs>
              <w:rPr>
                <w:snapToGrid/>
              </w:rPr>
            </w:pPr>
            <w:proofErr w:type="gramStart"/>
            <w:r>
              <w:rPr>
                <w:snapToGrid/>
              </w:rPr>
              <w:t>v</w:t>
            </w:r>
            <w:proofErr w:type="gramEnd"/>
            <w:r>
              <w:rPr>
                <w:snapToGrid/>
              </w:rPr>
              <w:t>.</w:t>
            </w:r>
          </w:p>
          <w:p w:rsidR="00265339" w:rsidRDefault="00265339" w:rsidP="0000085A">
            <w:pPr>
              <w:pStyle w:val="Footer"/>
              <w:widowControl/>
              <w:tabs>
                <w:tab w:val="clear" w:pos="4320"/>
                <w:tab w:val="clear" w:pos="8640"/>
              </w:tabs>
              <w:rPr>
                <w:snapToGrid/>
              </w:rPr>
            </w:pPr>
          </w:p>
          <w:p w:rsidR="00265339" w:rsidRDefault="00265339" w:rsidP="0000085A">
            <w:pPr>
              <w:pStyle w:val="Footer"/>
              <w:widowControl/>
              <w:tabs>
                <w:tab w:val="clear" w:pos="4320"/>
                <w:tab w:val="clear" w:pos="8640"/>
              </w:tabs>
              <w:rPr>
                <w:snapToGrid/>
              </w:rPr>
            </w:pPr>
            <w:r>
              <w:rPr>
                <w:snapToGrid/>
              </w:rPr>
              <w:t>PACIFIC POWER &amp; LIGHT COMPANY,</w:t>
            </w:r>
          </w:p>
          <w:p w:rsidR="00265339" w:rsidRDefault="00265339" w:rsidP="0000085A">
            <w:pPr>
              <w:pStyle w:val="Footer"/>
              <w:widowControl/>
              <w:tabs>
                <w:tab w:val="clear" w:pos="4320"/>
                <w:tab w:val="clear" w:pos="8640"/>
              </w:tabs>
              <w:rPr>
                <w:snapToGrid/>
              </w:rPr>
            </w:pPr>
          </w:p>
          <w:p w:rsidR="00265339" w:rsidRDefault="00265339" w:rsidP="0000085A">
            <w:pPr>
              <w:pStyle w:val="Footer"/>
              <w:widowControl/>
              <w:tabs>
                <w:tab w:val="clear" w:pos="4320"/>
                <w:tab w:val="clear" w:pos="8640"/>
              </w:tabs>
              <w:ind w:firstLine="2070"/>
              <w:rPr>
                <w:snapToGrid/>
              </w:rPr>
            </w:pPr>
            <w:r>
              <w:rPr>
                <w:snapToGrid/>
              </w:rPr>
              <w:t>Respondent.</w:t>
            </w:r>
          </w:p>
          <w:p w:rsidR="00265339" w:rsidRDefault="00265339" w:rsidP="0000085A">
            <w:pPr>
              <w:pStyle w:val="Footer"/>
              <w:widowControl/>
              <w:tabs>
                <w:tab w:val="clear" w:pos="4320"/>
                <w:tab w:val="clear" w:pos="8640"/>
              </w:tabs>
              <w:ind w:firstLine="2070"/>
              <w:rPr>
                <w:snapToGrid/>
              </w:rPr>
            </w:pPr>
          </w:p>
        </w:tc>
        <w:tc>
          <w:tcPr>
            <w:tcW w:w="270" w:type="dxa"/>
          </w:tcPr>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p w:rsidR="00265339" w:rsidRDefault="00265339" w:rsidP="0000085A">
            <w:pPr>
              <w:pStyle w:val="SingleSpacing"/>
              <w:spacing w:line="240" w:lineRule="auto"/>
            </w:pPr>
            <w:r>
              <w:t>)</w:t>
            </w:r>
          </w:p>
        </w:tc>
        <w:tc>
          <w:tcPr>
            <w:tcW w:w="4050" w:type="dxa"/>
          </w:tcPr>
          <w:p w:rsidR="00265339" w:rsidRDefault="00265339" w:rsidP="0000085A">
            <w:pPr>
              <w:pStyle w:val="SingleSpacing"/>
              <w:spacing w:line="240" w:lineRule="auto"/>
            </w:pPr>
          </w:p>
          <w:p w:rsidR="00265339" w:rsidRDefault="00265339" w:rsidP="0000085A">
            <w:pPr>
              <w:pStyle w:val="SingleSpacing"/>
              <w:spacing w:line="240" w:lineRule="auto"/>
            </w:pPr>
          </w:p>
          <w:p w:rsidR="00265339" w:rsidRDefault="00265339" w:rsidP="0000085A">
            <w:pPr>
              <w:pStyle w:val="SingleSpacing"/>
              <w:spacing w:line="240" w:lineRule="auto"/>
            </w:pPr>
            <w:r>
              <w:t>DOCKET NO. UE-144160</w:t>
            </w:r>
          </w:p>
          <w:p w:rsidR="00265339" w:rsidRDefault="00265339" w:rsidP="0000085A">
            <w:pPr>
              <w:pStyle w:val="SingleSpacing"/>
              <w:spacing w:line="240" w:lineRule="auto"/>
            </w:pPr>
          </w:p>
          <w:p w:rsidR="00265339" w:rsidRDefault="00265339" w:rsidP="0000085A">
            <w:pPr>
              <w:pStyle w:val="SingleSpacing"/>
              <w:spacing w:line="240" w:lineRule="auto"/>
            </w:pPr>
          </w:p>
          <w:p w:rsidR="00265339" w:rsidRDefault="00265339" w:rsidP="0000085A">
            <w:pPr>
              <w:pStyle w:val="BodyText2"/>
            </w:pPr>
            <w:r>
              <w:t>OPENING BRIEF OF BOISE WHITE PAPER, L.L.C.</w:t>
            </w:r>
          </w:p>
        </w:tc>
      </w:tr>
    </w:tbl>
    <w:p w:rsidR="007F42ED" w:rsidRDefault="00AF21E8"/>
    <w:p w:rsidR="00265339" w:rsidRDefault="00265339" w:rsidP="00265339">
      <w:pPr>
        <w:jc w:val="center"/>
      </w:pPr>
      <w:r>
        <w:rPr>
          <w:b/>
        </w:rPr>
        <w:t>I.</w:t>
      </w:r>
      <w:r>
        <w:rPr>
          <w:b/>
        </w:rPr>
        <w:tab/>
        <w:t>INTRODUCTION</w:t>
      </w:r>
    </w:p>
    <w:p w:rsidR="00265339" w:rsidRDefault="00265339" w:rsidP="00265339">
      <w:pPr>
        <w:jc w:val="center"/>
      </w:pPr>
    </w:p>
    <w:p w:rsidR="002602B9" w:rsidRDefault="00B02EA1" w:rsidP="00B02EA1">
      <w:pPr>
        <w:pStyle w:val="WUTCParagraph"/>
      </w:pPr>
      <w:r>
        <w:tab/>
      </w:r>
      <w:r w:rsidR="00265339">
        <w:t xml:space="preserve">Pursuant to the Washington Utilities and Transportation Commission’s (“Commission”) </w:t>
      </w:r>
      <w:r w:rsidR="00603890">
        <w:t>Order 02</w:t>
      </w:r>
      <w:r w:rsidR="00265339">
        <w:t xml:space="preserve"> in the above-referenced docket, Boise White Paper, L.L.C. (“Boise”) files this Opening Brief.  Boise recommends that the Commission </w:t>
      </w:r>
      <w:r w:rsidR="002602B9">
        <w:t xml:space="preserve">reject the Commission Staff’s proposal to assign a capacity benefit to Washington qualifying facilities (“QFs”) based on their ability to impact the size and timing of </w:t>
      </w:r>
      <w:r w:rsidR="002602B9">
        <w:t>Pacific Power &amp; Light Company’s (“Pacific Power” or the “Company”)</w:t>
      </w:r>
      <w:r w:rsidR="002602B9">
        <w:t xml:space="preserve"> next thermal resource acquisition.</w:t>
      </w:r>
      <w:r w:rsidR="002602B9" w:rsidRPr="002602B9">
        <w:t xml:space="preserve"> </w:t>
      </w:r>
      <w:r w:rsidR="002602B9">
        <w:t xml:space="preserve"> </w:t>
      </w:r>
      <w:r w:rsidR="002602B9">
        <w:t>Doing so will further the Public Utility Regulatory Policies Act’s (“PURPA”) dual policy goals of encouraging the development of cogeneration and small power production facilities while ensuring that the Company’s ratepayers remain indifferent to QF power.</w:t>
      </w:r>
    </w:p>
    <w:p w:rsidR="00265339" w:rsidRDefault="00FA2C32" w:rsidP="00FA2C32">
      <w:pPr>
        <w:spacing w:line="480" w:lineRule="auto"/>
        <w:jc w:val="center"/>
      </w:pPr>
      <w:r>
        <w:rPr>
          <w:b/>
        </w:rPr>
        <w:t>II.</w:t>
      </w:r>
      <w:r>
        <w:rPr>
          <w:b/>
        </w:rPr>
        <w:tab/>
        <w:t>BACKGROUND</w:t>
      </w:r>
    </w:p>
    <w:p w:rsidR="00FA2C32" w:rsidRPr="0015720A" w:rsidRDefault="00B02EA1" w:rsidP="00B02EA1">
      <w:pPr>
        <w:pStyle w:val="WUTCParagraph"/>
      </w:pPr>
      <w:r>
        <w:tab/>
      </w:r>
      <w:r w:rsidR="00FA2C32">
        <w:t xml:space="preserve">On December 29, 2014, </w:t>
      </w:r>
      <w:r w:rsidR="00627650">
        <w:t>Pacific Power</w:t>
      </w:r>
      <w:r w:rsidR="00FA2C32">
        <w:t xml:space="preserve"> filed updates to its Schedule 37, which governs the payments it makes to QFs</w:t>
      </w:r>
      <w:proofErr w:type="gramStart"/>
      <w:r w:rsidR="00FA2C32">
        <w:t>.</w:t>
      </w:r>
      <w:proofErr w:type="gramEnd"/>
      <w:r w:rsidR="0015720A" w:rsidRPr="0015720A">
        <w:rPr>
          <w:rStyle w:val="FootnoteReference"/>
          <w:u w:val="single"/>
        </w:rPr>
        <w:footnoteReference w:id="1"/>
      </w:r>
      <w:r w:rsidR="0015720A">
        <w:rPr>
          <w:vertAlign w:val="superscript"/>
        </w:rPr>
        <w:t>/</w:t>
      </w:r>
      <w:r w:rsidR="00FA2C32">
        <w:t xml:space="preserve">  Among other things, the Company proposed to </w:t>
      </w:r>
      <w:r w:rsidR="00FA2C32">
        <w:lastRenderedPageBreak/>
        <w:t>eliminate capacity payments to QFs based on the costs of a</w:t>
      </w:r>
      <w:r w:rsidR="002602B9">
        <w:t xml:space="preserve"> simple cycle combustion turbine</w:t>
      </w:r>
      <w:r w:rsidR="00FA2C32">
        <w:t xml:space="preserve"> </w:t>
      </w:r>
      <w:r w:rsidR="002602B9">
        <w:t>(“</w:t>
      </w:r>
      <w:r w:rsidR="00FA2C32">
        <w:t>SCCT</w:t>
      </w:r>
      <w:r w:rsidR="002602B9">
        <w:t>”)</w:t>
      </w:r>
      <w:r w:rsidR="00FA2C32">
        <w:t>.</w:t>
      </w:r>
      <w:r w:rsidR="0015720A" w:rsidRPr="0015720A">
        <w:rPr>
          <w:rStyle w:val="FootnoteReference"/>
          <w:u w:val="single"/>
        </w:rPr>
        <w:footnoteReference w:id="2"/>
      </w:r>
      <w:proofErr w:type="gramStart"/>
      <w:r w:rsidR="0015720A">
        <w:rPr>
          <w:vertAlign w:val="superscript"/>
        </w:rPr>
        <w:t>/</w:t>
      </w:r>
      <w:r w:rsidR="00FA2C32">
        <w:t xml:space="preserve">  The</w:t>
      </w:r>
      <w:proofErr w:type="gramEnd"/>
      <w:r w:rsidR="00FA2C32">
        <w:t xml:space="preserve"> Company stated that, under its current Integrated Resource Plan, it planned to meet its load obligations through </w:t>
      </w:r>
      <w:r w:rsidR="00E001E0">
        <w:t>owned resources and market purchases until 2027</w:t>
      </w:r>
      <w:r w:rsidR="00603890">
        <w:t>.</w:t>
      </w:r>
      <w:r w:rsidR="0015720A" w:rsidRPr="0015720A">
        <w:rPr>
          <w:rStyle w:val="FootnoteReference"/>
          <w:u w:val="single"/>
        </w:rPr>
        <w:footnoteReference w:id="3"/>
      </w:r>
      <w:proofErr w:type="gramStart"/>
      <w:r w:rsidR="0015720A">
        <w:rPr>
          <w:vertAlign w:val="superscript"/>
        </w:rPr>
        <w:t>/</w:t>
      </w:r>
      <w:r w:rsidR="00E001E0">
        <w:t xml:space="preserve"> </w:t>
      </w:r>
      <w:r w:rsidR="00603890">
        <w:t xml:space="preserve"> Therefore</w:t>
      </w:r>
      <w:proofErr w:type="gramEnd"/>
      <w:r w:rsidR="00603890">
        <w:t xml:space="preserve">, </w:t>
      </w:r>
      <w:r w:rsidR="002602B9">
        <w:t xml:space="preserve">the Company claimed that </w:t>
      </w:r>
      <w:r w:rsidR="00E001E0">
        <w:t>the costs of a SCCT could not be avoided by purchasing QF output.</w:t>
      </w:r>
      <w:r w:rsidR="0015720A" w:rsidRPr="0015720A">
        <w:rPr>
          <w:rStyle w:val="FootnoteReference"/>
          <w:u w:val="single"/>
        </w:rPr>
        <w:footnoteReference w:id="4"/>
      </w:r>
      <w:proofErr w:type="gramStart"/>
      <w:r w:rsidR="0015720A">
        <w:rPr>
          <w:vertAlign w:val="superscript"/>
        </w:rPr>
        <w:t>/</w:t>
      </w:r>
      <w:r w:rsidR="00E001E0">
        <w:t xml:space="preserve">  The</w:t>
      </w:r>
      <w:proofErr w:type="gramEnd"/>
      <w:r w:rsidR="00E001E0">
        <w:t xml:space="preserve"> Company’s avoided costs during this “resource sufficiency period” were based on the value of market transactions and reduced dispatch of its thermal resources, as calculated in its Generation and Regulation Initiative Decision (“GRID”) model.</w:t>
      </w:r>
      <w:r w:rsidR="0015720A" w:rsidRPr="0015720A">
        <w:rPr>
          <w:rStyle w:val="FootnoteReference"/>
          <w:u w:val="single"/>
        </w:rPr>
        <w:footnoteReference w:id="5"/>
      </w:r>
      <w:r w:rsidR="0015720A">
        <w:rPr>
          <w:vertAlign w:val="superscript"/>
        </w:rPr>
        <w:t>/</w:t>
      </w:r>
      <w:r w:rsidR="0015720A">
        <w:t xml:space="preserve">  </w:t>
      </w:r>
    </w:p>
    <w:p w:rsidR="00A05F12" w:rsidRPr="00A05F12" w:rsidRDefault="00B02EA1" w:rsidP="00B02EA1">
      <w:pPr>
        <w:pStyle w:val="WUTCParagraph"/>
      </w:pPr>
      <w:r>
        <w:tab/>
      </w:r>
      <w:r w:rsidR="00E001E0">
        <w:t>Commission Staff and the Renewable Energy Coalition</w:t>
      </w:r>
      <w:r w:rsidR="003735D6">
        <w:t xml:space="preserve"> (“REC”)</w:t>
      </w:r>
      <w:r w:rsidR="00E001E0">
        <w:t xml:space="preserve"> oppose the Company’s proposal to eliminate the SCCT-based capacity payments to QF</w:t>
      </w:r>
      <w:r w:rsidR="003735D6">
        <w:t>s</w:t>
      </w:r>
      <w:proofErr w:type="gramStart"/>
      <w:r w:rsidR="0015720A">
        <w:t>.</w:t>
      </w:r>
      <w:proofErr w:type="gramEnd"/>
      <w:r w:rsidR="0015720A" w:rsidRPr="0015720A">
        <w:rPr>
          <w:rStyle w:val="FootnoteReference"/>
          <w:u w:val="single"/>
        </w:rPr>
        <w:footnoteReference w:id="6"/>
      </w:r>
      <w:r w:rsidR="0015720A">
        <w:rPr>
          <w:vertAlign w:val="superscript"/>
        </w:rPr>
        <w:t>/</w:t>
      </w:r>
      <w:r w:rsidR="003735D6">
        <w:t xml:space="preserve">  Staff argues that the Company proposes to acquire capacity through market transactions in the resource sufficiency period and, therefore, QFs that avoid these market transactions provide a capacity benefit to the Company that should be compensated.</w:t>
      </w:r>
      <w:r w:rsidR="0015720A" w:rsidRPr="0015720A">
        <w:rPr>
          <w:rStyle w:val="FootnoteReference"/>
          <w:u w:val="single"/>
        </w:rPr>
        <w:footnoteReference w:id="7"/>
      </w:r>
      <w:proofErr w:type="gramStart"/>
      <w:r w:rsidR="0015720A">
        <w:rPr>
          <w:vertAlign w:val="superscript"/>
        </w:rPr>
        <w:t>/</w:t>
      </w:r>
      <w:r w:rsidR="003735D6">
        <w:t xml:space="preserve">  Additionally</w:t>
      </w:r>
      <w:proofErr w:type="gramEnd"/>
      <w:r w:rsidR="003735D6">
        <w:t>, Staff argues that QFs enable the Company to avoid capacity costs as</w:t>
      </w:r>
      <w:r w:rsidR="00DC03DC">
        <w:t xml:space="preserve">sociated with its </w:t>
      </w:r>
      <w:r w:rsidR="00627650">
        <w:t xml:space="preserve">next </w:t>
      </w:r>
      <w:r w:rsidR="00DC03DC">
        <w:t xml:space="preserve">projected </w:t>
      </w:r>
      <w:r w:rsidR="003735D6">
        <w:t>resource</w:t>
      </w:r>
      <w:r w:rsidR="00627650">
        <w:t xml:space="preserve"> acquisition</w:t>
      </w:r>
      <w:r w:rsidR="003735D6">
        <w:t xml:space="preserve"> because they will impact the size and timing of this resource.</w:t>
      </w:r>
      <w:r w:rsidR="0015720A" w:rsidRPr="0015720A">
        <w:rPr>
          <w:rStyle w:val="FootnoteReference"/>
          <w:u w:val="single"/>
        </w:rPr>
        <w:footnoteReference w:id="8"/>
      </w:r>
      <w:proofErr w:type="gramStart"/>
      <w:r w:rsidR="0015720A">
        <w:rPr>
          <w:vertAlign w:val="superscript"/>
        </w:rPr>
        <w:t>/</w:t>
      </w:r>
      <w:r w:rsidR="0015720A">
        <w:t xml:space="preserve">  </w:t>
      </w:r>
      <w:r w:rsidR="00426D5F">
        <w:t>Staff</w:t>
      </w:r>
      <w:proofErr w:type="gramEnd"/>
      <w:r w:rsidR="00426D5F">
        <w:t xml:space="preserve"> proposes to increase the capacity payments the Company makes to QFs, as compared to its currently effective Schedule 37.</w:t>
      </w:r>
      <w:r w:rsidR="00A05F12" w:rsidRPr="00A05F12">
        <w:rPr>
          <w:rStyle w:val="FootnoteReference"/>
          <w:u w:val="single"/>
        </w:rPr>
        <w:footnoteReference w:id="9"/>
      </w:r>
      <w:proofErr w:type="gramStart"/>
      <w:r w:rsidR="00A05F12">
        <w:rPr>
          <w:vertAlign w:val="superscript"/>
        </w:rPr>
        <w:t>/</w:t>
      </w:r>
      <w:r w:rsidR="004D1823">
        <w:t xml:space="preserve">  Similarly</w:t>
      </w:r>
      <w:proofErr w:type="gramEnd"/>
      <w:r w:rsidR="004D1823">
        <w:t xml:space="preserve">, REC recommends that the Commission retain a monthly kilowatt capacity payment for QFs in </w:t>
      </w:r>
      <w:r w:rsidR="00627650">
        <w:t>Pacific Power’s</w:t>
      </w:r>
      <w:r w:rsidR="004D1823">
        <w:t xml:space="preserve"> Schedule 37 and increase either that payment or the energy payment on the theory that the Company’s avoided costs currently undercompensate QFs</w:t>
      </w:r>
      <w:r w:rsidR="00CD1F2D">
        <w:t xml:space="preserve"> </w:t>
      </w:r>
      <w:r w:rsidR="00CD1F2D">
        <w:lastRenderedPageBreak/>
        <w:t>because there has been little QF development in the Company’s Washington service territory</w:t>
      </w:r>
      <w:r w:rsidR="004D1823">
        <w:t>.</w:t>
      </w:r>
      <w:r w:rsidR="00A05F12" w:rsidRPr="00A05F12">
        <w:rPr>
          <w:rStyle w:val="FootnoteReference"/>
          <w:u w:val="single"/>
        </w:rPr>
        <w:footnoteReference w:id="10"/>
      </w:r>
      <w:proofErr w:type="gramStart"/>
      <w:r w:rsidR="00A05F12">
        <w:rPr>
          <w:vertAlign w:val="superscript"/>
        </w:rPr>
        <w:t>/</w:t>
      </w:r>
      <w:r w:rsidR="00A05F12">
        <w:t xml:space="preserve">  Boise</w:t>
      </w:r>
      <w:proofErr w:type="gramEnd"/>
      <w:r w:rsidR="00A05F12">
        <w:t xml:space="preserve"> submitted the Cross-Answering Declaration of Bradley G. Mullins, which supported the Company’s proposal to eliminate the capacity payment to QFs based on the costs of a SCCT.</w:t>
      </w:r>
      <w:r w:rsidR="00A05F12" w:rsidRPr="00A05F12">
        <w:rPr>
          <w:rStyle w:val="FootnoteReference"/>
          <w:u w:val="single"/>
        </w:rPr>
        <w:footnoteReference w:id="11"/>
      </w:r>
      <w:r w:rsidR="00A05F12">
        <w:rPr>
          <w:vertAlign w:val="superscript"/>
        </w:rPr>
        <w:t>/</w:t>
      </w:r>
      <w:r w:rsidR="00A05F12">
        <w:t xml:space="preserve">  </w:t>
      </w:r>
    </w:p>
    <w:p w:rsidR="004D1823" w:rsidRDefault="004D1823" w:rsidP="004D1823">
      <w:pPr>
        <w:spacing w:line="480" w:lineRule="auto"/>
        <w:jc w:val="center"/>
      </w:pPr>
      <w:r>
        <w:rPr>
          <w:b/>
        </w:rPr>
        <w:t>III.</w:t>
      </w:r>
      <w:r>
        <w:rPr>
          <w:b/>
        </w:rPr>
        <w:tab/>
        <w:t>ARGUMENT</w:t>
      </w:r>
    </w:p>
    <w:p w:rsidR="004D1823" w:rsidRDefault="00B02EA1" w:rsidP="00B02EA1">
      <w:pPr>
        <w:pStyle w:val="WUTCParagraph"/>
      </w:pPr>
      <w:r>
        <w:tab/>
      </w:r>
      <w:r w:rsidR="007A1BA6">
        <w:t>PURPA serves a dual purpose of encouraging the development of cogeneration and small power production facilities while ensuring that ratepayers do not subsidize this development.</w:t>
      </w:r>
      <w:r w:rsidR="007A1BA6" w:rsidRPr="007A1BA6">
        <w:rPr>
          <w:rStyle w:val="FootnoteReference"/>
          <w:u w:val="single"/>
        </w:rPr>
        <w:footnoteReference w:id="12"/>
      </w:r>
      <w:proofErr w:type="gramStart"/>
      <w:r w:rsidR="007A1BA6">
        <w:rPr>
          <w:vertAlign w:val="superscript"/>
        </w:rPr>
        <w:t>/</w:t>
      </w:r>
      <w:r w:rsidR="007A1BA6">
        <w:t xml:space="preserve">  With</w:t>
      </w:r>
      <w:proofErr w:type="gramEnd"/>
      <w:r w:rsidR="007A1BA6">
        <w:t xml:space="preserve"> respect to the latter, PURPA prevents FERC and, by extension, state regulatory commissions implementing FERC’s rules, from authorizing a rate for purchases from QFs “which exceeds the incremental cost to the electric utility of alternative electric energy.”</w:t>
      </w:r>
      <w:r w:rsidR="007A1BA6" w:rsidRPr="007A1BA6">
        <w:rPr>
          <w:rStyle w:val="FootnoteReference"/>
          <w:u w:val="single"/>
        </w:rPr>
        <w:footnoteReference w:id="13"/>
      </w:r>
      <w:proofErr w:type="gramStart"/>
      <w:r w:rsidR="007A1BA6">
        <w:rPr>
          <w:vertAlign w:val="superscript"/>
        </w:rPr>
        <w:t>/</w:t>
      </w:r>
      <w:r w:rsidR="007A1BA6">
        <w:t xml:space="preserve">  The</w:t>
      </w:r>
      <w:proofErr w:type="gramEnd"/>
      <w:r w:rsidR="007A1BA6">
        <w:t xml:space="preserve"> “incremental cost,” or “avoided cost,” is “the cost to the electric utility of the electric energy which, but for the purchase from such </w:t>
      </w:r>
      <w:proofErr w:type="spellStart"/>
      <w:r w:rsidR="007A1BA6">
        <w:t>cogenerator</w:t>
      </w:r>
      <w:proofErr w:type="spellEnd"/>
      <w:r w:rsidR="007A1BA6">
        <w:t xml:space="preserve"> or small power producer, such utility would generate or purchase from another source.”</w:t>
      </w:r>
      <w:r w:rsidR="007A1BA6" w:rsidRPr="007A1BA6">
        <w:rPr>
          <w:rStyle w:val="FootnoteReference"/>
          <w:u w:val="single"/>
        </w:rPr>
        <w:footnoteReference w:id="14"/>
      </w:r>
      <w:proofErr w:type="gramStart"/>
      <w:r w:rsidR="007A1BA6">
        <w:rPr>
          <w:vertAlign w:val="superscript"/>
        </w:rPr>
        <w:t>/</w:t>
      </w:r>
      <w:r w:rsidR="007A1BA6">
        <w:t xml:space="preserve">  The</w:t>
      </w:r>
      <w:proofErr w:type="gramEnd"/>
      <w:r w:rsidR="007A1BA6">
        <w:t xml:space="preserve"> United States Supreme Court has</w:t>
      </w:r>
      <w:r w:rsidR="00CD1F0F">
        <w:t xml:space="preserve"> confirmed that</w:t>
      </w:r>
      <w:r w:rsidR="007A1BA6">
        <w:t xml:space="preserve"> </w:t>
      </w:r>
      <w:r w:rsidR="00CD1F0F">
        <w:t>a utility’s full avoided cost is “the maximum rate that [FERC] may prescribe.”</w:t>
      </w:r>
      <w:r w:rsidR="00CD1F0F" w:rsidRPr="00CD1F0F">
        <w:rPr>
          <w:rStyle w:val="FootnoteReference"/>
          <w:u w:val="single"/>
        </w:rPr>
        <w:footnoteReference w:id="15"/>
      </w:r>
      <w:proofErr w:type="gramStart"/>
      <w:r w:rsidR="00CD1F0F">
        <w:rPr>
          <w:vertAlign w:val="superscript"/>
        </w:rPr>
        <w:t>/</w:t>
      </w:r>
      <w:r w:rsidR="00CD1F0F">
        <w:t xml:space="preserve">  Accordingly</w:t>
      </w:r>
      <w:proofErr w:type="gramEnd"/>
      <w:r w:rsidR="00CD1F0F">
        <w:t>, any rate that exceeds the utility’s avoided cost is not authorized by PURPA.</w:t>
      </w:r>
    </w:p>
    <w:p w:rsidR="00CD1F2D" w:rsidRDefault="00B02EA1" w:rsidP="00786E6A">
      <w:pPr>
        <w:pStyle w:val="WUTCParagraph"/>
      </w:pPr>
      <w:r>
        <w:tab/>
      </w:r>
      <w:r w:rsidR="00603890">
        <w:t xml:space="preserve">Both Staff’s and REC’s recommendations not only to continue, but increase, the capacity payments the Company currently provides to QFs </w:t>
      </w:r>
      <w:r w:rsidR="00786E6A">
        <w:t>may</w:t>
      </w:r>
      <w:r w:rsidR="00603890">
        <w:t xml:space="preserve"> result in payments to QFs that exceed the Company’s avoided cost.</w:t>
      </w:r>
      <w:r w:rsidR="00754A8E" w:rsidRPr="00754A8E">
        <w:rPr>
          <w:rStyle w:val="FootnoteReference"/>
          <w:u w:val="single"/>
        </w:rPr>
        <w:footnoteReference w:id="16"/>
      </w:r>
      <w:proofErr w:type="gramStart"/>
      <w:r w:rsidR="00754A8E">
        <w:rPr>
          <w:vertAlign w:val="superscript"/>
        </w:rPr>
        <w:t>/</w:t>
      </w:r>
      <w:r w:rsidR="00603890">
        <w:t xml:space="preserve">  </w:t>
      </w:r>
      <w:r w:rsidR="00786E6A">
        <w:t>Boise</w:t>
      </w:r>
      <w:proofErr w:type="gramEnd"/>
      <w:r w:rsidR="00786E6A">
        <w:t xml:space="preserve"> does not take a position on Staff’s argument that the Company obtains a capacity benefit from QFs even when it proposes to meet its load obligations primarily through front office transactions.  </w:t>
      </w:r>
      <w:r w:rsidR="00786E6A">
        <w:t xml:space="preserve">Pacific Power responds to this assertion </w:t>
      </w:r>
      <w:r w:rsidR="00786E6A">
        <w:lastRenderedPageBreak/>
        <w:t>by arguing that the Company’s avoided cost calculations represent the full cost of avoided market purchases and reduced thermal dispatch, as calculated in GRID</w:t>
      </w:r>
      <w:r w:rsidR="00786E6A">
        <w:t>, which includes a capacity benefit</w:t>
      </w:r>
      <w:r w:rsidR="00786E6A">
        <w:t>.</w:t>
      </w:r>
      <w:r w:rsidR="00786E6A" w:rsidRPr="00BE29EB">
        <w:rPr>
          <w:rStyle w:val="FootnoteReference"/>
          <w:u w:val="single"/>
        </w:rPr>
        <w:footnoteReference w:id="17"/>
      </w:r>
      <w:r w:rsidR="00786E6A">
        <w:rPr>
          <w:vertAlign w:val="superscript"/>
        </w:rPr>
        <w:t>/</w:t>
      </w:r>
      <w:r w:rsidR="00786E6A">
        <w:t xml:space="preserve">  </w:t>
      </w:r>
    </w:p>
    <w:p w:rsidR="008F50A4" w:rsidRDefault="00B02EA1" w:rsidP="002602B9">
      <w:pPr>
        <w:pStyle w:val="WUTCParagraph"/>
      </w:pPr>
      <w:r>
        <w:tab/>
      </w:r>
      <w:r w:rsidR="00786E6A">
        <w:t>Boise does disagree, however, with</w:t>
      </w:r>
      <w:r w:rsidR="00A943FA">
        <w:t xml:space="preserve"> Staff’s claim that </w:t>
      </w:r>
      <w:r w:rsidR="00AF21E8">
        <w:t xml:space="preserve">Washington </w:t>
      </w:r>
      <w:r w:rsidR="00A943FA">
        <w:t>QFs</w:t>
      </w:r>
      <w:r w:rsidR="00786E6A">
        <w:t xml:space="preserve"> should receive a capacity payment because they</w:t>
      </w:r>
      <w:r w:rsidR="00A943FA">
        <w:t xml:space="preserve"> help determine the eventual size and timing of the Company’s next resource acquisition.  The Company’s next projected resource acquisition in its IRP is in its Eastern Control Area.</w:t>
      </w:r>
      <w:r w:rsidR="00BE29EB" w:rsidRPr="00BE29EB">
        <w:rPr>
          <w:rStyle w:val="FootnoteReference"/>
          <w:u w:val="single"/>
        </w:rPr>
        <w:footnoteReference w:id="18"/>
      </w:r>
      <w:proofErr w:type="gramStart"/>
      <w:r w:rsidR="00BE29EB">
        <w:rPr>
          <w:vertAlign w:val="superscript"/>
        </w:rPr>
        <w:t>/</w:t>
      </w:r>
      <w:r w:rsidR="00A943FA">
        <w:t xml:space="preserve">  Under</w:t>
      </w:r>
      <w:proofErr w:type="gramEnd"/>
      <w:r w:rsidR="00A943FA">
        <w:t xml:space="preserve"> the Western Control Area </w:t>
      </w:r>
      <w:r w:rsidR="00AD0E2E">
        <w:t xml:space="preserve">(“WCA”) </w:t>
      </w:r>
      <w:r w:rsidR="00A943FA">
        <w:t xml:space="preserve">methodology that the Commission uses to set </w:t>
      </w:r>
      <w:r w:rsidR="00AF21E8">
        <w:t>Pacific Power’s</w:t>
      </w:r>
      <w:r w:rsidR="00A943FA">
        <w:t xml:space="preserve"> rates in Washington, this resource will not provide any benefits to Washington customers</w:t>
      </w:r>
      <w:r w:rsidR="00AD0E2E">
        <w:t xml:space="preserve"> and will not be included in Washington rates</w:t>
      </w:r>
      <w:r w:rsidR="00A943FA">
        <w:t>.</w:t>
      </w:r>
      <w:r w:rsidR="00EB44ED" w:rsidRPr="00EB44ED">
        <w:rPr>
          <w:rStyle w:val="FootnoteReference"/>
          <w:u w:val="single"/>
        </w:rPr>
        <w:footnoteReference w:id="19"/>
      </w:r>
      <w:proofErr w:type="gramStart"/>
      <w:r w:rsidR="00EB44ED">
        <w:rPr>
          <w:vertAlign w:val="superscript"/>
        </w:rPr>
        <w:t>/</w:t>
      </w:r>
      <w:r w:rsidR="00A943FA">
        <w:t xml:space="preserve">  Thus</w:t>
      </w:r>
      <w:proofErr w:type="gramEnd"/>
      <w:r w:rsidR="00A943FA">
        <w:t xml:space="preserve">, “avoiding capacity costs associated with the </w:t>
      </w:r>
      <w:r w:rsidR="00E6661D">
        <w:t>[Company’s next planned]</w:t>
      </w:r>
      <w:r w:rsidR="00A943FA">
        <w:t xml:space="preserve"> resource does not avoid any cost to Washington ratepayers.”</w:t>
      </w:r>
      <w:r w:rsidR="00EB44ED" w:rsidRPr="00EB44ED">
        <w:rPr>
          <w:rStyle w:val="FootnoteReference"/>
          <w:u w:val="single"/>
        </w:rPr>
        <w:footnoteReference w:id="20"/>
      </w:r>
      <w:proofErr w:type="gramStart"/>
      <w:r w:rsidR="00EB44ED">
        <w:rPr>
          <w:vertAlign w:val="superscript"/>
        </w:rPr>
        <w:t>/</w:t>
      </w:r>
      <w:r w:rsidR="00A943FA">
        <w:t xml:space="preserve">  </w:t>
      </w:r>
      <w:r w:rsidR="00AD0E2E">
        <w:t>Assigning</w:t>
      </w:r>
      <w:proofErr w:type="gramEnd"/>
      <w:r w:rsidR="00AD0E2E">
        <w:t xml:space="preserve"> a capacity benefit to Washington QFs associated with the Company’s next resource acquisition would be the equivalent of requiring Washington ratepayers to pay for capacity that will never be available to them.</w:t>
      </w:r>
      <w:r w:rsidR="00EB44ED" w:rsidRPr="00EB44ED">
        <w:rPr>
          <w:rStyle w:val="FootnoteReference"/>
          <w:u w:val="single"/>
        </w:rPr>
        <w:footnoteReference w:id="21"/>
      </w:r>
      <w:r w:rsidR="00EB44ED">
        <w:rPr>
          <w:vertAlign w:val="superscript"/>
        </w:rPr>
        <w:t>/</w:t>
      </w:r>
      <w:r w:rsidR="00EB44ED">
        <w:t xml:space="preserve">  </w:t>
      </w:r>
      <w:r w:rsidR="00AD0E2E">
        <w:t xml:space="preserve"> </w:t>
      </w:r>
      <w:r w:rsidR="002602B9">
        <w:t>This would violate PURPA’s requirement to maintain customer indifference to QF power.</w:t>
      </w:r>
    </w:p>
    <w:p w:rsidR="000953C4" w:rsidRDefault="000953C4" w:rsidP="000953C4">
      <w:pPr>
        <w:spacing w:line="480" w:lineRule="auto"/>
        <w:jc w:val="center"/>
      </w:pPr>
      <w:r>
        <w:rPr>
          <w:b/>
        </w:rPr>
        <w:t>IV.</w:t>
      </w:r>
      <w:r>
        <w:rPr>
          <w:b/>
        </w:rPr>
        <w:tab/>
        <w:t>CONCLUSION</w:t>
      </w:r>
    </w:p>
    <w:p w:rsidR="000953C4" w:rsidRDefault="00B02EA1" w:rsidP="00B02EA1">
      <w:pPr>
        <w:pStyle w:val="WUTCParagraph"/>
      </w:pPr>
      <w:r>
        <w:tab/>
      </w:r>
      <w:r w:rsidR="002602B9">
        <w:t>For the foregoing reasons,</w:t>
      </w:r>
      <w:r w:rsidR="000953C4">
        <w:t xml:space="preserve"> Boise recommends that the Commission </w:t>
      </w:r>
      <w:r w:rsidR="002602B9">
        <w:t>reject Staff’s assignment of a capacity benefit to QFs based on the impact QFs have on the size and timing of the Company’s next thermal resource acquisition.</w:t>
      </w:r>
    </w:p>
    <w:p w:rsidR="00E6661D" w:rsidRDefault="00E6661D" w:rsidP="000953C4">
      <w:pPr>
        <w:keepNext/>
        <w:spacing w:line="480" w:lineRule="auto"/>
        <w:ind w:firstLine="1440"/>
      </w:pPr>
    </w:p>
    <w:p w:rsidR="000953C4" w:rsidRDefault="000953C4" w:rsidP="000953C4">
      <w:pPr>
        <w:keepNext/>
        <w:spacing w:line="480" w:lineRule="auto"/>
        <w:ind w:firstLine="1440"/>
      </w:pPr>
      <w:r>
        <w:t>Dated in Portland, Oregon, this 11th day of September, 2015.</w:t>
      </w:r>
    </w:p>
    <w:p w:rsidR="000953C4" w:rsidRDefault="000953C4" w:rsidP="000953C4">
      <w:pPr>
        <w:keepNext/>
        <w:spacing w:line="480" w:lineRule="auto"/>
        <w:ind w:left="3600"/>
      </w:pPr>
      <w:r>
        <w:t>Respectfully submitted,</w:t>
      </w:r>
    </w:p>
    <w:p w:rsidR="000953C4" w:rsidRPr="00173EF3" w:rsidRDefault="000953C4" w:rsidP="000953C4">
      <w:pPr>
        <w:keepNext/>
        <w:spacing w:line="480" w:lineRule="auto"/>
        <w:ind w:left="3600"/>
      </w:pPr>
      <w:r>
        <w:t>DAVISON VAN CLEVE, P.C.</w:t>
      </w:r>
    </w:p>
    <w:p w:rsidR="000953C4" w:rsidRDefault="000953C4" w:rsidP="000953C4">
      <w:pPr>
        <w:keepNext/>
        <w:ind w:left="3600"/>
        <w:rPr>
          <w:i/>
          <w:u w:val="single"/>
        </w:rPr>
      </w:pPr>
      <w:r>
        <w:rPr>
          <w:i/>
          <w:u w:val="single"/>
        </w:rPr>
        <w:t xml:space="preserve">/s/ </w:t>
      </w:r>
      <w:r w:rsidRPr="00B2248C">
        <w:rPr>
          <w:i/>
          <w:u w:val="single"/>
        </w:rPr>
        <w:t>Tyler C. Pepple</w:t>
      </w:r>
    </w:p>
    <w:p w:rsidR="000953C4" w:rsidRDefault="000953C4" w:rsidP="000953C4">
      <w:pPr>
        <w:keepNext/>
        <w:ind w:left="3600"/>
      </w:pPr>
      <w:r>
        <w:t>Melinda J. Davison</w:t>
      </w:r>
    </w:p>
    <w:p w:rsidR="000953C4" w:rsidRDefault="000953C4" w:rsidP="000953C4">
      <w:pPr>
        <w:keepNext/>
        <w:ind w:left="3600"/>
      </w:pPr>
      <w:r>
        <w:t>Tyler C. Pepple</w:t>
      </w:r>
    </w:p>
    <w:p w:rsidR="000953C4" w:rsidRDefault="000953C4" w:rsidP="000953C4">
      <w:pPr>
        <w:keepNext/>
        <w:ind w:left="3600"/>
      </w:pPr>
      <w:r>
        <w:t>333 S.W. Taylor, Suite 400</w:t>
      </w:r>
    </w:p>
    <w:p w:rsidR="000953C4" w:rsidRDefault="000953C4" w:rsidP="000953C4">
      <w:pPr>
        <w:keepNext/>
        <w:ind w:left="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953C4" w:rsidRDefault="000953C4" w:rsidP="000953C4">
      <w:pPr>
        <w:keepNext/>
        <w:ind w:left="3600"/>
      </w:pPr>
      <w:r>
        <w:t>(503) 241-7242 telephone</w:t>
      </w:r>
    </w:p>
    <w:p w:rsidR="000953C4" w:rsidRDefault="000953C4" w:rsidP="000953C4">
      <w:pPr>
        <w:keepNext/>
        <w:ind w:left="3600"/>
      </w:pPr>
      <w:r>
        <w:t>(503) 241-8160 facsimile</w:t>
      </w:r>
    </w:p>
    <w:p w:rsidR="000953C4" w:rsidRDefault="000953C4" w:rsidP="000953C4">
      <w:pPr>
        <w:keepNext/>
        <w:ind w:left="3600"/>
      </w:pPr>
      <w:r>
        <w:t>mjd</w:t>
      </w:r>
      <w:r w:rsidRPr="009E0355">
        <w:t>@dvclaw.com</w:t>
      </w:r>
    </w:p>
    <w:p w:rsidR="000953C4" w:rsidRDefault="000953C4" w:rsidP="000953C4">
      <w:pPr>
        <w:keepNext/>
        <w:ind w:left="3600"/>
      </w:pPr>
      <w:r>
        <w:t>tcp@dvclaw.com</w:t>
      </w:r>
    </w:p>
    <w:p w:rsidR="000953C4" w:rsidRDefault="000953C4" w:rsidP="000953C4">
      <w:pPr>
        <w:ind w:left="3600"/>
      </w:pPr>
      <w:proofErr w:type="gramStart"/>
      <w:r>
        <w:t>Of Attorneys for Boise White Paper, L.L.C.</w:t>
      </w:r>
      <w:proofErr w:type="gramEnd"/>
    </w:p>
    <w:p w:rsidR="000953C4" w:rsidRPr="000953C4" w:rsidRDefault="000953C4" w:rsidP="000953C4">
      <w:pPr>
        <w:spacing w:line="480" w:lineRule="auto"/>
        <w:ind w:firstLine="1440"/>
      </w:pPr>
    </w:p>
    <w:sectPr w:rsidR="000953C4" w:rsidRPr="000953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A6" w:rsidRDefault="007A1BA6" w:rsidP="007A1BA6">
      <w:r>
        <w:separator/>
      </w:r>
    </w:p>
  </w:endnote>
  <w:endnote w:type="continuationSeparator" w:id="0">
    <w:p w:rsidR="007A1BA6" w:rsidRDefault="007A1BA6" w:rsidP="007A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C4" w:rsidRDefault="000953C4" w:rsidP="000953C4">
    <w:pPr>
      <w:pStyle w:val="Footer"/>
    </w:pPr>
  </w:p>
  <w:p w:rsidR="000953C4" w:rsidRDefault="000953C4" w:rsidP="000953C4">
    <w:pPr>
      <w:pStyle w:val="Footer"/>
    </w:pPr>
    <w:r>
      <w:t xml:space="preserve">PAGE </w:t>
    </w:r>
    <w:r>
      <w:fldChar w:fldCharType="begin"/>
    </w:r>
    <w:r>
      <w:instrText xml:space="preserve"> PAGE </w:instrText>
    </w:r>
    <w:r>
      <w:fldChar w:fldCharType="separate"/>
    </w:r>
    <w:r w:rsidR="00AF21E8">
      <w:rPr>
        <w:noProof/>
      </w:rPr>
      <w:t>1</w:t>
    </w:r>
    <w:r>
      <w:fldChar w:fldCharType="end"/>
    </w:r>
    <w:r>
      <w:t xml:space="preserve"> – OPENING BRIEF OF BOISE WHITE PAPER, L.L.C.</w:t>
    </w:r>
  </w:p>
  <w:p w:rsidR="000953C4" w:rsidRPr="001761F6" w:rsidRDefault="000953C4" w:rsidP="000953C4">
    <w:pPr>
      <w:pStyle w:val="Footer"/>
      <w:rPr>
        <w:rStyle w:val="PageNumber"/>
        <w:sz w:val="16"/>
        <w:szCs w:val="16"/>
      </w:rPr>
    </w:pPr>
  </w:p>
  <w:p w:rsidR="000953C4" w:rsidRPr="000835C7" w:rsidRDefault="000953C4" w:rsidP="000953C4">
    <w:pPr>
      <w:jc w:val="center"/>
      <w:rPr>
        <w:rFonts w:ascii="EngraversGothic BT" w:hAnsi="EngraversGothic BT"/>
        <w:sz w:val="15"/>
        <w:szCs w:val="15"/>
      </w:rPr>
    </w:pPr>
    <w:r w:rsidRPr="000835C7">
      <w:rPr>
        <w:rFonts w:ascii="EngraversGothic BT" w:hAnsi="EngraversGothic BT"/>
        <w:sz w:val="15"/>
        <w:szCs w:val="15"/>
      </w:rPr>
      <w:t>DAVISON VAN CLEVE, P.C.</w:t>
    </w:r>
  </w:p>
  <w:p w:rsidR="000953C4" w:rsidRPr="000835C7" w:rsidRDefault="000953C4" w:rsidP="000953C4">
    <w:pPr>
      <w:tabs>
        <w:tab w:val="center" w:pos="4680"/>
      </w:tabs>
      <w:jc w:val="center"/>
      <w:rPr>
        <w:rFonts w:ascii="EngraversGothic BT" w:hAnsi="EngraversGothic BT"/>
        <w:sz w:val="15"/>
        <w:szCs w:val="15"/>
      </w:rPr>
    </w:pPr>
    <w:r w:rsidRPr="000835C7">
      <w:rPr>
        <w:rFonts w:ascii="EngraversGothic BT" w:hAnsi="EngraversGothic BT"/>
        <w:sz w:val="15"/>
        <w:szCs w:val="15"/>
      </w:rPr>
      <w:t xml:space="preserve">333 S.W. Taylor, </w:t>
    </w:r>
    <w:smartTag w:uri="urn:schemas-microsoft-com:office:smarttags" w:element="address">
      <w:smartTag w:uri="urn:schemas-microsoft-com:office:smarttags" w:element="Street">
        <w:r w:rsidRPr="000835C7">
          <w:rPr>
            <w:rFonts w:ascii="EngraversGothic BT" w:hAnsi="EngraversGothic BT"/>
            <w:sz w:val="15"/>
            <w:szCs w:val="15"/>
          </w:rPr>
          <w:t>Suite</w:t>
        </w:r>
      </w:smartTag>
      <w:r w:rsidRPr="000835C7">
        <w:rPr>
          <w:rFonts w:ascii="EngraversGothic BT" w:hAnsi="EngraversGothic BT"/>
          <w:sz w:val="15"/>
          <w:szCs w:val="15"/>
        </w:rPr>
        <w:t xml:space="preserve"> 400</w:t>
      </w:r>
    </w:smartTag>
  </w:p>
  <w:p w:rsidR="000953C4" w:rsidRPr="000835C7" w:rsidRDefault="000953C4" w:rsidP="000953C4">
    <w:pPr>
      <w:tabs>
        <w:tab w:val="center" w:pos="4680"/>
      </w:tabs>
      <w:jc w:val="center"/>
      <w:rPr>
        <w:rFonts w:ascii="EngraversGothic BT" w:hAnsi="EngraversGothic BT"/>
        <w:sz w:val="15"/>
        <w:szCs w:val="15"/>
      </w:rPr>
    </w:pPr>
    <w:smartTag w:uri="urn:schemas-microsoft-com:office:smarttags" w:element="place">
      <w:smartTag w:uri="urn:schemas-microsoft-com:office:smarttags" w:element="City">
        <w:r w:rsidRPr="000835C7">
          <w:rPr>
            <w:rFonts w:ascii="EngraversGothic BT" w:hAnsi="EngraversGothic BT"/>
            <w:sz w:val="15"/>
            <w:szCs w:val="15"/>
          </w:rPr>
          <w:t>Portland</w:t>
        </w:r>
      </w:smartTag>
      <w:r w:rsidRPr="000835C7">
        <w:rPr>
          <w:rFonts w:ascii="EngraversGothic BT" w:hAnsi="EngraversGothic BT"/>
          <w:sz w:val="15"/>
          <w:szCs w:val="15"/>
        </w:rPr>
        <w:t xml:space="preserve">, </w:t>
      </w:r>
      <w:smartTag w:uri="urn:schemas-microsoft-com:office:smarttags" w:element="State">
        <w:r w:rsidRPr="000835C7">
          <w:rPr>
            <w:rFonts w:ascii="EngraversGothic BT" w:hAnsi="EngraversGothic BT"/>
            <w:sz w:val="15"/>
            <w:szCs w:val="15"/>
          </w:rPr>
          <w:t>OR</w:t>
        </w:r>
      </w:smartTag>
      <w:r w:rsidRPr="000835C7">
        <w:rPr>
          <w:rFonts w:ascii="EngraversGothic BT" w:hAnsi="EngraversGothic BT"/>
          <w:sz w:val="15"/>
          <w:szCs w:val="15"/>
        </w:rPr>
        <w:t xml:space="preserve"> </w:t>
      </w:r>
      <w:smartTag w:uri="urn:schemas-microsoft-com:office:smarttags" w:element="PostalCode">
        <w:r w:rsidRPr="000835C7">
          <w:rPr>
            <w:rFonts w:ascii="EngraversGothic BT" w:hAnsi="EngraversGothic BT"/>
            <w:sz w:val="15"/>
            <w:szCs w:val="15"/>
          </w:rPr>
          <w:t>97204</w:t>
        </w:r>
      </w:smartTag>
    </w:smartTag>
  </w:p>
  <w:p w:rsidR="000953C4" w:rsidRPr="000953C4" w:rsidRDefault="000953C4" w:rsidP="000953C4">
    <w:pPr>
      <w:tabs>
        <w:tab w:val="center" w:pos="4680"/>
      </w:tabs>
      <w:jc w:val="center"/>
      <w:rPr>
        <w:rFonts w:ascii="EngraversGothic BT" w:hAnsi="EngraversGothic BT"/>
        <w:sz w:val="15"/>
        <w:szCs w:val="15"/>
      </w:rPr>
    </w:pPr>
    <w:r w:rsidRPr="000835C7">
      <w:rPr>
        <w:rFonts w:ascii="EngraversGothic BT" w:hAnsi="EngraversGothic BT"/>
        <w:sz w:val="15"/>
        <w:szCs w:val="15"/>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A6" w:rsidRDefault="007A1BA6" w:rsidP="007A1BA6">
      <w:r>
        <w:separator/>
      </w:r>
    </w:p>
  </w:footnote>
  <w:footnote w:type="continuationSeparator" w:id="0">
    <w:p w:rsidR="007A1BA6" w:rsidRDefault="007A1BA6" w:rsidP="007A1BA6">
      <w:r>
        <w:continuationSeparator/>
      </w:r>
    </w:p>
  </w:footnote>
  <w:footnote w:id="1">
    <w:p w:rsidR="0015720A" w:rsidRPr="0015720A" w:rsidRDefault="0015720A">
      <w:pPr>
        <w:pStyle w:val="FootnoteText"/>
        <w:rPr>
          <w:u w:val="single"/>
        </w:rPr>
      </w:pPr>
      <w:r w:rsidRPr="0015720A">
        <w:rPr>
          <w:rStyle w:val="FootnoteReference"/>
          <w:u w:val="single"/>
        </w:rPr>
        <w:footnoteRef/>
      </w:r>
      <w:r>
        <w:rPr>
          <w:vertAlign w:val="superscript"/>
        </w:rPr>
        <w:t>/</w:t>
      </w:r>
      <w:r w:rsidRPr="0015720A">
        <w:t xml:space="preserve"> </w:t>
      </w:r>
      <w:r w:rsidRPr="0015720A">
        <w:tab/>
      </w:r>
      <w:r>
        <w:t>Docket No. UE-144160, Initial Filing of Pacific Power &amp; Light Company (Dec. 29, 2014).</w:t>
      </w:r>
    </w:p>
  </w:footnote>
  <w:footnote w:id="2">
    <w:p w:rsidR="0015720A" w:rsidRPr="0015720A" w:rsidRDefault="0015720A">
      <w:pPr>
        <w:pStyle w:val="FootnoteText"/>
      </w:pPr>
      <w:r w:rsidRPr="0015720A">
        <w:rPr>
          <w:rStyle w:val="FootnoteReference"/>
          <w:u w:val="single"/>
        </w:rPr>
        <w:footnoteRef/>
      </w:r>
      <w:r>
        <w:rPr>
          <w:vertAlign w:val="superscript"/>
        </w:rPr>
        <w:t>/</w:t>
      </w:r>
      <w:r w:rsidRPr="0015720A">
        <w:t xml:space="preserve"> </w:t>
      </w:r>
      <w:r w:rsidRPr="0015720A">
        <w:tab/>
      </w:r>
      <w:r>
        <w:rPr>
          <w:u w:val="single"/>
        </w:rPr>
        <w:t>Id.</w:t>
      </w:r>
      <w:r>
        <w:t>, Attach. C.</w:t>
      </w:r>
    </w:p>
  </w:footnote>
  <w:footnote w:id="3">
    <w:p w:rsidR="0015720A" w:rsidRPr="0015720A" w:rsidRDefault="0015720A">
      <w:pPr>
        <w:pStyle w:val="FootnoteText"/>
        <w:rPr>
          <w:u w:val="single"/>
        </w:rPr>
      </w:pPr>
      <w:r w:rsidRPr="0015720A">
        <w:rPr>
          <w:rStyle w:val="FootnoteReference"/>
          <w:u w:val="single"/>
        </w:rPr>
        <w:footnoteRef/>
      </w:r>
      <w:r>
        <w:rPr>
          <w:vertAlign w:val="superscript"/>
        </w:rPr>
        <w:t>/</w:t>
      </w:r>
      <w:r w:rsidRPr="0015720A">
        <w:t xml:space="preserve"> </w:t>
      </w:r>
      <w:r w:rsidRPr="0015720A">
        <w:tab/>
      </w:r>
      <w:r>
        <w:t>Docket No. UE-144160, Declaration of Brian S. Dickman ¶ 11 (June 12, 2015).</w:t>
      </w:r>
    </w:p>
  </w:footnote>
  <w:footnote w:id="4">
    <w:p w:rsidR="0015720A" w:rsidRPr="0015720A" w:rsidRDefault="0015720A">
      <w:pPr>
        <w:pStyle w:val="FootnoteText"/>
        <w:rPr>
          <w:u w:val="single"/>
        </w:rPr>
      </w:pPr>
      <w:r w:rsidRPr="0015720A">
        <w:rPr>
          <w:rStyle w:val="FootnoteReference"/>
          <w:u w:val="single"/>
        </w:rPr>
        <w:footnoteRef/>
      </w:r>
      <w:r>
        <w:rPr>
          <w:vertAlign w:val="superscript"/>
        </w:rPr>
        <w:t>/</w:t>
      </w:r>
      <w:r w:rsidRPr="0015720A">
        <w:t xml:space="preserve"> </w:t>
      </w:r>
      <w:r w:rsidRPr="0015720A">
        <w:tab/>
      </w:r>
      <w:r>
        <w:rPr>
          <w:u w:val="single"/>
        </w:rPr>
        <w:t>Id.</w:t>
      </w:r>
    </w:p>
  </w:footnote>
  <w:footnote w:id="5">
    <w:p w:rsidR="0015720A" w:rsidRPr="0015720A" w:rsidRDefault="0015720A">
      <w:pPr>
        <w:pStyle w:val="FootnoteText"/>
      </w:pPr>
      <w:r w:rsidRPr="0015720A">
        <w:rPr>
          <w:rStyle w:val="FootnoteReference"/>
          <w:u w:val="single"/>
        </w:rPr>
        <w:footnoteRef/>
      </w:r>
      <w:r>
        <w:rPr>
          <w:vertAlign w:val="superscript"/>
        </w:rPr>
        <w:t>/</w:t>
      </w:r>
      <w:r w:rsidRPr="0015720A">
        <w:t xml:space="preserve"> </w:t>
      </w:r>
      <w:r w:rsidRPr="0015720A">
        <w:tab/>
      </w:r>
      <w:r>
        <w:rPr>
          <w:u w:val="single"/>
        </w:rPr>
        <w:t>Id.</w:t>
      </w:r>
      <w:r>
        <w:t xml:space="preserve"> ¶ 9.</w:t>
      </w:r>
    </w:p>
  </w:footnote>
  <w:footnote w:id="6">
    <w:p w:rsidR="0015720A" w:rsidRPr="0015720A" w:rsidRDefault="0015720A" w:rsidP="0015720A">
      <w:pPr>
        <w:pStyle w:val="FootnoteText"/>
        <w:ind w:left="720" w:hanging="720"/>
        <w:rPr>
          <w:u w:val="single"/>
        </w:rPr>
      </w:pPr>
      <w:r w:rsidRPr="0015720A">
        <w:rPr>
          <w:rStyle w:val="FootnoteReference"/>
          <w:u w:val="single"/>
        </w:rPr>
        <w:footnoteRef/>
      </w:r>
      <w:r>
        <w:rPr>
          <w:vertAlign w:val="superscript"/>
        </w:rPr>
        <w:t>/</w:t>
      </w:r>
      <w:r w:rsidRPr="0015720A">
        <w:t xml:space="preserve"> </w:t>
      </w:r>
      <w:r w:rsidRPr="0015720A">
        <w:tab/>
      </w:r>
      <w:r>
        <w:t xml:space="preserve">Docket No. UE-144160, Declaration of Jeremy B. </w:t>
      </w:r>
      <w:proofErr w:type="spellStart"/>
      <w:r>
        <w:t>Twitchell</w:t>
      </w:r>
      <w:proofErr w:type="spellEnd"/>
      <w:r>
        <w:t xml:space="preserve"> ¶ 5 (July 14, 2015); Declaration of John R. Lowe ¶ 3 (July 12, 2015).</w:t>
      </w:r>
    </w:p>
  </w:footnote>
  <w:footnote w:id="7">
    <w:p w:rsidR="0015720A" w:rsidRPr="0015720A" w:rsidRDefault="0015720A">
      <w:pPr>
        <w:pStyle w:val="FootnoteText"/>
        <w:rPr>
          <w:u w:val="single"/>
        </w:rPr>
      </w:pPr>
      <w:r w:rsidRPr="0015720A">
        <w:rPr>
          <w:rStyle w:val="FootnoteReference"/>
          <w:u w:val="single"/>
        </w:rPr>
        <w:footnoteRef/>
      </w:r>
      <w:r>
        <w:rPr>
          <w:vertAlign w:val="superscript"/>
        </w:rPr>
        <w:t>/</w:t>
      </w:r>
      <w:r w:rsidRPr="0015720A">
        <w:t xml:space="preserve"> </w:t>
      </w:r>
      <w:r w:rsidRPr="0015720A">
        <w:tab/>
      </w:r>
      <w:r>
        <w:t xml:space="preserve">Declaration of Jeremy B. </w:t>
      </w:r>
      <w:proofErr w:type="spellStart"/>
      <w:r>
        <w:t>Twitchell</w:t>
      </w:r>
      <w:proofErr w:type="spellEnd"/>
      <w:r>
        <w:t xml:space="preserve"> ¶ 19.</w:t>
      </w:r>
    </w:p>
  </w:footnote>
  <w:footnote w:id="8">
    <w:p w:rsidR="0015720A" w:rsidRPr="0015720A" w:rsidRDefault="0015720A">
      <w:pPr>
        <w:pStyle w:val="FootnoteText"/>
      </w:pPr>
      <w:r w:rsidRPr="0015720A">
        <w:rPr>
          <w:rStyle w:val="FootnoteReference"/>
          <w:u w:val="single"/>
        </w:rPr>
        <w:footnoteRef/>
      </w:r>
      <w:r>
        <w:rPr>
          <w:vertAlign w:val="superscript"/>
        </w:rPr>
        <w:t>/</w:t>
      </w:r>
      <w:r w:rsidRPr="0015720A">
        <w:t xml:space="preserve"> </w:t>
      </w:r>
      <w:r w:rsidRPr="0015720A">
        <w:tab/>
      </w:r>
      <w:r>
        <w:rPr>
          <w:u w:val="single"/>
        </w:rPr>
        <w:t>Id.</w:t>
      </w:r>
      <w:r>
        <w:t xml:space="preserve"> ¶ 20.</w:t>
      </w:r>
    </w:p>
  </w:footnote>
  <w:footnote w:id="9">
    <w:p w:rsidR="00A05F12" w:rsidRPr="00A05F12" w:rsidRDefault="00A05F12">
      <w:pPr>
        <w:pStyle w:val="FootnoteText"/>
      </w:pPr>
      <w:r w:rsidRPr="00A05F12">
        <w:rPr>
          <w:rStyle w:val="FootnoteReference"/>
          <w:u w:val="single"/>
        </w:rPr>
        <w:footnoteRef/>
      </w:r>
      <w:r>
        <w:rPr>
          <w:vertAlign w:val="superscript"/>
        </w:rPr>
        <w:t>/</w:t>
      </w:r>
      <w:r w:rsidRPr="00A05F12">
        <w:t xml:space="preserve"> </w:t>
      </w:r>
      <w:r w:rsidRPr="00A05F12">
        <w:tab/>
      </w:r>
      <w:r>
        <w:rPr>
          <w:u w:val="single"/>
        </w:rPr>
        <w:t>Id.</w:t>
      </w:r>
      <w:r>
        <w:t>, Table 1 &amp; n. 36.</w:t>
      </w:r>
    </w:p>
  </w:footnote>
  <w:footnote w:id="10">
    <w:p w:rsidR="00A05F12" w:rsidRPr="00A05F12" w:rsidRDefault="00A05F12">
      <w:pPr>
        <w:pStyle w:val="FootnoteText"/>
        <w:rPr>
          <w:u w:val="single"/>
        </w:rPr>
      </w:pPr>
      <w:r w:rsidRPr="00A05F12">
        <w:rPr>
          <w:rStyle w:val="FootnoteReference"/>
          <w:u w:val="single"/>
        </w:rPr>
        <w:footnoteRef/>
      </w:r>
      <w:r>
        <w:rPr>
          <w:vertAlign w:val="superscript"/>
        </w:rPr>
        <w:t>/</w:t>
      </w:r>
      <w:r w:rsidRPr="00A05F12">
        <w:t xml:space="preserve"> </w:t>
      </w:r>
      <w:r w:rsidRPr="00A05F12">
        <w:tab/>
      </w:r>
      <w:r>
        <w:t>Declaration of John R. Lowe ¶¶ 3, 34.</w:t>
      </w:r>
    </w:p>
  </w:footnote>
  <w:footnote w:id="11">
    <w:p w:rsidR="00A05F12" w:rsidRPr="00A05F12" w:rsidRDefault="00A05F12">
      <w:pPr>
        <w:pStyle w:val="FootnoteText"/>
        <w:rPr>
          <w:u w:val="single"/>
        </w:rPr>
      </w:pPr>
      <w:r w:rsidRPr="00A05F12">
        <w:rPr>
          <w:rStyle w:val="FootnoteReference"/>
          <w:u w:val="single"/>
        </w:rPr>
        <w:footnoteRef/>
      </w:r>
      <w:r>
        <w:rPr>
          <w:vertAlign w:val="superscript"/>
        </w:rPr>
        <w:t>/</w:t>
      </w:r>
      <w:r w:rsidRPr="00A05F12">
        <w:t xml:space="preserve"> </w:t>
      </w:r>
      <w:r w:rsidRPr="00A05F12">
        <w:tab/>
      </w:r>
      <w:r>
        <w:t>Docket No. UE-144160, Cross-Answering Declaration of Bradley G. Mullins ¶ 4 (July 24, 2015).</w:t>
      </w:r>
    </w:p>
  </w:footnote>
  <w:footnote w:id="12">
    <w:p w:rsidR="007A1BA6" w:rsidRPr="007A1BA6" w:rsidRDefault="007A1BA6">
      <w:pPr>
        <w:pStyle w:val="FootnoteText"/>
      </w:pPr>
      <w:r w:rsidRPr="007A1BA6">
        <w:rPr>
          <w:rStyle w:val="FootnoteReference"/>
          <w:u w:val="single"/>
        </w:rPr>
        <w:footnoteRef/>
      </w:r>
      <w:r>
        <w:rPr>
          <w:vertAlign w:val="superscript"/>
        </w:rPr>
        <w:t>/</w:t>
      </w:r>
      <w:r w:rsidRPr="007A1BA6">
        <w:t xml:space="preserve"> </w:t>
      </w:r>
      <w:r w:rsidRPr="007A1BA6">
        <w:tab/>
      </w:r>
      <w:r w:rsidR="00A05F12">
        <w:t xml:space="preserve">16 U.S.C. § 824a-3(a), (b); </w:t>
      </w:r>
      <w:r>
        <w:rPr>
          <w:u w:val="single"/>
        </w:rPr>
        <w:t>Inter-Power of New York, Inc.</w:t>
      </w:r>
      <w:r>
        <w:t>, 55 FERC P 61,387 at ¶ 62,179 (June 7, 1991).</w:t>
      </w:r>
    </w:p>
  </w:footnote>
  <w:footnote w:id="13">
    <w:p w:rsidR="007A1BA6" w:rsidRPr="007A1BA6" w:rsidRDefault="007A1BA6">
      <w:pPr>
        <w:pStyle w:val="FootnoteText"/>
        <w:rPr>
          <w:u w:val="single"/>
        </w:rPr>
      </w:pPr>
      <w:r w:rsidRPr="007A1BA6">
        <w:rPr>
          <w:rStyle w:val="FootnoteReference"/>
          <w:u w:val="single"/>
        </w:rPr>
        <w:footnoteRef/>
      </w:r>
      <w:r>
        <w:rPr>
          <w:vertAlign w:val="superscript"/>
        </w:rPr>
        <w:t>/</w:t>
      </w:r>
      <w:r w:rsidRPr="007A1BA6">
        <w:t xml:space="preserve"> </w:t>
      </w:r>
      <w:r w:rsidRPr="007A1BA6">
        <w:tab/>
      </w:r>
      <w:r>
        <w:t>16 U.S.C. § 824a-3(b).</w:t>
      </w:r>
    </w:p>
  </w:footnote>
  <w:footnote w:id="14">
    <w:p w:rsidR="007A1BA6" w:rsidRPr="007A1BA6" w:rsidRDefault="007A1BA6">
      <w:pPr>
        <w:pStyle w:val="FootnoteText"/>
      </w:pPr>
      <w:r w:rsidRPr="007A1BA6">
        <w:rPr>
          <w:rStyle w:val="FootnoteReference"/>
          <w:u w:val="single"/>
        </w:rPr>
        <w:footnoteRef/>
      </w:r>
      <w:r>
        <w:rPr>
          <w:vertAlign w:val="superscript"/>
        </w:rPr>
        <w:t>/</w:t>
      </w:r>
      <w:r w:rsidRPr="007A1BA6">
        <w:t xml:space="preserve"> </w:t>
      </w:r>
      <w:r w:rsidRPr="007A1BA6">
        <w:tab/>
      </w:r>
      <w:r>
        <w:rPr>
          <w:u w:val="single"/>
        </w:rPr>
        <w:t>Id.</w:t>
      </w:r>
      <w:r>
        <w:t xml:space="preserve"> § 824a-3(d)</w:t>
      </w:r>
      <w:r w:rsidR="00754A8E">
        <w:t>; 18 C.F.R. § 292.101(b</w:t>
      </w:r>
      <w:proofErr w:type="gramStart"/>
      <w:r w:rsidR="00754A8E">
        <w:t>)(</w:t>
      </w:r>
      <w:proofErr w:type="gramEnd"/>
      <w:r w:rsidR="00754A8E">
        <w:t>6)</w:t>
      </w:r>
      <w:r>
        <w:t>.</w:t>
      </w:r>
    </w:p>
  </w:footnote>
  <w:footnote w:id="15">
    <w:p w:rsidR="00CD1F0F" w:rsidRPr="00CD1F0F" w:rsidRDefault="00CD1F0F">
      <w:pPr>
        <w:pStyle w:val="FootnoteText"/>
      </w:pPr>
      <w:r w:rsidRPr="00CD1F0F">
        <w:rPr>
          <w:rStyle w:val="FootnoteReference"/>
          <w:u w:val="single"/>
        </w:rPr>
        <w:footnoteRef/>
      </w:r>
      <w:r>
        <w:rPr>
          <w:vertAlign w:val="superscript"/>
        </w:rPr>
        <w:t>/</w:t>
      </w:r>
      <w:r w:rsidRPr="00CD1F0F">
        <w:t xml:space="preserve"> </w:t>
      </w:r>
      <w:r w:rsidRPr="00CD1F0F">
        <w:tab/>
      </w:r>
      <w:r>
        <w:rPr>
          <w:u w:val="single"/>
        </w:rPr>
        <w:t xml:space="preserve">American Paper </w:t>
      </w:r>
      <w:proofErr w:type="spellStart"/>
      <w:proofErr w:type="gramStart"/>
      <w:r>
        <w:rPr>
          <w:u w:val="single"/>
        </w:rPr>
        <w:t>Instit</w:t>
      </w:r>
      <w:proofErr w:type="spellEnd"/>
      <w:r>
        <w:rPr>
          <w:u w:val="single"/>
        </w:rPr>
        <w:t>.,</w:t>
      </w:r>
      <w:proofErr w:type="gramEnd"/>
      <w:r>
        <w:rPr>
          <w:u w:val="single"/>
        </w:rPr>
        <w:t xml:space="preserve"> Inc. v. American Elec. Power Serv. Corp.</w:t>
      </w:r>
      <w:r>
        <w:t>, 461 U.S. 402, 413 (1983).</w:t>
      </w:r>
    </w:p>
  </w:footnote>
  <w:footnote w:id="16">
    <w:p w:rsidR="00754A8E" w:rsidRPr="00754A8E" w:rsidRDefault="00754A8E">
      <w:pPr>
        <w:pStyle w:val="FootnoteText"/>
        <w:rPr>
          <w:u w:val="single"/>
        </w:rPr>
      </w:pPr>
      <w:r w:rsidRPr="00754A8E">
        <w:rPr>
          <w:rStyle w:val="FootnoteReference"/>
          <w:u w:val="single"/>
        </w:rPr>
        <w:footnoteRef/>
      </w:r>
      <w:r>
        <w:rPr>
          <w:vertAlign w:val="superscript"/>
        </w:rPr>
        <w:t>/</w:t>
      </w:r>
      <w:r w:rsidRPr="00754A8E">
        <w:t xml:space="preserve"> </w:t>
      </w:r>
      <w:r w:rsidRPr="00754A8E">
        <w:tab/>
      </w:r>
      <w:r>
        <w:t xml:space="preserve">Declaration of Jeremy B. </w:t>
      </w:r>
      <w:proofErr w:type="spellStart"/>
      <w:r>
        <w:t>Twitchell</w:t>
      </w:r>
      <w:proofErr w:type="spellEnd"/>
      <w:r>
        <w:t>, Table 1; Declaration of John R. Lowe ¶ 20.</w:t>
      </w:r>
    </w:p>
  </w:footnote>
  <w:footnote w:id="17">
    <w:p w:rsidR="00786E6A" w:rsidRPr="00BE29EB" w:rsidRDefault="00786E6A" w:rsidP="00786E6A">
      <w:pPr>
        <w:pStyle w:val="FootnoteText"/>
        <w:rPr>
          <w:u w:val="single"/>
        </w:rPr>
      </w:pPr>
      <w:r w:rsidRPr="00BE29EB">
        <w:rPr>
          <w:rStyle w:val="FootnoteReference"/>
          <w:u w:val="single"/>
        </w:rPr>
        <w:footnoteRef/>
      </w:r>
      <w:r>
        <w:rPr>
          <w:vertAlign w:val="superscript"/>
        </w:rPr>
        <w:t>/</w:t>
      </w:r>
      <w:r w:rsidRPr="00BE29EB">
        <w:t xml:space="preserve"> </w:t>
      </w:r>
      <w:r w:rsidRPr="00BE29EB">
        <w:tab/>
      </w:r>
      <w:r>
        <w:t>Declaration of Brian R. Dickman ¶ 9.</w:t>
      </w:r>
    </w:p>
  </w:footnote>
  <w:footnote w:id="18">
    <w:p w:rsidR="00BE29EB" w:rsidRPr="00BE29EB" w:rsidRDefault="00BE29EB">
      <w:pPr>
        <w:pStyle w:val="FootnoteText"/>
        <w:rPr>
          <w:u w:val="single"/>
        </w:rPr>
      </w:pPr>
      <w:r w:rsidRPr="00BE29EB">
        <w:rPr>
          <w:rStyle w:val="FootnoteReference"/>
          <w:u w:val="single"/>
        </w:rPr>
        <w:footnoteRef/>
      </w:r>
      <w:proofErr w:type="gramStart"/>
      <w:r>
        <w:rPr>
          <w:vertAlign w:val="superscript"/>
        </w:rPr>
        <w:t>/</w:t>
      </w:r>
      <w:r w:rsidRPr="00BE29EB">
        <w:t xml:space="preserve"> </w:t>
      </w:r>
      <w:r w:rsidRPr="00BE29EB">
        <w:tab/>
      </w:r>
      <w:r>
        <w:t>Cross-Answering Declaration of Bradley G. Mullins ¶ 6.</w:t>
      </w:r>
      <w:proofErr w:type="gramEnd"/>
    </w:p>
  </w:footnote>
  <w:footnote w:id="19">
    <w:p w:rsidR="00EB44ED" w:rsidRPr="00EB44ED" w:rsidRDefault="00EB44ED">
      <w:pPr>
        <w:pStyle w:val="FootnoteText"/>
      </w:pPr>
      <w:r w:rsidRPr="00EB44ED">
        <w:rPr>
          <w:rStyle w:val="FootnoteReference"/>
          <w:u w:val="single"/>
        </w:rPr>
        <w:footnoteRef/>
      </w:r>
      <w:r>
        <w:rPr>
          <w:vertAlign w:val="superscript"/>
        </w:rPr>
        <w:t>/</w:t>
      </w:r>
      <w:r w:rsidRPr="00EB44ED">
        <w:t xml:space="preserve"> </w:t>
      </w:r>
      <w:r w:rsidRPr="00EB44ED">
        <w:tab/>
      </w:r>
      <w:r>
        <w:rPr>
          <w:u w:val="single"/>
        </w:rPr>
        <w:t xml:space="preserve">WUTC v. </w:t>
      </w:r>
      <w:r w:rsidR="00AF21E8">
        <w:rPr>
          <w:u w:val="single"/>
        </w:rPr>
        <w:t>Pacific Power</w:t>
      </w:r>
      <w:bookmarkStart w:id="0" w:name="_GoBack"/>
      <w:bookmarkEnd w:id="0"/>
      <w:r>
        <w:t>, Docket Nos. UE-061546 &amp; UE-060817, Order 08 ¶ 44 (June 21, 2007).</w:t>
      </w:r>
    </w:p>
  </w:footnote>
  <w:footnote w:id="20">
    <w:p w:rsidR="00EB44ED" w:rsidRPr="00EB44ED" w:rsidRDefault="00EB44ED">
      <w:pPr>
        <w:pStyle w:val="FootnoteText"/>
        <w:rPr>
          <w:u w:val="single"/>
        </w:rPr>
      </w:pPr>
      <w:r w:rsidRPr="00EB44ED">
        <w:rPr>
          <w:rStyle w:val="FootnoteReference"/>
          <w:u w:val="single"/>
        </w:rPr>
        <w:footnoteRef/>
      </w:r>
      <w:proofErr w:type="gramStart"/>
      <w:r>
        <w:rPr>
          <w:vertAlign w:val="superscript"/>
        </w:rPr>
        <w:t>/</w:t>
      </w:r>
      <w:r w:rsidRPr="00EB44ED">
        <w:t xml:space="preserve"> </w:t>
      </w:r>
      <w:r w:rsidRPr="00EB44ED">
        <w:tab/>
      </w:r>
      <w:r>
        <w:t>Cross-Answering Declaration of Bradley G. Mullins ¶ 6.</w:t>
      </w:r>
      <w:proofErr w:type="gramEnd"/>
    </w:p>
  </w:footnote>
  <w:footnote w:id="21">
    <w:p w:rsidR="00EB44ED" w:rsidRPr="00EB44ED" w:rsidRDefault="00EB44ED" w:rsidP="00EB44ED">
      <w:pPr>
        <w:pStyle w:val="FootnoteText"/>
        <w:ind w:left="720" w:hanging="720"/>
      </w:pPr>
      <w:r w:rsidRPr="00EB44ED">
        <w:rPr>
          <w:rStyle w:val="FootnoteReference"/>
          <w:u w:val="single"/>
        </w:rPr>
        <w:footnoteRef/>
      </w:r>
      <w:r>
        <w:rPr>
          <w:vertAlign w:val="superscript"/>
        </w:rPr>
        <w:t>/</w:t>
      </w:r>
      <w:r w:rsidRPr="00EB44ED">
        <w:t xml:space="preserve"> </w:t>
      </w:r>
      <w:r w:rsidRPr="00EB44ED">
        <w:tab/>
      </w:r>
      <w:r>
        <w:rPr>
          <w:u w:val="single"/>
        </w:rPr>
        <w:t>Cf.</w:t>
      </w:r>
      <w:r>
        <w:t xml:space="preserve">, </w:t>
      </w:r>
      <w:r>
        <w:rPr>
          <w:u w:val="single"/>
        </w:rPr>
        <w:t>Middle South Services, Inc. v. Middle South Utilities, Inc.</w:t>
      </w:r>
      <w:r>
        <w:t>, 71 P.U.R.4th 580, 33 FERC P. 61,408 at 61,788 (Dec. 23, 1985) (finding that ratepayers must be credited with capacity when their rates include avoided capacity payments to QFs).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39"/>
    <w:rsid w:val="000015B0"/>
    <w:rsid w:val="00041527"/>
    <w:rsid w:val="0005493A"/>
    <w:rsid w:val="000953C4"/>
    <w:rsid w:val="0014421C"/>
    <w:rsid w:val="0015720A"/>
    <w:rsid w:val="00233F9C"/>
    <w:rsid w:val="002602B9"/>
    <w:rsid w:val="00265339"/>
    <w:rsid w:val="003735D6"/>
    <w:rsid w:val="00385D77"/>
    <w:rsid w:val="003F5D1C"/>
    <w:rsid w:val="00426D5F"/>
    <w:rsid w:val="004D1823"/>
    <w:rsid w:val="004E4D9B"/>
    <w:rsid w:val="005E4BC1"/>
    <w:rsid w:val="00603890"/>
    <w:rsid w:val="00627650"/>
    <w:rsid w:val="00754A8E"/>
    <w:rsid w:val="00786E6A"/>
    <w:rsid w:val="007A1BA6"/>
    <w:rsid w:val="007E0A88"/>
    <w:rsid w:val="008A15F2"/>
    <w:rsid w:val="008A5792"/>
    <w:rsid w:val="008F50A4"/>
    <w:rsid w:val="009D0437"/>
    <w:rsid w:val="00A05F12"/>
    <w:rsid w:val="00A943FA"/>
    <w:rsid w:val="00AD0E2E"/>
    <w:rsid w:val="00AE50A1"/>
    <w:rsid w:val="00AF21E8"/>
    <w:rsid w:val="00B02EA1"/>
    <w:rsid w:val="00BE29EB"/>
    <w:rsid w:val="00CD1F0F"/>
    <w:rsid w:val="00CD1F2D"/>
    <w:rsid w:val="00D431C6"/>
    <w:rsid w:val="00DC03DC"/>
    <w:rsid w:val="00E001E0"/>
    <w:rsid w:val="00E6661D"/>
    <w:rsid w:val="00EB44ED"/>
    <w:rsid w:val="00F538BC"/>
    <w:rsid w:val="00FA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39"/>
    <w:rPr>
      <w:rFonts w:eastAsia="Times New Roman"/>
    </w:rPr>
  </w:style>
  <w:style w:type="paragraph" w:styleId="Heading1">
    <w:name w:val="heading 1"/>
    <w:basedOn w:val="Normal"/>
    <w:next w:val="Normal"/>
    <w:link w:val="Heading1Char"/>
    <w:qFormat/>
    <w:rsid w:val="00265339"/>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339"/>
    <w:rPr>
      <w:rFonts w:eastAsia="Times New Roman"/>
      <w:b/>
      <w:szCs w:val="20"/>
    </w:rPr>
  </w:style>
  <w:style w:type="paragraph" w:styleId="Footer">
    <w:name w:val="footer"/>
    <w:basedOn w:val="Normal"/>
    <w:link w:val="FooterChar"/>
    <w:uiPriority w:val="99"/>
    <w:rsid w:val="00265339"/>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sid w:val="00265339"/>
    <w:rPr>
      <w:rFonts w:eastAsia="Times New Roman"/>
      <w:snapToGrid w:val="0"/>
      <w:szCs w:val="20"/>
    </w:rPr>
  </w:style>
  <w:style w:type="paragraph" w:customStyle="1" w:styleId="SingleSpacing">
    <w:name w:val="Single Spacing"/>
    <w:basedOn w:val="Normal"/>
    <w:rsid w:val="00265339"/>
    <w:pPr>
      <w:spacing w:line="254" w:lineRule="exact"/>
    </w:pPr>
    <w:rPr>
      <w:szCs w:val="20"/>
    </w:rPr>
  </w:style>
  <w:style w:type="paragraph" w:styleId="BodyText2">
    <w:name w:val="Body Text 2"/>
    <w:basedOn w:val="Normal"/>
    <w:link w:val="BodyText2Char"/>
    <w:rsid w:val="00265339"/>
    <w:rPr>
      <w:szCs w:val="20"/>
    </w:rPr>
  </w:style>
  <w:style w:type="character" w:customStyle="1" w:styleId="BodyText2Char">
    <w:name w:val="Body Text 2 Char"/>
    <w:basedOn w:val="DefaultParagraphFont"/>
    <w:link w:val="BodyText2"/>
    <w:rsid w:val="00265339"/>
    <w:rPr>
      <w:rFonts w:eastAsia="Times New Roman"/>
      <w:szCs w:val="20"/>
    </w:rPr>
  </w:style>
  <w:style w:type="paragraph" w:styleId="Header">
    <w:name w:val="header"/>
    <w:basedOn w:val="Normal"/>
    <w:link w:val="HeaderChar"/>
    <w:uiPriority w:val="99"/>
    <w:rsid w:val="00265339"/>
    <w:pPr>
      <w:tabs>
        <w:tab w:val="center" w:pos="4320"/>
        <w:tab w:val="right" w:pos="8640"/>
      </w:tabs>
    </w:pPr>
    <w:rPr>
      <w:sz w:val="20"/>
      <w:szCs w:val="20"/>
    </w:rPr>
  </w:style>
  <w:style w:type="character" w:customStyle="1" w:styleId="HeaderChar">
    <w:name w:val="Header Char"/>
    <w:basedOn w:val="DefaultParagraphFont"/>
    <w:link w:val="Header"/>
    <w:uiPriority w:val="99"/>
    <w:rsid w:val="00265339"/>
    <w:rPr>
      <w:rFonts w:eastAsia="Times New Roman"/>
      <w:sz w:val="20"/>
      <w:szCs w:val="20"/>
    </w:rPr>
  </w:style>
  <w:style w:type="paragraph" w:styleId="FootnoteText">
    <w:name w:val="footnote text"/>
    <w:basedOn w:val="Normal"/>
    <w:link w:val="FootnoteTextChar"/>
    <w:uiPriority w:val="99"/>
    <w:semiHidden/>
    <w:unhideWhenUsed/>
    <w:rsid w:val="007A1BA6"/>
    <w:rPr>
      <w:sz w:val="20"/>
      <w:szCs w:val="20"/>
    </w:rPr>
  </w:style>
  <w:style w:type="character" w:customStyle="1" w:styleId="FootnoteTextChar">
    <w:name w:val="Footnote Text Char"/>
    <w:basedOn w:val="DefaultParagraphFont"/>
    <w:link w:val="FootnoteText"/>
    <w:uiPriority w:val="99"/>
    <w:semiHidden/>
    <w:rsid w:val="007A1BA6"/>
    <w:rPr>
      <w:rFonts w:eastAsia="Times New Roman"/>
      <w:sz w:val="20"/>
      <w:szCs w:val="20"/>
    </w:rPr>
  </w:style>
  <w:style w:type="character" w:styleId="FootnoteReference">
    <w:name w:val="footnote reference"/>
    <w:basedOn w:val="DefaultParagraphFont"/>
    <w:uiPriority w:val="99"/>
    <w:semiHidden/>
    <w:unhideWhenUsed/>
    <w:rsid w:val="007A1BA6"/>
    <w:rPr>
      <w:vertAlign w:val="superscript"/>
    </w:rPr>
  </w:style>
  <w:style w:type="character" w:styleId="PageNumber">
    <w:name w:val="page number"/>
    <w:basedOn w:val="DefaultParagraphFont"/>
    <w:rsid w:val="000953C4"/>
  </w:style>
  <w:style w:type="paragraph" w:styleId="BalloonText">
    <w:name w:val="Balloon Text"/>
    <w:basedOn w:val="Normal"/>
    <w:link w:val="BalloonTextChar"/>
    <w:uiPriority w:val="99"/>
    <w:semiHidden/>
    <w:unhideWhenUsed/>
    <w:rsid w:val="00603890"/>
    <w:rPr>
      <w:rFonts w:ascii="Tahoma" w:hAnsi="Tahoma" w:cs="Tahoma"/>
      <w:sz w:val="16"/>
      <w:szCs w:val="16"/>
    </w:rPr>
  </w:style>
  <w:style w:type="character" w:customStyle="1" w:styleId="BalloonTextChar">
    <w:name w:val="Balloon Text Char"/>
    <w:basedOn w:val="DefaultParagraphFont"/>
    <w:link w:val="BalloonText"/>
    <w:uiPriority w:val="99"/>
    <w:semiHidden/>
    <w:rsid w:val="00603890"/>
    <w:rPr>
      <w:rFonts w:ascii="Tahoma" w:eastAsia="Times New Roman" w:hAnsi="Tahoma" w:cs="Tahoma"/>
      <w:sz w:val="16"/>
      <w:szCs w:val="16"/>
    </w:rPr>
  </w:style>
  <w:style w:type="paragraph" w:customStyle="1" w:styleId="WUTCParagraph">
    <w:name w:val="WUTC Paragraph"/>
    <w:basedOn w:val="Normal"/>
    <w:rsid w:val="00B02EA1"/>
    <w:pPr>
      <w:numPr>
        <w:numId w:val="1"/>
      </w:numPr>
      <w:tabs>
        <w:tab w:val="left" w:pos="1440"/>
      </w:tabs>
      <w:spacing w:line="480" w:lineRule="auto"/>
    </w:pPr>
    <w:rPr>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39"/>
    <w:rPr>
      <w:rFonts w:eastAsia="Times New Roman"/>
    </w:rPr>
  </w:style>
  <w:style w:type="paragraph" w:styleId="Heading1">
    <w:name w:val="heading 1"/>
    <w:basedOn w:val="Normal"/>
    <w:next w:val="Normal"/>
    <w:link w:val="Heading1Char"/>
    <w:qFormat/>
    <w:rsid w:val="00265339"/>
    <w:pPr>
      <w:keepNext/>
      <w:spacing w:after="24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339"/>
    <w:rPr>
      <w:rFonts w:eastAsia="Times New Roman"/>
      <w:b/>
      <w:szCs w:val="20"/>
    </w:rPr>
  </w:style>
  <w:style w:type="paragraph" w:styleId="Footer">
    <w:name w:val="footer"/>
    <w:basedOn w:val="Normal"/>
    <w:link w:val="FooterChar"/>
    <w:uiPriority w:val="99"/>
    <w:rsid w:val="00265339"/>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sid w:val="00265339"/>
    <w:rPr>
      <w:rFonts w:eastAsia="Times New Roman"/>
      <w:snapToGrid w:val="0"/>
      <w:szCs w:val="20"/>
    </w:rPr>
  </w:style>
  <w:style w:type="paragraph" w:customStyle="1" w:styleId="SingleSpacing">
    <w:name w:val="Single Spacing"/>
    <w:basedOn w:val="Normal"/>
    <w:rsid w:val="00265339"/>
    <w:pPr>
      <w:spacing w:line="254" w:lineRule="exact"/>
    </w:pPr>
    <w:rPr>
      <w:szCs w:val="20"/>
    </w:rPr>
  </w:style>
  <w:style w:type="paragraph" w:styleId="BodyText2">
    <w:name w:val="Body Text 2"/>
    <w:basedOn w:val="Normal"/>
    <w:link w:val="BodyText2Char"/>
    <w:rsid w:val="00265339"/>
    <w:rPr>
      <w:szCs w:val="20"/>
    </w:rPr>
  </w:style>
  <w:style w:type="character" w:customStyle="1" w:styleId="BodyText2Char">
    <w:name w:val="Body Text 2 Char"/>
    <w:basedOn w:val="DefaultParagraphFont"/>
    <w:link w:val="BodyText2"/>
    <w:rsid w:val="00265339"/>
    <w:rPr>
      <w:rFonts w:eastAsia="Times New Roman"/>
      <w:szCs w:val="20"/>
    </w:rPr>
  </w:style>
  <w:style w:type="paragraph" w:styleId="Header">
    <w:name w:val="header"/>
    <w:basedOn w:val="Normal"/>
    <w:link w:val="HeaderChar"/>
    <w:uiPriority w:val="99"/>
    <w:rsid w:val="00265339"/>
    <w:pPr>
      <w:tabs>
        <w:tab w:val="center" w:pos="4320"/>
        <w:tab w:val="right" w:pos="8640"/>
      </w:tabs>
    </w:pPr>
    <w:rPr>
      <w:sz w:val="20"/>
      <w:szCs w:val="20"/>
    </w:rPr>
  </w:style>
  <w:style w:type="character" w:customStyle="1" w:styleId="HeaderChar">
    <w:name w:val="Header Char"/>
    <w:basedOn w:val="DefaultParagraphFont"/>
    <w:link w:val="Header"/>
    <w:uiPriority w:val="99"/>
    <w:rsid w:val="00265339"/>
    <w:rPr>
      <w:rFonts w:eastAsia="Times New Roman"/>
      <w:sz w:val="20"/>
      <w:szCs w:val="20"/>
    </w:rPr>
  </w:style>
  <w:style w:type="paragraph" w:styleId="FootnoteText">
    <w:name w:val="footnote text"/>
    <w:basedOn w:val="Normal"/>
    <w:link w:val="FootnoteTextChar"/>
    <w:uiPriority w:val="99"/>
    <w:semiHidden/>
    <w:unhideWhenUsed/>
    <w:rsid w:val="007A1BA6"/>
    <w:rPr>
      <w:sz w:val="20"/>
      <w:szCs w:val="20"/>
    </w:rPr>
  </w:style>
  <w:style w:type="character" w:customStyle="1" w:styleId="FootnoteTextChar">
    <w:name w:val="Footnote Text Char"/>
    <w:basedOn w:val="DefaultParagraphFont"/>
    <w:link w:val="FootnoteText"/>
    <w:uiPriority w:val="99"/>
    <w:semiHidden/>
    <w:rsid w:val="007A1BA6"/>
    <w:rPr>
      <w:rFonts w:eastAsia="Times New Roman"/>
      <w:sz w:val="20"/>
      <w:szCs w:val="20"/>
    </w:rPr>
  </w:style>
  <w:style w:type="character" w:styleId="FootnoteReference">
    <w:name w:val="footnote reference"/>
    <w:basedOn w:val="DefaultParagraphFont"/>
    <w:uiPriority w:val="99"/>
    <w:semiHidden/>
    <w:unhideWhenUsed/>
    <w:rsid w:val="007A1BA6"/>
    <w:rPr>
      <w:vertAlign w:val="superscript"/>
    </w:rPr>
  </w:style>
  <w:style w:type="character" w:styleId="PageNumber">
    <w:name w:val="page number"/>
    <w:basedOn w:val="DefaultParagraphFont"/>
    <w:rsid w:val="000953C4"/>
  </w:style>
  <w:style w:type="paragraph" w:styleId="BalloonText">
    <w:name w:val="Balloon Text"/>
    <w:basedOn w:val="Normal"/>
    <w:link w:val="BalloonTextChar"/>
    <w:uiPriority w:val="99"/>
    <w:semiHidden/>
    <w:unhideWhenUsed/>
    <w:rsid w:val="00603890"/>
    <w:rPr>
      <w:rFonts w:ascii="Tahoma" w:hAnsi="Tahoma" w:cs="Tahoma"/>
      <w:sz w:val="16"/>
      <w:szCs w:val="16"/>
    </w:rPr>
  </w:style>
  <w:style w:type="character" w:customStyle="1" w:styleId="BalloonTextChar">
    <w:name w:val="Balloon Text Char"/>
    <w:basedOn w:val="DefaultParagraphFont"/>
    <w:link w:val="BalloonText"/>
    <w:uiPriority w:val="99"/>
    <w:semiHidden/>
    <w:rsid w:val="00603890"/>
    <w:rPr>
      <w:rFonts w:ascii="Tahoma" w:eastAsia="Times New Roman" w:hAnsi="Tahoma" w:cs="Tahoma"/>
      <w:sz w:val="16"/>
      <w:szCs w:val="16"/>
    </w:rPr>
  </w:style>
  <w:style w:type="paragraph" w:customStyle="1" w:styleId="WUTCParagraph">
    <w:name w:val="WUTC Paragraph"/>
    <w:basedOn w:val="Normal"/>
    <w:rsid w:val="00B02EA1"/>
    <w:pPr>
      <w:numPr>
        <w:numId w:val="1"/>
      </w:numPr>
      <w:tabs>
        <w:tab w:val="left" w:pos="1440"/>
      </w:tabs>
      <w:spacing w:line="480" w:lineRule="auto"/>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F8BB03-307E-40B7-B438-04E0BAF9A6CA}"/>
</file>

<file path=customXml/itemProps2.xml><?xml version="1.0" encoding="utf-8"?>
<ds:datastoreItem xmlns:ds="http://schemas.openxmlformats.org/officeDocument/2006/customXml" ds:itemID="{99E9BF72-048F-4A1A-97C2-C68D89310788}"/>
</file>

<file path=customXml/itemProps3.xml><?xml version="1.0" encoding="utf-8"?>
<ds:datastoreItem xmlns:ds="http://schemas.openxmlformats.org/officeDocument/2006/customXml" ds:itemID="{D0C6D5D7-9D8F-4E6E-B237-E4E730FFE40C}"/>
</file>

<file path=customXml/itemProps4.xml><?xml version="1.0" encoding="utf-8"?>
<ds:datastoreItem xmlns:ds="http://schemas.openxmlformats.org/officeDocument/2006/customXml" ds:itemID="{7D768B66-51D4-4AFE-B119-AC31FBF41837}"/>
</file>

<file path=docProps/app.xml><?xml version="1.0" encoding="utf-8"?>
<Properties xmlns="http://schemas.openxmlformats.org/officeDocument/2006/extended-properties" xmlns:vt="http://schemas.openxmlformats.org/officeDocument/2006/docPropsVTypes">
  <Template>Normal</Template>
  <TotalTime>378</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13</cp:revision>
  <cp:lastPrinted>2015-09-10T22:06:00Z</cp:lastPrinted>
  <dcterms:created xsi:type="dcterms:W3CDTF">2015-08-18T22:22:00Z</dcterms:created>
  <dcterms:modified xsi:type="dcterms:W3CDTF">2015-09-11T17:03:00Z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