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D0" w:rsidRPr="009852D0" w:rsidRDefault="009852D0" w:rsidP="00261D7D">
      <w:pPr>
        <w:widowControl w:val="0"/>
        <w:spacing w:before="240" w:line="240" w:lineRule="atLeast"/>
        <w:ind w:left="4320" w:firstLine="0"/>
        <w:rPr>
          <w:b/>
        </w:rPr>
      </w:pPr>
      <w:r w:rsidRPr="009852D0">
        <w:rPr>
          <w:b/>
        </w:rPr>
        <w:t>EXHIBIT NO</w:t>
      </w:r>
      <w:r w:rsidR="00261D7D">
        <w:rPr>
          <w:b/>
        </w:rPr>
        <w:t>. </w:t>
      </w:r>
      <w:r w:rsidRPr="009852D0">
        <w:rPr>
          <w:b/>
        </w:rPr>
        <w:t>___(</w:t>
      </w:r>
      <w:r>
        <w:rPr>
          <w:b/>
        </w:rPr>
        <w:t>MRM</w:t>
      </w:r>
      <w:r w:rsidRPr="009852D0">
        <w:rPr>
          <w:b/>
        </w:rPr>
        <w:t>-</w:t>
      </w:r>
      <w:r w:rsidR="00307081">
        <w:rPr>
          <w:b/>
        </w:rPr>
        <w:t>5</w:t>
      </w:r>
      <w:r w:rsidRPr="009852D0">
        <w:rPr>
          <w:b/>
        </w:rPr>
        <w:t>T)</w:t>
      </w:r>
      <w:r w:rsidRPr="009852D0">
        <w:rPr>
          <w:b/>
        </w:rPr>
        <w:br/>
        <w:t>DOCKET NO. UE-</w:t>
      </w:r>
      <w:r w:rsidR="00307081" w:rsidRPr="00307081">
        <w:rPr>
          <w:b/>
        </w:rPr>
        <w:t>132027</w:t>
      </w:r>
      <w:r w:rsidRPr="009852D0">
        <w:rPr>
          <w:b/>
        </w:rPr>
        <w:br/>
        <w:t>WITNESS:  </w:t>
      </w:r>
      <w:r>
        <w:rPr>
          <w:b/>
          <w:bCs/>
          <w:szCs w:val="24"/>
        </w:rPr>
        <w:t>MATTHEW R. MARCELIA</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r w:rsidRPr="009852D0">
        <w:rPr>
          <w:b/>
        </w:rPr>
        <w:t>BEFORE THE</w:t>
      </w:r>
    </w:p>
    <w:p w:rsidR="009852D0" w:rsidRPr="009852D0" w:rsidRDefault="009852D0" w:rsidP="009852D0">
      <w:pPr>
        <w:widowControl w:val="0"/>
        <w:spacing w:line="240" w:lineRule="auto"/>
        <w:ind w:firstLine="0"/>
        <w:jc w:val="center"/>
        <w:rPr>
          <w:b/>
        </w:rPr>
      </w:pPr>
      <w:r w:rsidRPr="009852D0">
        <w:rPr>
          <w:b/>
        </w:rPr>
        <w:t>WASHINGTON UTILITIES AND TRANSPORTATION COMMISSION</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tbl>
      <w:tblPr>
        <w:tblW w:w="9081" w:type="dxa"/>
        <w:tblLayout w:type="fixed"/>
        <w:tblCellMar>
          <w:left w:w="0" w:type="dxa"/>
          <w:right w:w="0" w:type="dxa"/>
        </w:tblCellMar>
        <w:tblLook w:val="0000" w:firstRow="0" w:lastRow="0" w:firstColumn="0" w:lastColumn="0" w:noHBand="0" w:noVBand="0"/>
      </w:tblPr>
      <w:tblGrid>
        <w:gridCol w:w="4378"/>
        <w:gridCol w:w="134"/>
        <w:gridCol w:w="4569"/>
      </w:tblGrid>
      <w:tr w:rsidR="00BA2D6C" w:rsidRPr="009852D0" w:rsidTr="006D3235">
        <w:trPr>
          <w:cantSplit/>
        </w:trPr>
        <w:tc>
          <w:tcPr>
            <w:tcW w:w="4238" w:type="dxa"/>
            <w:tcBorders>
              <w:bottom w:val="single" w:sz="4" w:space="0" w:color="auto"/>
              <w:right w:val="single" w:sz="4" w:space="0" w:color="auto"/>
            </w:tcBorders>
          </w:tcPr>
          <w:p w:rsidR="009852D0" w:rsidRPr="009852D0" w:rsidRDefault="009852D0" w:rsidP="009852D0">
            <w:pPr>
              <w:widowControl w:val="0"/>
              <w:tabs>
                <w:tab w:val="left" w:pos="1440"/>
              </w:tabs>
              <w:spacing w:line="240" w:lineRule="exact"/>
              <w:ind w:firstLine="0"/>
              <w:rPr>
                <w:b/>
              </w:rPr>
            </w:pPr>
            <w:r w:rsidRPr="009852D0">
              <w:rPr>
                <w:b/>
              </w:rPr>
              <w:t>In the Matter of the Petition of</w:t>
            </w:r>
          </w:p>
          <w:p w:rsidR="009852D0" w:rsidRPr="009852D0" w:rsidRDefault="009852D0" w:rsidP="009852D0">
            <w:pPr>
              <w:widowControl w:val="0"/>
              <w:tabs>
                <w:tab w:val="left" w:pos="1440"/>
              </w:tabs>
              <w:spacing w:line="240" w:lineRule="exact"/>
              <w:ind w:firstLine="0"/>
              <w:rPr>
                <w:b/>
              </w:rPr>
            </w:pPr>
          </w:p>
          <w:p w:rsidR="009852D0" w:rsidRPr="009852D0" w:rsidRDefault="009852D0" w:rsidP="009852D0">
            <w:pPr>
              <w:widowControl w:val="0"/>
              <w:tabs>
                <w:tab w:val="left" w:pos="1440"/>
              </w:tabs>
              <w:spacing w:line="240" w:lineRule="exact"/>
              <w:ind w:firstLine="0"/>
              <w:rPr>
                <w:b/>
              </w:rPr>
            </w:pPr>
            <w:r w:rsidRPr="009852D0">
              <w:rPr>
                <w:b/>
              </w:rPr>
              <w:t>PUGET SOUND ENERGY, INC.</w:t>
            </w:r>
          </w:p>
          <w:p w:rsidR="009852D0" w:rsidRPr="009852D0" w:rsidRDefault="009852D0" w:rsidP="009852D0">
            <w:pPr>
              <w:widowControl w:val="0"/>
              <w:tabs>
                <w:tab w:val="left" w:pos="1440"/>
              </w:tabs>
              <w:spacing w:line="240" w:lineRule="exact"/>
              <w:ind w:firstLine="0"/>
              <w:rPr>
                <w:b/>
              </w:rPr>
            </w:pPr>
          </w:p>
          <w:p w:rsidR="009852D0" w:rsidRPr="009852D0" w:rsidRDefault="009852D0" w:rsidP="009852D0">
            <w:pPr>
              <w:widowControl w:val="0"/>
              <w:tabs>
                <w:tab w:val="left" w:pos="1440"/>
              </w:tabs>
              <w:spacing w:line="240" w:lineRule="exact"/>
              <w:ind w:firstLine="0"/>
              <w:rPr>
                <w:b/>
              </w:rPr>
            </w:pPr>
            <w:r w:rsidRPr="009852D0">
              <w:rPr>
                <w:b/>
              </w:rPr>
              <w:t>For an Accounting Order Approving the Allocation of Proceeds of the Sale of Certain Assets to Public Utility District #1 of Jefferson County.</w:t>
            </w:r>
          </w:p>
        </w:tc>
        <w:tc>
          <w:tcPr>
            <w:tcW w:w="130" w:type="dxa"/>
            <w:tcBorders>
              <w:left w:val="single" w:sz="4" w:space="0" w:color="auto"/>
            </w:tcBorders>
          </w:tcPr>
          <w:p w:rsidR="009852D0" w:rsidRPr="009852D0" w:rsidRDefault="009852D0" w:rsidP="009852D0">
            <w:pPr>
              <w:widowControl w:val="0"/>
              <w:rPr>
                <w:b/>
              </w:rPr>
            </w:pPr>
          </w:p>
        </w:tc>
        <w:tc>
          <w:tcPr>
            <w:tcW w:w="4423" w:type="dxa"/>
            <w:vAlign w:val="center"/>
          </w:tcPr>
          <w:p w:rsidR="009852D0" w:rsidRPr="009852D0" w:rsidRDefault="009852D0" w:rsidP="00261D7D">
            <w:pPr>
              <w:widowControl w:val="0"/>
              <w:spacing w:line="240" w:lineRule="exact"/>
              <w:ind w:left="198" w:firstLine="0"/>
              <w:rPr>
                <w:b/>
              </w:rPr>
            </w:pPr>
            <w:r w:rsidRPr="009852D0">
              <w:rPr>
                <w:b/>
              </w:rPr>
              <w:t>Docket No. UE-</w:t>
            </w:r>
            <w:r w:rsidR="00307081" w:rsidRPr="00307081">
              <w:rPr>
                <w:b/>
              </w:rPr>
              <w:t>132027</w:t>
            </w:r>
          </w:p>
        </w:tc>
      </w:tr>
    </w:tbl>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r w:rsidRPr="00261D7D">
        <w:rPr>
          <w:b/>
        </w:rPr>
        <w:t xml:space="preserve">PREFILED </w:t>
      </w:r>
      <w:r w:rsidR="0083214F">
        <w:rPr>
          <w:b/>
        </w:rPr>
        <w:t>REBUTTAL</w:t>
      </w:r>
      <w:r w:rsidRPr="00261D7D">
        <w:rPr>
          <w:b/>
        </w:rPr>
        <w:t xml:space="preserve"> TESTIMONY (NONCONFIDENTIAL) OF</w:t>
      </w:r>
    </w:p>
    <w:p w:rsidR="00261D7D" w:rsidRPr="00261D7D" w:rsidRDefault="0047745C" w:rsidP="00261D7D">
      <w:pPr>
        <w:widowControl w:val="0"/>
        <w:spacing w:line="240" w:lineRule="auto"/>
        <w:ind w:firstLine="0"/>
        <w:jc w:val="center"/>
        <w:rPr>
          <w:b/>
        </w:rPr>
      </w:pPr>
      <w:r>
        <w:rPr>
          <w:b/>
        </w:rPr>
        <w:t>MATTHEW R. MARCELIA</w:t>
      </w:r>
    </w:p>
    <w:p w:rsidR="009852D0" w:rsidRPr="009852D0" w:rsidRDefault="00261D7D" w:rsidP="00261D7D">
      <w:pPr>
        <w:widowControl w:val="0"/>
        <w:spacing w:line="240" w:lineRule="auto"/>
        <w:ind w:firstLine="0"/>
        <w:jc w:val="center"/>
        <w:rPr>
          <w:b/>
        </w:rPr>
      </w:pPr>
      <w:r w:rsidRPr="00261D7D">
        <w:rPr>
          <w:b/>
        </w:rPr>
        <w:t>ON BEHALF OF PUGET SOUND ENERGY, INC.</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4610AC" w:rsidRPr="009075DC" w:rsidRDefault="00307081" w:rsidP="000F4005">
      <w:pPr>
        <w:widowControl w:val="0"/>
        <w:spacing w:line="240" w:lineRule="auto"/>
        <w:ind w:firstLine="0"/>
        <w:jc w:val="center"/>
        <w:rPr>
          <w:b/>
          <w:bCs/>
          <w:szCs w:val="24"/>
        </w:rPr>
        <w:sectPr w:rsidR="004610AC" w:rsidRPr="009075DC">
          <w:headerReference w:type="default" r:id="rId10"/>
          <w:footerReference w:type="default" r:id="rId11"/>
          <w:pgSz w:w="12240" w:h="15840" w:code="1"/>
          <w:pgMar w:top="1440" w:right="1440" w:bottom="1440" w:left="2160" w:header="720" w:footer="864" w:gutter="0"/>
          <w:pgNumType w:start="1"/>
          <w:cols w:space="720"/>
          <w:rtlGutter/>
        </w:sectPr>
      </w:pPr>
      <w:r>
        <w:rPr>
          <w:b/>
          <w:bCs/>
          <w:szCs w:val="24"/>
        </w:rPr>
        <w:t>APRIL 22, 2014</w:t>
      </w:r>
    </w:p>
    <w:p w:rsidR="001B0B4C" w:rsidRPr="00467975" w:rsidRDefault="001B0B4C" w:rsidP="001B0B4C">
      <w:pPr>
        <w:keepNext/>
        <w:keepLines/>
        <w:spacing w:before="240" w:after="360" w:line="240" w:lineRule="auto"/>
        <w:ind w:left="547" w:right="547" w:firstLine="0"/>
        <w:jc w:val="center"/>
        <w:rPr>
          <w:b/>
          <w:bCs/>
          <w:szCs w:val="24"/>
        </w:rPr>
      </w:pPr>
      <w:bookmarkStart w:id="0" w:name="_Toc125167531"/>
      <w:bookmarkStart w:id="1" w:name="_Toc127023381"/>
      <w:bookmarkStart w:id="2" w:name="_Toc364777984"/>
      <w:r w:rsidRPr="00467975">
        <w:rPr>
          <w:b/>
          <w:bCs/>
          <w:szCs w:val="24"/>
        </w:rPr>
        <w:lastRenderedPageBreak/>
        <w:t>PUGET SOUND ENERGY, INC.</w:t>
      </w:r>
    </w:p>
    <w:p w:rsidR="001B0B4C" w:rsidRPr="009075DC" w:rsidRDefault="001B0B4C" w:rsidP="001B0B4C">
      <w:pPr>
        <w:keepNext/>
        <w:keepLines/>
        <w:spacing w:before="240" w:after="360" w:line="240" w:lineRule="auto"/>
        <w:ind w:left="547" w:right="547" w:firstLine="0"/>
        <w:jc w:val="center"/>
        <w:rPr>
          <w:b/>
          <w:bCs/>
          <w:szCs w:val="24"/>
        </w:rPr>
      </w:pPr>
      <w:r w:rsidRPr="00467975">
        <w:rPr>
          <w:b/>
          <w:bCs/>
          <w:szCs w:val="24"/>
        </w:rPr>
        <w:t xml:space="preserve">PREFILED </w:t>
      </w:r>
      <w:r w:rsidR="00307081">
        <w:rPr>
          <w:b/>
          <w:bCs/>
          <w:szCs w:val="24"/>
        </w:rPr>
        <w:t>REBUTTAL</w:t>
      </w:r>
      <w:r w:rsidRPr="00467975">
        <w:rPr>
          <w:b/>
          <w:bCs/>
          <w:szCs w:val="24"/>
        </w:rPr>
        <w:t xml:space="preserve"> TESTIMONY </w:t>
      </w:r>
      <w:r>
        <w:rPr>
          <w:b/>
          <w:bCs/>
          <w:szCs w:val="24"/>
        </w:rPr>
        <w:t xml:space="preserve">(NONCONFIDENTIAL) </w:t>
      </w:r>
      <w:r w:rsidRPr="00467975">
        <w:rPr>
          <w:b/>
          <w:bCs/>
          <w:szCs w:val="24"/>
        </w:rPr>
        <w:t>OF</w:t>
      </w:r>
      <w:r>
        <w:rPr>
          <w:b/>
          <w:bCs/>
          <w:szCs w:val="24"/>
        </w:rPr>
        <w:br/>
      </w:r>
      <w:r>
        <w:rPr>
          <w:b/>
          <w:bCs/>
          <w:szCs w:val="24"/>
        </w:rPr>
        <w:br/>
        <w:t>MATTHEW R. MARCELIA</w:t>
      </w:r>
    </w:p>
    <w:p w:rsidR="001B0B4C" w:rsidRDefault="001B0B4C" w:rsidP="001B0B4C">
      <w:pPr>
        <w:keepNext/>
        <w:keepLines/>
        <w:spacing w:before="240" w:after="360" w:line="240" w:lineRule="auto"/>
        <w:ind w:left="547" w:right="547" w:firstLine="0"/>
        <w:jc w:val="center"/>
        <w:rPr>
          <w:b/>
          <w:bCs/>
          <w:szCs w:val="24"/>
        </w:rPr>
      </w:pPr>
    </w:p>
    <w:p w:rsidR="001B0B4C" w:rsidRDefault="001B0B4C" w:rsidP="001B0B4C">
      <w:pPr>
        <w:keepNext/>
        <w:keepLines/>
        <w:spacing w:before="240" w:after="360" w:line="240" w:lineRule="auto"/>
        <w:ind w:left="547" w:right="547" w:firstLine="0"/>
        <w:jc w:val="center"/>
        <w:rPr>
          <w:b/>
          <w:bCs/>
          <w:szCs w:val="24"/>
        </w:rPr>
      </w:pPr>
      <w:r>
        <w:rPr>
          <w:b/>
          <w:bCs/>
          <w:szCs w:val="24"/>
        </w:rPr>
        <w:t>CONTENTS</w:t>
      </w:r>
    </w:p>
    <w:sdt>
      <w:sdtPr>
        <w:rPr>
          <w:rFonts w:ascii="Times New Roman" w:eastAsia="Times New Roman" w:hAnsi="Times New Roman" w:cs="Times New Roman"/>
          <w:b w:val="0"/>
          <w:bCs w:val="0"/>
          <w:color w:val="auto"/>
          <w:sz w:val="24"/>
          <w:szCs w:val="20"/>
          <w:lang w:eastAsia="zh-CN"/>
        </w:rPr>
        <w:id w:val="-52170612"/>
        <w:docPartObj>
          <w:docPartGallery w:val="Table of Contents"/>
          <w:docPartUnique/>
        </w:docPartObj>
      </w:sdtPr>
      <w:sdtEndPr>
        <w:rPr>
          <w:noProof/>
        </w:rPr>
      </w:sdtEndPr>
      <w:sdtContent>
        <w:p w:rsidR="001B0B4C" w:rsidRDefault="001B0B4C">
          <w:pPr>
            <w:pStyle w:val="TOCHeading"/>
          </w:pPr>
        </w:p>
        <w:bookmarkStart w:id="3" w:name="_GoBack"/>
        <w:bookmarkEnd w:id="3"/>
        <w:p w:rsidR="00472C2B" w:rsidRDefault="001B0B4C">
          <w:pPr>
            <w:pStyle w:val="TOC1"/>
            <w:rPr>
              <w:rFonts w:asciiTheme="minorHAnsi" w:eastAsiaTheme="minorEastAsia" w:hAnsiTheme="minorHAnsi" w:cstheme="minorBidi"/>
              <w:color w:val="auto"/>
              <w:sz w:val="22"/>
              <w:szCs w:val="22"/>
              <w:lang w:eastAsia="en-US"/>
            </w:rPr>
          </w:pPr>
          <w:r w:rsidRPr="006234EB">
            <w:rPr>
              <w:color w:val="auto"/>
            </w:rPr>
            <w:fldChar w:fldCharType="begin"/>
          </w:r>
          <w:r w:rsidRPr="006234EB">
            <w:rPr>
              <w:color w:val="auto"/>
            </w:rPr>
            <w:instrText xml:space="preserve"> TOC \o "1-3" \h \z \u </w:instrText>
          </w:r>
          <w:r w:rsidRPr="006234EB">
            <w:rPr>
              <w:color w:val="auto"/>
            </w:rPr>
            <w:fldChar w:fldCharType="separate"/>
          </w:r>
          <w:hyperlink w:anchor="_Toc385937190" w:history="1">
            <w:r w:rsidR="00472C2B" w:rsidRPr="007E3C02">
              <w:rPr>
                <w:rStyle w:val="Hyperlink"/>
              </w:rPr>
              <w:t>I.</w:t>
            </w:r>
            <w:r w:rsidR="00472C2B">
              <w:rPr>
                <w:rFonts w:asciiTheme="minorHAnsi" w:eastAsiaTheme="minorEastAsia" w:hAnsiTheme="minorHAnsi" w:cstheme="minorBidi"/>
                <w:color w:val="auto"/>
                <w:sz w:val="22"/>
                <w:szCs w:val="22"/>
                <w:lang w:eastAsia="en-US"/>
              </w:rPr>
              <w:tab/>
            </w:r>
            <w:r w:rsidR="00472C2B" w:rsidRPr="007E3C02">
              <w:rPr>
                <w:rStyle w:val="Hyperlink"/>
              </w:rPr>
              <w:t>INTRODUCTION</w:t>
            </w:r>
            <w:r w:rsidR="00472C2B">
              <w:rPr>
                <w:webHidden/>
              </w:rPr>
              <w:tab/>
            </w:r>
            <w:r w:rsidR="00472C2B">
              <w:rPr>
                <w:webHidden/>
              </w:rPr>
              <w:fldChar w:fldCharType="begin"/>
            </w:r>
            <w:r w:rsidR="00472C2B">
              <w:rPr>
                <w:webHidden/>
              </w:rPr>
              <w:instrText xml:space="preserve"> PAGEREF _Toc385937190 \h </w:instrText>
            </w:r>
            <w:r w:rsidR="00472C2B">
              <w:rPr>
                <w:webHidden/>
              </w:rPr>
            </w:r>
            <w:r w:rsidR="00472C2B">
              <w:rPr>
                <w:webHidden/>
              </w:rPr>
              <w:fldChar w:fldCharType="separate"/>
            </w:r>
            <w:r w:rsidR="00472C2B">
              <w:rPr>
                <w:webHidden/>
              </w:rPr>
              <w:t>1</w:t>
            </w:r>
            <w:r w:rsidR="00472C2B">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1" w:history="1">
            <w:r w:rsidRPr="007E3C02">
              <w:rPr>
                <w:rStyle w:val="Hyperlink"/>
              </w:rPr>
              <w:t>II.</w:t>
            </w:r>
            <w:r>
              <w:rPr>
                <w:rFonts w:asciiTheme="minorHAnsi" w:eastAsiaTheme="minorEastAsia" w:hAnsiTheme="minorHAnsi" w:cstheme="minorBidi"/>
                <w:color w:val="auto"/>
                <w:sz w:val="22"/>
                <w:szCs w:val="22"/>
                <w:lang w:eastAsia="en-US"/>
              </w:rPr>
              <w:tab/>
            </w:r>
            <w:r w:rsidRPr="007E3C02">
              <w:rPr>
                <w:rStyle w:val="Hyperlink"/>
              </w:rPr>
              <w:t>OVERVIEW OF RESPONSE TESTIMONY</w:t>
            </w:r>
            <w:r>
              <w:rPr>
                <w:webHidden/>
              </w:rPr>
              <w:tab/>
            </w:r>
            <w:r>
              <w:rPr>
                <w:webHidden/>
              </w:rPr>
              <w:fldChar w:fldCharType="begin"/>
            </w:r>
            <w:r>
              <w:rPr>
                <w:webHidden/>
              </w:rPr>
              <w:instrText xml:space="preserve"> PAGEREF _Toc385937191 \h </w:instrText>
            </w:r>
            <w:r>
              <w:rPr>
                <w:webHidden/>
              </w:rPr>
            </w:r>
            <w:r>
              <w:rPr>
                <w:webHidden/>
              </w:rPr>
              <w:fldChar w:fldCharType="separate"/>
            </w:r>
            <w:r>
              <w:rPr>
                <w:webHidden/>
              </w:rPr>
              <w:t>2</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2" w:history="1">
            <w:r w:rsidRPr="007E3C02">
              <w:rPr>
                <w:rStyle w:val="Hyperlink"/>
              </w:rPr>
              <w:t>III.</w:t>
            </w:r>
            <w:r>
              <w:rPr>
                <w:rFonts w:asciiTheme="minorHAnsi" w:eastAsiaTheme="minorEastAsia" w:hAnsiTheme="minorHAnsi" w:cstheme="minorBidi"/>
                <w:color w:val="auto"/>
                <w:sz w:val="22"/>
                <w:szCs w:val="22"/>
                <w:lang w:eastAsia="en-US"/>
              </w:rPr>
              <w:tab/>
            </w:r>
            <w:r w:rsidRPr="007E3C02">
              <w:rPr>
                <w:rStyle w:val="Hyperlink"/>
              </w:rPr>
              <w:t>ADJUSTMENTS TO THE PURCHASE PRICE</w:t>
            </w:r>
            <w:r>
              <w:rPr>
                <w:webHidden/>
              </w:rPr>
              <w:tab/>
            </w:r>
            <w:r>
              <w:rPr>
                <w:webHidden/>
              </w:rPr>
              <w:fldChar w:fldCharType="begin"/>
            </w:r>
            <w:r>
              <w:rPr>
                <w:webHidden/>
              </w:rPr>
              <w:instrText xml:space="preserve"> PAGEREF _Toc385937192 \h </w:instrText>
            </w:r>
            <w:r>
              <w:rPr>
                <w:webHidden/>
              </w:rPr>
            </w:r>
            <w:r>
              <w:rPr>
                <w:webHidden/>
              </w:rPr>
              <w:fldChar w:fldCharType="separate"/>
            </w:r>
            <w:r>
              <w:rPr>
                <w:webHidden/>
              </w:rPr>
              <w:t>7</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3" w:history="1">
            <w:r w:rsidRPr="007E3C02">
              <w:rPr>
                <w:rStyle w:val="Hyperlink"/>
              </w:rPr>
              <w:t>IV.</w:t>
            </w:r>
            <w:r>
              <w:rPr>
                <w:rFonts w:asciiTheme="minorHAnsi" w:eastAsiaTheme="minorEastAsia" w:hAnsiTheme="minorHAnsi" w:cstheme="minorBidi"/>
                <w:color w:val="auto"/>
                <w:sz w:val="22"/>
                <w:szCs w:val="22"/>
                <w:lang w:eastAsia="en-US"/>
              </w:rPr>
              <w:tab/>
            </w:r>
            <w:r w:rsidRPr="007E3C02">
              <w:rPr>
                <w:rStyle w:val="Hyperlink"/>
              </w:rPr>
              <w:t>THE GAIN CALCULATION</w:t>
            </w:r>
            <w:r>
              <w:rPr>
                <w:webHidden/>
              </w:rPr>
              <w:tab/>
            </w:r>
            <w:r>
              <w:rPr>
                <w:webHidden/>
              </w:rPr>
              <w:fldChar w:fldCharType="begin"/>
            </w:r>
            <w:r>
              <w:rPr>
                <w:webHidden/>
              </w:rPr>
              <w:instrText xml:space="preserve"> PAGEREF _Toc385937193 \h </w:instrText>
            </w:r>
            <w:r>
              <w:rPr>
                <w:webHidden/>
              </w:rPr>
            </w:r>
            <w:r>
              <w:rPr>
                <w:webHidden/>
              </w:rPr>
              <w:fldChar w:fldCharType="separate"/>
            </w:r>
            <w:r>
              <w:rPr>
                <w:webHidden/>
              </w:rPr>
              <w:t>8</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4" w:history="1">
            <w:r w:rsidRPr="007E3C02">
              <w:rPr>
                <w:rStyle w:val="Hyperlink"/>
              </w:rPr>
              <w:t>V.</w:t>
            </w:r>
            <w:r>
              <w:rPr>
                <w:rFonts w:asciiTheme="minorHAnsi" w:eastAsiaTheme="minorEastAsia" w:hAnsiTheme="minorHAnsi" w:cstheme="minorBidi"/>
                <w:color w:val="auto"/>
                <w:sz w:val="22"/>
                <w:szCs w:val="22"/>
                <w:lang w:eastAsia="en-US"/>
              </w:rPr>
              <w:tab/>
            </w:r>
            <w:r w:rsidRPr="007E3C02">
              <w:rPr>
                <w:rStyle w:val="Hyperlink"/>
              </w:rPr>
              <w:t>ACCUMULATED DEPRECIATION</w:t>
            </w:r>
            <w:r>
              <w:rPr>
                <w:webHidden/>
              </w:rPr>
              <w:tab/>
            </w:r>
            <w:r>
              <w:rPr>
                <w:webHidden/>
              </w:rPr>
              <w:fldChar w:fldCharType="begin"/>
            </w:r>
            <w:r>
              <w:rPr>
                <w:webHidden/>
              </w:rPr>
              <w:instrText xml:space="preserve"> PAGEREF _Toc385937194 \h </w:instrText>
            </w:r>
            <w:r>
              <w:rPr>
                <w:webHidden/>
              </w:rPr>
            </w:r>
            <w:r>
              <w:rPr>
                <w:webHidden/>
              </w:rPr>
              <w:fldChar w:fldCharType="separate"/>
            </w:r>
            <w:r>
              <w:rPr>
                <w:webHidden/>
              </w:rPr>
              <w:t>10</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5" w:history="1">
            <w:r w:rsidRPr="007E3C02">
              <w:rPr>
                <w:rStyle w:val="Hyperlink"/>
              </w:rPr>
              <w:t>VI.</w:t>
            </w:r>
            <w:r>
              <w:rPr>
                <w:rFonts w:asciiTheme="minorHAnsi" w:eastAsiaTheme="minorEastAsia" w:hAnsiTheme="minorHAnsi" w:cstheme="minorBidi"/>
                <w:color w:val="auto"/>
                <w:sz w:val="22"/>
                <w:szCs w:val="22"/>
                <w:lang w:eastAsia="en-US"/>
              </w:rPr>
              <w:tab/>
            </w:r>
            <w:r w:rsidRPr="007E3C02">
              <w:rPr>
                <w:rStyle w:val="Hyperlink"/>
              </w:rPr>
              <w:t>EFFECT OF REINVESTMENT</w:t>
            </w:r>
            <w:r>
              <w:rPr>
                <w:webHidden/>
              </w:rPr>
              <w:tab/>
            </w:r>
            <w:r>
              <w:rPr>
                <w:webHidden/>
              </w:rPr>
              <w:fldChar w:fldCharType="begin"/>
            </w:r>
            <w:r>
              <w:rPr>
                <w:webHidden/>
              </w:rPr>
              <w:instrText xml:space="preserve"> PAGEREF _Toc385937195 \h </w:instrText>
            </w:r>
            <w:r>
              <w:rPr>
                <w:webHidden/>
              </w:rPr>
            </w:r>
            <w:r>
              <w:rPr>
                <w:webHidden/>
              </w:rPr>
              <w:fldChar w:fldCharType="separate"/>
            </w:r>
            <w:r>
              <w:rPr>
                <w:webHidden/>
              </w:rPr>
              <w:t>32</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6" w:history="1">
            <w:r w:rsidRPr="007E3C02">
              <w:rPr>
                <w:rStyle w:val="Hyperlink"/>
              </w:rPr>
              <w:t>VII.</w:t>
            </w:r>
            <w:r>
              <w:rPr>
                <w:rFonts w:asciiTheme="minorHAnsi" w:eastAsiaTheme="minorEastAsia" w:hAnsiTheme="minorHAnsi" w:cstheme="minorBidi"/>
                <w:color w:val="auto"/>
                <w:sz w:val="22"/>
                <w:szCs w:val="22"/>
                <w:lang w:eastAsia="en-US"/>
              </w:rPr>
              <w:tab/>
            </w:r>
            <w:r w:rsidRPr="007E3C02">
              <w:rPr>
                <w:rStyle w:val="Hyperlink"/>
              </w:rPr>
              <w:t>RESPONSE TO OTHER TESTIMONY</w:t>
            </w:r>
            <w:r>
              <w:rPr>
                <w:webHidden/>
              </w:rPr>
              <w:tab/>
            </w:r>
            <w:r>
              <w:rPr>
                <w:webHidden/>
              </w:rPr>
              <w:fldChar w:fldCharType="begin"/>
            </w:r>
            <w:r>
              <w:rPr>
                <w:webHidden/>
              </w:rPr>
              <w:instrText xml:space="preserve"> PAGEREF _Toc385937196 \h </w:instrText>
            </w:r>
            <w:r>
              <w:rPr>
                <w:webHidden/>
              </w:rPr>
            </w:r>
            <w:r>
              <w:rPr>
                <w:webHidden/>
              </w:rPr>
              <w:fldChar w:fldCharType="separate"/>
            </w:r>
            <w:r>
              <w:rPr>
                <w:webHidden/>
              </w:rPr>
              <w:t>35</w:t>
            </w:r>
            <w:r>
              <w:rPr>
                <w:webHidden/>
              </w:rPr>
              <w:fldChar w:fldCharType="end"/>
            </w:r>
          </w:hyperlink>
        </w:p>
        <w:p w:rsidR="00472C2B" w:rsidRDefault="00472C2B">
          <w:pPr>
            <w:pStyle w:val="TOC1"/>
            <w:rPr>
              <w:rFonts w:asciiTheme="minorHAnsi" w:eastAsiaTheme="minorEastAsia" w:hAnsiTheme="minorHAnsi" w:cstheme="minorBidi"/>
              <w:color w:val="auto"/>
              <w:sz w:val="22"/>
              <w:szCs w:val="22"/>
              <w:lang w:eastAsia="en-US"/>
            </w:rPr>
          </w:pPr>
          <w:hyperlink w:anchor="_Toc385937197" w:history="1">
            <w:r w:rsidRPr="007E3C02">
              <w:rPr>
                <w:rStyle w:val="Hyperlink"/>
              </w:rPr>
              <w:t>VIII.</w:t>
            </w:r>
            <w:r>
              <w:rPr>
                <w:rFonts w:asciiTheme="minorHAnsi" w:eastAsiaTheme="minorEastAsia" w:hAnsiTheme="minorHAnsi" w:cstheme="minorBidi"/>
                <w:color w:val="auto"/>
                <w:sz w:val="22"/>
                <w:szCs w:val="22"/>
                <w:lang w:eastAsia="en-US"/>
              </w:rPr>
              <w:tab/>
            </w:r>
            <w:r w:rsidRPr="007E3C02">
              <w:rPr>
                <w:rStyle w:val="Hyperlink"/>
              </w:rPr>
              <w:t>CONCLUSION</w:t>
            </w:r>
            <w:r>
              <w:rPr>
                <w:webHidden/>
              </w:rPr>
              <w:tab/>
            </w:r>
            <w:r>
              <w:rPr>
                <w:webHidden/>
              </w:rPr>
              <w:fldChar w:fldCharType="begin"/>
            </w:r>
            <w:r>
              <w:rPr>
                <w:webHidden/>
              </w:rPr>
              <w:instrText xml:space="preserve"> PAGEREF _Toc385937197 \h </w:instrText>
            </w:r>
            <w:r>
              <w:rPr>
                <w:webHidden/>
              </w:rPr>
            </w:r>
            <w:r>
              <w:rPr>
                <w:webHidden/>
              </w:rPr>
              <w:fldChar w:fldCharType="separate"/>
            </w:r>
            <w:r>
              <w:rPr>
                <w:webHidden/>
              </w:rPr>
              <w:t>37</w:t>
            </w:r>
            <w:r>
              <w:rPr>
                <w:webHidden/>
              </w:rPr>
              <w:fldChar w:fldCharType="end"/>
            </w:r>
          </w:hyperlink>
        </w:p>
        <w:p w:rsidR="001B0B4C" w:rsidRPr="009C61A7" w:rsidRDefault="001B0B4C" w:rsidP="009C61A7">
          <w:pPr>
            <w:sectPr w:rsidR="001B0B4C" w:rsidRPr="009C61A7" w:rsidSect="00C777B2">
              <w:footerReference w:type="default" r:id="rId12"/>
              <w:footerReference w:type="first" r:id="rId13"/>
              <w:pgSz w:w="12240" w:h="15840" w:code="1"/>
              <w:pgMar w:top="1440" w:right="1440" w:bottom="1440" w:left="2160" w:header="864" w:footer="576" w:gutter="0"/>
              <w:pgNumType w:start="1"/>
              <w:cols w:space="720"/>
              <w:docGrid w:linePitch="360"/>
            </w:sectPr>
          </w:pPr>
          <w:r w:rsidRPr="006234EB">
            <w:rPr>
              <w:b/>
              <w:bCs/>
              <w:noProof/>
            </w:rPr>
            <w:fldChar w:fldCharType="end"/>
          </w:r>
        </w:p>
      </w:sdtContent>
    </w:sdt>
    <w:p w:rsidR="001B0B4C" w:rsidRPr="00467975" w:rsidRDefault="001B0B4C" w:rsidP="001B0B4C">
      <w:pPr>
        <w:keepNext/>
        <w:keepLines/>
        <w:spacing w:before="240" w:after="360" w:line="240" w:lineRule="auto"/>
        <w:ind w:left="547" w:right="547" w:firstLine="0"/>
        <w:jc w:val="center"/>
        <w:rPr>
          <w:b/>
          <w:bCs/>
          <w:szCs w:val="24"/>
        </w:rPr>
      </w:pPr>
      <w:r w:rsidRPr="00467975">
        <w:rPr>
          <w:b/>
          <w:bCs/>
          <w:szCs w:val="24"/>
        </w:rPr>
        <w:lastRenderedPageBreak/>
        <w:t>PUGET SOUND ENERGY, INC.</w:t>
      </w:r>
    </w:p>
    <w:p w:rsidR="001B0B4C" w:rsidRPr="009075DC" w:rsidRDefault="001B0B4C" w:rsidP="001B0B4C">
      <w:pPr>
        <w:keepNext/>
        <w:keepLines/>
        <w:spacing w:before="240" w:after="360" w:line="240" w:lineRule="auto"/>
        <w:ind w:left="547" w:right="547" w:firstLine="0"/>
        <w:jc w:val="center"/>
        <w:rPr>
          <w:b/>
          <w:bCs/>
          <w:szCs w:val="24"/>
        </w:rPr>
      </w:pPr>
      <w:r w:rsidRPr="00467975">
        <w:rPr>
          <w:b/>
          <w:bCs/>
          <w:szCs w:val="24"/>
        </w:rPr>
        <w:t xml:space="preserve">PREFILED </w:t>
      </w:r>
      <w:r w:rsidR="00FB7ECD">
        <w:rPr>
          <w:b/>
          <w:bCs/>
          <w:szCs w:val="24"/>
        </w:rPr>
        <w:t>REBUTTAL</w:t>
      </w:r>
      <w:r w:rsidRPr="00467975">
        <w:rPr>
          <w:b/>
          <w:bCs/>
          <w:szCs w:val="24"/>
        </w:rPr>
        <w:t xml:space="preserve"> TESTIMONY </w:t>
      </w:r>
      <w:r>
        <w:rPr>
          <w:b/>
          <w:bCs/>
          <w:szCs w:val="24"/>
        </w:rPr>
        <w:t xml:space="preserve">(NONCONFIDENTIAL) </w:t>
      </w:r>
      <w:r w:rsidRPr="00467975">
        <w:rPr>
          <w:b/>
          <w:bCs/>
          <w:szCs w:val="24"/>
        </w:rPr>
        <w:t>OF</w:t>
      </w:r>
      <w:r>
        <w:rPr>
          <w:b/>
          <w:bCs/>
          <w:szCs w:val="24"/>
        </w:rPr>
        <w:br/>
      </w:r>
      <w:r>
        <w:rPr>
          <w:b/>
          <w:bCs/>
          <w:szCs w:val="24"/>
        </w:rPr>
        <w:br/>
        <w:t>MATTHEW R. MARCELIA</w:t>
      </w:r>
    </w:p>
    <w:p w:rsidR="004610AC" w:rsidRPr="009075DC" w:rsidRDefault="004610AC" w:rsidP="006E0E79">
      <w:pPr>
        <w:pStyle w:val="Heading1"/>
        <w:spacing w:after="360" w:line="240" w:lineRule="auto"/>
        <w:rPr>
          <w:rFonts w:eastAsia="SimSun"/>
        </w:rPr>
      </w:pPr>
      <w:bookmarkStart w:id="4" w:name="_Toc370909491"/>
      <w:bookmarkStart w:id="5" w:name="_Toc385937190"/>
      <w:r w:rsidRPr="009075DC">
        <w:rPr>
          <w:rFonts w:eastAsia="SimSun"/>
        </w:rPr>
        <w:t>I.</w:t>
      </w:r>
      <w:r w:rsidRPr="009075DC">
        <w:rPr>
          <w:rFonts w:eastAsia="SimSun"/>
        </w:rPr>
        <w:tab/>
        <w:t>INTRODUCTION</w:t>
      </w:r>
      <w:bookmarkEnd w:id="0"/>
      <w:bookmarkEnd w:id="1"/>
      <w:bookmarkEnd w:id="2"/>
      <w:bookmarkEnd w:id="4"/>
      <w:bookmarkEnd w:id="5"/>
    </w:p>
    <w:p w:rsidR="004610AC" w:rsidRPr="009075DC" w:rsidRDefault="004610AC" w:rsidP="00802BCB">
      <w:pPr>
        <w:pStyle w:val="question"/>
        <w:widowControl w:val="0"/>
      </w:pPr>
      <w:r w:rsidRPr="009075DC">
        <w:rPr>
          <w:rFonts w:eastAsia="SimSun"/>
        </w:rPr>
        <w:t>Q.</w:t>
      </w:r>
      <w:r w:rsidRPr="009075DC">
        <w:rPr>
          <w:rFonts w:eastAsia="SimSun"/>
        </w:rPr>
        <w:tab/>
        <w:t>Please state your name and business address.</w:t>
      </w:r>
    </w:p>
    <w:p w:rsidR="004610AC" w:rsidRPr="009075DC" w:rsidRDefault="004610AC" w:rsidP="00802BCB">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Matthew R. Marcelia</w:t>
      </w:r>
      <w:r w:rsidRPr="009075DC">
        <w:rPr>
          <w:rFonts w:eastAsia="SimSun"/>
        </w:rPr>
        <w:t xml:space="preserve">.  I am employed as </w:t>
      </w:r>
      <w:r>
        <w:rPr>
          <w:rFonts w:eastAsia="SimSun"/>
        </w:rPr>
        <w:t xml:space="preserve">Director of Tax for </w:t>
      </w:r>
      <w:r w:rsidRPr="009075DC">
        <w:rPr>
          <w:rFonts w:eastAsia="SimSun"/>
        </w:rPr>
        <w:t>Puget Sound Energy, Inc. (</w:t>
      </w:r>
      <w:r w:rsidR="0047745C">
        <w:rPr>
          <w:rFonts w:eastAsia="SimSun"/>
        </w:rPr>
        <w:t>“</w:t>
      </w:r>
      <w:r w:rsidRPr="009075DC">
        <w:rPr>
          <w:rFonts w:eastAsia="SimSun"/>
        </w:rPr>
        <w:t>PSE</w:t>
      </w:r>
      <w:r w:rsidR="0047745C">
        <w:rPr>
          <w:rFonts w:eastAsia="SimSun"/>
        </w:rPr>
        <w:t>”</w:t>
      </w:r>
      <w:r>
        <w:rPr>
          <w:rFonts w:eastAsia="SimSun"/>
        </w:rPr>
        <w:t xml:space="preserve"> or </w:t>
      </w:r>
      <w:r w:rsidR="0047745C">
        <w:rPr>
          <w:rFonts w:eastAsia="SimSun"/>
        </w:rPr>
        <w:t>“</w:t>
      </w:r>
      <w:r>
        <w:rPr>
          <w:rFonts w:eastAsia="SimSun"/>
        </w:rPr>
        <w:t>the Company</w:t>
      </w:r>
      <w:r w:rsidR="0047745C">
        <w:rPr>
          <w:rFonts w:eastAsia="SimSun"/>
        </w:rPr>
        <w:t>”</w:t>
      </w:r>
      <w:r w:rsidRPr="009075DC">
        <w:rPr>
          <w:rFonts w:eastAsia="SimSun"/>
        </w:rPr>
        <w:t>).  My business address is 10885 NE Fourth Street, Bellevue, WA 98009-9734.</w:t>
      </w:r>
    </w:p>
    <w:p w:rsidR="004610AC" w:rsidRPr="009075DC" w:rsidRDefault="004610AC" w:rsidP="00802BCB">
      <w:pPr>
        <w:pStyle w:val="question"/>
        <w:widowControl w:val="0"/>
      </w:pPr>
      <w:r w:rsidRPr="009075DC">
        <w:rPr>
          <w:rFonts w:eastAsia="SimSun"/>
        </w:rPr>
        <w:t>Q.</w:t>
      </w:r>
      <w:r w:rsidRPr="009075DC">
        <w:rPr>
          <w:rFonts w:eastAsia="SimSun"/>
        </w:rPr>
        <w:tab/>
      </w:r>
      <w:r w:rsidR="00FB7ECD">
        <w:rPr>
          <w:rFonts w:eastAsia="SimSun"/>
        </w:rPr>
        <w:t xml:space="preserve">Are you the same Matthew R. Marcelia who sponsored </w:t>
      </w:r>
      <w:proofErr w:type="spellStart"/>
      <w:r w:rsidR="00FB7ECD">
        <w:rPr>
          <w:rFonts w:eastAsia="SimSun"/>
        </w:rPr>
        <w:t>prefiled</w:t>
      </w:r>
      <w:proofErr w:type="spellEnd"/>
      <w:r w:rsidR="00FB7ECD">
        <w:rPr>
          <w:rFonts w:eastAsia="SimSun"/>
        </w:rPr>
        <w:t xml:space="preserve"> direct testimony in this proceeding</w:t>
      </w:r>
      <w:r w:rsidRPr="009075DC">
        <w:rPr>
          <w:rFonts w:eastAsia="SimSun"/>
        </w:rPr>
        <w:t>?</w:t>
      </w:r>
    </w:p>
    <w:p w:rsidR="004610AC" w:rsidRPr="009075DC" w:rsidRDefault="004610AC" w:rsidP="00802BCB">
      <w:pPr>
        <w:pStyle w:val="answer"/>
        <w:widowControl w:val="0"/>
        <w:rPr>
          <w:rFonts w:eastAsia="SimSun"/>
        </w:rPr>
      </w:pPr>
      <w:r w:rsidRPr="009075DC">
        <w:rPr>
          <w:rFonts w:eastAsia="SimSun"/>
        </w:rPr>
        <w:t>A.</w:t>
      </w:r>
      <w:r w:rsidRPr="009075DC">
        <w:rPr>
          <w:rFonts w:eastAsia="SimSun"/>
        </w:rPr>
        <w:tab/>
        <w:t xml:space="preserve">Yes, </w:t>
      </w:r>
      <w:r w:rsidR="00FB7ECD">
        <w:rPr>
          <w:rFonts w:eastAsia="SimSun"/>
        </w:rPr>
        <w:t>I am</w:t>
      </w:r>
      <w:r w:rsidRPr="009075DC">
        <w:rPr>
          <w:rFonts w:eastAsia="SimSun"/>
        </w:rPr>
        <w:t>.  I</w:t>
      </w:r>
      <w:r w:rsidR="00FB7ECD">
        <w:rPr>
          <w:rFonts w:eastAsia="SimSun"/>
        </w:rPr>
        <w:t xml:space="preserve"> prepared </w:t>
      </w:r>
      <w:proofErr w:type="spellStart"/>
      <w:r w:rsidR="00FB7ECD">
        <w:rPr>
          <w:rFonts w:eastAsia="SimSun"/>
        </w:rPr>
        <w:t>prefiled</w:t>
      </w:r>
      <w:proofErr w:type="spellEnd"/>
      <w:r w:rsidR="00FB7ECD">
        <w:rPr>
          <w:rFonts w:eastAsia="SimSun"/>
        </w:rPr>
        <w:t xml:space="preserve"> direct testimony, Exhibit No. ___(MRM-1T) and three supporting exhibits, Exhibit No. ___(MRM-2) through Exhibit No. ___(MRM-4), filed on October 31, 2013.  </w:t>
      </w:r>
    </w:p>
    <w:p w:rsidR="004610AC" w:rsidRPr="00A503F9" w:rsidRDefault="004610AC"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w:t>
      </w:r>
      <w:r w:rsidR="00FB7ECD">
        <w:rPr>
          <w:rFonts w:eastAsia="SimSun"/>
        </w:rPr>
        <w:t xml:space="preserve">rebuttal </w:t>
      </w:r>
      <w:r w:rsidRPr="009075DC">
        <w:rPr>
          <w:rFonts w:eastAsia="SimSun"/>
        </w:rPr>
        <w:t>testimony?</w:t>
      </w:r>
    </w:p>
    <w:p w:rsidR="004610AC" w:rsidRDefault="004610AC" w:rsidP="002128AA">
      <w:pPr>
        <w:pStyle w:val="Answer0"/>
        <w:rPr>
          <w:rFonts w:eastAsia="SimSun"/>
        </w:rPr>
      </w:pPr>
      <w:r w:rsidRPr="009075DC">
        <w:rPr>
          <w:rFonts w:eastAsia="SimSun"/>
        </w:rPr>
        <w:t>A.</w:t>
      </w:r>
      <w:r w:rsidRPr="009075DC">
        <w:rPr>
          <w:rFonts w:eastAsia="SimSun"/>
        </w:rPr>
        <w:tab/>
      </w:r>
      <w:r w:rsidR="00311A39">
        <w:rPr>
          <w:rFonts w:eastAsia="SimSun"/>
        </w:rPr>
        <w:t xml:space="preserve">My </w:t>
      </w:r>
      <w:r w:rsidR="00FB7ECD">
        <w:rPr>
          <w:rFonts w:eastAsia="SimSun"/>
        </w:rPr>
        <w:t xml:space="preserve">rebuttal </w:t>
      </w:r>
      <w:r w:rsidR="00311A39">
        <w:rPr>
          <w:rFonts w:eastAsia="SimSun"/>
        </w:rPr>
        <w:t xml:space="preserve">testimony </w:t>
      </w:r>
      <w:r w:rsidR="00FB7ECD">
        <w:rPr>
          <w:rFonts w:eastAsia="SimSun"/>
        </w:rPr>
        <w:t>responds to t</w:t>
      </w:r>
      <w:r w:rsidR="00BC44AB">
        <w:rPr>
          <w:rFonts w:eastAsia="SimSun"/>
        </w:rPr>
        <w:t xml:space="preserve">he </w:t>
      </w:r>
      <w:r w:rsidR="00E4716E">
        <w:rPr>
          <w:rFonts w:eastAsia="SimSun"/>
        </w:rPr>
        <w:t xml:space="preserve">response </w:t>
      </w:r>
      <w:r w:rsidR="00BC44AB">
        <w:rPr>
          <w:rFonts w:eastAsia="SimSun"/>
        </w:rPr>
        <w:t>testimon</w:t>
      </w:r>
      <w:r w:rsidR="00E4716E">
        <w:rPr>
          <w:rFonts w:eastAsia="SimSun"/>
        </w:rPr>
        <w:t>ies</w:t>
      </w:r>
      <w:r w:rsidR="00BC44AB">
        <w:rPr>
          <w:rFonts w:eastAsia="SimSun"/>
        </w:rPr>
        <w:t xml:space="preserve"> of </w:t>
      </w:r>
      <w:r w:rsidR="00D30975">
        <w:rPr>
          <w:rFonts w:eastAsia="SimSun"/>
        </w:rPr>
        <w:t>Edward J.</w:t>
      </w:r>
      <w:r w:rsidR="00BC44AB">
        <w:rPr>
          <w:rFonts w:eastAsia="SimSun"/>
        </w:rPr>
        <w:t xml:space="preserve"> Keating, </w:t>
      </w:r>
      <w:r w:rsidR="00D30975">
        <w:rPr>
          <w:rFonts w:eastAsia="SimSun"/>
        </w:rPr>
        <w:t>Michael P</w:t>
      </w:r>
      <w:r w:rsidR="00BC44AB">
        <w:rPr>
          <w:rFonts w:eastAsia="SimSun"/>
        </w:rPr>
        <w:t xml:space="preserve">. Gorman, and </w:t>
      </w:r>
      <w:r w:rsidR="00D30975">
        <w:rPr>
          <w:rFonts w:eastAsia="SimSun"/>
        </w:rPr>
        <w:t>James R</w:t>
      </w:r>
      <w:r w:rsidR="00BC44AB">
        <w:rPr>
          <w:rFonts w:eastAsia="SimSun"/>
        </w:rPr>
        <w:t>. Dittmer</w:t>
      </w:r>
      <w:r w:rsidR="00D30975">
        <w:rPr>
          <w:rFonts w:eastAsia="SimSun"/>
        </w:rPr>
        <w:t xml:space="preserve"> on behalf of WUTC Staff, Industrial Customers of Northwest Utilities</w:t>
      </w:r>
      <w:r w:rsidR="0049578A">
        <w:rPr>
          <w:rFonts w:eastAsia="SimSun"/>
        </w:rPr>
        <w:t xml:space="preserve"> (“ICNU”)</w:t>
      </w:r>
      <w:r w:rsidR="00D30975">
        <w:rPr>
          <w:rFonts w:eastAsia="SimSun"/>
        </w:rPr>
        <w:t xml:space="preserve"> and Public Counsel, respectively</w:t>
      </w:r>
      <w:r w:rsidR="00BC44AB">
        <w:rPr>
          <w:rFonts w:eastAsia="SimSun"/>
        </w:rPr>
        <w:t>.  I will discuss and explain (a) the gain calculation and its importance and centrality to this filing</w:t>
      </w:r>
      <w:r w:rsidR="000C3E60">
        <w:rPr>
          <w:rFonts w:eastAsia="SimSun"/>
        </w:rPr>
        <w:t>;</w:t>
      </w:r>
      <w:r w:rsidR="00BC44AB">
        <w:rPr>
          <w:rFonts w:eastAsia="SimSun"/>
        </w:rPr>
        <w:t xml:space="preserve"> (b) the purpose and meaning of “depreciation expense” and imp</w:t>
      </w:r>
      <w:r w:rsidR="000C3E60">
        <w:rPr>
          <w:rFonts w:eastAsia="SimSun"/>
        </w:rPr>
        <w:t>ac</w:t>
      </w:r>
      <w:r w:rsidR="00BC44AB">
        <w:rPr>
          <w:rFonts w:eastAsia="SimSun"/>
        </w:rPr>
        <w:t>t it has on the concept of “accumulated depreciation”</w:t>
      </w:r>
      <w:r w:rsidR="000C3E60">
        <w:rPr>
          <w:rFonts w:eastAsia="SimSun"/>
        </w:rPr>
        <w:t>;</w:t>
      </w:r>
      <w:r w:rsidR="00BC44AB">
        <w:rPr>
          <w:rFonts w:eastAsia="SimSun"/>
        </w:rPr>
        <w:t xml:space="preserve"> (c) the accounting principles that apply to the transaction</w:t>
      </w:r>
      <w:r w:rsidR="000C3E60">
        <w:rPr>
          <w:rFonts w:eastAsia="SimSun"/>
        </w:rPr>
        <w:t>;</w:t>
      </w:r>
      <w:r w:rsidR="00BC44AB">
        <w:rPr>
          <w:rFonts w:eastAsia="SimSun"/>
        </w:rPr>
        <w:t xml:space="preserve"> (d) investor ownership of assets and the risk of loss</w:t>
      </w:r>
      <w:r w:rsidR="000C3E60">
        <w:rPr>
          <w:rFonts w:eastAsia="SimSun"/>
        </w:rPr>
        <w:t>;</w:t>
      </w:r>
      <w:r w:rsidR="00BC44AB">
        <w:rPr>
          <w:rFonts w:eastAsia="SimSun"/>
        </w:rPr>
        <w:t xml:space="preserve"> </w:t>
      </w:r>
      <w:r w:rsidR="00BC44AB">
        <w:rPr>
          <w:rFonts w:eastAsia="SimSun"/>
        </w:rPr>
        <w:lastRenderedPageBreak/>
        <w:t>(e) why reinvestment does not compensate the investor for loss of customers and service territory</w:t>
      </w:r>
      <w:r w:rsidR="000C3E60">
        <w:rPr>
          <w:rFonts w:eastAsia="SimSun"/>
        </w:rPr>
        <w:t>;</w:t>
      </w:r>
      <w:r w:rsidR="00642CA4">
        <w:rPr>
          <w:rFonts w:eastAsia="SimSun"/>
        </w:rPr>
        <w:t xml:space="preserve"> (f) as well as counter or clarify a number of other</w:t>
      </w:r>
      <w:r w:rsidR="00765829">
        <w:rPr>
          <w:rFonts w:eastAsia="SimSun"/>
        </w:rPr>
        <w:t xml:space="preserve"> comments offered by Messrs. </w:t>
      </w:r>
      <w:r w:rsidR="00642CA4">
        <w:rPr>
          <w:rFonts w:eastAsia="SimSun"/>
        </w:rPr>
        <w:t>Keating, Gorman, and Dittmer</w:t>
      </w:r>
      <w:r w:rsidR="00ED4B7C">
        <w:rPr>
          <w:rFonts w:eastAsia="SimSun"/>
        </w:rPr>
        <w:t>;</w:t>
      </w:r>
      <w:r w:rsidR="00765829">
        <w:rPr>
          <w:rFonts w:eastAsia="SimSun"/>
        </w:rPr>
        <w:t xml:space="preserve"> (g) </w:t>
      </w:r>
      <w:r w:rsidR="00ED4B7C">
        <w:rPr>
          <w:rFonts w:eastAsia="SimSun"/>
        </w:rPr>
        <w:t>f</w:t>
      </w:r>
      <w:r w:rsidR="00765829">
        <w:rPr>
          <w:rFonts w:eastAsia="SimSun"/>
        </w:rPr>
        <w:t>inally, I will conclude with a brief summary.</w:t>
      </w:r>
    </w:p>
    <w:p w:rsidR="00642CA4" w:rsidRPr="009075DC" w:rsidRDefault="00642CA4" w:rsidP="00642CA4">
      <w:pPr>
        <w:pStyle w:val="Heading1"/>
        <w:spacing w:after="360" w:line="240" w:lineRule="auto"/>
        <w:rPr>
          <w:rFonts w:eastAsia="SimSun"/>
        </w:rPr>
      </w:pPr>
      <w:bookmarkStart w:id="6" w:name="_Toc385937191"/>
      <w:r>
        <w:rPr>
          <w:rFonts w:eastAsia="SimSun"/>
        </w:rPr>
        <w:t>II</w:t>
      </w:r>
      <w:r w:rsidRPr="009075DC">
        <w:rPr>
          <w:rFonts w:eastAsia="SimSun"/>
        </w:rPr>
        <w:t>.</w:t>
      </w:r>
      <w:r w:rsidRPr="009075DC">
        <w:rPr>
          <w:rFonts w:eastAsia="SimSun"/>
        </w:rPr>
        <w:tab/>
      </w:r>
      <w:r w:rsidR="00ED4B7C">
        <w:t>OVERVIEW</w:t>
      </w:r>
      <w:r w:rsidR="00ED4B7C" w:rsidRPr="00176982">
        <w:t xml:space="preserve"> </w:t>
      </w:r>
      <w:r w:rsidR="000B6F7E" w:rsidRPr="00176982">
        <w:t xml:space="preserve">OF </w:t>
      </w:r>
      <w:r w:rsidR="00397921">
        <w:t>RESPONSE TESTIMONY</w:t>
      </w:r>
      <w:bookmarkEnd w:id="6"/>
      <w:r w:rsidR="00397921" w:rsidRPr="00176982">
        <w:t xml:space="preserve"> </w:t>
      </w:r>
    </w:p>
    <w:p w:rsidR="00765829" w:rsidRPr="00A503F9" w:rsidRDefault="00765829" w:rsidP="00990A5B">
      <w:pPr>
        <w:pStyle w:val="question"/>
        <w:keepNext/>
        <w:keepLines/>
        <w:spacing w:before="120"/>
      </w:pPr>
      <w:r w:rsidRPr="009075DC">
        <w:rPr>
          <w:rFonts w:eastAsia="SimSun"/>
        </w:rPr>
        <w:t>Q.</w:t>
      </w:r>
      <w:r w:rsidRPr="009075DC">
        <w:rPr>
          <w:rFonts w:eastAsia="SimSun"/>
        </w:rPr>
        <w:tab/>
      </w:r>
      <w:r w:rsidR="000B6F7E" w:rsidRPr="00C777B2">
        <w:t xml:space="preserve">Having reviewed the responsive testimony filed by WUTC Staff, Public Counsel and ICNU, does the Company have any general statements that it would like to </w:t>
      </w:r>
      <w:r w:rsidR="00990A5B" w:rsidRPr="00C777B2">
        <w:t>offer</w:t>
      </w:r>
      <w:r w:rsidRPr="00C777B2">
        <w:rPr>
          <w:rFonts w:eastAsia="SimSun"/>
        </w:rPr>
        <w:t>?</w:t>
      </w:r>
    </w:p>
    <w:p w:rsidR="000B6F7E" w:rsidRPr="00C777B2" w:rsidRDefault="00466CFD" w:rsidP="00C777B2">
      <w:pPr>
        <w:pStyle w:val="Answer0"/>
      </w:pPr>
      <w:r w:rsidRPr="00C777B2">
        <w:t>A.</w:t>
      </w:r>
      <w:r w:rsidR="000B6F7E" w:rsidRPr="00C777B2">
        <w:tab/>
      </w:r>
      <w:r w:rsidR="00990A5B" w:rsidRPr="00C777B2">
        <w:t>Yes,</w:t>
      </w:r>
      <w:r w:rsidR="000B6F7E" w:rsidRPr="00C777B2">
        <w:t xml:space="preserve"> it appears as if there is a basic misunderstanding on the part of these witnesses of the facts</w:t>
      </w:r>
      <w:r w:rsidR="00990A5B" w:rsidRPr="00C777B2">
        <w:t xml:space="preserve"> and circumstances of this case</w:t>
      </w:r>
      <w:r w:rsidR="000B6F7E" w:rsidRPr="00C777B2">
        <w:t xml:space="preserve"> and the reasoning that underlies </w:t>
      </w:r>
      <w:r w:rsidR="00397921" w:rsidRPr="00C777B2">
        <w:t xml:space="preserve">PSE’s </w:t>
      </w:r>
      <w:r w:rsidR="000B6F7E" w:rsidRPr="00C777B2">
        <w:t xml:space="preserve">requested accounting treatment.  In effect, </w:t>
      </w:r>
      <w:r w:rsidR="00397921" w:rsidRPr="00C777B2">
        <w:t xml:space="preserve">the witnesses fail to refute PSE’s analyses </w:t>
      </w:r>
      <w:r w:rsidR="00A97BA9" w:rsidRPr="00C777B2">
        <w:t xml:space="preserve">or respond to </w:t>
      </w:r>
      <w:r w:rsidR="000B6F7E" w:rsidRPr="00C777B2">
        <w:t xml:space="preserve">the facts and issues stated in the Company's accounting petition.  </w:t>
      </w:r>
    </w:p>
    <w:p w:rsidR="000B6F7E" w:rsidRPr="005455F6" w:rsidRDefault="00466CFD" w:rsidP="00990A5B">
      <w:pPr>
        <w:pStyle w:val="BodyText"/>
        <w:spacing w:line="480" w:lineRule="auto"/>
        <w:ind w:left="720" w:hanging="720"/>
        <w:jc w:val="left"/>
        <w:rPr>
          <w:b/>
        </w:rPr>
      </w:pPr>
      <w:r>
        <w:rPr>
          <w:b/>
        </w:rPr>
        <w:t>Q.</w:t>
      </w:r>
      <w:r w:rsidR="000B6F7E" w:rsidRPr="005455F6">
        <w:rPr>
          <w:b/>
        </w:rPr>
        <w:tab/>
      </w:r>
      <w:r w:rsidR="000B6F7E">
        <w:rPr>
          <w:b/>
        </w:rPr>
        <w:t xml:space="preserve">Please explain why you think these witnesses </w:t>
      </w:r>
      <w:r w:rsidR="00397921">
        <w:rPr>
          <w:b/>
        </w:rPr>
        <w:t>misunderstand the facts and circumstances of the case</w:t>
      </w:r>
      <w:r w:rsidR="000B6F7E">
        <w:rPr>
          <w:b/>
        </w:rPr>
        <w:t>.</w:t>
      </w:r>
    </w:p>
    <w:p w:rsidR="000B6F7E" w:rsidRPr="00C777B2" w:rsidRDefault="00466CFD" w:rsidP="00C777B2">
      <w:pPr>
        <w:pStyle w:val="Answer0"/>
      </w:pPr>
      <w:r w:rsidRPr="00C777B2">
        <w:t>A.</w:t>
      </w:r>
      <w:r w:rsidR="000B6F7E" w:rsidRPr="00C777B2">
        <w:tab/>
      </w:r>
      <w:r w:rsidR="00934563" w:rsidRPr="00C777B2">
        <w:t>First</w:t>
      </w:r>
      <w:r w:rsidR="000B6F7E" w:rsidRPr="00C777B2">
        <w:t xml:space="preserve">, </w:t>
      </w:r>
      <w:r w:rsidR="00934563" w:rsidRPr="00C777B2">
        <w:t xml:space="preserve">the witness for </w:t>
      </w:r>
      <w:r w:rsidR="000B6F7E" w:rsidRPr="00C777B2">
        <w:t>WUTC Staff view</w:t>
      </w:r>
      <w:r w:rsidR="00A641C7" w:rsidRPr="00C777B2">
        <w:t>s</w:t>
      </w:r>
      <w:r w:rsidR="000B6F7E" w:rsidRPr="00C777B2">
        <w:t xml:space="preserve"> this case as through the lens of Centralia and similar precedent</w:t>
      </w:r>
      <w:r w:rsidR="007F1570" w:rsidRPr="00C777B2">
        <w:t xml:space="preserve">.  </w:t>
      </w:r>
      <w:r w:rsidR="00934563" w:rsidRPr="00C777B2">
        <w:t xml:space="preserve">Centralia is not applicable </w:t>
      </w:r>
      <w:r w:rsidR="006469D7" w:rsidRPr="00C777B2">
        <w:t xml:space="preserve">to the </w:t>
      </w:r>
      <w:r w:rsidR="0004331A" w:rsidRPr="00C777B2">
        <w:t xml:space="preserve">facts </w:t>
      </w:r>
      <w:r w:rsidR="00315610" w:rsidRPr="00C777B2">
        <w:t xml:space="preserve">and issues </w:t>
      </w:r>
      <w:r w:rsidR="0004331A" w:rsidRPr="00C777B2">
        <w:t xml:space="preserve">presented </w:t>
      </w:r>
      <w:r w:rsidR="00934563" w:rsidRPr="00C777B2">
        <w:t>in this proceeding</w:t>
      </w:r>
      <w:r w:rsidR="000C3E60" w:rsidRPr="00C777B2">
        <w:t>.</w:t>
      </w:r>
      <w:r w:rsidR="004C2850" w:rsidRPr="00C777B2">
        <w:t xml:space="preserve"> </w:t>
      </w:r>
      <w:r w:rsidR="00862803" w:rsidRPr="00C777B2">
        <w:t xml:space="preserve">In </w:t>
      </w:r>
      <w:r w:rsidR="007F1570" w:rsidRPr="00C777B2">
        <w:t>Centralia</w:t>
      </w:r>
      <w:r w:rsidR="000B6F7E" w:rsidRPr="00C777B2">
        <w:t xml:space="preserve">, </w:t>
      </w:r>
      <w:r w:rsidR="00990A5B" w:rsidRPr="00C777B2">
        <w:t>the</w:t>
      </w:r>
      <w:r w:rsidR="000B6F7E" w:rsidRPr="00C777B2">
        <w:t xml:space="preserve"> </w:t>
      </w:r>
      <w:r w:rsidR="00862803" w:rsidRPr="00C777B2">
        <w:t xml:space="preserve">question presented was whether the </w:t>
      </w:r>
      <w:r w:rsidR="000B6F7E" w:rsidRPr="00C777B2">
        <w:t xml:space="preserve">Commission </w:t>
      </w:r>
      <w:r w:rsidR="000B363F" w:rsidRPr="00C777B2">
        <w:t>should</w:t>
      </w:r>
      <w:r w:rsidR="000B6F7E" w:rsidRPr="00C777B2">
        <w:t xml:space="preserve"> approve or deny </w:t>
      </w:r>
      <w:r w:rsidR="000B363F" w:rsidRPr="00C777B2">
        <w:t xml:space="preserve">a </w:t>
      </w:r>
      <w:r w:rsidR="000B6F7E" w:rsidRPr="00C777B2">
        <w:t>proposed voluntary transfer of an asset</w:t>
      </w:r>
      <w:r w:rsidR="000B363F" w:rsidRPr="00C777B2">
        <w:t>.  The Commission addressed this question</w:t>
      </w:r>
      <w:r w:rsidR="000B6F7E" w:rsidRPr="00C777B2">
        <w:t xml:space="preserve"> </w:t>
      </w:r>
      <w:r w:rsidR="00315610" w:rsidRPr="00C777B2">
        <w:t xml:space="preserve">in Centralia </w:t>
      </w:r>
      <w:r w:rsidR="000B6F7E" w:rsidRPr="00C777B2">
        <w:t xml:space="preserve">by applying a “no harm test,” which is a four-part test to determine if a proposed asset transfer is consistent with the public interest.  In that context, the Commission articulated </w:t>
      </w:r>
      <w:r w:rsidR="000B6F7E" w:rsidRPr="00C777B2">
        <w:lastRenderedPageBreak/>
        <w:t xml:space="preserve">rules that pertain to the allocation of gain as an aspect of a greater public interest inquiry.  </w:t>
      </w:r>
      <w:r w:rsidR="00A63621" w:rsidRPr="00C777B2">
        <w:t xml:space="preserve">Unlike Centralia, in this case the asset transfer </w:t>
      </w:r>
      <w:r w:rsidR="00315610" w:rsidRPr="00C777B2">
        <w:t>is</w:t>
      </w:r>
      <w:r w:rsidR="00A63621" w:rsidRPr="00C777B2">
        <w:t xml:space="preserve"> </w:t>
      </w:r>
      <w:r w:rsidR="00315610" w:rsidRPr="00C777B2">
        <w:t>"approved"</w:t>
      </w:r>
      <w:r w:rsidR="00A63621" w:rsidRPr="00C777B2">
        <w:t xml:space="preserve"> by operation of law</w:t>
      </w:r>
      <w:r w:rsidR="007F61E0" w:rsidRPr="00C777B2">
        <w:t>, and this question was asked and answered in Order 03, UE-10</w:t>
      </w:r>
      <w:r w:rsidR="005B455F" w:rsidRPr="00C777B2">
        <w:t>1217 (Feb. 1, 2011)</w:t>
      </w:r>
      <w:r w:rsidR="00856175" w:rsidRPr="00C777B2">
        <w:t xml:space="preserve">.  The “no harm test” </w:t>
      </w:r>
      <w:r w:rsidR="005B455F" w:rsidRPr="00C777B2">
        <w:t>does not apply</w:t>
      </w:r>
      <w:r w:rsidR="00856175" w:rsidRPr="00C777B2">
        <w:t xml:space="preserve"> in this limited context.  </w:t>
      </w:r>
      <w:r w:rsidR="00AB23AC" w:rsidRPr="00C777B2">
        <w:t>Moreover, Centralia does not</w:t>
      </w:r>
      <w:r w:rsidR="000F50D4" w:rsidRPr="00C777B2">
        <w:t xml:space="preserve"> address</w:t>
      </w:r>
      <w:r w:rsidR="000B6F7E" w:rsidRPr="00C777B2">
        <w:t xml:space="preserve"> </w:t>
      </w:r>
      <w:r w:rsidR="0006097E" w:rsidRPr="00C777B2">
        <w:t xml:space="preserve">consequences of </w:t>
      </w:r>
      <w:r w:rsidR="00AB23AC" w:rsidRPr="00C777B2">
        <w:t xml:space="preserve">the </w:t>
      </w:r>
      <w:r w:rsidR="0006097E" w:rsidRPr="00C777B2">
        <w:t xml:space="preserve">hostile acquisition of a portion of PSE’s </w:t>
      </w:r>
      <w:r w:rsidR="000B6F7E" w:rsidRPr="00C777B2">
        <w:t xml:space="preserve">service area.  </w:t>
      </w:r>
    </w:p>
    <w:p w:rsidR="007F1570" w:rsidRPr="00C777B2" w:rsidRDefault="000B6F7E" w:rsidP="00C777B2">
      <w:pPr>
        <w:pStyle w:val="Answer0"/>
        <w:ind w:firstLine="0"/>
      </w:pPr>
      <w:r w:rsidRPr="00C777B2">
        <w:t>Public Co</w:t>
      </w:r>
      <w:r w:rsidR="00F54D07" w:rsidRPr="00C777B2">
        <w:t xml:space="preserve">unsel </w:t>
      </w:r>
      <w:r w:rsidR="00A4504A" w:rsidRPr="00C777B2">
        <w:t xml:space="preserve">also </w:t>
      </w:r>
      <w:r w:rsidR="00F54D07" w:rsidRPr="00C777B2">
        <w:t>appears to rely upon</w:t>
      </w:r>
      <w:r w:rsidR="007F1570" w:rsidRPr="00C777B2">
        <w:t xml:space="preserve"> </w:t>
      </w:r>
      <w:r w:rsidRPr="00C777B2">
        <w:t xml:space="preserve">cases and accounting principles </w:t>
      </w:r>
      <w:r w:rsidR="00F237F3" w:rsidRPr="00C777B2">
        <w:t xml:space="preserve">that are </w:t>
      </w:r>
      <w:r w:rsidRPr="00C777B2">
        <w:t>applicable to the retirement of utility assets in the ordinary course of business</w:t>
      </w:r>
      <w:r w:rsidR="00F237F3" w:rsidRPr="00C777B2">
        <w:t>.</w:t>
      </w:r>
      <w:r w:rsidR="007D7D53">
        <w:rPr>
          <w:rStyle w:val="FootnoteReference"/>
        </w:rPr>
        <w:footnoteReference w:id="1"/>
      </w:r>
      <w:r w:rsidR="00F237F3" w:rsidRPr="00C777B2">
        <w:t xml:space="preserve">  </w:t>
      </w:r>
      <w:r w:rsidR="00A4504A" w:rsidRPr="00C777B2">
        <w:t>Like Staff</w:t>
      </w:r>
      <w:r w:rsidR="00F237F3" w:rsidRPr="00C777B2">
        <w:t>, Public Counsel</w:t>
      </w:r>
      <w:r w:rsidRPr="00C777B2">
        <w:t xml:space="preserve"> argue</w:t>
      </w:r>
      <w:r w:rsidR="00F237F3" w:rsidRPr="00C777B2">
        <w:t>s</w:t>
      </w:r>
      <w:r w:rsidRPr="00C777B2">
        <w:t xml:space="preserve"> for an accounting treatment based on facts that are </w:t>
      </w:r>
      <w:r w:rsidR="00FC62B6" w:rsidRPr="00C777B2">
        <w:t>not present</w:t>
      </w:r>
      <w:r w:rsidR="00A4504A" w:rsidRPr="00C777B2">
        <w:t>ed in this case</w:t>
      </w:r>
      <w:r w:rsidRPr="00C777B2">
        <w:t xml:space="preserve">.  Public Counsel's presumed facts are not what happened in Jefferson County.  </w:t>
      </w:r>
    </w:p>
    <w:p w:rsidR="000B6F7E" w:rsidRPr="00C777B2" w:rsidRDefault="000B6F7E" w:rsidP="00C777B2">
      <w:pPr>
        <w:pStyle w:val="Answer0"/>
        <w:ind w:firstLine="0"/>
      </w:pPr>
      <w:r w:rsidRPr="00C777B2">
        <w:t xml:space="preserve">Similarly, ICNU argues that this forced sale of income producing assets under threat of condemnation and the corresponding loss of service area "can be essentially viewed as an early plant retirement."  </w:t>
      </w:r>
      <w:r w:rsidR="00B63CB6" w:rsidRPr="00C777B2">
        <w:t xml:space="preserve">An early plant retirement does not </w:t>
      </w:r>
      <w:r w:rsidR="00F446D2" w:rsidRPr="00C777B2">
        <w:t>describe the</w:t>
      </w:r>
      <w:r w:rsidR="00B63CB6" w:rsidRPr="00C777B2">
        <w:t xml:space="preserve"> characteristics </w:t>
      </w:r>
      <w:r w:rsidR="00F446D2" w:rsidRPr="00C777B2">
        <w:t xml:space="preserve">of </w:t>
      </w:r>
      <w:r w:rsidR="00B63CB6" w:rsidRPr="00C777B2">
        <w:t xml:space="preserve">this transaction – specifically the forced nature, the threat of condemnation, and the corresponding loss of service area.  </w:t>
      </w:r>
      <w:r w:rsidRPr="00C777B2">
        <w:t>Not surprisingly, ICNU cites no precedent whereby any state commission has so construed facts that fairly reflect what happened in Jefferson County to "be essentially viewed as an early plant retirement."</w:t>
      </w:r>
    </w:p>
    <w:p w:rsidR="000B6F7E" w:rsidRPr="00DE6B2D" w:rsidRDefault="00466CFD" w:rsidP="007D7D53">
      <w:pPr>
        <w:pStyle w:val="question"/>
      </w:pPr>
      <w:r>
        <w:t>Q.</w:t>
      </w:r>
      <w:r w:rsidR="000B6F7E" w:rsidRPr="00DE6B2D">
        <w:tab/>
        <w:t>W</w:t>
      </w:r>
      <w:r w:rsidR="00F237F3">
        <w:t>hy</w:t>
      </w:r>
      <w:r w:rsidR="000B6F7E" w:rsidRPr="00DE6B2D">
        <w:t xml:space="preserve"> </w:t>
      </w:r>
      <w:r w:rsidR="000B6F7E">
        <w:t>is this</w:t>
      </w:r>
      <w:r w:rsidR="00F237F3">
        <w:t xml:space="preserve"> </w:t>
      </w:r>
      <w:r w:rsidR="000B6F7E">
        <w:t>an important distinction</w:t>
      </w:r>
      <w:r w:rsidR="000B6F7E" w:rsidRPr="00DE6B2D">
        <w:t>?</w:t>
      </w:r>
    </w:p>
    <w:p w:rsidR="000B6F7E" w:rsidRPr="00C777B2" w:rsidRDefault="00466CFD" w:rsidP="00C777B2">
      <w:pPr>
        <w:pStyle w:val="Answer0"/>
      </w:pPr>
      <w:r w:rsidRPr="00C777B2">
        <w:lastRenderedPageBreak/>
        <w:t>A.</w:t>
      </w:r>
      <w:r w:rsidR="000B6F7E" w:rsidRPr="00C777B2">
        <w:tab/>
      </w:r>
      <w:r w:rsidR="00C972DF" w:rsidRPr="00C777B2">
        <w:t>The question presented to the Commission in this case is narrow</w:t>
      </w:r>
      <w:r w:rsidR="00D17D92" w:rsidRPr="00C777B2">
        <w:t xml:space="preserve"> and resolution of this case need not implicate or disturb </w:t>
      </w:r>
      <w:r w:rsidR="00123152" w:rsidRPr="00C777B2">
        <w:t>the established</w:t>
      </w:r>
      <w:r w:rsidR="00D17E62" w:rsidRPr="00C777B2">
        <w:t xml:space="preserve"> </w:t>
      </w:r>
      <w:r w:rsidR="00D17D92" w:rsidRPr="00C777B2">
        <w:t xml:space="preserve">rules that </w:t>
      </w:r>
      <w:r w:rsidR="00D17E62" w:rsidRPr="00C777B2">
        <w:t xml:space="preserve">the Commission normally </w:t>
      </w:r>
      <w:r w:rsidR="00D17D92" w:rsidRPr="00C777B2">
        <w:t>appl</w:t>
      </w:r>
      <w:r w:rsidR="00D17E62" w:rsidRPr="00C777B2">
        <w:t>ies</w:t>
      </w:r>
      <w:r w:rsidR="00D17D92" w:rsidRPr="00C777B2">
        <w:t xml:space="preserve"> to </w:t>
      </w:r>
      <w:r w:rsidR="00D17E62" w:rsidRPr="00C777B2">
        <w:t xml:space="preserve">other circumstances.  </w:t>
      </w:r>
      <w:r w:rsidR="000B6F7E" w:rsidRPr="00C777B2">
        <w:t>The</w:t>
      </w:r>
      <w:r w:rsidR="004D0805" w:rsidRPr="00C777B2">
        <w:t xml:space="preserve"> parties</w:t>
      </w:r>
      <w:r w:rsidR="00F54D07" w:rsidRPr="00C777B2">
        <w:t>’</w:t>
      </w:r>
      <w:r w:rsidR="004D0805" w:rsidRPr="00C777B2">
        <w:t xml:space="preserve"> </w:t>
      </w:r>
      <w:r w:rsidR="000B6F7E" w:rsidRPr="00C777B2">
        <w:t>arguments suggest that the Commission is presented with a "game changing" decision of far reaching proportions</w:t>
      </w:r>
      <w:r w:rsidR="00F54D07" w:rsidRPr="00C777B2">
        <w:t xml:space="preserve"> (e.g. a “significant departure” from past precedence)</w:t>
      </w:r>
      <w:r w:rsidR="007D7D53">
        <w:t>.</w:t>
      </w:r>
      <w:r w:rsidR="007D7D53">
        <w:rPr>
          <w:rStyle w:val="FootnoteReference"/>
        </w:rPr>
        <w:footnoteReference w:id="2"/>
      </w:r>
      <w:r w:rsidR="000B6F7E" w:rsidRPr="00C777B2">
        <w:t xml:space="preserve">  This is simply not </w:t>
      </w:r>
      <w:r w:rsidR="001157BE" w:rsidRPr="00C777B2">
        <w:t>the case</w:t>
      </w:r>
      <w:r w:rsidR="000B6F7E" w:rsidRPr="00C777B2">
        <w:t>.</w:t>
      </w:r>
      <w:r w:rsidR="00F237F3" w:rsidRPr="00C777B2">
        <w:t xml:space="preserve">  The transaction with Jefferson County is </w:t>
      </w:r>
      <w:r w:rsidR="00123152" w:rsidRPr="00C777B2">
        <w:t xml:space="preserve">readily </w:t>
      </w:r>
      <w:r w:rsidR="00F237F3" w:rsidRPr="00C777B2">
        <w:t>and proper</w:t>
      </w:r>
      <w:r w:rsidR="001E35FE" w:rsidRPr="00C777B2">
        <w:t>l</w:t>
      </w:r>
      <w:r w:rsidR="00F237F3" w:rsidRPr="00C777B2">
        <w:t xml:space="preserve">y distinguishable from </w:t>
      </w:r>
      <w:r w:rsidR="001E35FE" w:rsidRPr="00C777B2">
        <w:t xml:space="preserve">both a voluntary transfer and an </w:t>
      </w:r>
      <w:r w:rsidR="00F237F3" w:rsidRPr="00C777B2">
        <w:t>asset retirement in the ordinary course of operating a utility business.</w:t>
      </w:r>
    </w:p>
    <w:p w:rsidR="000B6F7E" w:rsidRPr="00C777B2" w:rsidRDefault="000B6F7E" w:rsidP="00C777B2">
      <w:pPr>
        <w:pStyle w:val="Answer0"/>
        <w:ind w:firstLine="0"/>
      </w:pPr>
      <w:r w:rsidRPr="00C777B2">
        <w:t xml:space="preserve">As the Company pointed out in its Petition, the unusual and extraordinary circumstances presented in this case are the unique and harsh circumstances of the liquidation of the entire business enterprise in a given locality. </w:t>
      </w:r>
      <w:r w:rsidR="00E73AA4" w:rsidRPr="00C777B2">
        <w:t xml:space="preserve">Considering </w:t>
      </w:r>
      <w:r w:rsidRPr="00C777B2">
        <w:t xml:space="preserve">facts </w:t>
      </w:r>
      <w:r w:rsidR="00DA752E" w:rsidRPr="00C777B2">
        <w:t>that are similar to the fact</w:t>
      </w:r>
      <w:r w:rsidR="00A72F77" w:rsidRPr="00C777B2">
        <w:t>s</w:t>
      </w:r>
      <w:r w:rsidR="00DA752E" w:rsidRPr="00C777B2">
        <w:t xml:space="preserve"> </w:t>
      </w:r>
      <w:r w:rsidRPr="00C777B2">
        <w:t>presented in this case, the California Public Utilities Commission</w:t>
      </w:r>
      <w:r w:rsidR="008036AA" w:rsidRPr="00C777B2">
        <w:t xml:space="preserve"> </w:t>
      </w:r>
      <w:r w:rsidR="00E61D16" w:rsidRPr="00C777B2">
        <w:t xml:space="preserve">recognized that </w:t>
      </w:r>
      <w:proofErr w:type="spellStart"/>
      <w:r w:rsidR="00E61D16" w:rsidRPr="00C777B2">
        <w:t>municipalizations</w:t>
      </w:r>
      <w:proofErr w:type="spellEnd"/>
      <w:r w:rsidR="00E61D16" w:rsidRPr="00C777B2">
        <w:t xml:space="preserve"> </w:t>
      </w:r>
      <w:r w:rsidR="00E14189" w:rsidRPr="00C777B2">
        <w:t xml:space="preserve">result in  </w:t>
      </w:r>
      <w:r w:rsidR="00394CE3" w:rsidRPr="00C777B2">
        <w:t xml:space="preserve">unique </w:t>
      </w:r>
      <w:r w:rsidR="00E14189" w:rsidRPr="00C777B2">
        <w:t xml:space="preserve">consequences that warrant </w:t>
      </w:r>
      <w:r w:rsidR="00FF5864" w:rsidRPr="00C777B2">
        <w:t>unique treatment:</w:t>
      </w:r>
    </w:p>
    <w:p w:rsidR="000B6F7E" w:rsidRDefault="000B6F7E" w:rsidP="00ED4B7C">
      <w:pPr>
        <w:pStyle w:val="BodyText"/>
        <w:ind w:left="1080" w:right="360"/>
        <w:jc w:val="left"/>
      </w:pPr>
      <w:r w:rsidRPr="00DE2397">
        <w:t>We are convinced t</w:t>
      </w:r>
      <w:r>
        <w:t>hat in the circumstances contem</w:t>
      </w:r>
      <w:r w:rsidRPr="00DE2397">
        <w:t>plated in this rulemaking (sale of part of a public utility distribution system to a public entity which then assumes the obligation to serve the customers formerly served by the utility within the area served by the transferred system), gains or losses from the sale should be allocated to the shareholders of the public</w:t>
      </w:r>
      <w:r>
        <w:t xml:space="preserve"> </w:t>
      </w:r>
      <w:r w:rsidR="000A5192">
        <w:t xml:space="preserve">utility, provided that the ratepayers have not contributed capital to the distribution system and are not adversely affected by the transfer of the system. </w:t>
      </w:r>
    </w:p>
    <w:p w:rsidR="00F237F3" w:rsidRDefault="00F237F3" w:rsidP="00ED4B7C">
      <w:pPr>
        <w:pStyle w:val="BodyText"/>
        <w:ind w:left="1080" w:right="360"/>
        <w:jc w:val="left"/>
      </w:pPr>
    </w:p>
    <w:p w:rsidR="00A11AA8" w:rsidRDefault="000B6F7E" w:rsidP="00DB4903">
      <w:pPr>
        <w:pStyle w:val="BodyText"/>
        <w:spacing w:after="240"/>
        <w:ind w:left="1080" w:right="360"/>
        <w:jc w:val="left"/>
      </w:pPr>
      <w:r w:rsidRPr="00DE2397">
        <w:t xml:space="preserve">We note that we have always allocated to shareholders the gains or losses from the total liquidation of a public utility. </w:t>
      </w:r>
      <w:r w:rsidR="00357A75">
        <w:t xml:space="preserve"> </w:t>
      </w:r>
      <w:r w:rsidRPr="00DE2397">
        <w:t xml:space="preserve">The transfer of distribution facilities together with the assumption of the responsibility to serve customers is essentially a partial liquidation of the public utility which </w:t>
      </w:r>
      <w:r w:rsidRPr="00DE2397">
        <w:lastRenderedPageBreak/>
        <w:t xml:space="preserve">transfers the facilities. </w:t>
      </w:r>
      <w:r w:rsidR="00357A75">
        <w:t xml:space="preserve"> </w:t>
      </w:r>
      <w:r w:rsidRPr="00203DD4">
        <w:rPr>
          <w:i/>
        </w:rPr>
        <w:t>Thus, the rules on liquidation logically should cover the narrowly defined circumstances we have described</w:t>
      </w:r>
      <w:r w:rsidRPr="00DE2397">
        <w:t>.</w:t>
      </w:r>
      <w:r w:rsidR="000A5192">
        <w:rPr>
          <w:rStyle w:val="FootnoteReference"/>
        </w:rPr>
        <w:footnoteReference w:id="3"/>
      </w:r>
      <w:r w:rsidRPr="00D61ECC">
        <w:t xml:space="preserve"> </w:t>
      </w:r>
    </w:p>
    <w:p w:rsidR="000B6F7E" w:rsidRDefault="000B6F7E" w:rsidP="008036AA">
      <w:pPr>
        <w:pStyle w:val="BodyText"/>
        <w:spacing w:line="480" w:lineRule="auto"/>
        <w:ind w:left="720"/>
        <w:jc w:val="left"/>
      </w:pPr>
      <w:r>
        <w:t>An</w:t>
      </w:r>
      <w:r w:rsidR="004D0805">
        <w:t>d</w:t>
      </w:r>
      <w:r>
        <w:t xml:space="preserve"> in a later decision, referring to </w:t>
      </w:r>
      <w:r w:rsidR="00FF5864">
        <w:t xml:space="preserve">this </w:t>
      </w:r>
      <w:r>
        <w:t xml:space="preserve">precedent, the California </w:t>
      </w:r>
      <w:r w:rsidRPr="00D61ECC">
        <w:t>Public Utilities Commission</w:t>
      </w:r>
      <w:r>
        <w:t xml:space="preserve"> stated:</w:t>
      </w:r>
    </w:p>
    <w:p w:rsidR="000B6F7E" w:rsidRDefault="000B6F7E" w:rsidP="00635D34">
      <w:pPr>
        <w:pStyle w:val="BodyText"/>
        <w:ind w:left="1080" w:right="360"/>
        <w:jc w:val="left"/>
      </w:pPr>
      <w:r w:rsidRPr="00D61ECC">
        <w:t xml:space="preserve">Most notably, the Decision points out that the Redding II test was designed to apply in 'narrow circumstances.' </w:t>
      </w:r>
      <w:r>
        <w:t xml:space="preserve"> </w:t>
      </w:r>
      <w:r w:rsidRPr="00D61ECC">
        <w:t xml:space="preserve">Thus the Decision gives a reason for maintaining this precedent even if some of the logic behind it differs from the rationale of the Decision. The Joint Parties, in their response point out that the sale of a portion of a public utility system to a municipal utility </w:t>
      </w:r>
      <w:r w:rsidRPr="00203DD4">
        <w:rPr>
          <w:i/>
        </w:rPr>
        <w:t>'involves public policy considerations distinct from those to which the new gain/loss on sale rules will apply</w:t>
      </w:r>
      <w:r w:rsidRPr="00D61ECC">
        <w:t>.'</w:t>
      </w:r>
      <w:r w:rsidR="008036AA">
        <w:t xml:space="preserve"> </w:t>
      </w:r>
      <w:r w:rsidRPr="00D61ECC">
        <w:t>(Response of Joint Parties at p. 6.) There is nothing arbitrary about the Decision's determination to create an exception from its general rule.</w:t>
      </w:r>
      <w:r w:rsidR="00D200EB">
        <w:rPr>
          <w:rStyle w:val="FootnoteReference"/>
        </w:rPr>
        <w:footnoteReference w:id="4"/>
      </w:r>
      <w:r w:rsidRPr="00203DD4">
        <w:t xml:space="preserve"> </w:t>
      </w:r>
    </w:p>
    <w:p w:rsidR="000B6F7E" w:rsidRDefault="000B6F7E" w:rsidP="00C777B2">
      <w:pPr>
        <w:pStyle w:val="Answer0"/>
        <w:ind w:firstLine="0"/>
      </w:pPr>
      <w:r>
        <w:t xml:space="preserve">The </w:t>
      </w:r>
      <w:r w:rsidR="008036AA">
        <w:t xml:space="preserve">“distinct” or </w:t>
      </w:r>
      <w:r>
        <w:t xml:space="preserve">unique </w:t>
      </w:r>
      <w:r w:rsidR="00B409F3">
        <w:t>considerations</w:t>
      </w:r>
      <w:r>
        <w:t xml:space="preserve"> recognized by the California commission (and other commissions) </w:t>
      </w:r>
      <w:r w:rsidR="00B409F3">
        <w:t xml:space="preserve">are (a) </w:t>
      </w:r>
      <w:r>
        <w:t xml:space="preserve">the </w:t>
      </w:r>
      <w:r w:rsidRPr="00B23B55">
        <w:t xml:space="preserve">loss of part of its customer base and </w:t>
      </w:r>
      <w:r w:rsidR="00B409F3">
        <w:t xml:space="preserve">(b) a decline in its </w:t>
      </w:r>
      <w:r w:rsidRPr="00B23B55">
        <w:t>on</w:t>
      </w:r>
      <w:r w:rsidR="00B409F3">
        <w:t>-</w:t>
      </w:r>
      <w:r w:rsidRPr="00B23B55">
        <w:t>going business value</w:t>
      </w:r>
      <w:r>
        <w:t xml:space="preserve">, </w:t>
      </w:r>
      <w:r w:rsidR="00B409F3">
        <w:t xml:space="preserve">all of </w:t>
      </w:r>
      <w:r>
        <w:t xml:space="preserve">which </w:t>
      </w:r>
      <w:r w:rsidRPr="00B23B55">
        <w:t>is tantamount to a dissolution</w:t>
      </w:r>
      <w:r>
        <w:t>.  Under these facts</w:t>
      </w:r>
      <w:r w:rsidR="00B409F3">
        <w:t>,</w:t>
      </w:r>
      <w:r>
        <w:t xml:space="preserve"> our Commission, like the</w:t>
      </w:r>
      <w:r w:rsidRPr="00AE42AE">
        <w:t xml:space="preserve"> </w:t>
      </w:r>
      <w:r>
        <w:t>California commission, must</w:t>
      </w:r>
      <w:r w:rsidRPr="00B23B55">
        <w:t xml:space="preserve"> recognize the right of the utility to the net capital gain resulting from the sale</w:t>
      </w:r>
      <w:r>
        <w:t>.</w:t>
      </w:r>
    </w:p>
    <w:p w:rsidR="000B6F7E" w:rsidRDefault="00466CFD" w:rsidP="00990A5B">
      <w:pPr>
        <w:pStyle w:val="BodyText"/>
        <w:spacing w:line="480" w:lineRule="auto"/>
        <w:ind w:left="720" w:hanging="720"/>
        <w:jc w:val="left"/>
        <w:rPr>
          <w:b/>
        </w:rPr>
      </w:pPr>
      <w:r>
        <w:rPr>
          <w:b/>
        </w:rPr>
        <w:t>Q.</w:t>
      </w:r>
      <w:r w:rsidR="000B6F7E" w:rsidRPr="00961B8A">
        <w:rPr>
          <w:b/>
        </w:rPr>
        <w:tab/>
      </w:r>
      <w:r w:rsidR="000B6F7E">
        <w:rPr>
          <w:b/>
        </w:rPr>
        <w:t>W</w:t>
      </w:r>
      <w:r w:rsidR="000B6F7E" w:rsidRPr="00961B8A">
        <w:rPr>
          <w:b/>
        </w:rPr>
        <w:t>hat are the distinguishing facts</w:t>
      </w:r>
      <w:r w:rsidR="00076B80">
        <w:rPr>
          <w:b/>
        </w:rPr>
        <w:t xml:space="preserve"> that separate this transaction from other asset sales</w:t>
      </w:r>
      <w:r w:rsidR="000B6F7E" w:rsidRPr="00961B8A">
        <w:rPr>
          <w:b/>
        </w:rPr>
        <w:t>?</w:t>
      </w:r>
    </w:p>
    <w:p w:rsidR="000B6F7E" w:rsidRDefault="00466CFD" w:rsidP="00C777B2">
      <w:pPr>
        <w:pStyle w:val="Answer0"/>
      </w:pPr>
      <w:r>
        <w:rPr>
          <w:b/>
        </w:rPr>
        <w:t>A.</w:t>
      </w:r>
      <w:r w:rsidR="000B6F7E">
        <w:rPr>
          <w:b/>
        </w:rPr>
        <w:tab/>
      </w:r>
      <w:r w:rsidR="00542B94">
        <w:t xml:space="preserve">In the </w:t>
      </w:r>
      <w:r w:rsidR="00FC34AF">
        <w:t xml:space="preserve">case of the </w:t>
      </w:r>
      <w:r w:rsidR="00542B94">
        <w:t>JPUD transaction</w:t>
      </w:r>
      <w:r w:rsidR="00FC34AF">
        <w:t xml:space="preserve">, as well as the </w:t>
      </w:r>
      <w:r w:rsidR="00341CC1">
        <w:t xml:space="preserve">partial liquidations discussed in </w:t>
      </w:r>
      <w:r w:rsidR="00542B94" w:rsidRPr="00635D34">
        <w:rPr>
          <w:i/>
        </w:rPr>
        <w:t>Redding II</w:t>
      </w:r>
      <w:r w:rsidR="00542B94">
        <w:t>, t</w:t>
      </w:r>
      <w:r w:rsidR="000B6F7E" w:rsidRPr="00551D18">
        <w:t>he transaction</w:t>
      </w:r>
      <w:r w:rsidR="008A79B7">
        <w:t>s</w:t>
      </w:r>
      <w:r w:rsidR="000B6F7E" w:rsidRPr="00551D18">
        <w:t xml:space="preserve"> </w:t>
      </w:r>
      <w:r w:rsidR="00FC34AF">
        <w:t xml:space="preserve">in question </w:t>
      </w:r>
      <w:r w:rsidR="008A79B7">
        <w:t xml:space="preserve">were </w:t>
      </w:r>
      <w:r w:rsidR="000B6F7E">
        <w:t>forced sale</w:t>
      </w:r>
      <w:r w:rsidR="008A79B7">
        <w:t>s</w:t>
      </w:r>
      <w:r w:rsidR="000B6F7E">
        <w:t>, under threat of condemnation, by a public entity with legal authority to co</w:t>
      </w:r>
      <w:r w:rsidR="00F54D07">
        <w:t xml:space="preserve">mpel the transfer of the </w:t>
      </w:r>
      <w:r w:rsidR="00F54D07">
        <w:lastRenderedPageBreak/>
        <w:t>assets</w:t>
      </w:r>
      <w:r w:rsidR="000B6F7E">
        <w:t xml:space="preserve"> as a matter of law.  The assets consisted of the operating assets deployed in a given geographic area in connection with the delivery of retail electric service.  The assets in question were in rate base (i.e., </w:t>
      </w:r>
      <w:r w:rsidR="00072DC2">
        <w:t xml:space="preserve">deployed to provide electric service to customers and </w:t>
      </w:r>
      <w:r w:rsidR="000B6F7E">
        <w:t xml:space="preserve">to return </w:t>
      </w:r>
      <w:r w:rsidR="000B6F7E" w:rsidRPr="00635D34">
        <w:t>future earning</w:t>
      </w:r>
      <w:r w:rsidR="000B6F7E">
        <w:t xml:space="preserve"> to investors) and upon consummation of the sale, the service area was lost to the incumbent utility and the public service obligations pass to the successor utility. </w:t>
      </w:r>
    </w:p>
    <w:p w:rsidR="000B6F7E" w:rsidRDefault="000B6F7E" w:rsidP="00990A5B">
      <w:pPr>
        <w:pStyle w:val="BodyText"/>
        <w:spacing w:line="480" w:lineRule="auto"/>
        <w:ind w:left="720" w:hanging="720"/>
        <w:jc w:val="left"/>
        <w:rPr>
          <w:b/>
        </w:rPr>
      </w:pPr>
      <w:r w:rsidRPr="00961B8A">
        <w:rPr>
          <w:b/>
        </w:rPr>
        <w:t>Q</w:t>
      </w:r>
      <w:r w:rsidR="00466CFD">
        <w:rPr>
          <w:b/>
        </w:rPr>
        <w:t>.</w:t>
      </w:r>
      <w:r w:rsidRPr="00961B8A">
        <w:rPr>
          <w:b/>
        </w:rPr>
        <w:tab/>
      </w:r>
      <w:r>
        <w:rPr>
          <w:b/>
        </w:rPr>
        <w:t>W</w:t>
      </w:r>
      <w:r w:rsidRPr="00961B8A">
        <w:rPr>
          <w:b/>
        </w:rPr>
        <w:t xml:space="preserve">hat are the distinguishing </w:t>
      </w:r>
      <w:r>
        <w:rPr>
          <w:b/>
        </w:rPr>
        <w:t>legal issues</w:t>
      </w:r>
      <w:r w:rsidR="00076B80">
        <w:rPr>
          <w:b/>
        </w:rPr>
        <w:t xml:space="preserve"> </w:t>
      </w:r>
      <w:r w:rsidR="004B64B6">
        <w:rPr>
          <w:b/>
        </w:rPr>
        <w:t>that separate this transaction from other asset sales</w:t>
      </w:r>
      <w:r w:rsidRPr="00961B8A">
        <w:rPr>
          <w:b/>
        </w:rPr>
        <w:t>?</w:t>
      </w:r>
    </w:p>
    <w:p w:rsidR="00B409F3" w:rsidRDefault="00466CFD" w:rsidP="00C777B2">
      <w:pPr>
        <w:pStyle w:val="Answer0"/>
      </w:pPr>
      <w:r>
        <w:t>A.</w:t>
      </w:r>
      <w:r w:rsidR="000B6F7E">
        <w:tab/>
      </w:r>
      <w:r w:rsidR="00F530CD">
        <w:t xml:space="preserve">This aspect of this case was addressed in </w:t>
      </w:r>
      <w:r w:rsidR="00F530CD" w:rsidRPr="00C777B2">
        <w:t>Order 03</w:t>
      </w:r>
      <w:r w:rsidR="0049578A">
        <w:t xml:space="preserve"> in</w:t>
      </w:r>
      <w:r w:rsidR="00F530CD" w:rsidRPr="00C777B2">
        <w:t xml:space="preserve"> U-101217</w:t>
      </w:r>
      <w:r w:rsidR="00F530CD">
        <w:t xml:space="preserve"> (Feb. 1, 2011)</w:t>
      </w:r>
      <w:r w:rsidR="000757B7">
        <w:rPr>
          <w:b/>
        </w:rPr>
        <w:t xml:space="preserve">.  </w:t>
      </w:r>
      <w:r w:rsidR="000757B7">
        <w:t xml:space="preserve">To my reading of that order, the </w:t>
      </w:r>
      <w:r w:rsidR="000B6F7E">
        <w:t xml:space="preserve">transfer of </w:t>
      </w:r>
      <w:r w:rsidR="008A79B7">
        <w:t xml:space="preserve">JPUD </w:t>
      </w:r>
      <w:r w:rsidR="000B6F7E">
        <w:t xml:space="preserve">assets occurred pursuant to </w:t>
      </w:r>
      <w:r w:rsidR="008A79B7">
        <w:t>RCW </w:t>
      </w:r>
      <w:r w:rsidR="000B6F7E">
        <w:t>80.12.</w:t>
      </w:r>
      <w:r w:rsidR="00AC7B64">
        <w:t>0</w:t>
      </w:r>
      <w:r w:rsidR="000B6F7E">
        <w:t>20</w:t>
      </w:r>
      <w:r w:rsidR="00F54D07">
        <w:t xml:space="preserve"> as a matter of law</w:t>
      </w:r>
      <w:r w:rsidR="000757B7">
        <w:t>.</w:t>
      </w:r>
      <w:r w:rsidR="000B6F7E">
        <w:t xml:space="preserve"> </w:t>
      </w:r>
      <w:r w:rsidR="00F530CD">
        <w:t xml:space="preserve"> T</w:t>
      </w:r>
      <w:r w:rsidR="000757B7">
        <w:t xml:space="preserve">he </w:t>
      </w:r>
      <w:r w:rsidR="000B6F7E">
        <w:t xml:space="preserve">"no harm" test articulated by </w:t>
      </w:r>
      <w:r w:rsidR="000B6F7E" w:rsidRPr="00727B5A">
        <w:rPr>
          <w:i/>
        </w:rPr>
        <w:t>Centralia</w:t>
      </w:r>
      <w:r w:rsidR="000B6F7E">
        <w:t xml:space="preserve"> and its progeny</w:t>
      </w:r>
      <w:r w:rsidR="000757B7">
        <w:t xml:space="preserve"> </w:t>
      </w:r>
      <w:r w:rsidR="00E95BDA">
        <w:t>is not</w:t>
      </w:r>
      <w:r w:rsidR="000757B7">
        <w:t xml:space="preserve"> appl</w:t>
      </w:r>
      <w:r w:rsidR="00E95BDA">
        <w:t>i</w:t>
      </w:r>
      <w:r w:rsidR="000757B7">
        <w:t xml:space="preserve">ed or even relevant to the transfer of the Jefferson County </w:t>
      </w:r>
      <w:r w:rsidR="00BF04A7">
        <w:t>assets</w:t>
      </w:r>
      <w:r w:rsidR="000B6F7E">
        <w:t xml:space="preserve">.  </w:t>
      </w:r>
      <w:r w:rsidR="00B409F3">
        <w:t xml:space="preserve">  </w:t>
      </w:r>
    </w:p>
    <w:p w:rsidR="000B6F7E" w:rsidRDefault="00035234" w:rsidP="00125E2B">
      <w:pPr>
        <w:pStyle w:val="Answer0"/>
        <w:ind w:firstLine="0"/>
      </w:pPr>
      <w:r>
        <w:t>I</w:t>
      </w:r>
      <w:r w:rsidR="00BF04A7">
        <w:t xml:space="preserve">t is my </w:t>
      </w:r>
      <w:r>
        <w:t xml:space="preserve">further </w:t>
      </w:r>
      <w:r w:rsidR="00BF04A7">
        <w:t xml:space="preserve">understanding </w:t>
      </w:r>
      <w:r>
        <w:t xml:space="preserve">from this order </w:t>
      </w:r>
      <w:r w:rsidR="00BF04A7">
        <w:t xml:space="preserve">that </w:t>
      </w:r>
      <w:r w:rsidR="000B6F7E">
        <w:t xml:space="preserve">the Commission has no jurisdiction over </w:t>
      </w:r>
      <w:r w:rsidR="008A79B7">
        <w:t xml:space="preserve">PSE’s </w:t>
      </w:r>
      <w:r w:rsidR="000B6F7E">
        <w:t xml:space="preserve">former customers, </w:t>
      </w:r>
      <w:r w:rsidR="000B6F7E" w:rsidRPr="00E95BDA">
        <w:t>nor any basis to allocate "benefits" to any "burdens" that they might have carried, nor any basis to "reward" any "risks" that they might have incurred</w:t>
      </w:r>
      <w:r w:rsidR="000B6F7E" w:rsidRPr="00930230">
        <w:t>.</w:t>
      </w:r>
      <w:r w:rsidR="000B6F7E">
        <w:t xml:space="preserve">  However, as to the utility and its investors, the Commission retains jurisdiction to address the </w:t>
      </w:r>
      <w:r w:rsidR="008A79B7">
        <w:t xml:space="preserve">impacts </w:t>
      </w:r>
      <w:r w:rsidR="000B6F7E">
        <w:t xml:space="preserve">associated with the </w:t>
      </w:r>
      <w:r w:rsidR="000B6F7E" w:rsidRPr="00B23B55">
        <w:t xml:space="preserve">loss of part of its customer base and </w:t>
      </w:r>
      <w:r w:rsidR="00E074EE">
        <w:t xml:space="preserve">its </w:t>
      </w:r>
      <w:r w:rsidR="000B6F7E" w:rsidRPr="00B23B55">
        <w:t>on</w:t>
      </w:r>
      <w:r w:rsidR="00B409F3">
        <w:t>-</w:t>
      </w:r>
      <w:r w:rsidR="000B6F7E" w:rsidRPr="00B23B55">
        <w:t>going business value</w:t>
      </w:r>
      <w:r w:rsidR="00E074EE">
        <w:t xml:space="preserve">.  I believe that the Commission also retains its jurisdiction to address any harm to PSE's remaining customers </w:t>
      </w:r>
      <w:r w:rsidR="000928E4">
        <w:t xml:space="preserve">that is a consequence of the transfer of the Jefferson County assets to JPUD.  </w:t>
      </w:r>
      <w:r w:rsidR="000B6F7E">
        <w:t xml:space="preserve"> </w:t>
      </w:r>
    </w:p>
    <w:p w:rsidR="00FD36BE" w:rsidRDefault="00FD36BE" w:rsidP="00FD36BE">
      <w:pPr>
        <w:pStyle w:val="BodyText"/>
        <w:spacing w:line="480" w:lineRule="auto"/>
        <w:ind w:left="720" w:hanging="720"/>
        <w:jc w:val="left"/>
        <w:rPr>
          <w:b/>
        </w:rPr>
      </w:pPr>
      <w:r w:rsidRPr="00CE4722">
        <w:rPr>
          <w:b/>
        </w:rPr>
        <w:lastRenderedPageBreak/>
        <w:t>Q</w:t>
      </w:r>
      <w:r w:rsidR="00466CFD">
        <w:rPr>
          <w:b/>
        </w:rPr>
        <w:t>.</w:t>
      </w:r>
      <w:r>
        <w:rPr>
          <w:b/>
        </w:rPr>
        <w:tab/>
      </w:r>
      <w:r w:rsidR="00C6303B">
        <w:rPr>
          <w:b/>
        </w:rPr>
        <w:t xml:space="preserve">Having considered </w:t>
      </w:r>
      <w:r w:rsidR="00C6303B" w:rsidRPr="00C6303B">
        <w:rPr>
          <w:b/>
        </w:rPr>
        <w:t xml:space="preserve">the responsive testimony filed by WUTC Staff, Public Counsel and ICNU, does the Company </w:t>
      </w:r>
      <w:r w:rsidR="00C6303B">
        <w:rPr>
          <w:b/>
        </w:rPr>
        <w:t xml:space="preserve">now wish to </w:t>
      </w:r>
      <w:r w:rsidR="002A6005">
        <w:rPr>
          <w:b/>
        </w:rPr>
        <w:t>propose</w:t>
      </w:r>
      <w:r w:rsidR="00C6303B">
        <w:rPr>
          <w:b/>
        </w:rPr>
        <w:t xml:space="preserve"> any changes or modifications to is requested accounting treatment</w:t>
      </w:r>
      <w:r w:rsidR="00C6303B" w:rsidRPr="00C6303B">
        <w:rPr>
          <w:b/>
        </w:rPr>
        <w:t>?</w:t>
      </w:r>
    </w:p>
    <w:p w:rsidR="00C6303B" w:rsidRDefault="00466CFD" w:rsidP="00C777B2">
      <w:pPr>
        <w:pStyle w:val="Answer0"/>
      </w:pPr>
      <w:r>
        <w:rPr>
          <w:b/>
        </w:rPr>
        <w:t>A.</w:t>
      </w:r>
      <w:r w:rsidR="00C6303B">
        <w:rPr>
          <w:b/>
        </w:rPr>
        <w:tab/>
      </w:r>
      <w:r w:rsidR="00C6303B">
        <w:t xml:space="preserve">No.  </w:t>
      </w:r>
      <w:r w:rsidR="00CD433F" w:rsidRPr="00CD433F">
        <w:t>Consistent with the principles applicable to the forced liquidation of an incumbent utility's entire business and assets in a given locality, PSE is proposing to allocate 75% of the gain to investors and 25% to the remaining customers.</w:t>
      </w:r>
      <w:r w:rsidR="00CD433F">
        <w:t xml:space="preserve">  </w:t>
      </w:r>
    </w:p>
    <w:p w:rsidR="0081170C" w:rsidRDefault="0081170C" w:rsidP="0081170C">
      <w:pPr>
        <w:pStyle w:val="Heading1"/>
        <w:spacing w:after="360" w:line="240" w:lineRule="auto"/>
        <w:rPr>
          <w:rFonts w:eastAsia="SimSun"/>
        </w:rPr>
      </w:pPr>
      <w:bookmarkStart w:id="7" w:name="_Toc385937192"/>
      <w:r>
        <w:rPr>
          <w:rFonts w:eastAsia="SimSun"/>
        </w:rPr>
        <w:t>III</w:t>
      </w:r>
      <w:r w:rsidRPr="009075DC">
        <w:rPr>
          <w:rFonts w:eastAsia="SimSun"/>
        </w:rPr>
        <w:t>.</w:t>
      </w:r>
      <w:r w:rsidRPr="009075DC">
        <w:rPr>
          <w:rFonts w:eastAsia="SimSun"/>
        </w:rPr>
        <w:tab/>
      </w:r>
      <w:r>
        <w:rPr>
          <w:rFonts w:eastAsia="SimSun"/>
        </w:rPr>
        <w:t>ADJUSTMENTS TO THE PURCHASE PRICE</w:t>
      </w:r>
      <w:bookmarkEnd w:id="7"/>
      <w:r>
        <w:rPr>
          <w:rFonts w:eastAsia="SimSun"/>
        </w:rPr>
        <w:t xml:space="preserve"> </w:t>
      </w:r>
    </w:p>
    <w:p w:rsidR="0081170C" w:rsidRPr="00A503F9" w:rsidRDefault="0081170C" w:rsidP="0081170C">
      <w:pPr>
        <w:pStyle w:val="question"/>
        <w:keepNext/>
        <w:keepLines/>
        <w:spacing w:before="120"/>
      </w:pPr>
      <w:r w:rsidRPr="009075DC">
        <w:rPr>
          <w:rFonts w:eastAsia="SimSun"/>
        </w:rPr>
        <w:t>Q.</w:t>
      </w:r>
      <w:r w:rsidRPr="009075DC">
        <w:rPr>
          <w:rFonts w:eastAsia="SimSun"/>
        </w:rPr>
        <w:tab/>
      </w:r>
      <w:r w:rsidR="0044132E">
        <w:rPr>
          <w:rFonts w:eastAsia="SimSun"/>
        </w:rPr>
        <w:t>Are there</w:t>
      </w:r>
      <w:r>
        <w:rPr>
          <w:rFonts w:eastAsia="SimSun"/>
        </w:rPr>
        <w:t xml:space="preserve"> any changes </w:t>
      </w:r>
      <w:r w:rsidR="00E720DC">
        <w:rPr>
          <w:rFonts w:eastAsia="SimSun"/>
        </w:rPr>
        <w:t xml:space="preserve">that need to be made </w:t>
      </w:r>
      <w:r>
        <w:rPr>
          <w:rFonts w:eastAsia="SimSun"/>
        </w:rPr>
        <w:t>to the purchase price or gain calculation</w:t>
      </w:r>
      <w:r w:rsidR="0044132E">
        <w:rPr>
          <w:rFonts w:eastAsia="SimSun"/>
        </w:rPr>
        <w:t xml:space="preserve"> that you </w:t>
      </w:r>
      <w:r w:rsidR="002D293A">
        <w:rPr>
          <w:rFonts w:eastAsia="SimSun"/>
        </w:rPr>
        <w:t xml:space="preserve">presented </w:t>
      </w:r>
      <w:r w:rsidR="00E720DC">
        <w:rPr>
          <w:rFonts w:eastAsia="SimSun"/>
        </w:rPr>
        <w:t>in your direct testimony</w:t>
      </w:r>
      <w:r w:rsidRPr="009075DC">
        <w:rPr>
          <w:rFonts w:eastAsia="SimSun"/>
        </w:rPr>
        <w:t>?</w:t>
      </w:r>
    </w:p>
    <w:p w:rsidR="0081170C" w:rsidRDefault="0081170C" w:rsidP="00C777B2">
      <w:pPr>
        <w:pStyle w:val="Answer0"/>
        <w:rPr>
          <w:rFonts w:eastAsia="SimSun"/>
        </w:rPr>
      </w:pPr>
      <w:r>
        <w:rPr>
          <w:rFonts w:eastAsia="SimSun"/>
        </w:rPr>
        <w:t>A.</w:t>
      </w:r>
      <w:r>
        <w:rPr>
          <w:rFonts w:eastAsia="SimSun"/>
        </w:rPr>
        <w:tab/>
        <w:t xml:space="preserve">Yes, I am providing Exhibit No. </w:t>
      </w:r>
      <w:r w:rsidR="0049578A">
        <w:rPr>
          <w:rFonts w:eastAsia="SimSun"/>
        </w:rPr>
        <w:t>___</w:t>
      </w:r>
      <w:r>
        <w:rPr>
          <w:rFonts w:eastAsia="SimSun"/>
        </w:rPr>
        <w:t>(MRM-</w:t>
      </w:r>
      <w:r w:rsidR="00804AAA">
        <w:rPr>
          <w:rFonts w:eastAsia="SimSun"/>
        </w:rPr>
        <w:t>6</w:t>
      </w:r>
      <w:r>
        <w:rPr>
          <w:rFonts w:eastAsia="SimSun"/>
        </w:rPr>
        <w:t>)</w:t>
      </w:r>
      <w:r w:rsidR="0049578A">
        <w:rPr>
          <w:rFonts w:eastAsia="SimSun"/>
        </w:rPr>
        <w:t>,</w:t>
      </w:r>
      <w:r>
        <w:rPr>
          <w:rFonts w:eastAsia="SimSun"/>
        </w:rPr>
        <w:t xml:space="preserve"> which updates my original gain calculation to reflect the changes.</w:t>
      </w:r>
    </w:p>
    <w:p w:rsidR="00E720DC" w:rsidRPr="00A503F9" w:rsidRDefault="00E720DC" w:rsidP="00E720DC">
      <w:pPr>
        <w:pStyle w:val="question"/>
        <w:keepNext/>
        <w:keepLines/>
        <w:spacing w:before="120"/>
      </w:pPr>
      <w:r w:rsidRPr="009075DC">
        <w:rPr>
          <w:rFonts w:eastAsia="SimSun"/>
        </w:rPr>
        <w:t>Q.</w:t>
      </w:r>
      <w:r w:rsidRPr="009075DC">
        <w:rPr>
          <w:rFonts w:eastAsia="SimSun"/>
        </w:rPr>
        <w:tab/>
      </w:r>
      <w:r w:rsidR="002D293A">
        <w:rPr>
          <w:rFonts w:eastAsia="SimSun"/>
        </w:rPr>
        <w:t>What changes did you make and w</w:t>
      </w:r>
      <w:r>
        <w:rPr>
          <w:rFonts w:eastAsia="SimSun"/>
        </w:rPr>
        <w:t>hy are these changes necessary</w:t>
      </w:r>
      <w:r w:rsidRPr="009075DC">
        <w:rPr>
          <w:rFonts w:eastAsia="SimSun"/>
        </w:rPr>
        <w:t>?</w:t>
      </w:r>
    </w:p>
    <w:p w:rsidR="00EA6126" w:rsidRDefault="00E720DC" w:rsidP="00C777B2">
      <w:pPr>
        <w:pStyle w:val="Answer0"/>
        <w:rPr>
          <w:rFonts w:eastAsia="SimSun"/>
        </w:rPr>
      </w:pPr>
      <w:r>
        <w:rPr>
          <w:rFonts w:eastAsia="SimSun"/>
        </w:rPr>
        <w:t>A.</w:t>
      </w:r>
      <w:r>
        <w:rPr>
          <w:rFonts w:eastAsia="SimSun"/>
        </w:rPr>
        <w:tab/>
        <w:t xml:space="preserve">My direct testimony was prepared and filed with the </w:t>
      </w:r>
      <w:r w:rsidR="00456F77">
        <w:rPr>
          <w:rFonts w:eastAsia="SimSun"/>
        </w:rPr>
        <w:t xml:space="preserve">Company's Petition for an Accounting Order in October of last year.  The Accounting Petition </w:t>
      </w:r>
      <w:r w:rsidR="00D36461">
        <w:rPr>
          <w:rFonts w:eastAsia="SimSun"/>
        </w:rPr>
        <w:t xml:space="preserve">noted however, with respect to the purchase price of the assets, that </w:t>
      </w:r>
      <w:r w:rsidR="00D36461" w:rsidRPr="00D36461">
        <w:rPr>
          <w:rFonts w:eastAsia="SimSun"/>
        </w:rPr>
        <w:t>JPUD ha</w:t>
      </w:r>
      <w:r w:rsidR="00EA6126">
        <w:rPr>
          <w:rFonts w:eastAsia="SimSun"/>
        </w:rPr>
        <w:t>d</w:t>
      </w:r>
      <w:r w:rsidR="00D36461" w:rsidRPr="00D36461">
        <w:rPr>
          <w:rFonts w:eastAsia="SimSun"/>
        </w:rPr>
        <w:t xml:space="preserve"> </w:t>
      </w:r>
      <w:r w:rsidR="00D36461">
        <w:rPr>
          <w:rFonts w:eastAsia="SimSun"/>
        </w:rPr>
        <w:t xml:space="preserve">questioned </w:t>
      </w:r>
      <w:r w:rsidR="00D36461" w:rsidRPr="00D36461">
        <w:rPr>
          <w:rFonts w:eastAsia="SimSun"/>
        </w:rPr>
        <w:t xml:space="preserve">approximately $416,000 in charges for </w:t>
      </w:r>
      <w:r w:rsidR="00EA6126">
        <w:rPr>
          <w:rFonts w:eastAsia="SimSun"/>
        </w:rPr>
        <w:t>a</w:t>
      </w:r>
      <w:r w:rsidR="00D36461" w:rsidRPr="00D36461">
        <w:rPr>
          <w:rFonts w:eastAsia="SimSun"/>
        </w:rPr>
        <w:t xml:space="preserve">ssets placed in service during the </w:t>
      </w:r>
      <w:r w:rsidR="00D36461">
        <w:rPr>
          <w:rFonts w:eastAsia="SimSun"/>
        </w:rPr>
        <w:t xml:space="preserve">transition period.  </w:t>
      </w:r>
      <w:r w:rsidR="00D36461" w:rsidRPr="00D36461">
        <w:rPr>
          <w:rFonts w:eastAsia="SimSun"/>
        </w:rPr>
        <w:t xml:space="preserve">PSE agreed to review these charges to determine if any further adjustments are warranted.  </w:t>
      </w:r>
    </w:p>
    <w:p w:rsidR="00E720DC" w:rsidRDefault="00EA6126" w:rsidP="00C777B2">
      <w:pPr>
        <w:pStyle w:val="Answer0"/>
        <w:rPr>
          <w:rFonts w:eastAsia="SimSun"/>
        </w:rPr>
      </w:pPr>
      <w:r>
        <w:rPr>
          <w:rFonts w:eastAsia="SimSun"/>
        </w:rPr>
        <w:tab/>
      </w:r>
      <w:r w:rsidR="00D36461">
        <w:rPr>
          <w:rFonts w:eastAsia="SimSun"/>
        </w:rPr>
        <w:t xml:space="preserve">As a result of this review, JPUD and </w:t>
      </w:r>
      <w:r w:rsidR="00E110BE">
        <w:rPr>
          <w:rFonts w:eastAsia="SimSun"/>
        </w:rPr>
        <w:t xml:space="preserve">PSE </w:t>
      </w:r>
      <w:r w:rsidR="001047CE">
        <w:rPr>
          <w:rFonts w:eastAsia="SimSun"/>
        </w:rPr>
        <w:t xml:space="preserve">subsequently </w:t>
      </w:r>
      <w:r w:rsidR="00E110BE">
        <w:rPr>
          <w:rFonts w:eastAsia="SimSun"/>
        </w:rPr>
        <w:t xml:space="preserve">agreed </w:t>
      </w:r>
      <w:r w:rsidR="001047CE">
        <w:rPr>
          <w:rFonts w:eastAsia="SimSun"/>
        </w:rPr>
        <w:t>to a further adjustment of the purchase price, and to give JPUD a $100,000 credit against future payments due PSE</w:t>
      </w:r>
      <w:r>
        <w:rPr>
          <w:rFonts w:eastAsia="SimSun"/>
        </w:rPr>
        <w:t xml:space="preserve"> on April 1, 2014.</w:t>
      </w:r>
      <w:r w:rsidR="001047CE">
        <w:rPr>
          <w:rFonts w:eastAsia="SimSun"/>
        </w:rPr>
        <w:t xml:space="preserve">  As a result, and as reflected in </w:t>
      </w:r>
      <w:r w:rsidR="001047CE">
        <w:rPr>
          <w:rFonts w:eastAsia="SimSun"/>
        </w:rPr>
        <w:lastRenderedPageBreak/>
        <w:t xml:space="preserve">Exhibit No. </w:t>
      </w:r>
      <w:r w:rsidR="0049578A">
        <w:rPr>
          <w:rFonts w:eastAsia="SimSun"/>
        </w:rPr>
        <w:t>___</w:t>
      </w:r>
      <w:r w:rsidR="001047CE">
        <w:rPr>
          <w:rFonts w:eastAsia="SimSun"/>
        </w:rPr>
        <w:t xml:space="preserve">(MRM-6), the total amount of the proceeds </w:t>
      </w:r>
      <w:r w:rsidR="00F27F41">
        <w:rPr>
          <w:rFonts w:eastAsia="SimSun"/>
        </w:rPr>
        <w:t>has been reduced from $</w:t>
      </w:r>
      <w:r w:rsidR="00F27F41" w:rsidRPr="00F27F41">
        <w:rPr>
          <w:rFonts w:eastAsia="SimSun"/>
        </w:rPr>
        <w:t>109,</w:t>
      </w:r>
      <w:r w:rsidR="00F27F41">
        <w:rPr>
          <w:rFonts w:eastAsia="SimSun"/>
        </w:rPr>
        <w:t>3</w:t>
      </w:r>
      <w:r w:rsidR="00F27F41" w:rsidRPr="00F27F41">
        <w:rPr>
          <w:rFonts w:eastAsia="SimSun"/>
        </w:rPr>
        <w:t>73,196</w:t>
      </w:r>
      <w:r w:rsidR="00F27F41">
        <w:rPr>
          <w:rFonts w:eastAsia="SimSun"/>
        </w:rPr>
        <w:t xml:space="preserve"> to $</w:t>
      </w:r>
      <w:r w:rsidR="00F27F41" w:rsidRPr="00F27F41">
        <w:rPr>
          <w:rFonts w:eastAsia="SimSun"/>
        </w:rPr>
        <w:t>109,273,196</w:t>
      </w:r>
      <w:r w:rsidR="00F27F41">
        <w:rPr>
          <w:rFonts w:eastAsia="SimSun"/>
        </w:rPr>
        <w:t>.</w:t>
      </w:r>
      <w:r>
        <w:rPr>
          <w:rFonts w:eastAsia="SimSun"/>
        </w:rPr>
        <w:t xml:space="preserve">  All amounts due from JPUD on April 1, 2014 were paid, and </w:t>
      </w:r>
      <w:r w:rsidR="00FD36BE">
        <w:rPr>
          <w:rFonts w:eastAsia="SimSun"/>
        </w:rPr>
        <w:t>the $</w:t>
      </w:r>
      <w:r w:rsidR="00FD36BE" w:rsidRPr="00F27F41">
        <w:rPr>
          <w:rFonts w:eastAsia="SimSun"/>
        </w:rPr>
        <w:t>109,273,196</w:t>
      </w:r>
      <w:r w:rsidR="00FD36BE">
        <w:rPr>
          <w:rFonts w:eastAsia="SimSun"/>
        </w:rPr>
        <w:t xml:space="preserve"> has now been paid in full.  </w:t>
      </w:r>
    </w:p>
    <w:p w:rsidR="002D293A" w:rsidRPr="0081170C" w:rsidRDefault="002D293A" w:rsidP="00C777B2">
      <w:pPr>
        <w:pStyle w:val="Answer0"/>
        <w:rPr>
          <w:rFonts w:eastAsia="SimSun"/>
        </w:rPr>
      </w:pPr>
      <w:r>
        <w:rPr>
          <w:rFonts w:eastAsia="SimSun"/>
        </w:rPr>
        <w:tab/>
        <w:t>As a result of the adjustment to proceeds, the final gain is $59,864,313.  The Company proposes to allocate 75% (or $44,898,235) to investors and 25% (or 14,966,078) to remaining customers.</w:t>
      </w:r>
    </w:p>
    <w:p w:rsidR="000A5599" w:rsidRPr="009075DC" w:rsidRDefault="000A5599" w:rsidP="000A5599">
      <w:pPr>
        <w:pStyle w:val="Heading1"/>
        <w:spacing w:after="360" w:line="240" w:lineRule="auto"/>
        <w:rPr>
          <w:rFonts w:eastAsia="SimSun"/>
        </w:rPr>
      </w:pPr>
      <w:bookmarkStart w:id="8" w:name="_Toc385937193"/>
      <w:r>
        <w:rPr>
          <w:rFonts w:eastAsia="SimSun"/>
        </w:rPr>
        <w:t>I</w:t>
      </w:r>
      <w:r w:rsidR="0081170C">
        <w:rPr>
          <w:rFonts w:eastAsia="SimSun"/>
        </w:rPr>
        <w:t>V</w:t>
      </w:r>
      <w:r w:rsidRPr="009075DC">
        <w:rPr>
          <w:rFonts w:eastAsia="SimSun"/>
        </w:rPr>
        <w:t>.</w:t>
      </w:r>
      <w:r w:rsidRPr="009075DC">
        <w:rPr>
          <w:rFonts w:eastAsia="SimSun"/>
        </w:rPr>
        <w:tab/>
      </w:r>
      <w:r>
        <w:rPr>
          <w:rFonts w:eastAsia="SimSun"/>
        </w:rPr>
        <w:t>THE GAIN CALCULATION</w:t>
      </w:r>
      <w:bookmarkEnd w:id="8"/>
      <w:r>
        <w:rPr>
          <w:rFonts w:eastAsia="SimSun"/>
        </w:rPr>
        <w:t xml:space="preserve"> </w:t>
      </w:r>
    </w:p>
    <w:p w:rsidR="00165B6B" w:rsidRPr="00A503F9" w:rsidRDefault="00165B6B" w:rsidP="00165B6B">
      <w:pPr>
        <w:pStyle w:val="question"/>
        <w:keepNext/>
        <w:keepLines/>
        <w:spacing w:before="120"/>
      </w:pPr>
      <w:r w:rsidRPr="009075DC">
        <w:rPr>
          <w:rFonts w:eastAsia="SimSun"/>
        </w:rPr>
        <w:t>Q.</w:t>
      </w:r>
      <w:r w:rsidRPr="009075DC">
        <w:rPr>
          <w:rFonts w:eastAsia="SimSun"/>
        </w:rPr>
        <w:tab/>
      </w:r>
      <w:r w:rsidR="00B94844">
        <w:rPr>
          <w:rFonts w:eastAsia="SimSun"/>
        </w:rPr>
        <w:t>Precisely what is the Company requesting the Commission to decide in this filing</w:t>
      </w:r>
      <w:r w:rsidRPr="009075DC">
        <w:rPr>
          <w:rFonts w:eastAsia="SimSun"/>
        </w:rPr>
        <w:t>?</w:t>
      </w:r>
    </w:p>
    <w:p w:rsidR="001F189F" w:rsidRDefault="00B94844" w:rsidP="00C777B2">
      <w:pPr>
        <w:pStyle w:val="Answer0"/>
        <w:rPr>
          <w:rFonts w:eastAsia="SimSun"/>
        </w:rPr>
      </w:pPr>
      <w:r>
        <w:rPr>
          <w:rFonts w:eastAsia="SimSun"/>
        </w:rPr>
        <w:t>A.</w:t>
      </w:r>
      <w:r>
        <w:rPr>
          <w:rFonts w:eastAsia="SimSun"/>
        </w:rPr>
        <w:tab/>
        <w:t>The Company</w:t>
      </w:r>
      <w:r w:rsidR="002062C3">
        <w:rPr>
          <w:rFonts w:eastAsia="SimSun"/>
        </w:rPr>
        <w:t xml:space="preserve"> is</w:t>
      </w:r>
      <w:r>
        <w:rPr>
          <w:rFonts w:eastAsia="SimSun"/>
        </w:rPr>
        <w:t xml:space="preserve"> request</w:t>
      </w:r>
      <w:r w:rsidR="002062C3">
        <w:rPr>
          <w:rFonts w:eastAsia="SimSun"/>
        </w:rPr>
        <w:t>ing</w:t>
      </w:r>
      <w:r>
        <w:rPr>
          <w:rFonts w:eastAsia="SimSun"/>
        </w:rPr>
        <w:t xml:space="preserve"> the Commission to allocate the </w:t>
      </w:r>
      <w:r w:rsidRPr="00B94844">
        <w:rPr>
          <w:rFonts w:eastAsia="SimSun"/>
          <w:i/>
        </w:rPr>
        <w:t>gain</w:t>
      </w:r>
      <w:r>
        <w:rPr>
          <w:rFonts w:eastAsia="SimSun"/>
        </w:rPr>
        <w:t xml:space="preserve"> </w:t>
      </w:r>
      <w:r w:rsidR="00D21FDB">
        <w:rPr>
          <w:rFonts w:eastAsia="SimSun"/>
        </w:rPr>
        <w:t xml:space="preserve">of $59.9 million </w:t>
      </w:r>
      <w:r>
        <w:rPr>
          <w:rFonts w:eastAsia="SimSun"/>
        </w:rPr>
        <w:t>between customers and investors.</w:t>
      </w:r>
    </w:p>
    <w:p w:rsidR="00B94844" w:rsidRPr="00A503F9" w:rsidRDefault="00B94844" w:rsidP="00B94844">
      <w:pPr>
        <w:pStyle w:val="question"/>
        <w:keepNext/>
        <w:keepLines/>
        <w:spacing w:before="120"/>
      </w:pPr>
      <w:r w:rsidRPr="009075DC">
        <w:rPr>
          <w:rFonts w:eastAsia="SimSun"/>
        </w:rPr>
        <w:t>Q.</w:t>
      </w:r>
      <w:r w:rsidRPr="009075DC">
        <w:rPr>
          <w:rFonts w:eastAsia="SimSun"/>
        </w:rPr>
        <w:tab/>
      </w:r>
      <w:r>
        <w:rPr>
          <w:rFonts w:eastAsia="SimSun"/>
        </w:rPr>
        <w:t xml:space="preserve">Why isn’t the company asking the </w:t>
      </w:r>
      <w:r w:rsidR="003F72B2">
        <w:rPr>
          <w:rFonts w:eastAsia="SimSun"/>
        </w:rPr>
        <w:t xml:space="preserve">Commission </w:t>
      </w:r>
      <w:r>
        <w:rPr>
          <w:rFonts w:eastAsia="SimSun"/>
        </w:rPr>
        <w:t>to allocate the proceeds between customers and investors</w:t>
      </w:r>
      <w:r w:rsidRPr="009075DC">
        <w:rPr>
          <w:rFonts w:eastAsia="SimSun"/>
        </w:rPr>
        <w:t>?</w:t>
      </w:r>
    </w:p>
    <w:p w:rsidR="00B94844" w:rsidRDefault="00B94844" w:rsidP="00C777B2">
      <w:pPr>
        <w:pStyle w:val="Answer0"/>
        <w:rPr>
          <w:rFonts w:eastAsia="SimSun"/>
        </w:rPr>
      </w:pPr>
      <w:r>
        <w:rPr>
          <w:rFonts w:eastAsia="SimSun"/>
        </w:rPr>
        <w:t>A.</w:t>
      </w:r>
      <w:r>
        <w:rPr>
          <w:rFonts w:eastAsia="SimSun"/>
        </w:rPr>
        <w:tab/>
      </w:r>
      <w:r w:rsidR="00D21FDB">
        <w:rPr>
          <w:rFonts w:eastAsia="SimSun"/>
        </w:rPr>
        <w:t xml:space="preserve">The amount of proceeds becomes irrelevant once the gain has been determined.  </w:t>
      </w:r>
      <w:r w:rsidR="00A912AC">
        <w:rPr>
          <w:rFonts w:eastAsia="SimSun"/>
        </w:rPr>
        <w:t>T</w:t>
      </w:r>
      <w:r w:rsidR="00D21FDB">
        <w:rPr>
          <w:rFonts w:eastAsia="SimSun"/>
        </w:rPr>
        <w:t xml:space="preserve">he gain is the </w:t>
      </w:r>
      <w:r w:rsidR="00D34CD1">
        <w:rPr>
          <w:rFonts w:eastAsia="SimSun"/>
        </w:rPr>
        <w:t>excess of the proceeds over the net boo</w:t>
      </w:r>
      <w:r w:rsidR="006F36F5">
        <w:rPr>
          <w:rFonts w:eastAsia="SimSun"/>
        </w:rPr>
        <w:t>k value of the asset being sold, less transaction costs.</w:t>
      </w:r>
    </w:p>
    <w:p w:rsidR="00D34CD1" w:rsidRDefault="00D34CD1" w:rsidP="00C777B2">
      <w:pPr>
        <w:pStyle w:val="Answer0"/>
        <w:rPr>
          <w:rFonts w:eastAsia="SimSun"/>
        </w:rPr>
      </w:pPr>
      <w:r>
        <w:rPr>
          <w:rFonts w:eastAsia="SimSun"/>
        </w:rPr>
        <w:tab/>
        <w:t xml:space="preserve">Both </w:t>
      </w:r>
      <w:r w:rsidR="006F36F5">
        <w:rPr>
          <w:rFonts w:eastAsia="SimSun"/>
        </w:rPr>
        <w:t xml:space="preserve">Mr. </w:t>
      </w:r>
      <w:r>
        <w:rPr>
          <w:rFonts w:eastAsia="SimSun"/>
        </w:rPr>
        <w:t>Keating</w:t>
      </w:r>
      <w:r w:rsidR="00D17B2C">
        <w:rPr>
          <w:rStyle w:val="FootnoteReference"/>
          <w:rFonts w:eastAsia="SimSun"/>
        </w:rPr>
        <w:footnoteReference w:id="5"/>
      </w:r>
      <w:r>
        <w:rPr>
          <w:rFonts w:eastAsia="SimSun"/>
        </w:rPr>
        <w:t xml:space="preserve"> and </w:t>
      </w:r>
      <w:r w:rsidR="006F36F5">
        <w:rPr>
          <w:rFonts w:eastAsia="SimSun"/>
        </w:rPr>
        <w:t xml:space="preserve">Mr. </w:t>
      </w:r>
      <w:r>
        <w:rPr>
          <w:rFonts w:eastAsia="SimSun"/>
        </w:rPr>
        <w:t>Gorman</w:t>
      </w:r>
      <w:r w:rsidR="00D17B2C">
        <w:rPr>
          <w:rStyle w:val="FootnoteReference"/>
          <w:rFonts w:eastAsia="SimSun"/>
        </w:rPr>
        <w:footnoteReference w:id="6"/>
      </w:r>
      <w:r>
        <w:rPr>
          <w:rFonts w:eastAsia="SimSun"/>
        </w:rPr>
        <w:t xml:space="preserve"> start their analysis from the wrong place</w:t>
      </w:r>
      <w:r w:rsidR="006F36F5">
        <w:rPr>
          <w:rFonts w:eastAsia="SimSun"/>
        </w:rPr>
        <w:t xml:space="preserve"> – the proceeds</w:t>
      </w:r>
      <w:r>
        <w:rPr>
          <w:rFonts w:eastAsia="SimSun"/>
        </w:rPr>
        <w:t xml:space="preserve">.  Mr. Dittmer avoids all </w:t>
      </w:r>
      <w:r w:rsidR="006F36F5">
        <w:rPr>
          <w:rFonts w:eastAsia="SimSun"/>
        </w:rPr>
        <w:t xml:space="preserve">of the confusion around proceeds that plays so heavily in the analysis of Messrs. Keating and Gorman.  He focuses precisely </w:t>
      </w:r>
      <w:r w:rsidR="006F36F5">
        <w:rPr>
          <w:rFonts w:eastAsia="SimSun"/>
        </w:rPr>
        <w:lastRenderedPageBreak/>
        <w:t xml:space="preserve">on the book gain.  So while I disagree with his conclusion, I agree with his focus on the gain as being the issue in this proceeding.  </w:t>
      </w:r>
    </w:p>
    <w:p w:rsidR="006F36F5" w:rsidRPr="00A503F9" w:rsidRDefault="006F36F5" w:rsidP="006F36F5">
      <w:pPr>
        <w:pStyle w:val="question"/>
        <w:keepNext/>
        <w:keepLines/>
        <w:spacing w:before="120"/>
      </w:pPr>
      <w:r w:rsidRPr="009075DC">
        <w:rPr>
          <w:rFonts w:eastAsia="SimSun"/>
        </w:rPr>
        <w:t>Q.</w:t>
      </w:r>
      <w:r w:rsidRPr="009075DC">
        <w:rPr>
          <w:rFonts w:eastAsia="SimSun"/>
        </w:rPr>
        <w:tab/>
      </w:r>
      <w:r>
        <w:rPr>
          <w:rFonts w:eastAsia="SimSun"/>
        </w:rPr>
        <w:t>Why does it matter</w:t>
      </w:r>
      <w:r w:rsidRPr="009075DC">
        <w:rPr>
          <w:rFonts w:eastAsia="SimSun"/>
        </w:rPr>
        <w:t>?</w:t>
      </w:r>
      <w:r>
        <w:rPr>
          <w:rFonts w:eastAsia="SimSun"/>
        </w:rPr>
        <w:t xml:space="preserve">  Won’t you get the same result regardless of the starting point?</w:t>
      </w:r>
    </w:p>
    <w:p w:rsidR="006F36F5" w:rsidRDefault="006F36F5" w:rsidP="00C777B2">
      <w:pPr>
        <w:pStyle w:val="Answer0"/>
        <w:rPr>
          <w:rFonts w:eastAsia="SimSun"/>
        </w:rPr>
      </w:pPr>
      <w:r>
        <w:rPr>
          <w:rFonts w:eastAsia="SimSun"/>
        </w:rPr>
        <w:t>A.</w:t>
      </w:r>
      <w:r>
        <w:rPr>
          <w:rFonts w:eastAsia="SimSun"/>
        </w:rPr>
        <w:tab/>
        <w:t>No</w:t>
      </w:r>
      <w:r w:rsidR="00D17B2C">
        <w:rPr>
          <w:rFonts w:eastAsia="SimSun"/>
        </w:rPr>
        <w:t>, because f</w:t>
      </w:r>
      <w:r>
        <w:rPr>
          <w:rFonts w:eastAsia="SimSun"/>
        </w:rPr>
        <w:t>rom an accounting perspective, there is only one number at issue:  the gain</w:t>
      </w:r>
      <w:r w:rsidR="002062C3">
        <w:rPr>
          <w:rFonts w:eastAsia="SimSun"/>
        </w:rPr>
        <w:t xml:space="preserve">.  From a regulatory perspective, there is a slightly different issue:  </w:t>
      </w:r>
      <w:r>
        <w:rPr>
          <w:rFonts w:eastAsia="SimSun"/>
        </w:rPr>
        <w:t xml:space="preserve">who gets </w:t>
      </w:r>
      <w:r w:rsidR="002062C3">
        <w:rPr>
          <w:rFonts w:eastAsia="SimSun"/>
        </w:rPr>
        <w:t>the gain</w:t>
      </w:r>
      <w:r>
        <w:rPr>
          <w:rFonts w:eastAsia="SimSun"/>
        </w:rPr>
        <w:t>.</w:t>
      </w:r>
      <w:r w:rsidR="00D512CE">
        <w:rPr>
          <w:rFonts w:eastAsia="SimSun"/>
        </w:rPr>
        <w:t xml:space="preserve">  The only number that is available to anyone, investor or customer, is the gain.</w:t>
      </w:r>
    </w:p>
    <w:p w:rsidR="000E1972" w:rsidRPr="00A503F9" w:rsidRDefault="000E1972" w:rsidP="000E1972">
      <w:pPr>
        <w:pStyle w:val="question"/>
        <w:keepNext/>
        <w:keepLines/>
        <w:spacing w:before="120"/>
      </w:pPr>
      <w:r w:rsidRPr="009075DC">
        <w:rPr>
          <w:rFonts w:eastAsia="SimSun"/>
        </w:rPr>
        <w:t>Q.</w:t>
      </w:r>
      <w:r w:rsidRPr="009075DC">
        <w:rPr>
          <w:rFonts w:eastAsia="SimSun"/>
        </w:rPr>
        <w:tab/>
      </w:r>
      <w:r w:rsidR="00D17B2C">
        <w:rPr>
          <w:rFonts w:eastAsia="SimSun"/>
        </w:rPr>
        <w:t xml:space="preserve">How does the </w:t>
      </w:r>
      <w:r w:rsidR="00FB3809">
        <w:rPr>
          <w:rFonts w:eastAsia="SimSun"/>
        </w:rPr>
        <w:t>composition</w:t>
      </w:r>
      <w:r w:rsidR="00D17B2C">
        <w:rPr>
          <w:rFonts w:eastAsia="SimSun"/>
        </w:rPr>
        <w:t xml:space="preserve"> of </w:t>
      </w:r>
      <w:r>
        <w:rPr>
          <w:rFonts w:eastAsia="SimSun"/>
        </w:rPr>
        <w:t xml:space="preserve">the proceeds </w:t>
      </w:r>
      <w:r w:rsidR="00D17B2C">
        <w:rPr>
          <w:rFonts w:eastAsia="SimSun"/>
        </w:rPr>
        <w:t>affect</w:t>
      </w:r>
      <w:r>
        <w:rPr>
          <w:rFonts w:eastAsia="SimSun"/>
        </w:rPr>
        <w:t xml:space="preserve"> </w:t>
      </w:r>
      <w:r w:rsidR="00FB3809">
        <w:rPr>
          <w:rFonts w:eastAsia="SimSun"/>
        </w:rPr>
        <w:t>allocation</w:t>
      </w:r>
      <w:r w:rsidR="00D17B2C">
        <w:rPr>
          <w:rFonts w:eastAsia="SimSun"/>
        </w:rPr>
        <w:t xml:space="preserve"> of</w:t>
      </w:r>
      <w:r>
        <w:rPr>
          <w:rFonts w:eastAsia="SimSun"/>
        </w:rPr>
        <w:t xml:space="preserve"> the gain</w:t>
      </w:r>
      <w:r w:rsidRPr="009075DC">
        <w:rPr>
          <w:rFonts w:eastAsia="SimSun"/>
        </w:rPr>
        <w:t>?</w:t>
      </w:r>
    </w:p>
    <w:p w:rsidR="00D512CE" w:rsidRDefault="000E1972" w:rsidP="00C777B2">
      <w:pPr>
        <w:pStyle w:val="Answer0"/>
        <w:rPr>
          <w:rFonts w:eastAsia="SimSun"/>
        </w:rPr>
      </w:pPr>
      <w:r>
        <w:rPr>
          <w:rFonts w:eastAsia="SimSun"/>
        </w:rPr>
        <w:t>A.</w:t>
      </w:r>
      <w:r>
        <w:rPr>
          <w:rFonts w:eastAsia="SimSun"/>
        </w:rPr>
        <w:tab/>
      </w:r>
      <w:r w:rsidR="00D17B2C">
        <w:rPr>
          <w:rFonts w:eastAsia="SimSun"/>
        </w:rPr>
        <w:t xml:space="preserve">It </w:t>
      </w:r>
      <w:r w:rsidR="00FE0045">
        <w:rPr>
          <w:rFonts w:eastAsia="SimSun"/>
        </w:rPr>
        <w:t>has no impact</w:t>
      </w:r>
      <w:r>
        <w:rPr>
          <w:rFonts w:eastAsia="SimSun"/>
        </w:rPr>
        <w:t xml:space="preserve">.  </w:t>
      </w:r>
      <w:r w:rsidR="002062C3">
        <w:rPr>
          <w:rFonts w:eastAsia="SimSun"/>
        </w:rPr>
        <w:t xml:space="preserve">Trying to infer or divine the anatomy of the proceeds is ultimately a meaningless exercise.  It leads to terms like “gross gain” or “appreciation” or </w:t>
      </w:r>
      <w:r>
        <w:rPr>
          <w:rFonts w:eastAsia="SimSun"/>
        </w:rPr>
        <w:t>some other term that requires a unique definition as it has no basis in the accounting literature.</w:t>
      </w:r>
    </w:p>
    <w:p w:rsidR="00DE495A" w:rsidRDefault="000E1972" w:rsidP="00C777B2">
      <w:pPr>
        <w:pStyle w:val="Answer0"/>
        <w:rPr>
          <w:rFonts w:eastAsia="SimSun"/>
        </w:rPr>
      </w:pPr>
      <w:r>
        <w:rPr>
          <w:rFonts w:eastAsia="SimSun"/>
        </w:rPr>
        <w:tab/>
        <w:t xml:space="preserve">The reality is that the proceeds are the amount that JPUD was willing to pay </w:t>
      </w:r>
      <w:r w:rsidR="001077B3">
        <w:rPr>
          <w:rFonts w:eastAsia="SimSun"/>
        </w:rPr>
        <w:t xml:space="preserve">PSE </w:t>
      </w:r>
      <w:r>
        <w:rPr>
          <w:rFonts w:eastAsia="SimSun"/>
        </w:rPr>
        <w:t xml:space="preserve">for the </w:t>
      </w:r>
      <w:r w:rsidR="00D46CE8">
        <w:rPr>
          <w:rFonts w:eastAsia="SimSun"/>
        </w:rPr>
        <w:t>assets</w:t>
      </w:r>
      <w:r w:rsidR="00A811FC">
        <w:rPr>
          <w:rFonts w:eastAsia="SimSun"/>
        </w:rPr>
        <w:t xml:space="preserve"> and</w:t>
      </w:r>
      <w:r>
        <w:rPr>
          <w:rFonts w:eastAsia="SimSun"/>
        </w:rPr>
        <w:t xml:space="preserve"> service territory</w:t>
      </w:r>
      <w:r w:rsidR="001077B3">
        <w:rPr>
          <w:rFonts w:eastAsia="SimSun"/>
        </w:rPr>
        <w:t xml:space="preserve">, and the avoidance of protracted </w:t>
      </w:r>
      <w:r w:rsidR="003746CF">
        <w:rPr>
          <w:rFonts w:eastAsia="SimSun"/>
        </w:rPr>
        <w:t xml:space="preserve">and uncertain </w:t>
      </w:r>
      <w:r w:rsidR="001077B3">
        <w:rPr>
          <w:rFonts w:eastAsia="SimSun"/>
        </w:rPr>
        <w:t>litigation</w:t>
      </w:r>
      <w:r>
        <w:rPr>
          <w:rFonts w:eastAsia="SimSun"/>
        </w:rPr>
        <w:t xml:space="preserve">.  </w:t>
      </w:r>
    </w:p>
    <w:p w:rsidR="00E361CA" w:rsidRPr="009075DC" w:rsidRDefault="00E361CA" w:rsidP="00E361CA">
      <w:pPr>
        <w:pStyle w:val="Heading1"/>
        <w:spacing w:after="360" w:line="240" w:lineRule="auto"/>
        <w:rPr>
          <w:rFonts w:eastAsia="SimSun"/>
        </w:rPr>
      </w:pPr>
      <w:bookmarkStart w:id="9" w:name="_Toc385937194"/>
      <w:r>
        <w:rPr>
          <w:rFonts w:eastAsia="SimSun"/>
        </w:rPr>
        <w:lastRenderedPageBreak/>
        <w:t>V</w:t>
      </w:r>
      <w:r w:rsidRPr="009075DC">
        <w:rPr>
          <w:rFonts w:eastAsia="SimSun"/>
        </w:rPr>
        <w:t>.</w:t>
      </w:r>
      <w:r w:rsidRPr="009075DC">
        <w:rPr>
          <w:rFonts w:eastAsia="SimSun"/>
        </w:rPr>
        <w:tab/>
      </w:r>
      <w:r>
        <w:rPr>
          <w:rFonts w:eastAsia="SimSun"/>
        </w:rPr>
        <w:t>ACCUMULATED DEPRECIATION</w:t>
      </w:r>
      <w:bookmarkEnd w:id="9"/>
      <w:r>
        <w:rPr>
          <w:rFonts w:eastAsia="SimSun"/>
        </w:rPr>
        <w:t xml:space="preserve"> </w:t>
      </w:r>
    </w:p>
    <w:p w:rsidR="000A39D5" w:rsidRPr="00A503F9" w:rsidRDefault="000A39D5" w:rsidP="000A39D5">
      <w:pPr>
        <w:pStyle w:val="question"/>
        <w:keepNext/>
        <w:keepLines/>
        <w:spacing w:before="120"/>
      </w:pPr>
      <w:r w:rsidRPr="009075DC">
        <w:rPr>
          <w:rFonts w:eastAsia="SimSun"/>
        </w:rPr>
        <w:t>Q.</w:t>
      </w:r>
      <w:r w:rsidRPr="009075DC">
        <w:rPr>
          <w:rFonts w:eastAsia="SimSun"/>
        </w:rPr>
        <w:tab/>
      </w:r>
      <w:r w:rsidR="003746CF">
        <w:rPr>
          <w:rFonts w:eastAsia="SimSun"/>
        </w:rPr>
        <w:t>Mr. Keating and Mr. Gorman allocated all of the accumulated depreciation to remaining customers.  Is this appropriate</w:t>
      </w:r>
      <w:r w:rsidRPr="009075DC">
        <w:rPr>
          <w:rFonts w:eastAsia="SimSun"/>
        </w:rPr>
        <w:t>?</w:t>
      </w:r>
    </w:p>
    <w:p w:rsidR="003746CF" w:rsidRDefault="000A39D5" w:rsidP="000A39D5">
      <w:pPr>
        <w:pStyle w:val="Answer0"/>
        <w:rPr>
          <w:rFonts w:eastAsia="SimSun"/>
        </w:rPr>
      </w:pPr>
      <w:r>
        <w:rPr>
          <w:rFonts w:eastAsia="SimSun"/>
        </w:rPr>
        <w:t>A.</w:t>
      </w:r>
      <w:r>
        <w:rPr>
          <w:rFonts w:eastAsia="SimSun"/>
        </w:rPr>
        <w:tab/>
      </w:r>
      <w:r w:rsidR="003746CF">
        <w:rPr>
          <w:rFonts w:eastAsia="SimSun"/>
        </w:rPr>
        <w:t xml:space="preserve">No.  Allocating accumulated depreciation to remaining customers is </w:t>
      </w:r>
      <w:r w:rsidR="00A811FC">
        <w:rPr>
          <w:rFonts w:eastAsia="SimSun"/>
        </w:rPr>
        <w:t>inconsistent with</w:t>
      </w:r>
      <w:r w:rsidR="003746CF">
        <w:rPr>
          <w:rFonts w:eastAsia="SimSun"/>
        </w:rPr>
        <w:t xml:space="preserve"> the basic concept of depreciation, the matching principle, and the cost of service model of rate making.  </w:t>
      </w:r>
    </w:p>
    <w:p w:rsidR="003746CF" w:rsidRPr="003746CF" w:rsidRDefault="003746CF" w:rsidP="000A39D5">
      <w:pPr>
        <w:pStyle w:val="Answer0"/>
        <w:rPr>
          <w:rFonts w:eastAsia="SimSun"/>
          <w:b/>
        </w:rPr>
      </w:pPr>
      <w:r w:rsidRPr="003746CF">
        <w:rPr>
          <w:rFonts w:eastAsia="SimSun"/>
          <w:b/>
        </w:rPr>
        <w:t>Q.</w:t>
      </w:r>
      <w:r w:rsidRPr="003746CF">
        <w:rPr>
          <w:rFonts w:eastAsia="SimSun"/>
          <w:b/>
        </w:rPr>
        <w:tab/>
      </w:r>
      <w:r>
        <w:rPr>
          <w:rFonts w:eastAsia="SimSun"/>
          <w:b/>
        </w:rPr>
        <w:t>Please explain what depreciation is</w:t>
      </w:r>
      <w:r w:rsidR="00DD68FB">
        <w:rPr>
          <w:rFonts w:eastAsia="SimSun"/>
          <w:b/>
        </w:rPr>
        <w:t xml:space="preserve"> and why is it reflected in the cost of service</w:t>
      </w:r>
      <w:r>
        <w:rPr>
          <w:rFonts w:eastAsia="SimSun"/>
          <w:b/>
        </w:rPr>
        <w:t>?</w:t>
      </w:r>
    </w:p>
    <w:p w:rsidR="00495EB8" w:rsidRDefault="003746CF" w:rsidP="00495EB8">
      <w:pPr>
        <w:pStyle w:val="Answer0"/>
        <w:spacing w:after="0"/>
        <w:rPr>
          <w:rFonts w:eastAsia="SimSun"/>
        </w:rPr>
      </w:pPr>
      <w:r>
        <w:rPr>
          <w:rFonts w:eastAsia="SimSun"/>
        </w:rPr>
        <w:t>A.</w:t>
      </w:r>
      <w:r>
        <w:rPr>
          <w:rFonts w:eastAsia="SimSun"/>
        </w:rPr>
        <w:tab/>
      </w:r>
      <w:r w:rsidR="0065537C">
        <w:rPr>
          <w:rFonts w:eastAsia="SimSun"/>
        </w:rPr>
        <w:t xml:space="preserve">For accounting purposes, the Accounting </w:t>
      </w:r>
      <w:r w:rsidR="00495EB8">
        <w:rPr>
          <w:rFonts w:eastAsia="SimSun"/>
        </w:rPr>
        <w:t xml:space="preserve">Standard Codification </w:t>
      </w:r>
      <w:r w:rsidR="00490193">
        <w:rPr>
          <w:rFonts w:eastAsia="SimSun"/>
        </w:rPr>
        <w:t xml:space="preserve">(“ASC”) </w:t>
      </w:r>
      <w:r w:rsidR="00495EB8">
        <w:rPr>
          <w:rFonts w:eastAsia="SimSun"/>
        </w:rPr>
        <w:t>360-10-35-4</w:t>
      </w:r>
      <w:r w:rsidR="0054739E">
        <w:rPr>
          <w:rFonts w:eastAsia="SimSun"/>
        </w:rPr>
        <w:t xml:space="preserve"> </w:t>
      </w:r>
      <w:r w:rsidR="0065537C">
        <w:rPr>
          <w:rFonts w:eastAsia="SimSun"/>
        </w:rPr>
        <w:t>states that</w:t>
      </w:r>
      <w:r w:rsidR="00495EB8">
        <w:rPr>
          <w:rFonts w:eastAsia="SimSun"/>
        </w:rPr>
        <w:t xml:space="preserve"> d</w:t>
      </w:r>
      <w:r>
        <w:rPr>
          <w:rFonts w:eastAsia="SimSun"/>
        </w:rPr>
        <w:t xml:space="preserve">epreciation </w:t>
      </w:r>
      <w:r w:rsidR="0065537C">
        <w:rPr>
          <w:rFonts w:eastAsia="SimSun"/>
        </w:rPr>
        <w:t xml:space="preserve">accounting </w:t>
      </w:r>
    </w:p>
    <w:p w:rsidR="003746CF" w:rsidRDefault="0065537C" w:rsidP="00495EB8">
      <w:pPr>
        <w:pStyle w:val="Answer0"/>
        <w:spacing w:after="0" w:line="240" w:lineRule="auto"/>
        <w:ind w:left="1080" w:firstLine="0"/>
        <w:rPr>
          <w:rFonts w:eastAsia="SimSun"/>
        </w:rPr>
      </w:pPr>
      <w:r>
        <w:rPr>
          <w:rFonts w:eastAsia="SimSun"/>
        </w:rPr>
        <w:t xml:space="preserve">is a system of accounting which aims to distribute the cost or other basic value of tangible capital assets, less salvage (if any), over the estimated useful life of the unit (which may be a group of assets) in a systematic and rational manner.  It is a process of </w:t>
      </w:r>
      <w:r w:rsidRPr="00490193">
        <w:rPr>
          <w:rFonts w:eastAsia="SimSun"/>
          <w:i/>
        </w:rPr>
        <w:t>allocation</w:t>
      </w:r>
      <w:r>
        <w:rPr>
          <w:rFonts w:eastAsia="SimSun"/>
        </w:rPr>
        <w:t xml:space="preserve">, not </w:t>
      </w:r>
      <w:r w:rsidRPr="00490193">
        <w:rPr>
          <w:rFonts w:eastAsia="SimSun"/>
          <w:i/>
        </w:rPr>
        <w:t>valuation</w:t>
      </w:r>
      <w:r>
        <w:rPr>
          <w:rFonts w:eastAsia="SimSun"/>
        </w:rPr>
        <w:t>.</w:t>
      </w:r>
      <w:r w:rsidR="00490193">
        <w:rPr>
          <w:rFonts w:eastAsia="SimSun"/>
        </w:rPr>
        <w:t xml:space="preserve"> [emphasis added]</w:t>
      </w:r>
    </w:p>
    <w:p w:rsidR="003746CF" w:rsidRDefault="0065537C" w:rsidP="0054739E">
      <w:pPr>
        <w:pStyle w:val="Answer0"/>
        <w:spacing w:before="240" w:after="0"/>
        <w:rPr>
          <w:rFonts w:eastAsia="SimSun"/>
        </w:rPr>
      </w:pPr>
      <w:r>
        <w:rPr>
          <w:rFonts w:eastAsia="SimSun"/>
        </w:rPr>
        <w:tab/>
      </w:r>
      <w:r w:rsidR="0054739E">
        <w:rPr>
          <w:rFonts w:eastAsia="SimSun"/>
        </w:rPr>
        <w:t>In the FERC Uniform Systems of Accounts (Part 101, Definitions, paragraph 12), depreciation is defined as follows:</w:t>
      </w:r>
    </w:p>
    <w:p w:rsidR="0054739E" w:rsidRDefault="0054739E" w:rsidP="002667CE">
      <w:pPr>
        <w:pStyle w:val="Answer0"/>
        <w:spacing w:before="0" w:line="240" w:lineRule="auto"/>
        <w:ind w:left="1080"/>
        <w:rPr>
          <w:rFonts w:eastAsia="SimSun"/>
        </w:rPr>
      </w:pPr>
      <w:r>
        <w:rPr>
          <w:rFonts w:eastAsia="SimSun"/>
        </w:rPr>
        <w:tab/>
        <w:t xml:space="preserve">Depreciation, as applied to depreciable electric plant, means the loss in service value not restored by current maintenance, incurred in connection with the consumption or prospective retirement of electric plant in the course of service from causes which are known to be in current operation and against which the utility is not protected by insurance.  </w:t>
      </w:r>
      <w:r w:rsidR="00BA067B">
        <w:rPr>
          <w:rFonts w:eastAsia="SimSun"/>
        </w:rPr>
        <w:t>Among</w:t>
      </w:r>
      <w:r>
        <w:rPr>
          <w:rFonts w:eastAsia="SimSun"/>
        </w:rPr>
        <w:t xml:space="preserve"> the causes to be given consideration are wear and tear, decay, action of the elements, inadequacy, obsolescence, changes in the art, changes in demand and requirements of public authorities.</w:t>
      </w:r>
    </w:p>
    <w:p w:rsidR="002667CE" w:rsidRDefault="002667CE" w:rsidP="002667CE">
      <w:pPr>
        <w:pStyle w:val="Answer0"/>
        <w:spacing w:before="240"/>
        <w:ind w:firstLine="0"/>
        <w:rPr>
          <w:rFonts w:eastAsia="SimSun"/>
        </w:rPr>
      </w:pPr>
      <w:r>
        <w:rPr>
          <w:rFonts w:eastAsia="SimSun"/>
        </w:rPr>
        <w:t>In short, the goal of depreciation is to allocate the original cost of the asset (less estimated salvage) over the estimated life of the asset.  This has the effect of matching the consumption</w:t>
      </w:r>
      <w:r w:rsidR="0027051B">
        <w:rPr>
          <w:rFonts w:eastAsia="SimSun"/>
        </w:rPr>
        <w:t>/wasting</w:t>
      </w:r>
      <w:r>
        <w:rPr>
          <w:rFonts w:eastAsia="SimSun"/>
        </w:rPr>
        <w:t xml:space="preserve"> of the asset (which occurs through wear and </w:t>
      </w:r>
      <w:r>
        <w:rPr>
          <w:rFonts w:eastAsia="SimSun"/>
        </w:rPr>
        <w:lastRenderedPageBreak/>
        <w:t>tear, decay, and action of the elements) over the time period for which the asset is employed in the provision of electric service to customers.</w:t>
      </w:r>
    </w:p>
    <w:p w:rsidR="00F0218F" w:rsidRPr="00A503F9" w:rsidRDefault="00F0218F" w:rsidP="00F0218F">
      <w:pPr>
        <w:pStyle w:val="question"/>
        <w:keepNext/>
        <w:keepLines/>
        <w:spacing w:before="120"/>
      </w:pPr>
      <w:r w:rsidRPr="009075DC">
        <w:rPr>
          <w:rFonts w:eastAsia="SimSun"/>
        </w:rPr>
        <w:t>Q.</w:t>
      </w:r>
      <w:r w:rsidRPr="009075DC">
        <w:rPr>
          <w:rFonts w:eastAsia="SimSun"/>
        </w:rPr>
        <w:tab/>
      </w:r>
      <w:r>
        <w:rPr>
          <w:rFonts w:eastAsia="SimSun"/>
        </w:rPr>
        <w:t>How does PSE establish its annual depreciation expense</w:t>
      </w:r>
      <w:r w:rsidRPr="009075DC">
        <w:rPr>
          <w:rFonts w:eastAsia="SimSun"/>
        </w:rPr>
        <w:t>?</w:t>
      </w:r>
    </w:p>
    <w:p w:rsidR="00F0218F" w:rsidRPr="00C27038" w:rsidRDefault="00882298" w:rsidP="00F0218F">
      <w:pPr>
        <w:pStyle w:val="Answer0"/>
      </w:pPr>
      <w:r>
        <w:rPr>
          <w:rFonts w:eastAsia="SimSun"/>
        </w:rPr>
        <w:t>A.</w:t>
      </w:r>
      <w:r>
        <w:rPr>
          <w:rFonts w:eastAsia="SimSun"/>
        </w:rPr>
        <w:tab/>
        <w:t>Depreciation expense is determined by applying the depreciation rate to the original cost of the assets.  The depreciation rates are determined in a depreciation study.</w:t>
      </w:r>
    </w:p>
    <w:p w:rsidR="00882298" w:rsidRPr="00A503F9" w:rsidRDefault="00882298" w:rsidP="00882298">
      <w:pPr>
        <w:pStyle w:val="question"/>
        <w:keepNext/>
        <w:keepLines/>
        <w:spacing w:before="120"/>
      </w:pPr>
      <w:r w:rsidRPr="009075DC">
        <w:rPr>
          <w:rFonts w:eastAsia="SimSun"/>
        </w:rPr>
        <w:t>Q.</w:t>
      </w:r>
      <w:r w:rsidRPr="009075DC">
        <w:rPr>
          <w:rFonts w:eastAsia="SimSun"/>
        </w:rPr>
        <w:tab/>
      </w:r>
      <w:r>
        <w:rPr>
          <w:rFonts w:eastAsia="SimSun"/>
        </w:rPr>
        <w:t>What is a depreciation study</w:t>
      </w:r>
      <w:r w:rsidRPr="009075DC">
        <w:rPr>
          <w:rFonts w:eastAsia="SimSun"/>
        </w:rPr>
        <w:t>?</w:t>
      </w:r>
    </w:p>
    <w:p w:rsidR="00882298" w:rsidRPr="00C27038" w:rsidRDefault="002E76BB" w:rsidP="00882298">
      <w:pPr>
        <w:pStyle w:val="Answer0"/>
      </w:pPr>
      <w:r>
        <w:rPr>
          <w:rFonts w:eastAsia="SimSun"/>
        </w:rPr>
        <w:t>A.</w:t>
      </w:r>
      <w:r>
        <w:rPr>
          <w:rFonts w:eastAsia="SimSun"/>
        </w:rPr>
        <w:tab/>
        <w:t>In a depreciation study, the Company evaluates the mortality characteristics of the property to establish appropriate depreciation rates</w:t>
      </w:r>
      <w:r w:rsidR="00EE11C1">
        <w:rPr>
          <w:rFonts w:eastAsia="SimSun"/>
        </w:rPr>
        <w:t xml:space="preserve"> for all depreciable assets</w:t>
      </w:r>
      <w:r>
        <w:rPr>
          <w:rFonts w:eastAsia="SimSun"/>
        </w:rPr>
        <w:t xml:space="preserve">.  </w:t>
      </w:r>
      <w:r w:rsidR="00EE11C1">
        <w:rPr>
          <w:rFonts w:eastAsia="SimSun"/>
        </w:rPr>
        <w:t>T</w:t>
      </w:r>
      <w:r>
        <w:rPr>
          <w:rFonts w:eastAsia="SimSun"/>
        </w:rPr>
        <w:t xml:space="preserve">he </w:t>
      </w:r>
      <w:r w:rsidR="00C129BD">
        <w:rPr>
          <w:rFonts w:eastAsia="SimSun"/>
        </w:rPr>
        <w:t xml:space="preserve">service life and net salvage estimates in the study </w:t>
      </w:r>
      <w:r w:rsidR="00EE11C1">
        <w:rPr>
          <w:rFonts w:eastAsia="SimSun"/>
        </w:rPr>
        <w:t>are</w:t>
      </w:r>
      <w:r w:rsidR="00C129BD">
        <w:rPr>
          <w:rFonts w:eastAsia="SimSun"/>
        </w:rPr>
        <w:t xml:space="preserve"> based on the </w:t>
      </w:r>
      <w:r>
        <w:rPr>
          <w:rFonts w:eastAsia="SimSun"/>
        </w:rPr>
        <w:t>Company</w:t>
      </w:r>
      <w:r w:rsidR="00C129BD">
        <w:rPr>
          <w:rFonts w:eastAsia="SimSun"/>
        </w:rPr>
        <w:t>’s</w:t>
      </w:r>
      <w:r>
        <w:rPr>
          <w:rFonts w:eastAsia="SimSun"/>
        </w:rPr>
        <w:t xml:space="preserve"> historical retirement data, the Company’s outlook related to plant operations and retirement</w:t>
      </w:r>
      <w:r w:rsidR="007B53B5">
        <w:rPr>
          <w:rFonts w:eastAsia="SimSun"/>
        </w:rPr>
        <w:t>s</w:t>
      </w:r>
      <w:r>
        <w:rPr>
          <w:rFonts w:eastAsia="SimSun"/>
        </w:rPr>
        <w:t>, and current industry trends and practices</w:t>
      </w:r>
      <w:r w:rsidR="00801904">
        <w:rPr>
          <w:rFonts w:eastAsia="SimSun"/>
        </w:rPr>
        <w:t>, including the Iowa curves</w:t>
      </w:r>
      <w:r w:rsidR="00C129BD">
        <w:rPr>
          <w:rFonts w:eastAsia="SimSun"/>
        </w:rPr>
        <w:t xml:space="preserve">.  </w:t>
      </w:r>
      <w:r w:rsidR="00DB07EF">
        <w:rPr>
          <w:rFonts w:eastAsia="SimSun"/>
        </w:rPr>
        <w:t xml:space="preserve">The rates are set to recover the remaining net book value less net salvage over the remaining service life in a </w:t>
      </w:r>
      <w:proofErr w:type="spellStart"/>
      <w:r w:rsidR="00DB07EF">
        <w:rPr>
          <w:rFonts w:eastAsia="SimSun"/>
        </w:rPr>
        <w:t>levelized</w:t>
      </w:r>
      <w:proofErr w:type="spellEnd"/>
      <w:r w:rsidR="00DB07EF">
        <w:rPr>
          <w:rFonts w:eastAsia="SimSun"/>
        </w:rPr>
        <w:t xml:space="preserve"> or smooth manner (e.g. straight-line)</w:t>
      </w:r>
      <w:r w:rsidR="005D7198">
        <w:rPr>
          <w:rFonts w:eastAsia="SimSun"/>
        </w:rPr>
        <w:t xml:space="preserve"> even though wear and tear does not occur evenly</w:t>
      </w:r>
      <w:r w:rsidR="00DB07EF">
        <w:rPr>
          <w:rFonts w:eastAsia="SimSun"/>
        </w:rPr>
        <w:t xml:space="preserve">.  </w:t>
      </w:r>
      <w:r>
        <w:rPr>
          <w:rFonts w:eastAsia="SimSun"/>
        </w:rPr>
        <w:t>The Company’s last depreciation study was completed</w:t>
      </w:r>
      <w:r w:rsidR="00C129BD">
        <w:rPr>
          <w:rFonts w:eastAsia="SimSun"/>
        </w:rPr>
        <w:t xml:space="preserve"> for the 2007 general rate case, based on December 31, 2006 balances.</w:t>
      </w:r>
    </w:p>
    <w:p w:rsidR="005601B3" w:rsidRDefault="005601B3" w:rsidP="002667CE">
      <w:pPr>
        <w:pStyle w:val="Answer0"/>
        <w:spacing w:before="240"/>
        <w:ind w:firstLine="0"/>
        <w:rPr>
          <w:rFonts w:eastAsia="SimSun"/>
        </w:rPr>
      </w:pPr>
      <w:r>
        <w:rPr>
          <w:rFonts w:eastAsia="SimSun"/>
        </w:rPr>
        <w:t xml:space="preserve">The rates determined in the study are applied to the original cost of the assets to determine the annual depreciation expense.  </w:t>
      </w:r>
      <w:r w:rsidR="00490193">
        <w:rPr>
          <w:rFonts w:eastAsia="SimSun"/>
        </w:rPr>
        <w:t xml:space="preserve">The summation of annual depreciation expense is recorded in accumulated depreciation.  </w:t>
      </w:r>
    </w:p>
    <w:p w:rsidR="005601B3" w:rsidRPr="00A503F9" w:rsidRDefault="005601B3" w:rsidP="005601B3">
      <w:pPr>
        <w:pStyle w:val="question"/>
        <w:keepNext/>
        <w:keepLines/>
        <w:spacing w:before="120"/>
      </w:pPr>
      <w:r w:rsidRPr="009075DC">
        <w:rPr>
          <w:rFonts w:eastAsia="SimSun"/>
        </w:rPr>
        <w:lastRenderedPageBreak/>
        <w:t>Q.</w:t>
      </w:r>
      <w:r w:rsidRPr="009075DC">
        <w:rPr>
          <w:rFonts w:eastAsia="SimSun"/>
        </w:rPr>
        <w:tab/>
        <w:t>D</w:t>
      </w:r>
      <w:r>
        <w:rPr>
          <w:rFonts w:eastAsia="SimSun"/>
        </w:rPr>
        <w:t>id the Company implement the depreciation rates from the 2007 study</w:t>
      </w:r>
      <w:r w:rsidRPr="009075DC">
        <w:rPr>
          <w:rFonts w:eastAsia="SimSun"/>
        </w:rPr>
        <w:t>?</w:t>
      </w:r>
    </w:p>
    <w:p w:rsidR="005601B3" w:rsidRPr="00C27038" w:rsidRDefault="005601B3" w:rsidP="005601B3">
      <w:pPr>
        <w:pStyle w:val="Answer0"/>
      </w:pPr>
      <w:r>
        <w:rPr>
          <w:rFonts w:eastAsia="SimSun"/>
        </w:rPr>
        <w:t>A.</w:t>
      </w:r>
      <w:r>
        <w:rPr>
          <w:rFonts w:eastAsia="SimSun"/>
        </w:rPr>
        <w:tab/>
        <w:t>Yes</w:t>
      </w:r>
      <w:r w:rsidR="00D46CE8">
        <w:rPr>
          <w:rFonts w:eastAsia="SimSun"/>
        </w:rPr>
        <w:t>,</w:t>
      </w:r>
      <w:r>
        <w:rPr>
          <w:rFonts w:eastAsia="SimSun"/>
        </w:rPr>
        <w:t xml:space="preserve"> and those rates have been in effect since that time.</w:t>
      </w:r>
    </w:p>
    <w:p w:rsidR="005601B3" w:rsidRPr="00A503F9" w:rsidRDefault="005601B3" w:rsidP="005601B3">
      <w:pPr>
        <w:pStyle w:val="question"/>
        <w:keepNext/>
        <w:keepLines/>
        <w:spacing w:before="120"/>
      </w:pPr>
      <w:r w:rsidRPr="009075DC">
        <w:rPr>
          <w:rFonts w:eastAsia="SimSun"/>
        </w:rPr>
        <w:t>Q.</w:t>
      </w:r>
      <w:r w:rsidRPr="009075DC">
        <w:rPr>
          <w:rFonts w:eastAsia="SimSun"/>
        </w:rPr>
        <w:tab/>
        <w:t xml:space="preserve">Does </w:t>
      </w:r>
      <w:r>
        <w:rPr>
          <w:rFonts w:eastAsia="SimSun"/>
        </w:rPr>
        <w:t>the Company believe those rates are still appropriate</w:t>
      </w:r>
      <w:r w:rsidR="00521984">
        <w:rPr>
          <w:rFonts w:eastAsia="SimSun"/>
        </w:rPr>
        <w:t xml:space="preserve"> in light of the significant gain in the JPUD transaction</w:t>
      </w:r>
      <w:r w:rsidRPr="009075DC">
        <w:rPr>
          <w:rFonts w:eastAsia="SimSun"/>
        </w:rPr>
        <w:t>?</w:t>
      </w:r>
    </w:p>
    <w:p w:rsidR="00490193" w:rsidRDefault="005601B3" w:rsidP="005601B3">
      <w:pPr>
        <w:pStyle w:val="Answer0"/>
        <w:rPr>
          <w:rFonts w:eastAsia="SimSun"/>
        </w:rPr>
      </w:pPr>
      <w:r w:rsidRPr="009075DC">
        <w:rPr>
          <w:rFonts w:eastAsia="SimSun"/>
        </w:rPr>
        <w:t>A.</w:t>
      </w:r>
      <w:r w:rsidRPr="009075DC">
        <w:rPr>
          <w:rFonts w:eastAsia="SimSun"/>
        </w:rPr>
        <w:tab/>
        <w:t>Yes.</w:t>
      </w:r>
      <w:r>
        <w:rPr>
          <w:rFonts w:eastAsia="SimSun"/>
        </w:rPr>
        <w:t xml:space="preserve">  The Company believes those rates are still appropriate</w:t>
      </w:r>
      <w:r w:rsidR="00521984">
        <w:rPr>
          <w:rFonts w:eastAsia="SimSun"/>
        </w:rPr>
        <w:t>.  The JPUD transaction did not occur in the ordinary course of business.  The JPUD transaction was not contemplated in the establishment of depreciation rates</w:t>
      </w:r>
      <w:r w:rsidR="00490193">
        <w:rPr>
          <w:rFonts w:eastAsia="SimSun"/>
        </w:rPr>
        <w:t>.  Under the Company’s proposed treatment, the transaction</w:t>
      </w:r>
      <w:r w:rsidR="00521984">
        <w:rPr>
          <w:rFonts w:eastAsia="SimSun"/>
        </w:rPr>
        <w:t xml:space="preserve"> has no impact on the depreciation rates going forward as neither the assets nor the accumulated res</w:t>
      </w:r>
      <w:r w:rsidR="00490193">
        <w:rPr>
          <w:rFonts w:eastAsia="SimSun"/>
        </w:rPr>
        <w:t>erve will remain on the books and so will not impact future depreciation studies.</w:t>
      </w:r>
    </w:p>
    <w:p w:rsidR="005601B3" w:rsidRDefault="00521984" w:rsidP="00490193">
      <w:pPr>
        <w:pStyle w:val="Answer0"/>
        <w:ind w:firstLine="0"/>
        <w:rPr>
          <w:rFonts w:eastAsia="SimSun"/>
        </w:rPr>
      </w:pPr>
      <w:r>
        <w:rPr>
          <w:rFonts w:eastAsia="SimSun"/>
        </w:rPr>
        <w:t xml:space="preserve">In </w:t>
      </w:r>
      <w:r w:rsidR="007B53B5">
        <w:rPr>
          <w:rFonts w:eastAsia="SimSun"/>
        </w:rPr>
        <w:t xml:space="preserve">addition, in </w:t>
      </w:r>
      <w:r>
        <w:rPr>
          <w:rFonts w:eastAsia="SimSun"/>
        </w:rPr>
        <w:t>the Jefferson transaction, JPUD purchased more than just the assets</w:t>
      </w:r>
      <w:r w:rsidR="007B53B5">
        <w:rPr>
          <w:rFonts w:eastAsia="SimSun"/>
        </w:rPr>
        <w:t>.  T</w:t>
      </w:r>
      <w:r>
        <w:rPr>
          <w:rFonts w:eastAsia="SimSun"/>
        </w:rPr>
        <w:t xml:space="preserve">he depreciation study only captures the service life over which the remaining costs should be recovered.  It does not capture any of the externalities </w:t>
      </w:r>
      <w:r w:rsidR="00490193">
        <w:rPr>
          <w:rFonts w:eastAsia="SimSun"/>
        </w:rPr>
        <w:t>that are present in this</w:t>
      </w:r>
      <w:r w:rsidR="00952549">
        <w:rPr>
          <w:rFonts w:eastAsia="SimSun"/>
        </w:rPr>
        <w:t xml:space="preserve"> transaction </w:t>
      </w:r>
      <w:r>
        <w:rPr>
          <w:rFonts w:eastAsia="SimSun"/>
        </w:rPr>
        <w:t>such as the going concern value, the customer lists, the service territory, or the value of avoiding litigation.</w:t>
      </w:r>
    </w:p>
    <w:p w:rsidR="00237E1C" w:rsidRDefault="00521984" w:rsidP="005601B3">
      <w:pPr>
        <w:pStyle w:val="Answer0"/>
        <w:rPr>
          <w:rFonts w:eastAsia="SimSun"/>
        </w:rPr>
      </w:pPr>
      <w:r>
        <w:rPr>
          <w:rFonts w:eastAsia="SimSun"/>
        </w:rPr>
        <w:tab/>
        <w:t xml:space="preserve">In other words, the </w:t>
      </w:r>
      <w:r w:rsidR="00952549">
        <w:rPr>
          <w:rFonts w:eastAsia="SimSun"/>
        </w:rPr>
        <w:t>presence</w:t>
      </w:r>
      <w:r>
        <w:rPr>
          <w:rFonts w:eastAsia="SimSun"/>
        </w:rPr>
        <w:t xml:space="preserve"> of a gain in a condemnation setting</w:t>
      </w:r>
      <w:r w:rsidR="00952549">
        <w:rPr>
          <w:rFonts w:eastAsia="SimSun"/>
        </w:rPr>
        <w:t xml:space="preserve"> is not necessarily indicative of excess depreciation </w:t>
      </w:r>
      <w:r w:rsidR="007B53B5">
        <w:rPr>
          <w:rFonts w:eastAsia="SimSun"/>
        </w:rPr>
        <w:t>(i.e. inappropriate depreciation rates</w:t>
      </w:r>
      <w:r w:rsidR="00C57983">
        <w:rPr>
          <w:rFonts w:eastAsia="SimSun"/>
        </w:rPr>
        <w:t xml:space="preserve">) </w:t>
      </w:r>
      <w:r w:rsidR="00952549">
        <w:rPr>
          <w:rFonts w:eastAsia="SimSun"/>
        </w:rPr>
        <w:t>in prior years as there are numerous other factors at play</w:t>
      </w:r>
      <w:r w:rsidR="00C57983">
        <w:rPr>
          <w:rFonts w:eastAsia="SimSun"/>
        </w:rPr>
        <w:t xml:space="preserve"> in a condemnation</w:t>
      </w:r>
      <w:r w:rsidR="00952549">
        <w:rPr>
          <w:rFonts w:eastAsia="SimSun"/>
        </w:rPr>
        <w:t xml:space="preserve">.  </w:t>
      </w:r>
      <w:r w:rsidR="00237E1C">
        <w:rPr>
          <w:rFonts w:eastAsia="SimSun"/>
        </w:rPr>
        <w:t xml:space="preserve">In fact, even asking the question confuses two concepts called out in the </w:t>
      </w:r>
      <w:r w:rsidR="00490193">
        <w:rPr>
          <w:rFonts w:eastAsia="SimSun"/>
        </w:rPr>
        <w:t xml:space="preserve">ASC </w:t>
      </w:r>
      <w:r w:rsidR="00237E1C">
        <w:rPr>
          <w:rFonts w:eastAsia="SimSun"/>
        </w:rPr>
        <w:t xml:space="preserve">definition:  depreciation is a process of </w:t>
      </w:r>
      <w:r w:rsidR="00237E1C" w:rsidRPr="00490193">
        <w:rPr>
          <w:rFonts w:eastAsia="SimSun"/>
          <w:i/>
        </w:rPr>
        <w:t>allocation</w:t>
      </w:r>
      <w:r w:rsidR="00237E1C">
        <w:rPr>
          <w:rFonts w:eastAsia="SimSun"/>
        </w:rPr>
        <w:t xml:space="preserve">, not </w:t>
      </w:r>
      <w:r w:rsidR="00237E1C" w:rsidRPr="00490193">
        <w:rPr>
          <w:rFonts w:eastAsia="SimSun"/>
          <w:i/>
        </w:rPr>
        <w:t>valuation</w:t>
      </w:r>
      <w:r w:rsidR="00237E1C">
        <w:rPr>
          <w:rFonts w:eastAsia="SimSun"/>
        </w:rPr>
        <w:t>.  Depreciation is capturing the wear and tear, not necessarily the change in value.</w:t>
      </w:r>
      <w:r w:rsidR="00C57983">
        <w:rPr>
          <w:rFonts w:eastAsia="SimSun"/>
        </w:rPr>
        <w:t xml:space="preserve"> </w:t>
      </w:r>
    </w:p>
    <w:p w:rsidR="00C17E96" w:rsidRPr="00A503F9" w:rsidRDefault="00C17E96" w:rsidP="00C17E96">
      <w:pPr>
        <w:pStyle w:val="question"/>
        <w:keepNext/>
        <w:keepLines/>
        <w:spacing w:before="120"/>
      </w:pPr>
      <w:r w:rsidRPr="009075DC">
        <w:rPr>
          <w:rFonts w:eastAsia="SimSun"/>
        </w:rPr>
        <w:lastRenderedPageBreak/>
        <w:t>Q.</w:t>
      </w:r>
      <w:r w:rsidRPr="009075DC">
        <w:rPr>
          <w:rFonts w:eastAsia="SimSun"/>
        </w:rPr>
        <w:tab/>
      </w:r>
      <w:r>
        <w:rPr>
          <w:rFonts w:eastAsia="SimSun"/>
        </w:rPr>
        <w:t xml:space="preserve">Do customers pay PSE for PSE’s depreciation expense?  </w:t>
      </w:r>
    </w:p>
    <w:p w:rsidR="00C17E96" w:rsidRDefault="00C17E96" w:rsidP="00C17E96">
      <w:pPr>
        <w:pStyle w:val="Answer0"/>
        <w:rPr>
          <w:rFonts w:eastAsia="SimSun"/>
        </w:rPr>
      </w:pPr>
      <w:r>
        <w:rPr>
          <w:rFonts w:eastAsia="SimSun"/>
        </w:rPr>
        <w:t>A.</w:t>
      </w:r>
      <w:r>
        <w:rPr>
          <w:rFonts w:eastAsia="SimSun"/>
        </w:rPr>
        <w:tab/>
        <w:t>No, not directly.  PSE’s depreciation expense is a recoverable item and it is included when PSE sets its revenue req</w:t>
      </w:r>
      <w:r w:rsidR="00BC7A9A">
        <w:rPr>
          <w:rFonts w:eastAsia="SimSun"/>
        </w:rPr>
        <w:t xml:space="preserve">uirement in a general rate case, along with a host of other items.  However, whenever PSE earns less than its allowed rate of return, something has not been recovered.  </w:t>
      </w:r>
      <w:r w:rsidR="001339F7">
        <w:rPr>
          <w:rFonts w:eastAsia="SimSun"/>
        </w:rPr>
        <w:t xml:space="preserve">For example, in its 2013 10K, page 33, PSE disclosed that actual depreciation expense </w:t>
      </w:r>
      <w:r w:rsidR="001339F7" w:rsidRPr="001339F7">
        <w:rPr>
          <w:rFonts w:eastAsia="SimSun"/>
          <w:i/>
        </w:rPr>
        <w:t>exceeded</w:t>
      </w:r>
      <w:r w:rsidR="001339F7">
        <w:rPr>
          <w:rFonts w:eastAsia="SimSun"/>
        </w:rPr>
        <w:t xml:space="preserve"> the amount allowed in rates by $36.4 million in 2013 and $38.2 million in 2012.  Clearly, customers have not paid for </w:t>
      </w:r>
      <w:r w:rsidR="00E60BCC">
        <w:rPr>
          <w:rFonts w:eastAsia="SimSun"/>
        </w:rPr>
        <w:t xml:space="preserve">all of </w:t>
      </w:r>
      <w:r w:rsidR="001339F7">
        <w:rPr>
          <w:rFonts w:eastAsia="SimSun"/>
        </w:rPr>
        <w:t xml:space="preserve">PSE’s depreciation expense or accumulated depreciation.  </w:t>
      </w:r>
    </w:p>
    <w:p w:rsidR="00BC7A9A" w:rsidRDefault="00FC3AFD" w:rsidP="00C17E96">
      <w:pPr>
        <w:pStyle w:val="Answer0"/>
        <w:rPr>
          <w:rFonts w:eastAsia="SimSun"/>
        </w:rPr>
      </w:pPr>
      <w:r>
        <w:rPr>
          <w:rFonts w:eastAsia="SimSun"/>
        </w:rPr>
        <w:tab/>
        <w:t xml:space="preserve">Customers are paying for a service – electrical service.  That fact is clear by a review of any customer’s bill.  They are not paying </w:t>
      </w:r>
      <w:r w:rsidR="002B06BD">
        <w:rPr>
          <w:rFonts w:eastAsia="SimSun"/>
        </w:rPr>
        <w:t>for depreciation expense</w:t>
      </w:r>
      <w:r>
        <w:rPr>
          <w:rFonts w:eastAsia="SimSun"/>
        </w:rPr>
        <w:t xml:space="preserve"> specifically</w:t>
      </w:r>
      <w:r w:rsidR="00125E2B">
        <w:rPr>
          <w:rFonts w:eastAsia="SimSun"/>
        </w:rPr>
        <w:t>,</w:t>
      </w:r>
      <w:r>
        <w:rPr>
          <w:rFonts w:eastAsia="SimSun"/>
        </w:rPr>
        <w:t xml:space="preserve"> and </w:t>
      </w:r>
      <w:r w:rsidR="00125E2B">
        <w:rPr>
          <w:rFonts w:eastAsia="SimSun"/>
        </w:rPr>
        <w:t>do not</w:t>
      </w:r>
      <w:r>
        <w:rPr>
          <w:rFonts w:eastAsia="SimSun"/>
        </w:rPr>
        <w:t xml:space="preserve"> cover</w:t>
      </w:r>
      <w:r w:rsidR="00125E2B">
        <w:rPr>
          <w:rFonts w:eastAsia="SimSun"/>
        </w:rPr>
        <w:t xml:space="preserve"> it in its entirety</w:t>
      </w:r>
      <w:r>
        <w:rPr>
          <w:rFonts w:eastAsia="SimSun"/>
        </w:rPr>
        <w:t>.</w:t>
      </w:r>
    </w:p>
    <w:p w:rsidR="00CD2C75" w:rsidRPr="00A503F9" w:rsidRDefault="00CD2C75" w:rsidP="00CD2C75">
      <w:pPr>
        <w:pStyle w:val="question"/>
        <w:keepNext/>
        <w:keepLines/>
        <w:spacing w:before="120"/>
      </w:pPr>
      <w:r w:rsidRPr="009075DC">
        <w:rPr>
          <w:rFonts w:eastAsia="SimSun"/>
        </w:rPr>
        <w:t>Q.</w:t>
      </w:r>
      <w:r w:rsidRPr="009075DC">
        <w:rPr>
          <w:rFonts w:eastAsia="SimSun"/>
        </w:rPr>
        <w:tab/>
      </w:r>
      <w:r>
        <w:rPr>
          <w:rFonts w:eastAsia="SimSun"/>
        </w:rPr>
        <w:t>Does the Company’s depreciation expense</w:t>
      </w:r>
      <w:r w:rsidR="00086A95">
        <w:rPr>
          <w:rFonts w:eastAsia="SimSun"/>
        </w:rPr>
        <w:t xml:space="preserve"> or accumulated depreciation reserve represent customers’ contribution to capital</w:t>
      </w:r>
      <w:r>
        <w:rPr>
          <w:rFonts w:eastAsia="SimSun"/>
        </w:rPr>
        <w:t xml:space="preserve">?  </w:t>
      </w:r>
    </w:p>
    <w:p w:rsidR="006B506F" w:rsidRDefault="00CD2C75" w:rsidP="00CD2C75">
      <w:pPr>
        <w:pStyle w:val="Answer0"/>
        <w:rPr>
          <w:rFonts w:eastAsia="SimSun"/>
        </w:rPr>
      </w:pPr>
      <w:r>
        <w:rPr>
          <w:rFonts w:eastAsia="SimSun"/>
        </w:rPr>
        <w:t>A.</w:t>
      </w:r>
      <w:r>
        <w:rPr>
          <w:rFonts w:eastAsia="SimSun"/>
        </w:rPr>
        <w:tab/>
      </w:r>
      <w:r w:rsidR="00086A95">
        <w:rPr>
          <w:rFonts w:eastAsia="SimSun"/>
        </w:rPr>
        <w:t xml:space="preserve">No.  The Company’s accumulated depreciation balance represents the portion of the assets that have been consumed, </w:t>
      </w:r>
      <w:r w:rsidR="007C1223">
        <w:rPr>
          <w:rFonts w:eastAsia="SimSun"/>
        </w:rPr>
        <w:t>i.e.,</w:t>
      </w:r>
      <w:r w:rsidR="00086A95">
        <w:rPr>
          <w:rFonts w:eastAsia="SimSun"/>
        </w:rPr>
        <w:t xml:space="preserve"> used up, in the provision of electric service to customers.  It is the exact opposite of a contribution to capital.  Rather</w:t>
      </w:r>
      <w:r w:rsidR="007C1223">
        <w:rPr>
          <w:rFonts w:eastAsia="SimSun"/>
        </w:rPr>
        <w:t>,</w:t>
      </w:r>
      <w:r w:rsidR="00086A95">
        <w:rPr>
          <w:rFonts w:eastAsia="SimSun"/>
        </w:rPr>
        <w:t xml:space="preserve"> it denotes the missing capital, the part of the asset that has been worn away.</w:t>
      </w:r>
    </w:p>
    <w:p w:rsidR="00272569" w:rsidRDefault="00086A95" w:rsidP="00086A95">
      <w:pPr>
        <w:pStyle w:val="question"/>
        <w:keepNext/>
        <w:keepLines/>
        <w:spacing w:before="120"/>
        <w:rPr>
          <w:rFonts w:eastAsia="SimSun"/>
        </w:rPr>
      </w:pPr>
      <w:r w:rsidRPr="009075DC">
        <w:rPr>
          <w:rFonts w:eastAsia="SimSun"/>
        </w:rPr>
        <w:lastRenderedPageBreak/>
        <w:t>Q.</w:t>
      </w:r>
      <w:r w:rsidRPr="009075DC">
        <w:rPr>
          <w:rFonts w:eastAsia="SimSun"/>
        </w:rPr>
        <w:tab/>
      </w:r>
      <w:r w:rsidR="00272569">
        <w:rPr>
          <w:rFonts w:eastAsia="SimSun"/>
        </w:rPr>
        <w:t xml:space="preserve">How does </w:t>
      </w:r>
      <w:r>
        <w:rPr>
          <w:rFonts w:eastAsia="SimSun"/>
        </w:rPr>
        <w:t xml:space="preserve">Mr. Gorman </w:t>
      </w:r>
      <w:r w:rsidR="00272569">
        <w:rPr>
          <w:rFonts w:eastAsia="SimSun"/>
        </w:rPr>
        <w:t>reach the conclusion that customers should be reimbursed for their payment of JPUD investment costs?</w:t>
      </w:r>
    </w:p>
    <w:p w:rsidR="00BA067B" w:rsidRDefault="00086A95" w:rsidP="00DB02A3">
      <w:pPr>
        <w:pStyle w:val="Answer0"/>
        <w:rPr>
          <w:rFonts w:eastAsia="SimSun"/>
        </w:rPr>
      </w:pPr>
      <w:r>
        <w:rPr>
          <w:rFonts w:eastAsia="SimSun"/>
        </w:rPr>
        <w:t>A.</w:t>
      </w:r>
      <w:r>
        <w:rPr>
          <w:rFonts w:eastAsia="SimSun"/>
        </w:rPr>
        <w:tab/>
      </w:r>
      <w:r w:rsidR="00272569">
        <w:rPr>
          <w:rFonts w:eastAsia="SimSun"/>
        </w:rPr>
        <w:t xml:space="preserve">Mr. Gorman </w:t>
      </w:r>
      <w:r w:rsidR="00272569" w:rsidRPr="00272569">
        <w:rPr>
          <w:rFonts w:eastAsia="SimSun"/>
        </w:rPr>
        <w:t>states the “customers made significant contributions to the gross plant value of the JPUD assets.”</w:t>
      </w:r>
      <w:r w:rsidR="007C1223">
        <w:rPr>
          <w:rStyle w:val="FootnoteReference"/>
          <w:rFonts w:eastAsia="SimSun"/>
        </w:rPr>
        <w:footnoteReference w:id="7"/>
      </w:r>
      <w:r w:rsidR="00272569" w:rsidRPr="00272569">
        <w:rPr>
          <w:rFonts w:eastAsia="SimSun"/>
        </w:rPr>
        <w:t xml:space="preserve">  He also opines that “the original investment funding of the JPUD assets has been shared between PSE and its customers.</w:t>
      </w:r>
      <w:r w:rsidR="00272569">
        <w:rPr>
          <w:rFonts w:eastAsia="SimSun"/>
        </w:rPr>
        <w:t>”</w:t>
      </w:r>
      <w:r w:rsidR="007C1223">
        <w:rPr>
          <w:rStyle w:val="FootnoteReference"/>
          <w:rFonts w:eastAsia="SimSun"/>
        </w:rPr>
        <w:footnoteReference w:id="8"/>
      </w:r>
      <w:r w:rsidR="00DB02A3">
        <w:rPr>
          <w:rFonts w:eastAsia="SimSun"/>
        </w:rPr>
        <w:t xml:space="preserve">  </w:t>
      </w:r>
      <w:r w:rsidR="007C1223">
        <w:rPr>
          <w:rFonts w:eastAsia="SimSun"/>
        </w:rPr>
        <w:t>With no support for such</w:t>
      </w:r>
      <w:r w:rsidR="00272569">
        <w:rPr>
          <w:rFonts w:eastAsia="SimSun"/>
        </w:rPr>
        <w:t xml:space="preserve"> statements, he concludes that customers deserve to be reimbursed for their investment in JPUD assets.</w:t>
      </w:r>
    </w:p>
    <w:p w:rsidR="00DB02A3" w:rsidRDefault="00272569" w:rsidP="00DB02A3">
      <w:pPr>
        <w:pStyle w:val="Answer0"/>
        <w:rPr>
          <w:rFonts w:eastAsia="SimSun"/>
          <w:b/>
        </w:rPr>
      </w:pPr>
      <w:r w:rsidRPr="00DB02A3">
        <w:rPr>
          <w:rFonts w:eastAsia="SimSun"/>
          <w:b/>
        </w:rPr>
        <w:t>Q.</w:t>
      </w:r>
      <w:r w:rsidRPr="00DB02A3">
        <w:rPr>
          <w:rFonts w:eastAsia="SimSun"/>
          <w:b/>
        </w:rPr>
        <w:tab/>
        <w:t>Are his statements accurate</w:t>
      </w:r>
      <w:r w:rsidR="00DB02A3">
        <w:rPr>
          <w:rFonts w:eastAsia="SimSun"/>
          <w:b/>
        </w:rPr>
        <w:t>?</w:t>
      </w:r>
    </w:p>
    <w:p w:rsidR="00DB02A3" w:rsidRDefault="00272569" w:rsidP="00DB02A3">
      <w:pPr>
        <w:pStyle w:val="Answer0"/>
        <w:rPr>
          <w:rFonts w:eastAsia="SimSun"/>
        </w:rPr>
      </w:pPr>
      <w:r>
        <w:rPr>
          <w:rFonts w:eastAsia="SimSun"/>
        </w:rPr>
        <w:t>A.</w:t>
      </w:r>
      <w:r>
        <w:rPr>
          <w:rFonts w:eastAsia="SimSun"/>
        </w:rPr>
        <w:tab/>
        <w:t xml:space="preserve">No.  Customers made no </w:t>
      </w:r>
      <w:r w:rsidR="00A42B60">
        <w:rPr>
          <w:rFonts w:eastAsia="SimSun"/>
        </w:rPr>
        <w:t>“</w:t>
      </w:r>
      <w:r>
        <w:rPr>
          <w:rFonts w:eastAsia="SimSun"/>
        </w:rPr>
        <w:t>contribution to the gross plant value.</w:t>
      </w:r>
      <w:r w:rsidR="00A42B60">
        <w:rPr>
          <w:rFonts w:eastAsia="SimSun"/>
        </w:rPr>
        <w:t>”</w:t>
      </w:r>
      <w:r>
        <w:rPr>
          <w:rFonts w:eastAsia="SimSun"/>
        </w:rPr>
        <w:t xml:space="preserve">  Customers provided no </w:t>
      </w:r>
      <w:r w:rsidR="00A42B60">
        <w:rPr>
          <w:rFonts w:eastAsia="SimSun"/>
        </w:rPr>
        <w:t>“</w:t>
      </w:r>
      <w:r>
        <w:rPr>
          <w:rFonts w:eastAsia="SimSun"/>
        </w:rPr>
        <w:t>original investment funding.</w:t>
      </w:r>
      <w:r w:rsidR="00A42B60">
        <w:rPr>
          <w:rFonts w:eastAsia="SimSun"/>
        </w:rPr>
        <w:t>”</w:t>
      </w:r>
      <w:r>
        <w:rPr>
          <w:rFonts w:eastAsia="SimSun"/>
        </w:rPr>
        <w:t xml:space="preserve">  The original investment</w:t>
      </w:r>
      <w:r w:rsidR="00576E89">
        <w:rPr>
          <w:rFonts w:eastAsia="SimSun"/>
        </w:rPr>
        <w:t xml:space="preserve"> and the</w:t>
      </w:r>
      <w:r>
        <w:rPr>
          <w:rFonts w:eastAsia="SimSun"/>
        </w:rPr>
        <w:t xml:space="preserve"> gross plant value </w:t>
      </w:r>
      <w:r w:rsidR="00324505">
        <w:rPr>
          <w:rFonts w:eastAsia="SimSun"/>
        </w:rPr>
        <w:t>were</w:t>
      </w:r>
      <w:r>
        <w:rPr>
          <w:rFonts w:eastAsia="SimSun"/>
        </w:rPr>
        <w:t xml:space="preserve"> funded</w:t>
      </w:r>
      <w:r w:rsidR="00D604CB">
        <w:rPr>
          <w:rFonts w:eastAsia="SimSun"/>
        </w:rPr>
        <w:t xml:space="preserve"> solely</w:t>
      </w:r>
      <w:r>
        <w:rPr>
          <w:rFonts w:eastAsia="SimSun"/>
        </w:rPr>
        <w:t xml:space="preserve"> by investor capital.</w:t>
      </w:r>
      <w:r w:rsidR="00546622">
        <w:rPr>
          <w:rFonts w:eastAsia="SimSun"/>
        </w:rPr>
        <w:t xml:space="preserve">  </w:t>
      </w:r>
    </w:p>
    <w:p w:rsidR="00324505" w:rsidRDefault="00324505" w:rsidP="00DB02A3">
      <w:pPr>
        <w:pStyle w:val="Answer0"/>
        <w:ind w:firstLine="0"/>
        <w:rPr>
          <w:rFonts w:eastAsia="SimSun"/>
        </w:rPr>
      </w:pPr>
      <w:r>
        <w:rPr>
          <w:rFonts w:eastAsia="SimSun"/>
        </w:rPr>
        <w:t>Accumulated depreciation is not investment in capital.</w:t>
      </w:r>
      <w:r w:rsidR="00FD59D7">
        <w:rPr>
          <w:rFonts w:eastAsia="SimSun"/>
        </w:rPr>
        <w:t xml:space="preserve">  There is no accounting theory, regulatory theory, or logic to support this notion.</w:t>
      </w:r>
      <w:r w:rsidR="00546622">
        <w:rPr>
          <w:rFonts w:eastAsia="SimSun"/>
        </w:rPr>
        <w:t xml:space="preserve"> </w:t>
      </w:r>
    </w:p>
    <w:p w:rsidR="00FD59D7" w:rsidRPr="00A503F9" w:rsidRDefault="00FD59D7" w:rsidP="00FD59D7">
      <w:pPr>
        <w:pStyle w:val="question"/>
        <w:keepNext/>
        <w:keepLines/>
        <w:spacing w:before="120"/>
      </w:pPr>
      <w:r w:rsidRPr="009075DC">
        <w:rPr>
          <w:rFonts w:eastAsia="SimSun"/>
        </w:rPr>
        <w:t>Q.</w:t>
      </w:r>
      <w:r w:rsidRPr="009075DC">
        <w:rPr>
          <w:rFonts w:eastAsia="SimSun"/>
        </w:rPr>
        <w:tab/>
      </w:r>
      <w:r>
        <w:rPr>
          <w:rFonts w:eastAsia="SimSun"/>
        </w:rPr>
        <w:t xml:space="preserve">In his concluding argument, Mr. Gorman slightly </w:t>
      </w:r>
      <w:r w:rsidR="000D3AEE">
        <w:rPr>
          <w:rFonts w:eastAsia="SimSun"/>
        </w:rPr>
        <w:t xml:space="preserve">recasts his allocation logic </w:t>
      </w:r>
      <w:r w:rsidR="008F686E">
        <w:rPr>
          <w:rFonts w:eastAsia="SimSun"/>
        </w:rPr>
        <w:t xml:space="preserve">on the need </w:t>
      </w:r>
      <w:r>
        <w:rPr>
          <w:rFonts w:eastAsia="SimSun"/>
        </w:rPr>
        <w:t xml:space="preserve">“to reimburse customers for payment of depreciation expense for the </w:t>
      </w:r>
      <w:proofErr w:type="spellStart"/>
      <w:r>
        <w:rPr>
          <w:rFonts w:eastAsia="SimSun"/>
        </w:rPr>
        <w:t>JPUD</w:t>
      </w:r>
      <w:proofErr w:type="spellEnd"/>
      <w:r>
        <w:rPr>
          <w:rFonts w:eastAsia="SimSun"/>
        </w:rPr>
        <w:t xml:space="preserve"> assets”</w:t>
      </w:r>
      <w:r w:rsidR="002A6005">
        <w:rPr>
          <w:rFonts w:eastAsia="SimSun"/>
        </w:rPr>
        <w:t>.</w:t>
      </w:r>
      <w:r w:rsidR="00D604CB">
        <w:rPr>
          <w:rStyle w:val="FootnoteReference"/>
          <w:rFonts w:eastAsia="SimSun"/>
        </w:rPr>
        <w:footnoteReference w:id="9"/>
      </w:r>
      <w:r w:rsidR="000D3AEE">
        <w:rPr>
          <w:rFonts w:eastAsia="SimSun"/>
        </w:rPr>
        <w:t xml:space="preserve">  Is this appropriate?</w:t>
      </w:r>
    </w:p>
    <w:p w:rsidR="00FD59D7" w:rsidRDefault="000D3AEE" w:rsidP="004160FE">
      <w:pPr>
        <w:pStyle w:val="Answer0"/>
        <w:rPr>
          <w:rFonts w:eastAsia="SimSun"/>
        </w:rPr>
      </w:pPr>
      <w:r>
        <w:rPr>
          <w:rFonts w:eastAsia="SimSun"/>
        </w:rPr>
        <w:t>A.</w:t>
      </w:r>
      <w:r>
        <w:rPr>
          <w:rFonts w:eastAsia="SimSun"/>
        </w:rPr>
        <w:tab/>
        <w:t xml:space="preserve">This is an extremely puzzling proposition.  First, as I explained above, the customers have never compensated PSE on a dollar-for-dollar basis for the </w:t>
      </w:r>
      <w:r>
        <w:rPr>
          <w:rFonts w:eastAsia="SimSun"/>
        </w:rPr>
        <w:lastRenderedPageBreak/>
        <w:t xml:space="preserve">depreciation expense.  So </w:t>
      </w:r>
      <w:r w:rsidR="00D604CB">
        <w:rPr>
          <w:rFonts w:eastAsia="SimSun"/>
        </w:rPr>
        <w:t>it is not suitable to</w:t>
      </w:r>
      <w:r>
        <w:rPr>
          <w:rFonts w:eastAsia="SimSun"/>
        </w:rPr>
        <w:t xml:space="preserve"> “refund”</w:t>
      </w:r>
      <w:r w:rsidR="008F686E">
        <w:rPr>
          <w:rFonts w:eastAsia="SimSun"/>
        </w:rPr>
        <w:t xml:space="preserve"> </w:t>
      </w:r>
      <w:r w:rsidR="00D604CB">
        <w:rPr>
          <w:rFonts w:eastAsia="SimSun"/>
        </w:rPr>
        <w:t xml:space="preserve">customers </w:t>
      </w:r>
      <w:r w:rsidR="00125E2B">
        <w:rPr>
          <w:rFonts w:eastAsia="SimSun"/>
        </w:rPr>
        <w:t xml:space="preserve">for </w:t>
      </w:r>
      <w:r w:rsidR="008F686E">
        <w:rPr>
          <w:rFonts w:eastAsia="SimSun"/>
        </w:rPr>
        <w:t xml:space="preserve">costs they </w:t>
      </w:r>
      <w:r w:rsidR="008165D3">
        <w:rPr>
          <w:rFonts w:eastAsia="SimSun"/>
        </w:rPr>
        <w:t>have not paid</w:t>
      </w:r>
      <w:r w:rsidR="008F686E">
        <w:rPr>
          <w:rFonts w:eastAsia="SimSun"/>
        </w:rPr>
        <w:t>.</w:t>
      </w:r>
    </w:p>
    <w:p w:rsidR="00562521" w:rsidRDefault="00A42B60" w:rsidP="004160FE">
      <w:pPr>
        <w:pStyle w:val="Answer0"/>
        <w:ind w:firstLine="0"/>
        <w:rPr>
          <w:rFonts w:eastAsia="SimSun"/>
        </w:rPr>
      </w:pPr>
      <w:r>
        <w:rPr>
          <w:rFonts w:eastAsia="SimSun"/>
        </w:rPr>
        <w:t>Second</w:t>
      </w:r>
      <w:r w:rsidR="00562521">
        <w:rPr>
          <w:rFonts w:eastAsia="SimSun"/>
        </w:rPr>
        <w:t>, no witness</w:t>
      </w:r>
      <w:r w:rsidR="00D604CB">
        <w:rPr>
          <w:rFonts w:eastAsia="SimSun"/>
        </w:rPr>
        <w:t xml:space="preserve"> has </w:t>
      </w:r>
      <w:r w:rsidR="00562521">
        <w:rPr>
          <w:rFonts w:eastAsia="SimSun"/>
        </w:rPr>
        <w:t>presented any evidence that the depreciation rates that were applied to the property were inaccurate or excessive.  The presence of a gain or a loss is not evidence that the depreciation rates were inappropriate.  As the definition of depreciation indicates, the depreciation calculation is an exercise of allocation, not valuation.  JPUD acq</w:t>
      </w:r>
      <w:r w:rsidR="0096637B">
        <w:rPr>
          <w:rFonts w:eastAsia="SimSun"/>
        </w:rPr>
        <w:t>uired more than just the assets and the purchase price reflects more than the sale of assets.</w:t>
      </w:r>
      <w:r w:rsidR="00546622">
        <w:rPr>
          <w:rFonts w:eastAsia="SimSun"/>
        </w:rPr>
        <w:t xml:space="preserve">  </w:t>
      </w:r>
      <w:r w:rsidR="00E4716E">
        <w:rPr>
          <w:rFonts w:eastAsia="SimSun"/>
        </w:rPr>
        <w:t xml:space="preserve">The presence of a gain </w:t>
      </w:r>
      <w:r w:rsidR="00546622">
        <w:rPr>
          <w:rFonts w:eastAsia="SimSun"/>
        </w:rPr>
        <w:t xml:space="preserve">does not impugn the depreciation calculation. </w:t>
      </w:r>
    </w:p>
    <w:p w:rsidR="00562521" w:rsidRDefault="00562521" w:rsidP="00FD59D7">
      <w:pPr>
        <w:pStyle w:val="Answer0"/>
        <w:rPr>
          <w:rFonts w:eastAsia="SimSun"/>
        </w:rPr>
      </w:pPr>
      <w:r>
        <w:rPr>
          <w:rFonts w:eastAsia="SimSun"/>
        </w:rPr>
        <w:tab/>
      </w:r>
      <w:r w:rsidR="00A42B60">
        <w:rPr>
          <w:rFonts w:eastAsia="SimSun"/>
        </w:rPr>
        <w:t>Third</w:t>
      </w:r>
      <w:r>
        <w:rPr>
          <w:rFonts w:eastAsia="SimSun"/>
        </w:rPr>
        <w:t xml:space="preserve">, </w:t>
      </w:r>
      <w:r w:rsidR="0096637B">
        <w:rPr>
          <w:rFonts w:eastAsia="SimSun"/>
        </w:rPr>
        <w:t xml:space="preserve">the amount of accumulated depreciation represents the portion of the property that was used up and consumed in the provision of electric service to the customers of Jefferson County.  Had those assets been newer or not as worn as they were, the Company could have demanded a higher selling price because they would have had more life remaining.  </w:t>
      </w:r>
      <w:r w:rsidR="008165D3">
        <w:rPr>
          <w:rFonts w:eastAsia="SimSun"/>
        </w:rPr>
        <w:t xml:space="preserve">The fact that JPUD may have placed a different value on the remaining life of the asset does not imply that PSE net </w:t>
      </w:r>
      <w:r w:rsidR="00546622">
        <w:rPr>
          <w:rFonts w:eastAsia="SimSun"/>
        </w:rPr>
        <w:t xml:space="preserve">book </w:t>
      </w:r>
      <w:r w:rsidR="008165D3">
        <w:rPr>
          <w:rFonts w:eastAsia="SimSun"/>
        </w:rPr>
        <w:t>value was deficient or that its charges to customer</w:t>
      </w:r>
      <w:r w:rsidR="00A15935">
        <w:rPr>
          <w:rFonts w:eastAsia="SimSun"/>
        </w:rPr>
        <w:t>s</w:t>
      </w:r>
      <w:r w:rsidR="008165D3">
        <w:rPr>
          <w:rFonts w:eastAsia="SimSun"/>
        </w:rPr>
        <w:t xml:space="preserve"> for power were too high.</w:t>
      </w:r>
      <w:r w:rsidR="0096637B">
        <w:rPr>
          <w:rFonts w:eastAsia="SimSun"/>
        </w:rPr>
        <w:t xml:space="preserve"> </w:t>
      </w:r>
    </w:p>
    <w:p w:rsidR="00C74F33" w:rsidRDefault="008165D3" w:rsidP="00FD59D7">
      <w:pPr>
        <w:pStyle w:val="Answer0"/>
        <w:rPr>
          <w:rFonts w:eastAsia="SimSun"/>
        </w:rPr>
      </w:pPr>
      <w:r>
        <w:rPr>
          <w:rFonts w:eastAsia="SimSun"/>
        </w:rPr>
        <w:tab/>
      </w:r>
      <w:r w:rsidR="00A42B60">
        <w:rPr>
          <w:rFonts w:eastAsia="SimSun"/>
        </w:rPr>
        <w:t>Fourth</w:t>
      </w:r>
      <w:r>
        <w:rPr>
          <w:rFonts w:eastAsia="SimSun"/>
        </w:rPr>
        <w:t xml:space="preserve">, </w:t>
      </w:r>
      <w:r w:rsidR="000F0952">
        <w:rPr>
          <w:rFonts w:eastAsia="SimSun"/>
        </w:rPr>
        <w:t>Mr. Gorman’s proposal to reimburse remaining customers for the accumulated depreciation on the JPUD assets would result in more than doubl</w:t>
      </w:r>
      <w:r w:rsidR="003134A3">
        <w:rPr>
          <w:rFonts w:eastAsia="SimSun"/>
        </w:rPr>
        <w:t>ing the</w:t>
      </w:r>
      <w:r w:rsidR="000F0952">
        <w:rPr>
          <w:rFonts w:eastAsia="SimSun"/>
        </w:rPr>
        <w:t xml:space="preserve"> benefit to remaining customers.  In the first case, </w:t>
      </w:r>
      <w:r w:rsidR="003134A3">
        <w:rPr>
          <w:rFonts w:eastAsia="SimSun"/>
        </w:rPr>
        <w:t xml:space="preserve">departing customers paid for a </w:t>
      </w:r>
      <w:r w:rsidR="00546622">
        <w:rPr>
          <w:rFonts w:eastAsia="SimSun"/>
        </w:rPr>
        <w:t xml:space="preserve">significant amount of the remaining </w:t>
      </w:r>
      <w:r w:rsidR="000F0952">
        <w:rPr>
          <w:rFonts w:eastAsia="SimSun"/>
        </w:rPr>
        <w:t xml:space="preserve">distribution system.  In the second case, remaining customers would get a refund in </w:t>
      </w:r>
      <w:r w:rsidR="000F0952" w:rsidRPr="004D3EFB">
        <w:rPr>
          <w:rFonts w:eastAsia="SimSun"/>
          <w:i/>
        </w:rPr>
        <w:t>excess</w:t>
      </w:r>
      <w:r w:rsidR="000F0952">
        <w:rPr>
          <w:rFonts w:eastAsia="SimSun"/>
        </w:rPr>
        <w:t xml:space="preserve"> of their share of the </w:t>
      </w:r>
      <w:r w:rsidR="000F0952">
        <w:rPr>
          <w:rFonts w:eastAsia="SimSun"/>
        </w:rPr>
        <w:lastRenderedPageBreak/>
        <w:t>depreciation on the JPUD assets</w:t>
      </w:r>
      <w:r w:rsidR="00546622">
        <w:rPr>
          <w:rFonts w:eastAsia="SimSun"/>
        </w:rPr>
        <w:t xml:space="preserve">, as it must certainly be true that the departing JPUD customers paid for </w:t>
      </w:r>
      <w:r w:rsidR="00E855FA">
        <w:rPr>
          <w:rFonts w:eastAsia="SimSun"/>
        </w:rPr>
        <w:t xml:space="preserve">some portion </w:t>
      </w:r>
      <w:r w:rsidR="00546622">
        <w:rPr>
          <w:rFonts w:eastAsia="SimSun"/>
        </w:rPr>
        <w:t>of their accumulated depreciation</w:t>
      </w:r>
      <w:r w:rsidR="004D3EFB">
        <w:rPr>
          <w:rFonts w:eastAsia="SimSun"/>
        </w:rPr>
        <w:t>.</w:t>
      </w:r>
      <w:r w:rsidR="00A97BA9" w:rsidRPr="00A97BA9">
        <w:rPr>
          <w:rFonts w:eastAsia="SimSun"/>
        </w:rPr>
        <w:t xml:space="preserve"> </w:t>
      </w:r>
    </w:p>
    <w:p w:rsidR="00A42B60" w:rsidRDefault="00A42B60" w:rsidP="00A42B60">
      <w:pPr>
        <w:pStyle w:val="Answer0"/>
        <w:rPr>
          <w:rFonts w:eastAsia="SimSun"/>
        </w:rPr>
      </w:pPr>
      <w:r>
        <w:rPr>
          <w:rFonts w:eastAsia="SimSun"/>
        </w:rPr>
        <w:tab/>
        <w:t xml:space="preserve">Fifth, if Mr. Gorman’s proposition is correct, the proper treatment is NOT a refund of the depreciation expense.  </w:t>
      </w:r>
    </w:p>
    <w:p w:rsidR="00A42B60" w:rsidRPr="00BA067B" w:rsidRDefault="00A42B60" w:rsidP="00A42B60">
      <w:pPr>
        <w:pStyle w:val="Answer0"/>
        <w:rPr>
          <w:rFonts w:eastAsia="SimSun"/>
          <w:b/>
        </w:rPr>
      </w:pPr>
      <w:r>
        <w:rPr>
          <w:rFonts w:eastAsia="SimSun"/>
        </w:rPr>
        <w:t>Q</w:t>
      </w:r>
      <w:r w:rsidR="00C777B2">
        <w:rPr>
          <w:rFonts w:eastAsia="SimSun"/>
        </w:rPr>
        <w:t>.</w:t>
      </w:r>
      <w:r>
        <w:rPr>
          <w:rFonts w:eastAsia="SimSun"/>
          <w:b/>
        </w:rPr>
        <w:tab/>
        <w:t>Please explain the proper treatment under Mr. Gorman’s proposal.</w:t>
      </w:r>
    </w:p>
    <w:p w:rsidR="00A42B60" w:rsidRDefault="00A42B60" w:rsidP="00A42B60">
      <w:pPr>
        <w:pStyle w:val="Answer0"/>
        <w:rPr>
          <w:rFonts w:eastAsia="SimSun"/>
        </w:rPr>
      </w:pPr>
      <w:r>
        <w:rPr>
          <w:rFonts w:eastAsia="SimSun"/>
        </w:rPr>
        <w:t>A.</w:t>
      </w:r>
      <w:r>
        <w:rPr>
          <w:rFonts w:eastAsia="SimSun"/>
        </w:rPr>
        <w:tab/>
        <w:t>The proper treatment would be for the Company to record “excess depreciation” (i.e. the customer’s portion of the gain) to the accumulated reserve of the remaining assets and flush through the consequences in the Company’s next depreciation study when the new depreciation rates are determined.  As I explained above, a key element in setting depreciation rates in a depreciation study is to evaluate the Company’s historical data which is why gains or losses which occur in the normal course of business are posted to the accumulated reserve.  This would be the proper and accepted method for dealing with the retirement of distribution property in the ordinary course of business. A refund would be inappropriate.</w:t>
      </w:r>
    </w:p>
    <w:p w:rsidR="00C74F33" w:rsidRDefault="00C74F33" w:rsidP="00FD59D7">
      <w:pPr>
        <w:pStyle w:val="Answer0"/>
        <w:rPr>
          <w:rFonts w:eastAsia="SimSun"/>
          <w:b/>
        </w:rPr>
      </w:pPr>
      <w:r w:rsidRPr="00BA067B">
        <w:rPr>
          <w:rFonts w:eastAsia="SimSun"/>
          <w:b/>
        </w:rPr>
        <w:t>Q.</w:t>
      </w:r>
      <w:r w:rsidRPr="00BA067B">
        <w:rPr>
          <w:rFonts w:eastAsia="SimSun"/>
          <w:b/>
        </w:rPr>
        <w:tab/>
        <w:t>Who paid for the accumulated depreciation</w:t>
      </w:r>
      <w:r w:rsidR="00051032">
        <w:rPr>
          <w:rFonts w:eastAsia="SimSun"/>
          <w:b/>
        </w:rPr>
        <w:t xml:space="preserve"> on the JPUD assets</w:t>
      </w:r>
      <w:r w:rsidRPr="00BA067B">
        <w:rPr>
          <w:rFonts w:eastAsia="SimSun"/>
          <w:b/>
        </w:rPr>
        <w:t>?</w:t>
      </w:r>
    </w:p>
    <w:p w:rsidR="0051776C" w:rsidRDefault="00C74F33" w:rsidP="00FD59D7">
      <w:pPr>
        <w:pStyle w:val="Answer0"/>
        <w:rPr>
          <w:rFonts w:eastAsia="SimSun"/>
        </w:rPr>
      </w:pPr>
      <w:r w:rsidRPr="00C74F33">
        <w:rPr>
          <w:rFonts w:eastAsia="SimSun"/>
        </w:rPr>
        <w:t>A.</w:t>
      </w:r>
      <w:r w:rsidRPr="00C74F33">
        <w:rPr>
          <w:rFonts w:eastAsia="SimSun"/>
        </w:rPr>
        <w:tab/>
      </w:r>
      <w:r>
        <w:rPr>
          <w:rFonts w:eastAsia="SimSun"/>
        </w:rPr>
        <w:t xml:space="preserve">As the Company has pointed out on a number of occasions, rates are set in common across the system. </w:t>
      </w:r>
      <w:r w:rsidR="005C4B88">
        <w:rPr>
          <w:rFonts w:eastAsia="SimSun"/>
        </w:rPr>
        <w:t xml:space="preserve"> </w:t>
      </w:r>
      <w:r w:rsidR="00A42B60">
        <w:rPr>
          <w:rFonts w:eastAsia="SimSun"/>
        </w:rPr>
        <w:t>Because of this, it is not possible to identify with precision which rate payer paid for what.  However, as the testimony of Mr. Piliaris makes clear, what we do know about the JPUD customers indicates that their contribut</w:t>
      </w:r>
      <w:r w:rsidR="006C6CB7">
        <w:rPr>
          <w:rFonts w:eastAsia="SimSun"/>
        </w:rPr>
        <w:t>ion</w:t>
      </w:r>
      <w:r w:rsidR="00A42B60">
        <w:rPr>
          <w:rFonts w:eastAsia="SimSun"/>
        </w:rPr>
        <w:t xml:space="preserve"> was more-or-less equivalent to their share of the revenue requirement.  Mr. Piliaris defines the “bookend” and provides a reasonable </w:t>
      </w:r>
      <w:r w:rsidR="00A42B60">
        <w:rPr>
          <w:rFonts w:eastAsia="SimSun"/>
        </w:rPr>
        <w:lastRenderedPageBreak/>
        <w:t xml:space="preserve">analysis which shows that departing customers </w:t>
      </w:r>
      <w:r w:rsidR="00641BA1">
        <w:rPr>
          <w:rFonts w:eastAsia="SimSun"/>
        </w:rPr>
        <w:t xml:space="preserve">likely covered their share of depreciation.  </w:t>
      </w:r>
    </w:p>
    <w:p w:rsidR="009C12DE" w:rsidRPr="00C74F33" w:rsidRDefault="00641BA1" w:rsidP="00FD59D7">
      <w:pPr>
        <w:pStyle w:val="Answer0"/>
      </w:pPr>
      <w:r>
        <w:rPr>
          <w:rFonts w:eastAsia="SimSun"/>
        </w:rPr>
        <w:tab/>
        <w:t>By contrast, no witness has provided any evidence that remaining customers actually covered the accumulated depreciation on the JPUD assets.  They have only inferred the possibility of such an occurrence due to the way that rates are set across the system.</w:t>
      </w:r>
      <w:r w:rsidR="009C12DE">
        <w:rPr>
          <w:rFonts w:eastAsia="SimSun"/>
        </w:rPr>
        <w:tab/>
      </w:r>
    </w:p>
    <w:p w:rsidR="00A97BA9" w:rsidRPr="00BA067B" w:rsidRDefault="00A97BA9" w:rsidP="005601B3">
      <w:pPr>
        <w:pStyle w:val="Answer0"/>
        <w:rPr>
          <w:b/>
        </w:rPr>
      </w:pPr>
      <w:r w:rsidRPr="00BA067B">
        <w:rPr>
          <w:b/>
        </w:rPr>
        <w:t>Q.</w:t>
      </w:r>
      <w:r w:rsidRPr="00BA067B">
        <w:rPr>
          <w:b/>
        </w:rPr>
        <w:tab/>
        <w:t>Will PSE double recover its depreciation expense if it is permitted to keep the accumulated depreciation portion of the gain?</w:t>
      </w:r>
    </w:p>
    <w:p w:rsidR="00537D81" w:rsidRPr="00C777B2" w:rsidRDefault="00A97BA9" w:rsidP="00C777B2">
      <w:pPr>
        <w:pStyle w:val="Answer0"/>
      </w:pPr>
      <w:r w:rsidRPr="00C777B2">
        <w:t>A.</w:t>
      </w:r>
      <w:r w:rsidRPr="00C777B2">
        <w:tab/>
      </w:r>
      <w:r w:rsidR="00C70E1D" w:rsidRPr="00C777B2">
        <w:t xml:space="preserve">No.  </w:t>
      </w:r>
      <w:r w:rsidR="00537D81" w:rsidRPr="00C777B2">
        <w:t xml:space="preserve">It is nonsensical to say the “accumulated depreciation portion of the gain.”  Accumulated depreciation is not part of the gain.  The gain is the proceeds less the net book value less transaction costs.  </w:t>
      </w:r>
    </w:p>
    <w:p w:rsidR="00C70E1D" w:rsidRPr="00C777B2" w:rsidRDefault="00537D81" w:rsidP="00C777B2">
      <w:pPr>
        <w:pStyle w:val="Answer0"/>
        <w:ind w:firstLine="0"/>
      </w:pPr>
      <w:r w:rsidRPr="00C777B2">
        <w:t>Let me explain.  Since accumulated depreciation represents the wear and tear which has occurred on the assets, it is that part of the assets that has been worn away.  It does not exist.  The assets have been worn down.  The assets are less than 100%</w:t>
      </w:r>
      <w:r w:rsidR="007B692C" w:rsidRPr="00C777B2">
        <w:t xml:space="preserve"> of what they were when they were purchased</w:t>
      </w:r>
      <w:r w:rsidRPr="00C777B2">
        <w:t xml:space="preserve">.  That wear has passed to </w:t>
      </w:r>
      <w:proofErr w:type="spellStart"/>
      <w:r w:rsidRPr="00C777B2">
        <w:t>JPUD</w:t>
      </w:r>
      <w:proofErr w:type="spellEnd"/>
      <w:r w:rsidRPr="00C777B2">
        <w:t xml:space="preserve">.  It is incorrect to “assign” it to anyone.  PSE attempted to recover it once as the wear was occurring by reflecting depreciation expense in the revenue requirement.  </w:t>
      </w:r>
      <w:r w:rsidR="004D1E70" w:rsidRPr="00C777B2">
        <w:t xml:space="preserve">  </w:t>
      </w:r>
    </w:p>
    <w:p w:rsidR="00C70E1D" w:rsidRDefault="004D1E70" w:rsidP="00BA067B">
      <w:pPr>
        <w:pStyle w:val="Answer0"/>
        <w:spacing w:before="240"/>
        <w:ind w:firstLine="0"/>
      </w:pPr>
      <w:r>
        <w:t>In addition, as Mr. Levin discusses at Exhibit No. __</w:t>
      </w:r>
      <w:r w:rsidR="00C777B2">
        <w:t>_</w:t>
      </w:r>
      <w:r>
        <w:t>(</w:t>
      </w:r>
      <w:r w:rsidR="00BE24A2">
        <w:t>SLL-1T), assigning accumulated depreciation to remaining customers denies the Company the return of the investment</w:t>
      </w:r>
      <w:r w:rsidR="00C70E1D">
        <w:t xml:space="preserve"> as it was depreciated, with the result being the opposite of double recovery</w:t>
      </w:r>
      <w:r w:rsidR="00BE24A2">
        <w:t xml:space="preserve">. </w:t>
      </w:r>
      <w:r w:rsidR="00C70E1D">
        <w:t xml:space="preserve">It is important to look back to the definition of depreciation – it </w:t>
      </w:r>
      <w:r w:rsidR="00C70E1D">
        <w:lastRenderedPageBreak/>
        <w:t xml:space="preserve">is a process of allocation, not valuation.  </w:t>
      </w:r>
      <w:r w:rsidR="007B692C">
        <w:rPr>
          <w:rFonts w:eastAsia="SimSun"/>
        </w:rPr>
        <w:t>Perhaps this illustration will help.  If I have a shirt with a hole in the elbow, that shirt has suffered wear and tear.  If I sell that shirt for more than I paid for it, have I “double recovered” the hole in the elbow?  Of course not.  The hole is still there.  In fact, I could have realized a higher price</w:t>
      </w:r>
      <w:r w:rsidR="002576BE">
        <w:rPr>
          <w:rFonts w:eastAsia="SimSun"/>
        </w:rPr>
        <w:t xml:space="preserve"> had the shirt been newer</w:t>
      </w:r>
      <w:r w:rsidR="007B692C">
        <w:rPr>
          <w:rFonts w:eastAsia="SimSun"/>
        </w:rPr>
        <w:t xml:space="preserve">.  </w:t>
      </w:r>
      <w:r w:rsidR="002576BE">
        <w:rPr>
          <w:rFonts w:eastAsia="SimSun"/>
        </w:rPr>
        <w:t>The purchaser did not pay for the hole.  The hole did not add value to the sale.  The purchase</w:t>
      </w:r>
      <w:r w:rsidR="00F139FF">
        <w:rPr>
          <w:rFonts w:eastAsia="SimSun"/>
        </w:rPr>
        <w:t>r</w:t>
      </w:r>
      <w:r w:rsidR="002576BE">
        <w:rPr>
          <w:rFonts w:eastAsia="SimSun"/>
        </w:rPr>
        <w:t xml:space="preserve"> bought the shirt despite its accumulated depreciation.  </w:t>
      </w:r>
      <w:r w:rsidR="007B692C">
        <w:rPr>
          <w:rFonts w:eastAsia="SimSun"/>
        </w:rPr>
        <w:t>There are two different issues at play.  One is the fact that the shirt is depreciating (suffering wear and tear).  The other is its value to someone else.  Often, the two issues have little or no correlation.</w:t>
      </w:r>
    </w:p>
    <w:p w:rsidR="004E5062" w:rsidRPr="00A503F9" w:rsidRDefault="004E5062" w:rsidP="004E5062">
      <w:pPr>
        <w:pStyle w:val="question"/>
        <w:keepNext/>
        <w:keepLines/>
        <w:spacing w:before="120"/>
      </w:pPr>
      <w:r w:rsidRPr="009075DC">
        <w:rPr>
          <w:rFonts w:eastAsia="SimSun"/>
        </w:rPr>
        <w:t>Q.</w:t>
      </w:r>
      <w:r w:rsidRPr="009075DC">
        <w:rPr>
          <w:rFonts w:eastAsia="SimSun"/>
        </w:rPr>
        <w:tab/>
      </w:r>
      <w:r w:rsidR="0020201E">
        <w:rPr>
          <w:rFonts w:eastAsia="SimSun"/>
        </w:rPr>
        <w:t>Mr. Gorman states that the sale of the JPUD assets is similar to an early plant retirement</w:t>
      </w:r>
      <w:r w:rsidR="002A6005">
        <w:rPr>
          <w:rFonts w:eastAsia="SimSun"/>
        </w:rPr>
        <w:t>.</w:t>
      </w:r>
      <w:r w:rsidR="00913C17">
        <w:rPr>
          <w:rStyle w:val="FootnoteReference"/>
          <w:rFonts w:eastAsia="SimSun"/>
        </w:rPr>
        <w:footnoteReference w:id="10"/>
      </w:r>
      <w:r w:rsidR="0020201E">
        <w:rPr>
          <w:rFonts w:eastAsia="SimSun"/>
        </w:rPr>
        <w:t xml:space="preserve">  Is this true</w:t>
      </w:r>
      <w:r w:rsidRPr="009075DC">
        <w:rPr>
          <w:rFonts w:eastAsia="SimSun"/>
        </w:rPr>
        <w:t>?</w:t>
      </w:r>
    </w:p>
    <w:p w:rsidR="00E273D2" w:rsidRDefault="0020201E" w:rsidP="004E5062">
      <w:pPr>
        <w:pStyle w:val="Answer0"/>
        <w:rPr>
          <w:rFonts w:eastAsia="SimSun"/>
        </w:rPr>
      </w:pPr>
      <w:r>
        <w:rPr>
          <w:rFonts w:eastAsia="SimSun"/>
        </w:rPr>
        <w:t>A.</w:t>
      </w:r>
      <w:r>
        <w:rPr>
          <w:rFonts w:eastAsia="SimSun"/>
        </w:rPr>
        <w:tab/>
        <w:t>No.  I</w:t>
      </w:r>
      <w:r w:rsidR="00913C17">
        <w:rPr>
          <w:rFonts w:eastAsia="SimSun"/>
        </w:rPr>
        <w:t>n</w:t>
      </w:r>
      <w:r>
        <w:rPr>
          <w:rFonts w:eastAsia="SimSun"/>
        </w:rPr>
        <w:t xml:space="preserve"> fact, it is dissimilar to an early retirement in a number of important ways.  First, early retirements are contemplated in setting the depreciation rates</w:t>
      </w:r>
      <w:r w:rsidR="00F37F61">
        <w:rPr>
          <w:rFonts w:eastAsia="SimSun"/>
        </w:rPr>
        <w:t xml:space="preserve"> for electric distribution assets</w:t>
      </w:r>
      <w:r>
        <w:rPr>
          <w:rFonts w:eastAsia="SimSun"/>
        </w:rPr>
        <w:t>.  When rates are set in a depreciation study, the Company determines the service life of the assets.  That service life contemplates the fact that with</w:t>
      </w:r>
      <w:r w:rsidR="000F1333">
        <w:rPr>
          <w:rFonts w:eastAsia="SimSun"/>
        </w:rPr>
        <w:t>in</w:t>
      </w:r>
      <w:r>
        <w:rPr>
          <w:rFonts w:eastAsia="SimSun"/>
        </w:rPr>
        <w:t xml:space="preserve"> a class (or group) of assets, there will be a distribution of mortality.  Some assets will have an extremely long life, while others will have an extremely short life (i.e. some will be retired early).  Through statistical analysis, the ave</w:t>
      </w:r>
      <w:r w:rsidR="00656967">
        <w:rPr>
          <w:rFonts w:eastAsia="SimSun"/>
        </w:rPr>
        <w:t>rage service life is determined and that is an important part of setting the depreciation rate.  In fact, for the depreciation rate to be correct</w:t>
      </w:r>
      <w:r w:rsidR="00E273D2">
        <w:rPr>
          <w:rFonts w:eastAsia="SimSun"/>
        </w:rPr>
        <w:t>,</w:t>
      </w:r>
      <w:r w:rsidR="00656967">
        <w:rPr>
          <w:rFonts w:eastAsia="SimSun"/>
        </w:rPr>
        <w:t xml:space="preserve"> early retirements</w:t>
      </w:r>
      <w:r w:rsidR="00E273D2">
        <w:rPr>
          <w:rFonts w:eastAsia="SimSun"/>
        </w:rPr>
        <w:t xml:space="preserve"> are required</w:t>
      </w:r>
      <w:r w:rsidR="00656967">
        <w:rPr>
          <w:rFonts w:eastAsia="SimSun"/>
        </w:rPr>
        <w:t xml:space="preserve">.  </w:t>
      </w:r>
      <w:r w:rsidR="00FE18BB">
        <w:rPr>
          <w:rFonts w:eastAsia="SimSun"/>
        </w:rPr>
        <w:t xml:space="preserve">The early retirements offset the impact of abnormally long lived </w:t>
      </w:r>
      <w:r w:rsidR="00FE18BB">
        <w:rPr>
          <w:rFonts w:eastAsia="SimSun"/>
        </w:rPr>
        <w:lastRenderedPageBreak/>
        <w:t xml:space="preserve">assets and validate the use of the average service life.  </w:t>
      </w:r>
      <w:r w:rsidR="00E273D2">
        <w:rPr>
          <w:rFonts w:eastAsia="SimSun"/>
        </w:rPr>
        <w:t>In contrast,</w:t>
      </w:r>
      <w:r w:rsidR="00656967">
        <w:rPr>
          <w:rFonts w:eastAsia="SimSun"/>
        </w:rPr>
        <w:t xml:space="preserve"> the JPUD municipalization was not contemplated in the depreciation study</w:t>
      </w:r>
      <w:r w:rsidR="00E273D2">
        <w:rPr>
          <w:rFonts w:eastAsia="SimSun"/>
        </w:rPr>
        <w:t xml:space="preserve"> nor would it ever be reflected in depreciation rate</w:t>
      </w:r>
      <w:r w:rsidR="0048679B">
        <w:rPr>
          <w:rFonts w:eastAsia="SimSun"/>
        </w:rPr>
        <w:t>s</w:t>
      </w:r>
      <w:r w:rsidR="00656967">
        <w:rPr>
          <w:rFonts w:eastAsia="SimSun"/>
        </w:rPr>
        <w:t xml:space="preserve">. </w:t>
      </w:r>
    </w:p>
    <w:p w:rsidR="00A97BA9" w:rsidRDefault="00A97BA9" w:rsidP="00FE18BB">
      <w:pPr>
        <w:pStyle w:val="question"/>
        <w:rPr>
          <w:rFonts w:eastAsia="SimSun"/>
        </w:rPr>
      </w:pPr>
      <w:r>
        <w:rPr>
          <w:rFonts w:eastAsia="SimSun"/>
        </w:rPr>
        <w:t>Q.</w:t>
      </w:r>
      <w:r>
        <w:rPr>
          <w:rFonts w:eastAsia="SimSun"/>
        </w:rPr>
        <w:tab/>
        <w:t>Why does ICNU compare the JPUD transaction to early plant retirement?</w:t>
      </w:r>
    </w:p>
    <w:p w:rsidR="0023236D" w:rsidRDefault="00A97BA9" w:rsidP="00FE18BB">
      <w:pPr>
        <w:pStyle w:val="Answer0"/>
        <w:rPr>
          <w:rFonts w:eastAsia="SimSun"/>
        </w:rPr>
      </w:pPr>
      <w:r>
        <w:rPr>
          <w:rFonts w:eastAsia="SimSun"/>
        </w:rPr>
        <w:t>A.</w:t>
      </w:r>
      <w:r>
        <w:rPr>
          <w:rFonts w:eastAsia="SimSun"/>
        </w:rPr>
        <w:tab/>
        <w:t>ICNU</w:t>
      </w:r>
      <w:r w:rsidR="0023236D">
        <w:rPr>
          <w:rFonts w:eastAsia="SimSun"/>
        </w:rPr>
        <w:t xml:space="preserve"> </w:t>
      </w:r>
      <w:r>
        <w:rPr>
          <w:rFonts w:eastAsia="SimSun"/>
        </w:rPr>
        <w:t xml:space="preserve">refers </w:t>
      </w:r>
      <w:r w:rsidR="0023236D">
        <w:rPr>
          <w:rFonts w:eastAsia="SimSun"/>
        </w:rPr>
        <w:t>to the Company’</w:t>
      </w:r>
      <w:r w:rsidR="001F527F">
        <w:rPr>
          <w:rFonts w:eastAsia="SimSun"/>
        </w:rPr>
        <w:t>s r</w:t>
      </w:r>
      <w:r w:rsidR="0023236D">
        <w:rPr>
          <w:rFonts w:eastAsia="SimSun"/>
        </w:rPr>
        <w:t>esponse to ICNU Data Request No.</w:t>
      </w:r>
      <w:r w:rsidR="001F527F">
        <w:rPr>
          <w:rFonts w:eastAsia="SimSun"/>
        </w:rPr>
        <w:t xml:space="preserve"> </w:t>
      </w:r>
      <w:r w:rsidR="0023236D">
        <w:rPr>
          <w:rFonts w:eastAsia="SimSun"/>
        </w:rPr>
        <w:t>3.</w:t>
      </w:r>
      <w:r w:rsidR="001F527F">
        <w:rPr>
          <w:rFonts w:eastAsia="SimSun"/>
        </w:rPr>
        <w:t>0</w:t>
      </w:r>
      <w:r w:rsidR="0023236D">
        <w:rPr>
          <w:rFonts w:eastAsia="SimSun"/>
        </w:rPr>
        <w:t>6</w:t>
      </w:r>
      <w:r w:rsidR="00A62040">
        <w:rPr>
          <w:rStyle w:val="FootnoteReference"/>
          <w:rFonts w:eastAsia="SimSun"/>
        </w:rPr>
        <w:footnoteReference w:id="11"/>
      </w:r>
      <w:r w:rsidR="0023236D">
        <w:rPr>
          <w:rFonts w:eastAsia="SimSun"/>
        </w:rPr>
        <w:t xml:space="preserve"> and No. 6.</w:t>
      </w:r>
      <w:r w:rsidR="001F527F">
        <w:rPr>
          <w:rFonts w:eastAsia="SimSun"/>
        </w:rPr>
        <w:t>0</w:t>
      </w:r>
      <w:r w:rsidR="0023236D">
        <w:rPr>
          <w:rFonts w:eastAsia="SimSun"/>
        </w:rPr>
        <w:t>1</w:t>
      </w:r>
      <w:r w:rsidR="00A62040">
        <w:rPr>
          <w:rStyle w:val="FootnoteReference"/>
          <w:rFonts w:eastAsia="SimSun"/>
        </w:rPr>
        <w:footnoteReference w:id="12"/>
      </w:r>
      <w:r w:rsidR="001F527F">
        <w:rPr>
          <w:rFonts w:eastAsia="SimSun"/>
        </w:rPr>
        <w:t xml:space="preserve"> as support for </w:t>
      </w:r>
      <w:r>
        <w:rPr>
          <w:rFonts w:eastAsia="SimSun"/>
        </w:rPr>
        <w:t xml:space="preserve">its </w:t>
      </w:r>
      <w:r w:rsidR="001F527F">
        <w:rPr>
          <w:rFonts w:eastAsia="SimSun"/>
        </w:rPr>
        <w:t>proposed treatment of the JPUD transaction.  I will respond to both.</w:t>
      </w:r>
    </w:p>
    <w:p w:rsidR="001F527F" w:rsidRPr="00197674" w:rsidRDefault="001F527F" w:rsidP="00FE18BB">
      <w:pPr>
        <w:pStyle w:val="Answer0"/>
        <w:numPr>
          <w:ilvl w:val="0"/>
          <w:numId w:val="46"/>
        </w:numPr>
      </w:pPr>
      <w:r>
        <w:rPr>
          <w:rFonts w:eastAsia="SimSun"/>
        </w:rPr>
        <w:t>In ICNU DR 3.06, Mr. Gorman posed the hypothetical of an early retirement</w:t>
      </w:r>
      <w:r w:rsidR="00A62040">
        <w:rPr>
          <w:rFonts w:eastAsia="SimSun"/>
        </w:rPr>
        <w:t xml:space="preserve"> in the context of PSE electing to retire plant, </w:t>
      </w:r>
      <w:r>
        <w:rPr>
          <w:rFonts w:eastAsia="SimSun"/>
        </w:rPr>
        <w:t xml:space="preserve">“If PSE </w:t>
      </w:r>
      <w:r w:rsidRPr="001F527F">
        <w:rPr>
          <w:rFonts w:eastAsia="SimSun"/>
          <w:i/>
        </w:rPr>
        <w:t>decides</w:t>
      </w:r>
      <w:r>
        <w:rPr>
          <w:rFonts w:eastAsia="SimSun"/>
        </w:rPr>
        <w:t xml:space="preserve"> that an early retirement of this hypothetical asset is </w:t>
      </w:r>
      <w:r w:rsidRPr="001F527F">
        <w:rPr>
          <w:rFonts w:eastAsia="SimSun"/>
          <w:i/>
        </w:rPr>
        <w:t>justified</w:t>
      </w:r>
      <w:r>
        <w:rPr>
          <w:rFonts w:eastAsia="SimSun"/>
        </w:rPr>
        <w:t xml:space="preserve">…” </w:t>
      </w:r>
      <w:r w:rsidR="00A62040">
        <w:rPr>
          <w:rFonts w:eastAsia="SimSun"/>
        </w:rPr>
        <w:t>(</w:t>
      </w:r>
      <w:r>
        <w:rPr>
          <w:rFonts w:eastAsia="SimSun"/>
        </w:rPr>
        <w:t>emphasis added</w:t>
      </w:r>
      <w:r w:rsidR="00A62040">
        <w:rPr>
          <w:rFonts w:eastAsia="SimSun"/>
        </w:rPr>
        <w:t>)</w:t>
      </w:r>
      <w:r>
        <w:rPr>
          <w:rFonts w:eastAsia="SimSun"/>
        </w:rPr>
        <w:t xml:space="preserve">.  </w:t>
      </w:r>
      <w:r w:rsidR="00197674">
        <w:rPr>
          <w:rFonts w:eastAsia="SimSun"/>
        </w:rPr>
        <w:t>The remainder of the data request is not relevant</w:t>
      </w:r>
      <w:r w:rsidR="002B4374">
        <w:rPr>
          <w:rFonts w:eastAsia="SimSun"/>
        </w:rPr>
        <w:t>.</w:t>
      </w:r>
      <w:r w:rsidR="00FE18BB">
        <w:rPr>
          <w:rFonts w:eastAsia="SimSun"/>
        </w:rPr>
        <w:t xml:space="preserve"> </w:t>
      </w:r>
      <w:r>
        <w:rPr>
          <w:rFonts w:eastAsia="SimSun"/>
        </w:rPr>
        <w:t xml:space="preserve"> PSE never </w:t>
      </w:r>
      <w:r>
        <w:rPr>
          <w:rFonts w:eastAsia="SimSun"/>
          <w:i/>
        </w:rPr>
        <w:t>decided</w:t>
      </w:r>
      <w:r>
        <w:rPr>
          <w:rFonts w:eastAsia="SimSun"/>
        </w:rPr>
        <w:t xml:space="preserve"> that the JPUD transaction was </w:t>
      </w:r>
      <w:r>
        <w:rPr>
          <w:rFonts w:eastAsia="SimSun"/>
          <w:i/>
        </w:rPr>
        <w:t>justified.</w:t>
      </w:r>
      <w:r>
        <w:rPr>
          <w:rFonts w:eastAsia="SimSun"/>
        </w:rPr>
        <w:t xml:space="preserve">  PSE opposed the </w:t>
      </w:r>
      <w:r w:rsidR="00197674">
        <w:rPr>
          <w:rFonts w:eastAsia="SimSun"/>
        </w:rPr>
        <w:t xml:space="preserve">JPUD </w:t>
      </w:r>
      <w:r>
        <w:rPr>
          <w:rFonts w:eastAsia="SimSun"/>
        </w:rPr>
        <w:t>transaction and stated that it was NOT in the best interest of Jefferson customers.</w:t>
      </w:r>
      <w:r w:rsidR="00197674">
        <w:rPr>
          <w:rFonts w:eastAsia="SimSun"/>
        </w:rPr>
        <w:t xml:space="preserve">  </w:t>
      </w:r>
      <w:r w:rsidR="007A1A70">
        <w:rPr>
          <w:rFonts w:eastAsia="SimSun"/>
        </w:rPr>
        <w:t>N</w:t>
      </w:r>
      <w:r w:rsidR="000F1333">
        <w:rPr>
          <w:rFonts w:eastAsia="SimSun"/>
        </w:rPr>
        <w:t>ot even the Commission could stop this transaction as it falls outside of their jurisdiction.  The data request that Mr. Gorman uses as support reflects a completely different reality tha</w:t>
      </w:r>
      <w:r w:rsidR="006C6CB7">
        <w:rPr>
          <w:rFonts w:eastAsia="SimSun"/>
        </w:rPr>
        <w:t>n</w:t>
      </w:r>
      <w:r w:rsidR="000F1333">
        <w:rPr>
          <w:rFonts w:eastAsia="SimSun"/>
        </w:rPr>
        <w:t xml:space="preserve"> the facts in this case.</w:t>
      </w:r>
      <w:r w:rsidR="006B152D" w:rsidRPr="00FE18BB">
        <w:rPr>
          <w:rFonts w:eastAsia="SimSun"/>
        </w:rPr>
        <w:t xml:space="preserve">  </w:t>
      </w:r>
    </w:p>
    <w:p w:rsidR="00FE18BB" w:rsidRDefault="00B86F50" w:rsidP="00197674">
      <w:pPr>
        <w:pStyle w:val="Answer0"/>
        <w:ind w:left="1800" w:firstLine="0"/>
        <w:rPr>
          <w:rFonts w:eastAsia="SimSun"/>
        </w:rPr>
      </w:pPr>
      <w:r>
        <w:rPr>
          <w:rFonts w:eastAsia="SimSun"/>
        </w:rPr>
        <w:t xml:space="preserve">Under Mr. Gorman’s hypothetical, normal retirement rules would apply and the original cost of the asset would be recorded to </w:t>
      </w:r>
      <w:r>
        <w:rPr>
          <w:rFonts w:eastAsia="SimSun"/>
        </w:rPr>
        <w:lastRenderedPageBreak/>
        <w:t>accumulated depreciation.  The balance would reside there until the next depreciation study where it would be one of many factors consider</w:t>
      </w:r>
      <w:r w:rsidR="006C6CB7">
        <w:rPr>
          <w:rFonts w:eastAsia="SimSun"/>
        </w:rPr>
        <w:t>ed</w:t>
      </w:r>
      <w:r>
        <w:rPr>
          <w:rFonts w:eastAsia="SimSun"/>
        </w:rPr>
        <w:t xml:space="preserve"> in setting the new depreciation rate.</w:t>
      </w:r>
    </w:p>
    <w:p w:rsidR="00197674" w:rsidRDefault="00197674" w:rsidP="00197674">
      <w:pPr>
        <w:pStyle w:val="Answer0"/>
        <w:ind w:left="1800" w:firstLine="0"/>
        <w:rPr>
          <w:rFonts w:eastAsia="SimSun"/>
        </w:rPr>
      </w:pPr>
      <w:r>
        <w:rPr>
          <w:rFonts w:eastAsia="SimSun"/>
        </w:rPr>
        <w:t xml:space="preserve">PSE’s response to DR 3.06 </w:t>
      </w:r>
      <w:r w:rsidR="006B152D">
        <w:rPr>
          <w:rFonts w:eastAsia="SimSun"/>
        </w:rPr>
        <w:t xml:space="preserve">is </w:t>
      </w:r>
      <w:r>
        <w:rPr>
          <w:rFonts w:eastAsia="SimSun"/>
        </w:rPr>
        <w:t xml:space="preserve">complete and accurate.  But </w:t>
      </w:r>
      <w:r w:rsidR="007A1A70">
        <w:rPr>
          <w:rFonts w:eastAsia="SimSun"/>
        </w:rPr>
        <w:t>the question posed by ICNU is not relevant</w:t>
      </w:r>
      <w:r>
        <w:rPr>
          <w:rFonts w:eastAsia="SimSun"/>
        </w:rPr>
        <w:t xml:space="preserve"> to the JPUD transaction.</w:t>
      </w:r>
    </w:p>
    <w:p w:rsidR="00197674" w:rsidRPr="008C506B" w:rsidRDefault="00197674" w:rsidP="00197674">
      <w:pPr>
        <w:pStyle w:val="Answer0"/>
        <w:numPr>
          <w:ilvl w:val="0"/>
          <w:numId w:val="46"/>
        </w:numPr>
      </w:pPr>
      <w:r>
        <w:rPr>
          <w:rFonts w:eastAsia="SimSun"/>
        </w:rPr>
        <w:t xml:space="preserve">In </w:t>
      </w:r>
      <w:r w:rsidR="006B152D">
        <w:rPr>
          <w:rFonts w:eastAsia="SimSun"/>
        </w:rPr>
        <w:t xml:space="preserve">ICNU </w:t>
      </w:r>
      <w:r>
        <w:rPr>
          <w:rFonts w:eastAsia="SimSun"/>
        </w:rPr>
        <w:t xml:space="preserve">DR 6.01, Mr. Gorman </w:t>
      </w:r>
      <w:r w:rsidR="001D76F3">
        <w:rPr>
          <w:rFonts w:eastAsia="SimSun"/>
        </w:rPr>
        <w:t>request</w:t>
      </w:r>
      <w:r w:rsidR="006B152D">
        <w:rPr>
          <w:rFonts w:eastAsia="SimSun"/>
        </w:rPr>
        <w:t>ed</w:t>
      </w:r>
      <w:r w:rsidR="001D76F3">
        <w:rPr>
          <w:rFonts w:eastAsia="SimSun"/>
        </w:rPr>
        <w:t xml:space="preserve"> information covering the sale of the White River Hydroelectric Plant, the Issaquah Operating Base, and Seaway Property.  All three properties were sold in the ordinary course of business, following a determination by the Company and regulatory approval by the Commission that such transaction were in customers</w:t>
      </w:r>
      <w:r w:rsidR="008C506B">
        <w:rPr>
          <w:rFonts w:eastAsia="SimSun"/>
        </w:rPr>
        <w:t>’</w:t>
      </w:r>
      <w:r w:rsidR="001D76F3">
        <w:rPr>
          <w:rFonts w:eastAsia="SimSun"/>
        </w:rPr>
        <w:t xml:space="preserve"> interest.  For White River, “PSE declined a FERC license </w:t>
      </w:r>
      <w:r w:rsidR="008C506B">
        <w:rPr>
          <w:rFonts w:eastAsia="SimSun"/>
        </w:rPr>
        <w:t>because</w:t>
      </w:r>
      <w:r w:rsidR="001D76F3">
        <w:rPr>
          <w:rFonts w:eastAsia="SimSun"/>
        </w:rPr>
        <w:t xml:space="preserve"> certain provisions of the federal agency’s approval made the project </w:t>
      </w:r>
      <w:r w:rsidR="001D76F3">
        <w:rPr>
          <w:rFonts w:eastAsia="SimSun"/>
          <w:i/>
        </w:rPr>
        <w:t>uneconomic.</w:t>
      </w:r>
      <w:r w:rsidR="001D76F3">
        <w:rPr>
          <w:rFonts w:eastAsia="SimSun"/>
        </w:rPr>
        <w:t>”</w:t>
      </w:r>
      <w:r w:rsidR="00BB1CED">
        <w:rPr>
          <w:rStyle w:val="FootnoteReference"/>
          <w:rFonts w:eastAsia="SimSun"/>
        </w:rPr>
        <w:footnoteReference w:id="13"/>
      </w:r>
      <w:r w:rsidR="001D76F3">
        <w:rPr>
          <w:rFonts w:eastAsia="SimSun"/>
        </w:rPr>
        <w:t xml:space="preserve"> For the Issaquah Operating Base, it “was </w:t>
      </w:r>
      <w:r w:rsidR="001D76F3" w:rsidRPr="001D76F3">
        <w:rPr>
          <w:rFonts w:eastAsia="SimSun"/>
          <w:i/>
        </w:rPr>
        <w:t>determined</w:t>
      </w:r>
      <w:r w:rsidR="001D76F3">
        <w:rPr>
          <w:rFonts w:eastAsia="SimSun"/>
        </w:rPr>
        <w:t xml:space="preserve"> to be no longer ‘used and useful.’”</w:t>
      </w:r>
      <w:r w:rsidR="00BB1CED">
        <w:rPr>
          <w:rStyle w:val="FootnoteReference"/>
          <w:rFonts w:eastAsia="SimSun"/>
        </w:rPr>
        <w:footnoteReference w:id="14"/>
      </w:r>
      <w:r w:rsidR="001D76F3">
        <w:rPr>
          <w:rFonts w:eastAsia="SimSun"/>
        </w:rPr>
        <w:t xml:space="preserve">  For the Seaway property, it also “was </w:t>
      </w:r>
      <w:r w:rsidR="001D76F3" w:rsidRPr="001D76F3">
        <w:rPr>
          <w:rFonts w:eastAsia="SimSun"/>
          <w:i/>
        </w:rPr>
        <w:t>determined</w:t>
      </w:r>
      <w:r w:rsidR="001D76F3">
        <w:rPr>
          <w:rFonts w:eastAsia="SimSun"/>
        </w:rPr>
        <w:t xml:space="preserve"> to be no longer ‘used and useful.’”</w:t>
      </w:r>
      <w:r w:rsidR="00BB1CED">
        <w:rPr>
          <w:rStyle w:val="FootnoteReference"/>
          <w:rFonts w:eastAsia="SimSun"/>
        </w:rPr>
        <w:footnoteReference w:id="15"/>
      </w:r>
      <w:r w:rsidR="00BB1CED">
        <w:rPr>
          <w:rFonts w:eastAsia="SimSun"/>
        </w:rPr>
        <w:t xml:space="preserve">  </w:t>
      </w:r>
      <w:r w:rsidR="001D76F3">
        <w:rPr>
          <w:rFonts w:eastAsia="SimSun"/>
        </w:rPr>
        <w:t>In each situation, PSE made a determination that the property was either uneconomic or no longer “used and useful”.  In each situation, PSE made decisions and took action</w:t>
      </w:r>
      <w:r w:rsidR="008C506B">
        <w:rPr>
          <w:rFonts w:eastAsia="SimSun"/>
        </w:rPr>
        <w:t>s</w:t>
      </w:r>
      <w:r w:rsidR="001D76F3">
        <w:rPr>
          <w:rFonts w:eastAsia="SimSun"/>
        </w:rPr>
        <w:t xml:space="preserve"> that w</w:t>
      </w:r>
      <w:r w:rsidR="008C506B">
        <w:rPr>
          <w:rFonts w:eastAsia="SimSun"/>
        </w:rPr>
        <w:t>ere</w:t>
      </w:r>
      <w:r w:rsidR="001D76F3">
        <w:rPr>
          <w:rFonts w:eastAsia="SimSun"/>
        </w:rPr>
        <w:t xml:space="preserve"> expressly in the interest of customers.  In each </w:t>
      </w:r>
      <w:r w:rsidR="001D76F3">
        <w:rPr>
          <w:rFonts w:eastAsia="SimSun"/>
        </w:rPr>
        <w:lastRenderedPageBreak/>
        <w:t>situation, the Commission approved the transaction</w:t>
      </w:r>
      <w:r w:rsidR="008C506B">
        <w:rPr>
          <w:rFonts w:eastAsia="SimSun"/>
        </w:rPr>
        <w:t xml:space="preserve"> and allowed the Company’s proposed accounting treatment.  In each situation, the Company continued to serve the same customer base.  In none of these transactions did the Company lose customers or service territory.  In the JPUD transaction PSE did not decide that the JPUD assets were uneconomic or that they were no longer used and useful.  PSE opposed the transaction.  </w:t>
      </w:r>
      <w:r w:rsidR="00B86F50">
        <w:rPr>
          <w:rFonts w:eastAsia="SimSun"/>
        </w:rPr>
        <w:t>T</w:t>
      </w:r>
      <w:r w:rsidR="008C506B">
        <w:rPr>
          <w:rFonts w:eastAsia="SimSun"/>
        </w:rPr>
        <w:t xml:space="preserve">he </w:t>
      </w:r>
      <w:r w:rsidR="008B502B">
        <w:rPr>
          <w:rFonts w:eastAsia="SimSun"/>
        </w:rPr>
        <w:t xml:space="preserve">JPUD </w:t>
      </w:r>
      <w:r w:rsidR="008C506B">
        <w:rPr>
          <w:rFonts w:eastAsia="SimSun"/>
        </w:rPr>
        <w:t xml:space="preserve">transaction originated under the </w:t>
      </w:r>
      <w:r w:rsidR="00B86F50">
        <w:rPr>
          <w:rFonts w:eastAsia="SimSun"/>
        </w:rPr>
        <w:t xml:space="preserve">condemnation </w:t>
      </w:r>
      <w:r w:rsidR="008C506B">
        <w:rPr>
          <w:rFonts w:eastAsia="SimSun"/>
        </w:rPr>
        <w:t>statutes</w:t>
      </w:r>
      <w:r w:rsidR="00773C51">
        <w:rPr>
          <w:rFonts w:eastAsia="SimSun"/>
        </w:rPr>
        <w:t xml:space="preserve"> </w:t>
      </w:r>
      <w:r w:rsidR="00C6459A">
        <w:rPr>
          <w:rFonts w:eastAsia="SimSun"/>
        </w:rPr>
        <w:t>and the transfer did not require the approval of the Commission</w:t>
      </w:r>
      <w:r w:rsidR="008C506B">
        <w:rPr>
          <w:rFonts w:eastAsia="SimSun"/>
        </w:rPr>
        <w:t>.  PSE lost 1.8% of its customers.</w:t>
      </w:r>
    </w:p>
    <w:p w:rsidR="008C506B" w:rsidRDefault="008C506B" w:rsidP="008C506B">
      <w:pPr>
        <w:pStyle w:val="Answer0"/>
        <w:ind w:left="1800" w:firstLine="0"/>
        <w:rPr>
          <w:rFonts w:eastAsia="SimSun"/>
        </w:rPr>
      </w:pPr>
      <w:r>
        <w:rPr>
          <w:rFonts w:eastAsia="SimSun"/>
        </w:rPr>
        <w:t xml:space="preserve">PSE’s response to DR 6.01 </w:t>
      </w:r>
      <w:r w:rsidR="006B152D">
        <w:rPr>
          <w:rFonts w:eastAsia="SimSun"/>
        </w:rPr>
        <w:t xml:space="preserve">is </w:t>
      </w:r>
      <w:r>
        <w:rPr>
          <w:rFonts w:eastAsia="SimSun"/>
        </w:rPr>
        <w:t xml:space="preserve">complete and accurate.  </w:t>
      </w:r>
      <w:r w:rsidR="00C6459A">
        <w:rPr>
          <w:rFonts w:eastAsia="SimSun"/>
        </w:rPr>
        <w:t>But the question posed by ICNU is not relevant to the JPUD transaction.</w:t>
      </w:r>
    </w:p>
    <w:p w:rsidR="00A97BA9" w:rsidRDefault="00A97BA9" w:rsidP="00BA067B">
      <w:pPr>
        <w:pStyle w:val="question"/>
        <w:rPr>
          <w:rFonts w:eastAsia="SimSun"/>
        </w:rPr>
      </w:pPr>
      <w:r>
        <w:rPr>
          <w:rFonts w:eastAsia="SimSun"/>
        </w:rPr>
        <w:t>Q.</w:t>
      </w:r>
      <w:r>
        <w:rPr>
          <w:rFonts w:eastAsia="SimSun"/>
        </w:rPr>
        <w:tab/>
        <w:t>How else is the JPUD transaction different from the early retirement of plant?</w:t>
      </w:r>
    </w:p>
    <w:p w:rsidR="00656967" w:rsidRDefault="00A97BA9" w:rsidP="00C6459A">
      <w:pPr>
        <w:pStyle w:val="Answer0"/>
        <w:rPr>
          <w:rFonts w:eastAsia="SimSun"/>
        </w:rPr>
      </w:pPr>
      <w:r>
        <w:rPr>
          <w:rFonts w:eastAsia="SimSun"/>
        </w:rPr>
        <w:t>A.</w:t>
      </w:r>
      <w:r>
        <w:rPr>
          <w:rFonts w:eastAsia="SimSun"/>
        </w:rPr>
        <w:tab/>
        <w:t>T</w:t>
      </w:r>
      <w:r w:rsidR="0048679B">
        <w:rPr>
          <w:rFonts w:eastAsia="SimSun"/>
        </w:rPr>
        <w:t xml:space="preserve">he JPUD transaction </w:t>
      </w:r>
      <w:r w:rsidR="004068AA">
        <w:rPr>
          <w:rFonts w:eastAsia="SimSun"/>
        </w:rPr>
        <w:t>was not a</w:t>
      </w:r>
      <w:r w:rsidR="0048679B">
        <w:rPr>
          <w:rFonts w:eastAsia="SimSun"/>
        </w:rPr>
        <w:t xml:space="preserve"> sale of assets</w:t>
      </w:r>
      <w:r w:rsidR="004068AA">
        <w:rPr>
          <w:rFonts w:eastAsia="SimSun"/>
        </w:rPr>
        <w:t xml:space="preserve"> resulting from a business decision to remove these assets from service</w:t>
      </w:r>
      <w:r w:rsidR="0048679B">
        <w:rPr>
          <w:rFonts w:eastAsia="SimSun"/>
        </w:rPr>
        <w:t xml:space="preserve">.  JPUD </w:t>
      </w:r>
      <w:r w:rsidR="00C6459A">
        <w:rPr>
          <w:rFonts w:eastAsia="SimSun"/>
        </w:rPr>
        <w:t xml:space="preserve">acquired our service </w:t>
      </w:r>
      <w:r w:rsidR="0048679B">
        <w:rPr>
          <w:rFonts w:eastAsia="SimSun"/>
        </w:rPr>
        <w:t>territory and</w:t>
      </w:r>
      <w:r w:rsidR="00C6459A">
        <w:rPr>
          <w:rFonts w:eastAsia="SimSun"/>
        </w:rPr>
        <w:t xml:space="preserve"> the</w:t>
      </w:r>
      <w:r w:rsidR="0048679B">
        <w:rPr>
          <w:rFonts w:eastAsia="SimSun"/>
        </w:rPr>
        <w:t xml:space="preserve"> going concern value</w:t>
      </w:r>
      <w:r w:rsidR="0066545B">
        <w:rPr>
          <w:rFonts w:eastAsia="SimSun"/>
        </w:rPr>
        <w:t xml:space="preserve"> </w:t>
      </w:r>
      <w:r w:rsidR="00C6459A">
        <w:rPr>
          <w:rFonts w:eastAsia="SimSun"/>
        </w:rPr>
        <w:t>of an established business</w:t>
      </w:r>
      <w:r w:rsidR="004068AA">
        <w:rPr>
          <w:rFonts w:eastAsia="SimSun"/>
        </w:rPr>
        <w:t xml:space="preserve"> under threat of condemnation</w:t>
      </w:r>
      <w:r w:rsidR="0048679B">
        <w:rPr>
          <w:rFonts w:eastAsia="SimSun"/>
        </w:rPr>
        <w:t xml:space="preserve">.  </w:t>
      </w:r>
      <w:r w:rsidR="004068AA">
        <w:rPr>
          <w:rFonts w:eastAsia="SimSun"/>
        </w:rPr>
        <w:t xml:space="preserve"> The only thing volitional about this transaction was a decision to avoid the significant costs and risks of</w:t>
      </w:r>
      <w:r w:rsidR="004F2D81">
        <w:rPr>
          <w:rFonts w:eastAsia="SimSun"/>
        </w:rPr>
        <w:t xml:space="preserve"> </w:t>
      </w:r>
      <w:r w:rsidR="0048679B">
        <w:rPr>
          <w:rFonts w:eastAsia="SimSun"/>
        </w:rPr>
        <w:t>protracted litigation.  Early retirements that occur in the ordinary course of business do not shrink the utility’s service territory.  In fact,</w:t>
      </w:r>
      <w:r w:rsidR="00F37F61">
        <w:rPr>
          <w:rFonts w:eastAsia="SimSun"/>
        </w:rPr>
        <w:t xml:space="preserve"> e</w:t>
      </w:r>
      <w:r w:rsidR="0048679B">
        <w:rPr>
          <w:rFonts w:eastAsia="SimSun"/>
        </w:rPr>
        <w:t xml:space="preserve">arly retirements in the ordinary course require the utility to invest in additional </w:t>
      </w:r>
      <w:r w:rsidR="00F37F61">
        <w:rPr>
          <w:rFonts w:eastAsia="SimSun"/>
        </w:rPr>
        <w:t>resources in order</w:t>
      </w:r>
      <w:r w:rsidR="0048679B">
        <w:rPr>
          <w:rFonts w:eastAsia="SimSun"/>
        </w:rPr>
        <w:t xml:space="preserve"> to </w:t>
      </w:r>
      <w:r w:rsidR="00F37F61">
        <w:rPr>
          <w:rFonts w:eastAsia="SimSun"/>
        </w:rPr>
        <w:t>fulfill its obligation to meet</w:t>
      </w:r>
      <w:r w:rsidR="0048679B">
        <w:rPr>
          <w:rFonts w:eastAsia="SimSun"/>
        </w:rPr>
        <w:t xml:space="preserve"> the customers’ </w:t>
      </w:r>
      <w:r w:rsidR="00F37F61">
        <w:rPr>
          <w:rFonts w:eastAsia="SimSun"/>
        </w:rPr>
        <w:t xml:space="preserve">continued </w:t>
      </w:r>
      <w:r w:rsidR="0048679B">
        <w:rPr>
          <w:rFonts w:eastAsia="SimSun"/>
        </w:rPr>
        <w:t>demand for electric service.</w:t>
      </w:r>
      <w:r w:rsidR="00656967">
        <w:rPr>
          <w:rFonts w:eastAsia="SimSun"/>
        </w:rPr>
        <w:t xml:space="preserve"> </w:t>
      </w:r>
    </w:p>
    <w:p w:rsidR="004D5C00" w:rsidRPr="00A503F9" w:rsidRDefault="004D5C00" w:rsidP="004D5C00">
      <w:pPr>
        <w:pStyle w:val="question"/>
        <w:keepNext/>
        <w:keepLines/>
        <w:spacing w:before="120"/>
      </w:pPr>
      <w:r w:rsidRPr="009075DC">
        <w:rPr>
          <w:rFonts w:eastAsia="SimSun"/>
        </w:rPr>
        <w:lastRenderedPageBreak/>
        <w:t>Q.</w:t>
      </w:r>
      <w:r w:rsidRPr="009075DC">
        <w:rPr>
          <w:rFonts w:eastAsia="SimSun"/>
        </w:rPr>
        <w:tab/>
      </w:r>
      <w:r>
        <w:rPr>
          <w:rFonts w:eastAsia="SimSun"/>
        </w:rPr>
        <w:t xml:space="preserve">Mr. Gorman states </w:t>
      </w:r>
      <w:r w:rsidR="00A97BA9" w:rsidRPr="00A97BA9">
        <w:rPr>
          <w:rFonts w:eastAsia="SimSun"/>
        </w:rPr>
        <w:t>customers assume significant asset risk related to damages caused by storms and that PSE has fully recovered its restoration costs for these natural disasters.</w:t>
      </w:r>
      <w:r w:rsidR="00BB1CED">
        <w:rPr>
          <w:rStyle w:val="FootnoteReference"/>
          <w:rFonts w:eastAsia="SimSun"/>
        </w:rPr>
        <w:footnoteReference w:id="16"/>
      </w:r>
      <w:r w:rsidR="00A97BA9" w:rsidRPr="00A97BA9">
        <w:rPr>
          <w:rFonts w:eastAsia="SimSun"/>
        </w:rPr>
        <w:t xml:space="preserve">  </w:t>
      </w:r>
      <w:r>
        <w:rPr>
          <w:rFonts w:eastAsia="SimSun"/>
        </w:rPr>
        <w:t>Is this true</w:t>
      </w:r>
      <w:r w:rsidRPr="009075DC">
        <w:rPr>
          <w:rFonts w:eastAsia="SimSun"/>
        </w:rPr>
        <w:t>?</w:t>
      </w:r>
    </w:p>
    <w:p w:rsidR="0048679B" w:rsidRDefault="004D5C00" w:rsidP="004D5C00">
      <w:pPr>
        <w:pStyle w:val="Answer0"/>
        <w:rPr>
          <w:rFonts w:eastAsia="SimSun"/>
        </w:rPr>
      </w:pPr>
      <w:r>
        <w:rPr>
          <w:rFonts w:eastAsia="SimSun"/>
        </w:rPr>
        <w:t>A.</w:t>
      </w:r>
      <w:r>
        <w:rPr>
          <w:rFonts w:eastAsia="SimSun"/>
        </w:rPr>
        <w:tab/>
        <w:t>No</w:t>
      </w:r>
      <w:r w:rsidR="00A73B33">
        <w:rPr>
          <w:rFonts w:eastAsia="SimSun"/>
        </w:rPr>
        <w:t>.</w:t>
      </w:r>
      <w:r w:rsidR="00127032">
        <w:rPr>
          <w:rFonts w:eastAsia="SimSun"/>
        </w:rPr>
        <w:t xml:space="preserve">  </w:t>
      </w:r>
      <w:r w:rsidR="00054FA4">
        <w:rPr>
          <w:rFonts w:eastAsia="SimSun"/>
        </w:rPr>
        <w:t xml:space="preserve">Mr. Gorman has confused historical cost-based regulation with asset risk.  </w:t>
      </w:r>
      <w:r w:rsidR="00127032">
        <w:rPr>
          <w:rFonts w:eastAsia="SimSun"/>
        </w:rPr>
        <w:t>PSE’s distribution system has faced storms, earthquakes, wildfires, and landslides.  However, as explained in PSE’s response to ICNU Data Request No.</w:t>
      </w:r>
      <w:r w:rsidR="00125E2B">
        <w:rPr>
          <w:rFonts w:eastAsia="SimSun"/>
        </w:rPr>
        <w:t> </w:t>
      </w:r>
      <w:r w:rsidR="00127032">
        <w:rPr>
          <w:rFonts w:eastAsia="SimSun"/>
        </w:rPr>
        <w:t>5.01 (</w:t>
      </w:r>
      <w:proofErr w:type="spellStart"/>
      <w:r w:rsidR="00125E2B">
        <w:rPr>
          <w:rFonts w:eastAsia="SimSun"/>
        </w:rPr>
        <w:t>Exh</w:t>
      </w:r>
      <w:proofErr w:type="spellEnd"/>
      <w:r w:rsidR="00125E2B">
        <w:rPr>
          <w:rFonts w:eastAsia="SimSun"/>
        </w:rPr>
        <w:t>. No. ___(</w:t>
      </w:r>
      <w:r w:rsidR="00127032">
        <w:rPr>
          <w:rFonts w:eastAsia="SimSun"/>
        </w:rPr>
        <w:t>MPG-3</w:t>
      </w:r>
      <w:r w:rsidR="00125E2B">
        <w:rPr>
          <w:rFonts w:eastAsia="SimSun"/>
        </w:rPr>
        <w:t>),</w:t>
      </w:r>
      <w:r w:rsidR="00127032">
        <w:rPr>
          <w:rFonts w:eastAsia="SimSun"/>
        </w:rPr>
        <w:t xml:space="preserve"> 3-6), none of these situation required regulatory treatment related to the capital costs. </w:t>
      </w:r>
    </w:p>
    <w:p w:rsidR="00127032" w:rsidRPr="00A503F9" w:rsidRDefault="00127032" w:rsidP="00127032">
      <w:pPr>
        <w:pStyle w:val="question"/>
        <w:keepNext/>
        <w:keepLines/>
        <w:spacing w:before="120"/>
      </w:pPr>
      <w:r w:rsidRPr="009075DC">
        <w:rPr>
          <w:rFonts w:eastAsia="SimSun"/>
        </w:rPr>
        <w:t>Q.</w:t>
      </w:r>
      <w:r w:rsidRPr="009075DC">
        <w:rPr>
          <w:rFonts w:eastAsia="SimSun"/>
        </w:rPr>
        <w:tab/>
      </w:r>
      <w:r>
        <w:rPr>
          <w:rFonts w:eastAsia="SimSun"/>
        </w:rPr>
        <w:t>Why didn’t PSE file for regulatory recovery of the damage cause</w:t>
      </w:r>
      <w:r w:rsidR="0029610A">
        <w:rPr>
          <w:rFonts w:eastAsia="SimSun"/>
        </w:rPr>
        <w:t>d</w:t>
      </w:r>
      <w:r>
        <w:rPr>
          <w:rFonts w:eastAsia="SimSun"/>
        </w:rPr>
        <w:t xml:space="preserve"> by natural disasters to its distribution</w:t>
      </w:r>
      <w:r w:rsidR="0029610A">
        <w:rPr>
          <w:rFonts w:eastAsia="SimSun"/>
        </w:rPr>
        <w:t xml:space="preserve"> </w:t>
      </w:r>
      <w:r w:rsidR="00A97BA9">
        <w:rPr>
          <w:rFonts w:eastAsia="SimSun"/>
        </w:rPr>
        <w:t xml:space="preserve">capital </w:t>
      </w:r>
      <w:r w:rsidR="0029610A">
        <w:rPr>
          <w:rFonts w:eastAsia="SimSun"/>
        </w:rPr>
        <w:t>assets</w:t>
      </w:r>
      <w:r w:rsidRPr="009075DC">
        <w:rPr>
          <w:rFonts w:eastAsia="SimSun"/>
        </w:rPr>
        <w:t>?</w:t>
      </w:r>
    </w:p>
    <w:p w:rsidR="00127032" w:rsidRDefault="00127032" w:rsidP="00127032">
      <w:pPr>
        <w:pStyle w:val="Answer0"/>
        <w:rPr>
          <w:rFonts w:eastAsia="SimSun"/>
        </w:rPr>
      </w:pPr>
      <w:r>
        <w:rPr>
          <w:rFonts w:eastAsia="SimSun"/>
        </w:rPr>
        <w:t>A.</w:t>
      </w:r>
      <w:r>
        <w:rPr>
          <w:rFonts w:eastAsia="SimSun"/>
        </w:rPr>
        <w:tab/>
      </w:r>
      <w:r w:rsidR="004F2D81">
        <w:rPr>
          <w:rFonts w:eastAsia="SimSun"/>
        </w:rPr>
        <w:t>N</w:t>
      </w:r>
      <w:r>
        <w:rPr>
          <w:rFonts w:eastAsia="SimSun"/>
        </w:rPr>
        <w:t xml:space="preserve">atural disasters, while </w:t>
      </w:r>
      <w:r w:rsidR="004F2D81">
        <w:rPr>
          <w:rFonts w:eastAsia="SimSun"/>
        </w:rPr>
        <w:t>uncertain in degree and timing</w:t>
      </w:r>
      <w:r>
        <w:rPr>
          <w:rFonts w:eastAsia="SimSun"/>
        </w:rPr>
        <w:t xml:space="preserve">, are not unexpected.  In fact, they are reflected in the asset mortality analysis that informs the selection of the service life </w:t>
      </w:r>
      <w:r w:rsidR="0029610A">
        <w:rPr>
          <w:rFonts w:eastAsia="SimSun"/>
        </w:rPr>
        <w:t>in the depreciation study.  The impacts of these types of events are reflected in PSE’s historical balances</w:t>
      </w:r>
      <w:r w:rsidR="00573E28">
        <w:rPr>
          <w:rFonts w:eastAsia="SimSun"/>
        </w:rPr>
        <w:t>,</w:t>
      </w:r>
      <w:r w:rsidR="0029610A">
        <w:rPr>
          <w:rFonts w:eastAsia="SimSun"/>
        </w:rPr>
        <w:t xml:space="preserve"> which are a key component of the depreciation study.</w:t>
      </w:r>
    </w:p>
    <w:p w:rsidR="00A97BA9" w:rsidRPr="00E92E52" w:rsidRDefault="00A97BA9" w:rsidP="00A97BA9">
      <w:pPr>
        <w:pStyle w:val="Answer0"/>
        <w:rPr>
          <w:b/>
        </w:rPr>
      </w:pPr>
      <w:r w:rsidRPr="00E92E52">
        <w:rPr>
          <w:b/>
        </w:rPr>
        <w:t>Q.</w:t>
      </w:r>
      <w:r w:rsidRPr="00E92E52">
        <w:rPr>
          <w:b/>
        </w:rPr>
        <w:tab/>
        <w:t>Does PSE’s storm deferral mechanism place on customers the risk of capital asset replacement resulting from storm damage?</w:t>
      </w:r>
    </w:p>
    <w:p w:rsidR="00A97BA9" w:rsidRPr="00656967" w:rsidRDefault="00A97BA9" w:rsidP="00A97BA9">
      <w:pPr>
        <w:pStyle w:val="Answer0"/>
      </w:pPr>
      <w:r>
        <w:t>A.</w:t>
      </w:r>
      <w:r>
        <w:tab/>
        <w:t>No.</w:t>
      </w:r>
    </w:p>
    <w:p w:rsidR="0029610A" w:rsidRPr="00A503F9" w:rsidRDefault="0029610A" w:rsidP="0029610A">
      <w:pPr>
        <w:pStyle w:val="question"/>
        <w:keepNext/>
        <w:keepLines/>
        <w:spacing w:before="120"/>
      </w:pPr>
      <w:r w:rsidRPr="009075DC">
        <w:rPr>
          <w:rFonts w:eastAsia="SimSun"/>
        </w:rPr>
        <w:lastRenderedPageBreak/>
        <w:t>Q.</w:t>
      </w:r>
      <w:r w:rsidRPr="009075DC">
        <w:rPr>
          <w:rFonts w:eastAsia="SimSun"/>
        </w:rPr>
        <w:tab/>
      </w:r>
      <w:r w:rsidR="00D970CB">
        <w:rPr>
          <w:rFonts w:eastAsia="SimSun"/>
        </w:rPr>
        <w:t xml:space="preserve">Please explain the purpose of </w:t>
      </w:r>
      <w:r>
        <w:rPr>
          <w:rFonts w:eastAsia="SimSun"/>
        </w:rPr>
        <w:t>PSE</w:t>
      </w:r>
      <w:r w:rsidR="00D970CB">
        <w:rPr>
          <w:rFonts w:eastAsia="SimSun"/>
        </w:rPr>
        <w:t>’s current storm deferral mechanism.</w:t>
      </w:r>
      <w:r>
        <w:rPr>
          <w:rFonts w:eastAsia="SimSun"/>
        </w:rPr>
        <w:t xml:space="preserve">  </w:t>
      </w:r>
    </w:p>
    <w:p w:rsidR="005601B3" w:rsidRPr="00C777B2" w:rsidRDefault="0029610A" w:rsidP="00C777B2">
      <w:pPr>
        <w:pStyle w:val="Answer0"/>
        <w:rPr>
          <w:rFonts w:eastAsia="SimSun"/>
        </w:rPr>
      </w:pPr>
      <w:r w:rsidRPr="00C777B2">
        <w:rPr>
          <w:rFonts w:eastAsia="SimSun"/>
        </w:rPr>
        <w:t>A.</w:t>
      </w:r>
      <w:r w:rsidRPr="00C777B2">
        <w:rPr>
          <w:rFonts w:eastAsia="SimSun"/>
        </w:rPr>
        <w:tab/>
      </w:r>
      <w:r w:rsidR="00D970CB" w:rsidRPr="00C777B2">
        <w:rPr>
          <w:rFonts w:eastAsia="SimSun"/>
        </w:rPr>
        <w:t xml:space="preserve">PSE is allowed to defer storm restoration </w:t>
      </w:r>
      <w:proofErr w:type="spellStart"/>
      <w:r w:rsidR="00D970CB" w:rsidRPr="00C777B2">
        <w:rPr>
          <w:rFonts w:eastAsia="SimSun"/>
        </w:rPr>
        <w:t>O&amp;M</w:t>
      </w:r>
      <w:proofErr w:type="spellEnd"/>
      <w:r w:rsidR="00D970CB" w:rsidRPr="00C777B2">
        <w:rPr>
          <w:rFonts w:eastAsia="SimSun"/>
        </w:rPr>
        <w:t xml:space="preserve"> costs associated with storm events that meet or exceed the Institute of Electrical and Electronics Engineers (“IEEE”) standard 1366-2003 by $8 million.  This deferral is only available for </w:t>
      </w:r>
      <w:proofErr w:type="spellStart"/>
      <w:r w:rsidR="00D970CB" w:rsidRPr="00C777B2">
        <w:rPr>
          <w:rFonts w:eastAsia="SimSun"/>
        </w:rPr>
        <w:t>O&amp;M</w:t>
      </w:r>
      <w:proofErr w:type="spellEnd"/>
      <w:r w:rsidR="00D970CB" w:rsidRPr="00C777B2">
        <w:rPr>
          <w:rFonts w:eastAsia="SimSun"/>
        </w:rPr>
        <w:t xml:space="preserve"> costs, not capital costs.</w:t>
      </w:r>
      <w:r w:rsidR="00E92E52" w:rsidRPr="00C777B2">
        <w:rPr>
          <w:rFonts w:eastAsia="SimSun"/>
        </w:rPr>
        <w:t xml:space="preserve">  New assets that are installed as a result of storm damage are capitalized.</w:t>
      </w:r>
    </w:p>
    <w:p w:rsidR="00D970CB" w:rsidRPr="00A503F9" w:rsidRDefault="00D970CB" w:rsidP="00D970CB">
      <w:pPr>
        <w:pStyle w:val="question"/>
        <w:keepNext/>
        <w:keepLines/>
        <w:spacing w:before="120"/>
      </w:pPr>
      <w:r w:rsidRPr="009075DC">
        <w:rPr>
          <w:rFonts w:eastAsia="SimSun"/>
        </w:rPr>
        <w:t>Q.</w:t>
      </w:r>
      <w:r w:rsidRPr="009075DC">
        <w:rPr>
          <w:rFonts w:eastAsia="SimSun"/>
        </w:rPr>
        <w:tab/>
      </w:r>
      <w:r>
        <w:rPr>
          <w:rFonts w:eastAsia="SimSun"/>
        </w:rPr>
        <w:t xml:space="preserve">Why does the deferral only cover O&amp;M costs that exceed the standard by $8 million?  </w:t>
      </w:r>
    </w:p>
    <w:p w:rsidR="001824E9" w:rsidRDefault="00D970CB" w:rsidP="00C777B2">
      <w:pPr>
        <w:pStyle w:val="Answer0"/>
        <w:rPr>
          <w:rFonts w:eastAsia="SimSun"/>
        </w:rPr>
      </w:pPr>
      <w:r>
        <w:rPr>
          <w:rFonts w:eastAsia="SimSun"/>
        </w:rPr>
        <w:t>A.</w:t>
      </w:r>
      <w:r>
        <w:rPr>
          <w:rFonts w:eastAsia="SimSun"/>
        </w:rPr>
        <w:tab/>
        <w:t>The Company incurs storm costs every year.  In working with the Commission, the Company has established that it is very highly likely to incur $8 million i</w:t>
      </w:r>
      <w:r w:rsidR="0045109A">
        <w:rPr>
          <w:rFonts w:eastAsia="SimSun"/>
        </w:rPr>
        <w:t>n</w:t>
      </w:r>
      <w:r>
        <w:rPr>
          <w:rFonts w:eastAsia="SimSun"/>
        </w:rPr>
        <w:t xml:space="preserve"> storm related O&amp;M costs each year and that amount is reflected in regular utility rates.  Any qualifying amounts beyond the $8 million base amount may be deferred and presented to the Commission in a future rate filing.  </w:t>
      </w:r>
    </w:p>
    <w:p w:rsidR="00D970CB" w:rsidRDefault="00573E28" w:rsidP="00125E2B">
      <w:pPr>
        <w:pStyle w:val="Answer0"/>
        <w:ind w:firstLine="0"/>
        <w:rPr>
          <w:rFonts w:eastAsia="SimSun"/>
        </w:rPr>
      </w:pPr>
      <w:r>
        <w:rPr>
          <w:rFonts w:eastAsia="SimSun"/>
        </w:rPr>
        <w:t xml:space="preserve">In order to ensure that customers only pay for actual storm damage (not potential or theoretically possible storm damage), this </w:t>
      </w:r>
      <w:r w:rsidR="00D970CB">
        <w:rPr>
          <w:rFonts w:eastAsia="SimSun"/>
        </w:rPr>
        <w:t>Commission has not allowed a higher storm allowance in regular utility rates</w:t>
      </w:r>
      <w:r>
        <w:rPr>
          <w:rFonts w:eastAsia="SimSun"/>
        </w:rPr>
        <w:t>.</w:t>
      </w:r>
      <w:r w:rsidR="001824E9">
        <w:rPr>
          <w:rFonts w:eastAsia="SimSun"/>
        </w:rPr>
        <w:t xml:space="preserve">  This</w:t>
      </w:r>
      <w:r w:rsidR="006E000D">
        <w:rPr>
          <w:rFonts w:eastAsia="SimSun"/>
        </w:rPr>
        <w:t xml:space="preserve"> arrangement</w:t>
      </w:r>
      <w:r w:rsidR="001824E9">
        <w:rPr>
          <w:rFonts w:eastAsia="SimSun"/>
        </w:rPr>
        <w:t xml:space="preserve"> has the benefit of keeping customer rates low, while still </w:t>
      </w:r>
      <w:r w:rsidR="003E53D0">
        <w:rPr>
          <w:rFonts w:eastAsia="SimSun"/>
        </w:rPr>
        <w:t>allowing the utility to recover</w:t>
      </w:r>
      <w:r w:rsidR="001824E9">
        <w:rPr>
          <w:rFonts w:eastAsia="SimSun"/>
        </w:rPr>
        <w:t xml:space="preserve"> legitimate costs to provide electric service to customers only after those costs have been incurred.</w:t>
      </w:r>
    </w:p>
    <w:p w:rsidR="003E53D0" w:rsidRPr="00A503F9" w:rsidRDefault="003E53D0" w:rsidP="003E53D0">
      <w:pPr>
        <w:pStyle w:val="question"/>
        <w:keepNext/>
        <w:keepLines/>
        <w:spacing w:before="120"/>
      </w:pPr>
      <w:r w:rsidRPr="009075DC">
        <w:rPr>
          <w:rFonts w:eastAsia="SimSun"/>
        </w:rPr>
        <w:lastRenderedPageBreak/>
        <w:t>Q.</w:t>
      </w:r>
      <w:r w:rsidRPr="009075DC">
        <w:rPr>
          <w:rFonts w:eastAsia="SimSun"/>
        </w:rPr>
        <w:tab/>
      </w:r>
      <w:r>
        <w:rPr>
          <w:rFonts w:eastAsia="SimSun"/>
        </w:rPr>
        <w:t xml:space="preserve">How does the storm deferral or the capital costs related to storms relate to the JPUD transaction?  </w:t>
      </w:r>
    </w:p>
    <w:p w:rsidR="00F139FF" w:rsidRDefault="003E53D0" w:rsidP="00C777B2">
      <w:pPr>
        <w:pStyle w:val="Answer0"/>
        <w:rPr>
          <w:rFonts w:eastAsia="SimSun"/>
        </w:rPr>
      </w:pPr>
      <w:r>
        <w:rPr>
          <w:rFonts w:eastAsia="SimSun"/>
        </w:rPr>
        <w:t>A.</w:t>
      </w:r>
      <w:r>
        <w:rPr>
          <w:rFonts w:eastAsia="SimSun"/>
        </w:rPr>
        <w:tab/>
        <w:t>There is no relationship or comparison</w:t>
      </w:r>
      <w:r w:rsidR="00573E28">
        <w:rPr>
          <w:rFonts w:eastAsia="SimSun"/>
        </w:rPr>
        <w:t>, and Mr. Gorman’s analogy is incorrect</w:t>
      </w:r>
      <w:r>
        <w:rPr>
          <w:rFonts w:eastAsia="SimSun"/>
        </w:rPr>
        <w:t xml:space="preserve">.  The recovery of O&amp;M costs has no bearing on the proper treatment of the JPUD gain.  Likewise, storm damage to distribution system has no bearing on the proper treatment of the JPUD gain.  Storm damage, whether O&amp;M or capital, does not result in the loss of customers or service territory.  </w:t>
      </w:r>
      <w:r w:rsidR="00A97BA9" w:rsidRPr="00A97BA9">
        <w:rPr>
          <w:rFonts w:eastAsia="SimSun"/>
        </w:rPr>
        <w:t xml:space="preserve">It does not require customers to contribute to capital to replace distribution facilities.  </w:t>
      </w:r>
      <w:r>
        <w:rPr>
          <w:rFonts w:eastAsia="SimSun"/>
        </w:rPr>
        <w:t xml:space="preserve">It does not diminish the size of the utility’s investment opportunity.  It does not </w:t>
      </w:r>
      <w:r w:rsidR="00573E28">
        <w:rPr>
          <w:rFonts w:eastAsia="SimSun"/>
        </w:rPr>
        <w:t>relieve</w:t>
      </w:r>
      <w:r w:rsidR="00573E28" w:rsidDel="00573E28">
        <w:rPr>
          <w:rFonts w:eastAsia="SimSun"/>
        </w:rPr>
        <w:t xml:space="preserve"> </w:t>
      </w:r>
      <w:r>
        <w:rPr>
          <w:rFonts w:eastAsia="SimSun"/>
        </w:rPr>
        <w:t>the utility from its obligation to provide electrical service to impacted customers.</w:t>
      </w:r>
      <w:r w:rsidR="00573E28">
        <w:rPr>
          <w:rFonts w:eastAsia="SimSun"/>
        </w:rPr>
        <w:t xml:space="preserve"> </w:t>
      </w:r>
    </w:p>
    <w:p w:rsidR="004D3EFB" w:rsidRPr="00A503F9" w:rsidRDefault="004D3EFB" w:rsidP="004D3EFB">
      <w:pPr>
        <w:pStyle w:val="question"/>
        <w:keepNext/>
        <w:keepLines/>
        <w:spacing w:before="120"/>
      </w:pPr>
      <w:r w:rsidRPr="009075DC">
        <w:rPr>
          <w:rFonts w:eastAsia="SimSun"/>
        </w:rPr>
        <w:t>Q.</w:t>
      </w:r>
      <w:r w:rsidRPr="009075DC">
        <w:rPr>
          <w:rFonts w:eastAsia="SimSun"/>
        </w:rPr>
        <w:tab/>
      </w:r>
      <w:r w:rsidR="00CA4632">
        <w:rPr>
          <w:rFonts w:eastAsia="SimSun"/>
        </w:rPr>
        <w:t>D</w:t>
      </w:r>
      <w:r>
        <w:rPr>
          <w:rFonts w:eastAsia="SimSun"/>
        </w:rPr>
        <w:t xml:space="preserve">oes </w:t>
      </w:r>
      <w:r w:rsidR="00A97BA9">
        <w:rPr>
          <w:rFonts w:eastAsia="SimSun"/>
        </w:rPr>
        <w:t>“</w:t>
      </w:r>
      <w:r w:rsidR="00CA4632">
        <w:rPr>
          <w:rFonts w:eastAsia="SimSun"/>
        </w:rPr>
        <w:t>R</w:t>
      </w:r>
      <w:r>
        <w:rPr>
          <w:rFonts w:eastAsia="SimSun"/>
        </w:rPr>
        <w:t>ate Base Rate of Return Regulation</w:t>
      </w:r>
      <w:r w:rsidR="00A97BA9">
        <w:rPr>
          <w:rFonts w:eastAsia="SimSun"/>
        </w:rPr>
        <w:t>”, referred to by Mr. Keating,</w:t>
      </w:r>
      <w:r w:rsidR="00CA4632">
        <w:rPr>
          <w:rFonts w:eastAsia="SimSun"/>
        </w:rPr>
        <w:t xml:space="preserve"> require gains to be divided between </w:t>
      </w:r>
      <w:r w:rsidR="00573E28">
        <w:rPr>
          <w:rFonts w:eastAsia="SimSun"/>
        </w:rPr>
        <w:t>net book value (“</w:t>
      </w:r>
      <w:r w:rsidR="00CA4632">
        <w:rPr>
          <w:rFonts w:eastAsia="SimSun"/>
        </w:rPr>
        <w:t>NBV</w:t>
      </w:r>
      <w:r w:rsidR="00573E28">
        <w:rPr>
          <w:rFonts w:eastAsia="SimSun"/>
        </w:rPr>
        <w:t>”)</w:t>
      </w:r>
      <w:r w:rsidR="00CA4632">
        <w:rPr>
          <w:rFonts w:eastAsia="SimSun"/>
        </w:rPr>
        <w:t xml:space="preserve"> and accumulated depreciation?</w:t>
      </w:r>
    </w:p>
    <w:p w:rsidR="004D3EFB" w:rsidRDefault="004D3EFB" w:rsidP="00C777B2">
      <w:pPr>
        <w:pStyle w:val="Answer0"/>
        <w:rPr>
          <w:rFonts w:eastAsia="SimSun"/>
        </w:rPr>
      </w:pPr>
      <w:r>
        <w:rPr>
          <w:rFonts w:eastAsia="SimSun"/>
        </w:rPr>
        <w:t>A.</w:t>
      </w:r>
      <w:r>
        <w:rPr>
          <w:rFonts w:eastAsia="SimSun"/>
        </w:rPr>
        <w:tab/>
      </w:r>
      <w:r w:rsidR="00CA4632">
        <w:rPr>
          <w:rFonts w:eastAsia="SimSun"/>
        </w:rPr>
        <w:t xml:space="preserve">No, contrary to Mr. Keating’s discussion </w:t>
      </w:r>
      <w:r w:rsidR="004F1D86">
        <w:rPr>
          <w:rFonts w:eastAsia="SimSun"/>
        </w:rPr>
        <w:t>on pages 8-9 of</w:t>
      </w:r>
      <w:r w:rsidR="00CA4632">
        <w:rPr>
          <w:rFonts w:eastAsia="SimSun"/>
        </w:rPr>
        <w:t xml:space="preserve"> Exhibit No. __</w:t>
      </w:r>
      <w:r w:rsidR="00BB1CED">
        <w:rPr>
          <w:rFonts w:eastAsia="SimSun"/>
        </w:rPr>
        <w:t>_</w:t>
      </w:r>
      <w:r w:rsidR="00CA4632">
        <w:rPr>
          <w:rFonts w:eastAsia="SimSun"/>
        </w:rPr>
        <w:t>(EJK-1T</w:t>
      </w:r>
      <w:r w:rsidR="004F1D86">
        <w:rPr>
          <w:rFonts w:eastAsia="SimSun"/>
        </w:rPr>
        <w:t>)</w:t>
      </w:r>
      <w:r w:rsidR="00CA4632">
        <w:rPr>
          <w:rFonts w:eastAsia="SimSun"/>
        </w:rPr>
        <w:t>, the gain is determined by comparing the proceeds to the net book value.  The gain is the amount that is available to allocate between investors and customers.</w:t>
      </w:r>
    </w:p>
    <w:p w:rsidR="00CA4632" w:rsidRPr="00A503F9" w:rsidRDefault="00CA4632" w:rsidP="00CA4632">
      <w:pPr>
        <w:pStyle w:val="question"/>
        <w:keepNext/>
        <w:keepLines/>
        <w:spacing w:before="120"/>
      </w:pPr>
      <w:r w:rsidRPr="009075DC">
        <w:rPr>
          <w:rFonts w:eastAsia="SimSun"/>
        </w:rPr>
        <w:lastRenderedPageBreak/>
        <w:t>Q.</w:t>
      </w:r>
      <w:r w:rsidRPr="009075DC">
        <w:rPr>
          <w:rFonts w:eastAsia="SimSun"/>
        </w:rPr>
        <w:tab/>
      </w:r>
      <w:r>
        <w:rPr>
          <w:rFonts w:eastAsia="SimSun"/>
        </w:rPr>
        <w:t>Mr. Keating states that “when the asset is sold, 100 percent of the accumulated depreciation should be returned to ratepayers”.</w:t>
      </w:r>
      <w:r w:rsidR="00BB1CED">
        <w:rPr>
          <w:rStyle w:val="FootnoteReference"/>
          <w:rFonts w:eastAsia="SimSun"/>
        </w:rPr>
        <w:footnoteReference w:id="17"/>
      </w:r>
      <w:r>
        <w:rPr>
          <w:rFonts w:eastAsia="SimSun"/>
        </w:rPr>
        <w:t xml:space="preserve">  Is this required by “Rate Base Rate of Return Regulation”?</w:t>
      </w:r>
    </w:p>
    <w:p w:rsidR="0084230E" w:rsidRDefault="00CA4632" w:rsidP="00C777B2">
      <w:pPr>
        <w:pStyle w:val="Answer0"/>
        <w:rPr>
          <w:rFonts w:eastAsia="SimSun"/>
        </w:rPr>
      </w:pPr>
      <w:r>
        <w:rPr>
          <w:rFonts w:eastAsia="SimSun"/>
        </w:rPr>
        <w:t>A.</w:t>
      </w:r>
      <w:r>
        <w:rPr>
          <w:rFonts w:eastAsia="SimSun"/>
        </w:rPr>
        <w:tab/>
        <w:t xml:space="preserve">No, it is not.  </w:t>
      </w:r>
      <w:r w:rsidR="00F3455F">
        <w:rPr>
          <w:rFonts w:eastAsia="SimSun"/>
        </w:rPr>
        <w:t xml:space="preserve">Let me illustrate why.  </w:t>
      </w:r>
      <w:r w:rsidR="0084230E">
        <w:rPr>
          <w:rFonts w:eastAsia="SimSun"/>
        </w:rPr>
        <w:t>Assume a</w:t>
      </w:r>
      <w:r w:rsidR="00F13CB9">
        <w:rPr>
          <w:rFonts w:eastAsia="SimSun"/>
        </w:rPr>
        <w:t>n</w:t>
      </w:r>
      <w:r w:rsidR="0084230E">
        <w:rPr>
          <w:rFonts w:eastAsia="SimSun"/>
        </w:rPr>
        <w:t xml:space="preserve"> asset costs $100 and has been depreciated by $45 down to a net book value of $55.  Let’s say the asset is sold for $75.  The gain to allocate between investors and customers would be $20 (i.e. $75 proceeds less $55 net book value = $20 gain).  </w:t>
      </w:r>
      <w:r w:rsidR="0084230E">
        <w:rPr>
          <w:rFonts w:eastAsia="SimSun"/>
        </w:rPr>
        <w:tab/>
        <w:t>Mr. Keating</w:t>
      </w:r>
      <w:r w:rsidR="004F1D86">
        <w:rPr>
          <w:rFonts w:eastAsia="SimSun"/>
        </w:rPr>
        <w:t xml:space="preserve"> </w:t>
      </w:r>
      <w:r w:rsidR="004D3E18">
        <w:rPr>
          <w:rFonts w:eastAsia="SimSun"/>
        </w:rPr>
        <w:t xml:space="preserve">would allocate 100% of net book value to investors (i.e. $55).  He would allocate 100% of accumulated depreciation to customers (i.e. $45).  That completes his allocation.  The major flaw is this:  by allocating $45 to customers, the </w:t>
      </w:r>
      <w:r w:rsidR="00BA65A8">
        <w:rPr>
          <w:rFonts w:eastAsia="SimSun"/>
        </w:rPr>
        <w:t xml:space="preserve">Company </w:t>
      </w:r>
      <w:r w:rsidR="004D3E18">
        <w:rPr>
          <w:rFonts w:eastAsia="SimSun"/>
        </w:rPr>
        <w:t>will have to record a LOSS on the sale</w:t>
      </w:r>
      <w:r w:rsidR="003A4643">
        <w:rPr>
          <w:rFonts w:eastAsia="SimSun"/>
        </w:rPr>
        <w:t xml:space="preserve"> of $25</w:t>
      </w:r>
      <w:r w:rsidR="004D3E18">
        <w:rPr>
          <w:rFonts w:eastAsia="SimSun"/>
        </w:rPr>
        <w:t>, not a gain.</w:t>
      </w:r>
    </w:p>
    <w:p w:rsidR="004D3E18" w:rsidRPr="00A503F9" w:rsidRDefault="004D3E18" w:rsidP="004D3E18">
      <w:pPr>
        <w:pStyle w:val="question"/>
        <w:keepNext/>
        <w:keepLines/>
        <w:spacing w:before="120"/>
      </w:pPr>
      <w:r w:rsidRPr="009075DC">
        <w:rPr>
          <w:rFonts w:eastAsia="SimSun"/>
        </w:rPr>
        <w:t>Q.</w:t>
      </w:r>
      <w:r w:rsidRPr="009075DC">
        <w:rPr>
          <w:rFonts w:eastAsia="SimSun"/>
        </w:rPr>
        <w:tab/>
      </w:r>
      <w:r w:rsidR="008677A5">
        <w:rPr>
          <w:rFonts w:eastAsia="SimSun"/>
        </w:rPr>
        <w:t>Please explain.</w:t>
      </w:r>
    </w:p>
    <w:p w:rsidR="004D3E18" w:rsidRDefault="004D3E18" w:rsidP="00C777B2">
      <w:pPr>
        <w:pStyle w:val="Answer0"/>
        <w:rPr>
          <w:rFonts w:eastAsia="SimSun"/>
        </w:rPr>
      </w:pPr>
      <w:r>
        <w:rPr>
          <w:rFonts w:eastAsia="SimSun"/>
        </w:rPr>
        <w:t>A.</w:t>
      </w:r>
      <w:r>
        <w:rPr>
          <w:rFonts w:eastAsia="SimSun"/>
        </w:rPr>
        <w:tab/>
        <w:t xml:space="preserve">In order to allocate 100% of the accumulated depreciation to </w:t>
      </w:r>
      <w:r w:rsidR="00F13CB9">
        <w:rPr>
          <w:rFonts w:eastAsia="SimSun"/>
        </w:rPr>
        <w:t xml:space="preserve">customers, as Mr. Keating </w:t>
      </w:r>
      <w:r w:rsidR="00431AD8">
        <w:rPr>
          <w:rFonts w:eastAsia="SimSun"/>
        </w:rPr>
        <w:t>argues</w:t>
      </w:r>
      <w:r>
        <w:rPr>
          <w:rFonts w:eastAsia="SimSun"/>
        </w:rPr>
        <w:t xml:space="preserve">, they must get $45.  However, </w:t>
      </w:r>
      <w:r w:rsidR="00BA65A8">
        <w:rPr>
          <w:rFonts w:eastAsia="SimSun"/>
        </w:rPr>
        <w:t>as stated above, and as would be reflected on PSE’s books</w:t>
      </w:r>
      <w:r>
        <w:rPr>
          <w:rFonts w:eastAsia="SimSun"/>
        </w:rPr>
        <w:t xml:space="preserve">, the gain is only $20.  Therefore, the </w:t>
      </w:r>
      <w:r w:rsidR="00BA65A8">
        <w:rPr>
          <w:rFonts w:eastAsia="SimSun"/>
        </w:rPr>
        <w:t xml:space="preserve">Company </w:t>
      </w:r>
      <w:r w:rsidR="002C07D7">
        <w:rPr>
          <w:rFonts w:eastAsia="SimSun"/>
        </w:rPr>
        <w:t>would have to record a $2</w:t>
      </w:r>
      <w:r>
        <w:rPr>
          <w:rFonts w:eastAsia="SimSun"/>
        </w:rPr>
        <w:t xml:space="preserve">5 loss on the sale of the assets in order to return 100% of the accumulated depreciation </w:t>
      </w:r>
      <w:r w:rsidR="00641BA1">
        <w:rPr>
          <w:rFonts w:eastAsia="SimSun"/>
        </w:rPr>
        <w:t xml:space="preserve">to customers </w:t>
      </w:r>
      <w:r>
        <w:rPr>
          <w:rFonts w:eastAsia="SimSun"/>
        </w:rPr>
        <w:t>as Mr. Keating</w:t>
      </w:r>
      <w:r w:rsidR="00BA65A8">
        <w:rPr>
          <w:rFonts w:eastAsia="SimSun"/>
        </w:rPr>
        <w:t>’s proposal requires</w:t>
      </w:r>
      <w:r>
        <w:rPr>
          <w:rFonts w:eastAsia="SimSun"/>
        </w:rPr>
        <w:t xml:space="preserve">.  This is wrong and illustrates why the </w:t>
      </w:r>
      <w:r w:rsidRPr="003A4643">
        <w:rPr>
          <w:rFonts w:eastAsia="SimSun"/>
          <w:u w:val="single"/>
        </w:rPr>
        <w:t>gain</w:t>
      </w:r>
      <w:r>
        <w:rPr>
          <w:rFonts w:eastAsia="SimSun"/>
        </w:rPr>
        <w:t xml:space="preserve"> must be allocated, not the proceeds.</w:t>
      </w:r>
    </w:p>
    <w:p w:rsidR="004D3E18" w:rsidRPr="00A503F9" w:rsidRDefault="004D3E18" w:rsidP="004D3E18">
      <w:pPr>
        <w:pStyle w:val="question"/>
        <w:keepNext/>
        <w:keepLines/>
        <w:spacing w:before="120"/>
      </w:pPr>
      <w:r w:rsidRPr="009075DC">
        <w:rPr>
          <w:rFonts w:eastAsia="SimSun"/>
        </w:rPr>
        <w:lastRenderedPageBreak/>
        <w:t>Q.</w:t>
      </w:r>
      <w:r w:rsidRPr="009075DC">
        <w:rPr>
          <w:rFonts w:eastAsia="SimSun"/>
        </w:rPr>
        <w:tab/>
      </w:r>
      <w:r>
        <w:rPr>
          <w:rFonts w:eastAsia="SimSun"/>
        </w:rPr>
        <w:t xml:space="preserve">Mr. Keating </w:t>
      </w:r>
      <w:r w:rsidR="00CF052C">
        <w:rPr>
          <w:rFonts w:eastAsia="SimSun"/>
        </w:rPr>
        <w:t>thinks that PSE’s allocation will result in double recovery of the investment at the expense of ratepayers</w:t>
      </w:r>
      <w:r w:rsidR="00BB1CED">
        <w:rPr>
          <w:rFonts w:eastAsia="SimSun"/>
        </w:rPr>
        <w:t>.</w:t>
      </w:r>
      <w:r w:rsidR="00BB1CED">
        <w:rPr>
          <w:rStyle w:val="FootnoteReference"/>
          <w:rFonts w:eastAsia="SimSun"/>
        </w:rPr>
        <w:footnoteReference w:id="18"/>
      </w:r>
      <w:r w:rsidR="00CF052C">
        <w:rPr>
          <w:rFonts w:eastAsia="SimSun"/>
        </w:rPr>
        <w:t xml:space="preserve"> Will it?</w:t>
      </w:r>
    </w:p>
    <w:p w:rsidR="00F13CB9" w:rsidRDefault="004D3E18" w:rsidP="00C777B2">
      <w:pPr>
        <w:pStyle w:val="Answer0"/>
        <w:rPr>
          <w:rFonts w:eastAsia="SimSun"/>
        </w:rPr>
      </w:pPr>
      <w:r>
        <w:rPr>
          <w:rFonts w:eastAsia="SimSun"/>
        </w:rPr>
        <w:t>A.</w:t>
      </w:r>
      <w:r>
        <w:rPr>
          <w:rFonts w:eastAsia="SimSun"/>
        </w:rPr>
        <w:tab/>
      </w:r>
      <w:r w:rsidR="00431AD8">
        <w:rPr>
          <w:rFonts w:eastAsia="SimSun"/>
        </w:rPr>
        <w:t xml:space="preserve">No, </w:t>
      </w:r>
      <w:r w:rsidR="00CF052C">
        <w:rPr>
          <w:rFonts w:eastAsia="SimSun"/>
        </w:rPr>
        <w:t xml:space="preserve">Mr. Keating is mistaken.  As I explained above, customers have not fully paid for the </w:t>
      </w:r>
      <w:r w:rsidR="002C07D7">
        <w:rPr>
          <w:rFonts w:eastAsia="SimSun"/>
        </w:rPr>
        <w:t xml:space="preserve">accumulated depreciation </w:t>
      </w:r>
      <w:r w:rsidR="00CF052C">
        <w:rPr>
          <w:rFonts w:eastAsia="SimSun"/>
        </w:rPr>
        <w:t xml:space="preserve">in the first instance.  </w:t>
      </w:r>
      <w:r w:rsidR="002C07D7">
        <w:rPr>
          <w:rFonts w:eastAsia="SimSun"/>
        </w:rPr>
        <w:t xml:space="preserve">In addition, Mr. Keating’s </w:t>
      </w:r>
      <w:r w:rsidR="00431AD8">
        <w:rPr>
          <w:rFonts w:eastAsia="SimSun"/>
        </w:rPr>
        <w:t xml:space="preserve">proposal </w:t>
      </w:r>
      <w:r w:rsidR="002C07D7">
        <w:rPr>
          <w:rFonts w:eastAsia="SimSun"/>
        </w:rPr>
        <w:t xml:space="preserve">will result in remaining customers receiving a portion of their electric service for no charge.  </w:t>
      </w:r>
      <w:r w:rsidR="00F13CB9">
        <w:rPr>
          <w:rFonts w:eastAsia="SimSun"/>
        </w:rPr>
        <w:t xml:space="preserve">He </w:t>
      </w:r>
      <w:r w:rsidR="00431AD8">
        <w:rPr>
          <w:rFonts w:eastAsia="SimSun"/>
        </w:rPr>
        <w:t xml:space="preserve">does not account for </w:t>
      </w:r>
      <w:r w:rsidR="00F13CB9">
        <w:rPr>
          <w:rFonts w:eastAsia="SimSun"/>
        </w:rPr>
        <w:t>the contribution that departing customers made to the distribution system.  He</w:t>
      </w:r>
      <w:r w:rsidR="00D109F8">
        <w:rPr>
          <w:rFonts w:eastAsia="SimSun"/>
        </w:rPr>
        <w:t xml:space="preserve"> would </w:t>
      </w:r>
      <w:r w:rsidR="00431AD8">
        <w:rPr>
          <w:rFonts w:eastAsia="SimSun"/>
        </w:rPr>
        <w:t>“</w:t>
      </w:r>
      <w:r w:rsidR="00D109F8">
        <w:rPr>
          <w:rFonts w:eastAsia="SimSun"/>
        </w:rPr>
        <w:t>refund</w:t>
      </w:r>
      <w:r w:rsidR="00431AD8">
        <w:rPr>
          <w:rFonts w:eastAsia="SimSun"/>
        </w:rPr>
        <w:t xml:space="preserve">” </w:t>
      </w:r>
      <w:r w:rsidR="00E07108">
        <w:rPr>
          <w:rFonts w:eastAsia="SimSun"/>
        </w:rPr>
        <w:t>remaining customers amounts</w:t>
      </w:r>
      <w:r w:rsidR="0079589C">
        <w:rPr>
          <w:rFonts w:eastAsia="SimSun"/>
        </w:rPr>
        <w:t xml:space="preserve"> they never paid</w:t>
      </w:r>
      <w:r w:rsidR="00D109F8">
        <w:rPr>
          <w:rFonts w:eastAsia="SimSun"/>
        </w:rPr>
        <w:t>.  In effect, he would create a greater than double benefit to the remaining customers.</w:t>
      </w:r>
      <w:r w:rsidR="00F13CB9">
        <w:rPr>
          <w:rFonts w:eastAsia="SimSun"/>
        </w:rPr>
        <w:t xml:space="preserve"> </w:t>
      </w:r>
    </w:p>
    <w:p w:rsidR="002576BE" w:rsidRDefault="002576BE" w:rsidP="005B65F8">
      <w:pPr>
        <w:pStyle w:val="Answer0"/>
        <w:ind w:firstLine="0"/>
        <w:rPr>
          <w:rFonts w:eastAsia="SimSun"/>
        </w:rPr>
      </w:pPr>
      <w:r>
        <w:rPr>
          <w:rFonts w:eastAsia="SimSun"/>
        </w:rPr>
        <w:t>To the extent that PSE recovered any of the investment expense in rates, it did so in prior years as part of the cost of service for the electric service</w:t>
      </w:r>
      <w:r w:rsidR="007A4F21">
        <w:rPr>
          <w:rFonts w:eastAsia="SimSun"/>
        </w:rPr>
        <w:t xml:space="preserve">, as </w:t>
      </w:r>
      <w:r w:rsidR="00667AC5">
        <w:rPr>
          <w:rFonts w:eastAsia="SimSun"/>
        </w:rPr>
        <w:t>the original costs of the assets was allocated over the estimated service life (aka depreciation expense)</w:t>
      </w:r>
      <w:r>
        <w:rPr>
          <w:rFonts w:eastAsia="SimSun"/>
        </w:rPr>
        <w:t xml:space="preserve">.  </w:t>
      </w:r>
      <w:r w:rsidR="00667AC5">
        <w:rPr>
          <w:rFonts w:eastAsia="SimSun"/>
        </w:rPr>
        <w:t>Th</w:t>
      </w:r>
      <w:r>
        <w:rPr>
          <w:rFonts w:eastAsia="SimSun"/>
        </w:rPr>
        <w:t>e depreciation expense</w:t>
      </w:r>
      <w:r w:rsidR="00667AC5">
        <w:rPr>
          <w:rFonts w:eastAsia="SimSun"/>
        </w:rPr>
        <w:t xml:space="preserve"> was designed to </w:t>
      </w:r>
      <w:r>
        <w:rPr>
          <w:rFonts w:eastAsia="SimSun"/>
        </w:rPr>
        <w:t>match</w:t>
      </w:r>
      <w:r w:rsidR="00667AC5">
        <w:rPr>
          <w:rFonts w:eastAsia="SimSun"/>
        </w:rPr>
        <w:t xml:space="preserve"> up with </w:t>
      </w:r>
      <w:r>
        <w:rPr>
          <w:rFonts w:eastAsia="SimSun"/>
        </w:rPr>
        <w:t>the timing of the delivery of electrical services</w:t>
      </w:r>
      <w:r w:rsidR="00667AC5">
        <w:rPr>
          <w:rFonts w:eastAsia="SimSun"/>
        </w:rPr>
        <w:t xml:space="preserve"> to which it related</w:t>
      </w:r>
      <w:r w:rsidR="007A4F21">
        <w:rPr>
          <w:rFonts w:eastAsia="SimSun"/>
        </w:rPr>
        <w:t xml:space="preserve">.  When JPUD purchased the assets, it did not pay for the accumulated depreciation.  It purchased the assets </w:t>
      </w:r>
      <w:r w:rsidR="00667AC5">
        <w:rPr>
          <w:rFonts w:eastAsia="SimSun"/>
        </w:rPr>
        <w:t>notwithstanding</w:t>
      </w:r>
      <w:r w:rsidR="007A4F21">
        <w:rPr>
          <w:rFonts w:eastAsia="SimSun"/>
        </w:rPr>
        <w:t xml:space="preserve"> their flaws (“as is, where is, with all faults and defects”).  The presents of </w:t>
      </w:r>
      <w:r w:rsidR="00667AC5">
        <w:rPr>
          <w:rFonts w:eastAsia="SimSun"/>
        </w:rPr>
        <w:t>the accumulated depreciation</w:t>
      </w:r>
      <w:r w:rsidR="007A4F21">
        <w:rPr>
          <w:rFonts w:eastAsia="SimSun"/>
        </w:rPr>
        <w:t xml:space="preserve"> did not enhance the value of the assets nor did JPUD pay for the accumulated depreciation.</w:t>
      </w:r>
      <w:r w:rsidR="00667AC5">
        <w:rPr>
          <w:rFonts w:eastAsia="SimSun"/>
        </w:rPr>
        <w:t xml:space="preserve">  JPUD paid for the value of the assets, the customers and service territory, the going concern value, and the avoidance of litigation.</w:t>
      </w:r>
    </w:p>
    <w:p w:rsidR="002C07D7" w:rsidRPr="00A503F9" w:rsidRDefault="002C07D7" w:rsidP="002C07D7">
      <w:pPr>
        <w:pStyle w:val="question"/>
        <w:keepNext/>
        <w:keepLines/>
        <w:spacing w:before="120"/>
      </w:pPr>
      <w:r w:rsidRPr="009075DC">
        <w:rPr>
          <w:rFonts w:eastAsia="SimSun"/>
        </w:rPr>
        <w:lastRenderedPageBreak/>
        <w:t>Q.</w:t>
      </w:r>
      <w:r w:rsidRPr="009075DC">
        <w:rPr>
          <w:rFonts w:eastAsia="SimSun"/>
        </w:rPr>
        <w:tab/>
      </w:r>
      <w:r>
        <w:rPr>
          <w:rFonts w:eastAsia="SimSun"/>
        </w:rPr>
        <w:t>Please elaborate on Mr. Keating’s home loan analogy</w:t>
      </w:r>
      <w:r w:rsidR="00FC4CCE">
        <w:rPr>
          <w:rFonts w:eastAsia="SimSun"/>
        </w:rPr>
        <w:t>.</w:t>
      </w:r>
      <w:r w:rsidR="00FC4CCE">
        <w:rPr>
          <w:rStyle w:val="FootnoteReference"/>
          <w:rFonts w:eastAsia="SimSun"/>
        </w:rPr>
        <w:footnoteReference w:id="19"/>
      </w:r>
      <w:r w:rsidR="00DC3CF2">
        <w:rPr>
          <w:rFonts w:eastAsia="SimSun"/>
        </w:rPr>
        <w:t xml:space="preserve"> </w:t>
      </w:r>
    </w:p>
    <w:p w:rsidR="006162D0" w:rsidRDefault="002C07D7" w:rsidP="00C777B2">
      <w:pPr>
        <w:pStyle w:val="Answer0"/>
        <w:rPr>
          <w:rFonts w:eastAsia="SimSun"/>
        </w:rPr>
      </w:pPr>
      <w:r>
        <w:rPr>
          <w:rFonts w:eastAsia="SimSun"/>
        </w:rPr>
        <w:t>A.</w:t>
      </w:r>
      <w:r>
        <w:rPr>
          <w:rFonts w:eastAsia="SimSun"/>
        </w:rPr>
        <w:tab/>
        <w:t>Mr.</w:t>
      </w:r>
      <w:r w:rsidR="006162D0">
        <w:rPr>
          <w:rFonts w:eastAsia="SimSun"/>
        </w:rPr>
        <w:t xml:space="preserve"> Keating’s home loan analogy </w:t>
      </w:r>
      <w:r w:rsidR="00697E85">
        <w:rPr>
          <w:rFonts w:eastAsia="SimSun"/>
        </w:rPr>
        <w:t xml:space="preserve">completely </w:t>
      </w:r>
      <w:r w:rsidR="0036062A">
        <w:rPr>
          <w:rFonts w:eastAsia="SimSun"/>
        </w:rPr>
        <w:t>misapplies the facts by</w:t>
      </w:r>
      <w:r w:rsidR="00697E85">
        <w:rPr>
          <w:rFonts w:eastAsia="SimSun"/>
        </w:rPr>
        <w:t xml:space="preserve"> defin</w:t>
      </w:r>
      <w:r w:rsidR="0036062A">
        <w:rPr>
          <w:rFonts w:eastAsia="SimSun"/>
        </w:rPr>
        <w:t>ing</w:t>
      </w:r>
      <w:r w:rsidR="00697E85">
        <w:rPr>
          <w:rFonts w:eastAsia="SimSun"/>
        </w:rPr>
        <w:t xml:space="preserve"> </w:t>
      </w:r>
      <w:r w:rsidR="006162D0">
        <w:rPr>
          <w:rFonts w:eastAsia="SimSun"/>
        </w:rPr>
        <w:t xml:space="preserve">PSE </w:t>
      </w:r>
      <w:r w:rsidR="00697E85">
        <w:rPr>
          <w:rFonts w:eastAsia="SimSun"/>
        </w:rPr>
        <w:t>as</w:t>
      </w:r>
      <w:r w:rsidR="006162D0">
        <w:rPr>
          <w:rFonts w:eastAsia="SimSun"/>
        </w:rPr>
        <w:t xml:space="preserve"> the lender and customers </w:t>
      </w:r>
      <w:r w:rsidR="00697E85">
        <w:rPr>
          <w:rFonts w:eastAsia="SimSun"/>
        </w:rPr>
        <w:t>as</w:t>
      </w:r>
      <w:r w:rsidR="006162D0">
        <w:rPr>
          <w:rFonts w:eastAsia="SimSun"/>
        </w:rPr>
        <w:t xml:space="preserve"> the borrower.  He concludes that if the borrower sells the house for a gain, the lender only receives his princip</w:t>
      </w:r>
      <w:r w:rsidR="001A4FBD">
        <w:rPr>
          <w:rFonts w:eastAsia="SimSun"/>
        </w:rPr>
        <w:t>al</w:t>
      </w:r>
      <w:r w:rsidR="006162D0">
        <w:rPr>
          <w:rFonts w:eastAsia="SimSun"/>
        </w:rPr>
        <w:t xml:space="preserve"> back and nothing more.  This is true enough for the lender.  However, PSE i</w:t>
      </w:r>
      <w:r w:rsidR="0058119D">
        <w:rPr>
          <w:rFonts w:eastAsia="SimSun"/>
        </w:rPr>
        <w:t xml:space="preserve">s not the lender in this case </w:t>
      </w:r>
      <w:r w:rsidR="00697E85">
        <w:rPr>
          <w:rFonts w:eastAsia="SimSun"/>
        </w:rPr>
        <w:t xml:space="preserve">and </w:t>
      </w:r>
      <w:r w:rsidR="0058119D">
        <w:rPr>
          <w:rFonts w:eastAsia="SimSun"/>
        </w:rPr>
        <w:t xml:space="preserve">customers </w:t>
      </w:r>
      <w:r w:rsidR="00697E85">
        <w:rPr>
          <w:rFonts w:eastAsia="SimSun"/>
        </w:rPr>
        <w:t xml:space="preserve">are not </w:t>
      </w:r>
      <w:r w:rsidR="0058119D">
        <w:rPr>
          <w:rFonts w:eastAsia="SimSun"/>
        </w:rPr>
        <w:t xml:space="preserve">the borrower.  </w:t>
      </w:r>
    </w:p>
    <w:p w:rsidR="00A15A09" w:rsidRPr="00A503F9" w:rsidRDefault="00A15A09" w:rsidP="00A15A09">
      <w:pPr>
        <w:pStyle w:val="question"/>
        <w:keepNext/>
        <w:keepLines/>
        <w:spacing w:before="120"/>
      </w:pPr>
      <w:r w:rsidRPr="009075DC">
        <w:rPr>
          <w:rFonts w:eastAsia="SimSun"/>
        </w:rPr>
        <w:t>Q.</w:t>
      </w:r>
      <w:r w:rsidRPr="009075DC">
        <w:rPr>
          <w:rFonts w:eastAsia="SimSun"/>
        </w:rPr>
        <w:tab/>
      </w:r>
      <w:r>
        <w:rPr>
          <w:rFonts w:eastAsia="SimSun"/>
        </w:rPr>
        <w:t>Can you correct the analogy?</w:t>
      </w:r>
    </w:p>
    <w:p w:rsidR="003775A3" w:rsidRDefault="00A15A09" w:rsidP="00C777B2">
      <w:pPr>
        <w:pStyle w:val="Answer0"/>
        <w:rPr>
          <w:rFonts w:eastAsia="SimSun"/>
        </w:rPr>
      </w:pPr>
      <w:r>
        <w:rPr>
          <w:rFonts w:eastAsia="SimSun"/>
        </w:rPr>
        <w:t>A.</w:t>
      </w:r>
      <w:r>
        <w:rPr>
          <w:rFonts w:eastAsia="SimSun"/>
        </w:rPr>
        <w:tab/>
        <w:t xml:space="preserve">Yes, here is the proper analogy.  PSE is the owner of the </w:t>
      </w:r>
      <w:r w:rsidR="00A33805">
        <w:rPr>
          <w:rFonts w:eastAsia="SimSun"/>
        </w:rPr>
        <w:t>house</w:t>
      </w:r>
      <w:r>
        <w:rPr>
          <w:rFonts w:eastAsia="SimSun"/>
        </w:rPr>
        <w:t xml:space="preserve">.  It </w:t>
      </w:r>
      <w:r w:rsidR="00697E85">
        <w:rPr>
          <w:rFonts w:eastAsia="SimSun"/>
        </w:rPr>
        <w:t xml:space="preserve">received </w:t>
      </w:r>
      <w:r>
        <w:rPr>
          <w:rFonts w:eastAsia="SimSun"/>
        </w:rPr>
        <w:t xml:space="preserve">its capital from investors (debt and equity).  Customers are renters.  They do not own the house.  Customers pay rent and some part of their rent reflects their consumption (depreciation) of the house.  If the house is sold for a profit, </w:t>
      </w:r>
      <w:r w:rsidR="00A33805">
        <w:rPr>
          <w:rFonts w:eastAsia="SimSun"/>
        </w:rPr>
        <w:t>lenders get repaid for the outstanding loan balance.  Shareholders get what’s left.  R</w:t>
      </w:r>
      <w:r w:rsidR="00697E85">
        <w:rPr>
          <w:rFonts w:eastAsia="SimSun"/>
        </w:rPr>
        <w:t>enters do not share in the gain.  Renters do not</w:t>
      </w:r>
      <w:r>
        <w:rPr>
          <w:rFonts w:eastAsia="SimSun"/>
        </w:rPr>
        <w:t xml:space="preserve"> get their rent back.  Renters paid for their housing services</w:t>
      </w:r>
      <w:r w:rsidR="0036062A">
        <w:rPr>
          <w:rFonts w:eastAsia="SimSun"/>
        </w:rPr>
        <w:t>, not for an ownership interest in the property</w:t>
      </w:r>
      <w:r w:rsidR="00F542E3">
        <w:rPr>
          <w:rFonts w:eastAsia="SimSun"/>
        </w:rPr>
        <w:t>.</w:t>
      </w:r>
      <w:r w:rsidR="00A33805">
        <w:rPr>
          <w:rFonts w:eastAsia="SimSun"/>
        </w:rPr>
        <w:t xml:space="preserve">  </w:t>
      </w:r>
    </w:p>
    <w:p w:rsidR="00234A25" w:rsidRPr="00A503F9" w:rsidRDefault="00234A25" w:rsidP="003775A3">
      <w:pPr>
        <w:pStyle w:val="question"/>
      </w:pPr>
      <w:r w:rsidRPr="009075DC">
        <w:rPr>
          <w:rFonts w:eastAsia="SimSun"/>
        </w:rPr>
        <w:t>Q.</w:t>
      </w:r>
      <w:r w:rsidRPr="009075DC">
        <w:rPr>
          <w:rFonts w:eastAsia="SimSun"/>
        </w:rPr>
        <w:tab/>
      </w:r>
      <w:r>
        <w:rPr>
          <w:rFonts w:eastAsia="SimSun"/>
        </w:rPr>
        <w:t xml:space="preserve">When regulation is considered, doesn’t that change the relationship and impart quasi-ownership on </w:t>
      </w:r>
      <w:r w:rsidR="00697E85">
        <w:rPr>
          <w:rFonts w:eastAsia="SimSun"/>
        </w:rPr>
        <w:t>renters/customers</w:t>
      </w:r>
      <w:r>
        <w:rPr>
          <w:rFonts w:eastAsia="SimSun"/>
        </w:rPr>
        <w:t>?</w:t>
      </w:r>
    </w:p>
    <w:p w:rsidR="00234A25" w:rsidRDefault="00234A25" w:rsidP="00234A25">
      <w:pPr>
        <w:pStyle w:val="Answer0"/>
        <w:spacing w:before="240"/>
        <w:rPr>
          <w:rFonts w:eastAsia="SimSun"/>
        </w:rPr>
      </w:pPr>
      <w:r>
        <w:rPr>
          <w:rFonts w:eastAsia="SimSun"/>
        </w:rPr>
        <w:t>A.</w:t>
      </w:r>
      <w:r>
        <w:rPr>
          <w:rFonts w:eastAsia="SimSun"/>
        </w:rPr>
        <w:tab/>
        <w:t xml:space="preserve">Not at all.  There is no aspect of regulation that would impute ownership of assets to customers.  For example, when rates are set, the regulator only allows the utility to recover certain types of costs and </w:t>
      </w:r>
      <w:r w:rsidR="009A6ED6">
        <w:rPr>
          <w:rFonts w:eastAsia="SimSun"/>
        </w:rPr>
        <w:t xml:space="preserve">a </w:t>
      </w:r>
      <w:r>
        <w:rPr>
          <w:rFonts w:eastAsia="SimSun"/>
        </w:rPr>
        <w:t xml:space="preserve">return on investment.  Limitations are placed on both parts of the revenue requirement (or “rent” in the home </w:t>
      </w:r>
      <w:r>
        <w:rPr>
          <w:rFonts w:eastAsia="SimSun"/>
        </w:rPr>
        <w:lastRenderedPageBreak/>
        <w:t xml:space="preserve">analogy).  </w:t>
      </w:r>
      <w:r w:rsidR="005D1598">
        <w:rPr>
          <w:rFonts w:eastAsia="SimSun"/>
        </w:rPr>
        <w:t xml:space="preserve">For example, </w:t>
      </w:r>
      <w:r w:rsidR="00697E85">
        <w:rPr>
          <w:rFonts w:eastAsia="SimSun"/>
        </w:rPr>
        <w:t xml:space="preserve">O&amp;M </w:t>
      </w:r>
      <w:r w:rsidR="005D1598">
        <w:rPr>
          <w:rFonts w:eastAsia="SimSun"/>
        </w:rPr>
        <w:t xml:space="preserve">costs must be “known and measurable” and the assets that are included in rate base must be “used and useful”.  The utility cannot recover anything outside of these parameters.  As part of the regulatory </w:t>
      </w:r>
      <w:r w:rsidR="00697E85">
        <w:rPr>
          <w:rFonts w:eastAsia="SimSun"/>
        </w:rPr>
        <w:t>compact</w:t>
      </w:r>
      <w:r w:rsidR="005D1598">
        <w:rPr>
          <w:rFonts w:eastAsia="SimSun"/>
        </w:rPr>
        <w:t xml:space="preserve">, the utility must provide service to everyone in the service territory.  </w:t>
      </w:r>
    </w:p>
    <w:p w:rsidR="007D223E" w:rsidRPr="005A47CE" w:rsidRDefault="004E06EA" w:rsidP="004D3E18">
      <w:pPr>
        <w:pStyle w:val="Answer0"/>
        <w:spacing w:before="240"/>
        <w:rPr>
          <w:rFonts w:eastAsia="SimSun"/>
          <w:highlight w:val="yellow"/>
        </w:rPr>
      </w:pPr>
      <w:r>
        <w:rPr>
          <w:rFonts w:eastAsia="SimSun"/>
        </w:rPr>
        <w:tab/>
        <w:t xml:space="preserve">In any business enterprise, regulated or not, prices must be set at a level </w:t>
      </w:r>
      <w:r w:rsidR="00F139FF">
        <w:rPr>
          <w:rFonts w:eastAsia="SimSun"/>
        </w:rPr>
        <w:t xml:space="preserve">which </w:t>
      </w:r>
      <w:r>
        <w:rPr>
          <w:rFonts w:eastAsia="SimSun"/>
        </w:rPr>
        <w:t xml:space="preserve">compensates the business for the costs and risks it undertakes.  In a regulated business, setting the price is more transparent than in an unregulated business.  But regardless of the level of transparency, the reality is unchanged.  </w:t>
      </w:r>
      <w:r w:rsidR="007D223E" w:rsidRPr="00E07108">
        <w:rPr>
          <w:rFonts w:eastAsia="SimSun"/>
        </w:rPr>
        <w:t>In the regulatory situation, customers cover nothing but what is i</w:t>
      </w:r>
      <w:r w:rsidR="00697E85" w:rsidRPr="00E07108">
        <w:rPr>
          <w:rFonts w:eastAsia="SimSun"/>
        </w:rPr>
        <w:t>ncluded in the rate model.  W</w:t>
      </w:r>
      <w:r w:rsidR="007D223E" w:rsidRPr="00E07108">
        <w:rPr>
          <w:rFonts w:eastAsia="SimSun"/>
        </w:rPr>
        <w:t xml:space="preserve">henever an event occurs outside of that model, the </w:t>
      </w:r>
      <w:r w:rsidR="00697E85" w:rsidRPr="00E07108">
        <w:rPr>
          <w:rFonts w:eastAsia="SimSun"/>
        </w:rPr>
        <w:t>c</w:t>
      </w:r>
      <w:r w:rsidR="007D223E" w:rsidRPr="00E07108">
        <w:rPr>
          <w:rFonts w:eastAsia="SimSun"/>
        </w:rPr>
        <w:t>ompany is left fully exposed to the risk</w:t>
      </w:r>
      <w:r w:rsidR="00A97BA9" w:rsidRPr="00A97BA9">
        <w:rPr>
          <w:rFonts w:eastAsia="SimSun"/>
        </w:rPr>
        <w:t xml:space="preserve"> without any compensation from customers – this is precisely by design.  It is done on purpose.  </w:t>
      </w:r>
      <w:r w:rsidR="005A47CE">
        <w:rPr>
          <w:rFonts w:eastAsia="SimSun"/>
        </w:rPr>
        <w:t xml:space="preserve">The company may seek recovery of certain costs from the regulator at that time.  </w:t>
      </w:r>
      <w:r w:rsidR="007D223E" w:rsidRPr="00E07108">
        <w:rPr>
          <w:rFonts w:eastAsia="SimSun"/>
        </w:rPr>
        <w:t xml:space="preserve">Under the regulatory compact, customers only bear the cost of </w:t>
      </w:r>
      <w:r w:rsidR="00BA564D" w:rsidRPr="00E07108">
        <w:rPr>
          <w:rFonts w:eastAsia="SimSun"/>
        </w:rPr>
        <w:t>events</w:t>
      </w:r>
      <w:r w:rsidR="007D223E" w:rsidRPr="00E07108">
        <w:rPr>
          <w:rFonts w:eastAsia="SimSun"/>
        </w:rPr>
        <w:t xml:space="preserve"> that actually come to pass.  There is no speculation involved.  </w:t>
      </w:r>
      <w:r w:rsidR="001332AD">
        <w:rPr>
          <w:rFonts w:eastAsia="SimSun"/>
        </w:rPr>
        <w:t xml:space="preserve">As a result, customers pay a lower rate and the utility does not reflect that risk in it general rates.  </w:t>
      </w:r>
    </w:p>
    <w:p w:rsidR="002A289C" w:rsidRPr="00BA067B" w:rsidRDefault="002A289C" w:rsidP="003775A3">
      <w:pPr>
        <w:pStyle w:val="question"/>
        <w:rPr>
          <w:rFonts w:eastAsia="SimSun"/>
        </w:rPr>
      </w:pPr>
      <w:r w:rsidRPr="00BA067B">
        <w:rPr>
          <w:rFonts w:eastAsia="SimSun"/>
        </w:rPr>
        <w:t>Q.</w:t>
      </w:r>
      <w:r w:rsidRPr="00BA067B">
        <w:rPr>
          <w:rFonts w:eastAsia="SimSun"/>
        </w:rPr>
        <w:tab/>
      </w:r>
      <w:r>
        <w:rPr>
          <w:rFonts w:eastAsia="SimSun"/>
        </w:rPr>
        <w:t xml:space="preserve">Is </w:t>
      </w:r>
      <w:r w:rsidRPr="00BA067B">
        <w:rPr>
          <w:rFonts w:eastAsia="SimSun"/>
        </w:rPr>
        <w:t xml:space="preserve">Mr. Keating </w:t>
      </w:r>
      <w:r>
        <w:rPr>
          <w:rFonts w:eastAsia="SimSun"/>
        </w:rPr>
        <w:t>correct when he comments</w:t>
      </w:r>
      <w:r w:rsidRPr="00BA067B">
        <w:rPr>
          <w:rFonts w:eastAsia="SimSun"/>
        </w:rPr>
        <w:t xml:space="preserve"> that PSE is “faced with virtually no risk of capital loss and severely diminished risk of earnings loss”</w:t>
      </w:r>
      <w:r w:rsidR="00FC4CCE">
        <w:rPr>
          <w:rStyle w:val="FootnoteReference"/>
          <w:rFonts w:eastAsia="SimSun"/>
          <w:b w:val="0"/>
        </w:rPr>
        <w:footnoteReference w:id="20"/>
      </w:r>
      <w:r w:rsidRPr="00BA067B">
        <w:rPr>
          <w:rFonts w:eastAsia="SimSun"/>
        </w:rPr>
        <w:t xml:space="preserve"> or that </w:t>
      </w:r>
      <w:r w:rsidRPr="00BA067B">
        <w:rPr>
          <w:rFonts w:eastAsia="SimSun"/>
        </w:rPr>
        <w:lastRenderedPageBreak/>
        <w:t>“ratepayers are at risk for any capital losses related to the value of utility assets”</w:t>
      </w:r>
      <w:r w:rsidR="003775A3">
        <w:rPr>
          <w:rFonts w:eastAsia="SimSun"/>
        </w:rPr>
        <w:t>?</w:t>
      </w:r>
      <w:r w:rsidR="00FC4CCE">
        <w:rPr>
          <w:rStyle w:val="FootnoteReference"/>
          <w:rFonts w:eastAsia="SimSun"/>
          <w:b w:val="0"/>
        </w:rPr>
        <w:footnoteReference w:id="21"/>
      </w:r>
    </w:p>
    <w:p w:rsidR="00CE6B0D" w:rsidRDefault="002A289C" w:rsidP="002A289C">
      <w:pPr>
        <w:pStyle w:val="Answer0"/>
        <w:spacing w:before="240"/>
        <w:rPr>
          <w:rFonts w:eastAsia="SimSun"/>
        </w:rPr>
      </w:pPr>
      <w:r w:rsidRPr="002A289C">
        <w:rPr>
          <w:rFonts w:eastAsia="SimSun"/>
        </w:rPr>
        <w:t>A.</w:t>
      </w:r>
      <w:r>
        <w:rPr>
          <w:rFonts w:eastAsia="SimSun"/>
        </w:rPr>
        <w:tab/>
        <w:t xml:space="preserve">No, he is not. </w:t>
      </w:r>
      <w:r w:rsidR="00F879E4">
        <w:rPr>
          <w:rFonts w:eastAsia="SimSun"/>
        </w:rPr>
        <w:t>In the ordinary course of business</w:t>
      </w:r>
      <w:r w:rsidR="00250695">
        <w:rPr>
          <w:rFonts w:eastAsia="SimSun"/>
        </w:rPr>
        <w:t xml:space="preserve">, PSE faces all of the capital risk.  That cost associated with that risk can only pass to customers (the risk does not pass, only the cost does) after the capital investment is deemed prudent under the regulatory compact.  Even when that requirement is satisfied, PSE still bears the earnings risk which </w:t>
      </w:r>
      <w:r w:rsidR="005B65F8">
        <w:rPr>
          <w:rFonts w:eastAsia="SimSun"/>
        </w:rPr>
        <w:t>can be</w:t>
      </w:r>
      <w:r w:rsidR="00250695">
        <w:rPr>
          <w:rFonts w:eastAsia="SimSun"/>
        </w:rPr>
        <w:t xml:space="preserve"> significant </w:t>
      </w:r>
      <w:r w:rsidR="005B65F8">
        <w:rPr>
          <w:rFonts w:eastAsia="SimSun"/>
        </w:rPr>
        <w:t>depending on</w:t>
      </w:r>
      <w:r w:rsidR="00250695">
        <w:rPr>
          <w:rFonts w:eastAsia="SimSun"/>
        </w:rPr>
        <w:t xml:space="preserve"> the lag between the time the investment is incurred </w:t>
      </w:r>
      <w:r w:rsidR="00B13047">
        <w:rPr>
          <w:rFonts w:eastAsia="SimSun"/>
        </w:rPr>
        <w:t xml:space="preserve">and the time that the investment is included in </w:t>
      </w:r>
      <w:r w:rsidR="00250695">
        <w:rPr>
          <w:rFonts w:eastAsia="SimSun"/>
        </w:rPr>
        <w:t xml:space="preserve">rates.  There is some mitigation of this </w:t>
      </w:r>
      <w:r w:rsidR="00117940">
        <w:rPr>
          <w:rFonts w:eastAsia="SimSun"/>
        </w:rPr>
        <w:t xml:space="preserve">risk </w:t>
      </w:r>
      <w:r w:rsidR="00250695">
        <w:rPr>
          <w:rFonts w:eastAsia="SimSun"/>
        </w:rPr>
        <w:t>under the decoupling order which is a modification to the historic regulatory compact</w:t>
      </w:r>
      <w:r>
        <w:rPr>
          <w:rFonts w:eastAsia="SimSun"/>
        </w:rPr>
        <w:t xml:space="preserve"> that</w:t>
      </w:r>
      <w:r w:rsidR="00CE3690">
        <w:rPr>
          <w:rFonts w:eastAsia="SimSun"/>
        </w:rPr>
        <w:t xml:space="preserve"> has</w:t>
      </w:r>
      <w:r>
        <w:rPr>
          <w:rFonts w:eastAsia="SimSun"/>
        </w:rPr>
        <w:t xml:space="preserve"> been in place between PSE and the Commission</w:t>
      </w:r>
      <w:r w:rsidR="00117940">
        <w:rPr>
          <w:rFonts w:eastAsia="SimSun"/>
        </w:rPr>
        <w:t>.</w:t>
      </w:r>
      <w:r w:rsidR="00250695">
        <w:rPr>
          <w:rFonts w:eastAsia="SimSun"/>
        </w:rPr>
        <w:t xml:space="preserve">  </w:t>
      </w:r>
    </w:p>
    <w:p w:rsidR="00CE6B0D" w:rsidRDefault="00CE6B0D" w:rsidP="00CE6B0D">
      <w:pPr>
        <w:pStyle w:val="Answer0"/>
        <w:spacing w:before="240"/>
        <w:ind w:firstLine="0"/>
        <w:rPr>
          <w:rFonts w:eastAsia="SimSun"/>
        </w:rPr>
      </w:pPr>
      <w:r>
        <w:rPr>
          <w:rFonts w:eastAsia="SimSun"/>
        </w:rPr>
        <w:t xml:space="preserve">If customers did bear capital risk, they would need to put in capital.  The fact that the cost of assets is spread out and dispensed to them over the useful life is </w:t>
      </w:r>
      <w:r w:rsidR="00FF103B">
        <w:rPr>
          <w:rFonts w:eastAsia="SimSun"/>
        </w:rPr>
        <w:t xml:space="preserve">a </w:t>
      </w:r>
      <w:r>
        <w:rPr>
          <w:rFonts w:eastAsia="SimSun"/>
        </w:rPr>
        <w:t>significant indicator that they do not bear any capital risk.  Customers are consumers</w:t>
      </w:r>
      <w:r w:rsidR="002A289C">
        <w:rPr>
          <w:rFonts w:eastAsia="SimSun"/>
        </w:rPr>
        <w:t xml:space="preserve"> of electric service, not investors in electric distribution assets</w:t>
      </w:r>
      <w:r>
        <w:rPr>
          <w:rFonts w:eastAsia="SimSun"/>
        </w:rPr>
        <w:t>.</w:t>
      </w:r>
    </w:p>
    <w:p w:rsidR="00F879E4" w:rsidRDefault="00250695" w:rsidP="00CE6B0D">
      <w:pPr>
        <w:pStyle w:val="Answer0"/>
        <w:spacing w:before="240"/>
        <w:ind w:firstLine="0"/>
        <w:rPr>
          <w:rFonts w:eastAsia="SimSun"/>
        </w:rPr>
      </w:pPr>
      <w:r>
        <w:rPr>
          <w:rFonts w:eastAsia="SimSun"/>
        </w:rPr>
        <w:t>It bears repeating, in response to Mr. Keating, that the JPUD transaction did not take place in the ordinary course of business.  PSE bears all the risk, including capital loss and earnings diminishment, in a municipalization.  Remaining customers have lost nothing.</w:t>
      </w:r>
      <w:r w:rsidR="00B13047">
        <w:rPr>
          <w:rFonts w:eastAsia="SimSun"/>
        </w:rPr>
        <w:t xml:space="preserve">  </w:t>
      </w:r>
    </w:p>
    <w:p w:rsidR="003F4AF9" w:rsidRPr="00A503F9" w:rsidRDefault="003F4AF9" w:rsidP="003F4AF9">
      <w:pPr>
        <w:pStyle w:val="question"/>
        <w:keepNext/>
        <w:keepLines/>
        <w:spacing w:before="120"/>
      </w:pPr>
      <w:r w:rsidRPr="009075DC">
        <w:rPr>
          <w:rFonts w:eastAsia="SimSun"/>
        </w:rPr>
        <w:lastRenderedPageBreak/>
        <w:t>Q.</w:t>
      </w:r>
      <w:r w:rsidRPr="009075DC">
        <w:rPr>
          <w:rFonts w:eastAsia="SimSun"/>
        </w:rPr>
        <w:tab/>
      </w:r>
      <w:r>
        <w:rPr>
          <w:rFonts w:eastAsia="SimSun"/>
        </w:rPr>
        <w:t>Please respond to Mr. Keating’s statement that “Rate Base Rate of Return Regulation allows the utility the opportunity to earn a fair rate of return on and a return of its investment, and nothing more.”</w:t>
      </w:r>
      <w:r w:rsidR="00FC4CCE">
        <w:rPr>
          <w:rStyle w:val="FootnoteReference"/>
          <w:rFonts w:eastAsia="SimSun"/>
        </w:rPr>
        <w:footnoteReference w:id="22"/>
      </w:r>
      <w:r>
        <w:rPr>
          <w:rFonts w:eastAsia="SimSun"/>
        </w:rPr>
        <w:t xml:space="preserve"> </w:t>
      </w:r>
    </w:p>
    <w:p w:rsidR="003F4AF9" w:rsidRDefault="003F4AF9" w:rsidP="003F4AF9">
      <w:pPr>
        <w:pStyle w:val="Answer0"/>
        <w:spacing w:before="240"/>
        <w:rPr>
          <w:rFonts w:eastAsia="SimSun"/>
        </w:rPr>
      </w:pPr>
      <w:r>
        <w:rPr>
          <w:rFonts w:eastAsia="SimSun"/>
        </w:rPr>
        <w:t>A.</w:t>
      </w:r>
      <w:r>
        <w:rPr>
          <w:rFonts w:eastAsia="SimSun"/>
        </w:rPr>
        <w:tab/>
      </w:r>
      <w:r w:rsidR="00A2174C">
        <w:rPr>
          <w:rFonts w:eastAsia="SimSun"/>
        </w:rPr>
        <w:t>Mr. Keating’s proposal would create a</w:t>
      </w:r>
      <w:r w:rsidR="00401026">
        <w:rPr>
          <w:rFonts w:eastAsia="SimSun"/>
        </w:rPr>
        <w:t xml:space="preserve"> harsh and unfair</w:t>
      </w:r>
      <w:r w:rsidR="001E0345">
        <w:rPr>
          <w:rFonts w:eastAsia="SimSun"/>
        </w:rPr>
        <w:t xml:space="preserve"> </w:t>
      </w:r>
      <w:r w:rsidR="00A2174C">
        <w:rPr>
          <w:rFonts w:eastAsia="SimSun"/>
        </w:rPr>
        <w:t xml:space="preserve">result:  </w:t>
      </w:r>
      <w:r w:rsidR="001E0345">
        <w:rPr>
          <w:rFonts w:eastAsia="SimSun"/>
        </w:rPr>
        <w:t>that investor</w:t>
      </w:r>
      <w:r w:rsidR="00A2174C">
        <w:rPr>
          <w:rFonts w:eastAsia="SimSun"/>
        </w:rPr>
        <w:t>s</w:t>
      </w:r>
      <w:r w:rsidR="001E0345">
        <w:rPr>
          <w:rFonts w:eastAsia="SimSun"/>
        </w:rPr>
        <w:t xml:space="preserve"> receive no gain when their assets have been taken, their customers and service territory </w:t>
      </w:r>
      <w:r w:rsidR="00A2174C">
        <w:rPr>
          <w:rFonts w:eastAsia="SimSun"/>
        </w:rPr>
        <w:t xml:space="preserve">have </w:t>
      </w:r>
      <w:r w:rsidR="001E0345">
        <w:rPr>
          <w:rFonts w:eastAsia="SimSun"/>
        </w:rPr>
        <w:t>been reduced, and their investment opportunity has been diminished.</w:t>
      </w:r>
      <w:r w:rsidR="00BD6EB9">
        <w:rPr>
          <w:rFonts w:eastAsia="SimSun"/>
        </w:rPr>
        <w:t xml:space="preserve">  As explained by Dr. Stanford Levin in Exh</w:t>
      </w:r>
      <w:r w:rsidR="00FC4CCE">
        <w:rPr>
          <w:rFonts w:eastAsia="SimSun"/>
        </w:rPr>
        <w:t>ibit</w:t>
      </w:r>
      <w:r w:rsidR="00BD6EB9">
        <w:rPr>
          <w:rFonts w:eastAsia="SimSun"/>
        </w:rPr>
        <w:t xml:space="preserve"> No. ___(SLL-1T), </w:t>
      </w:r>
      <w:r w:rsidR="002301A1">
        <w:rPr>
          <w:rFonts w:eastAsia="SimSun"/>
        </w:rPr>
        <w:t>Staff</w:t>
      </w:r>
      <w:r w:rsidR="00BD6EB9">
        <w:rPr>
          <w:rFonts w:eastAsia="SimSun"/>
        </w:rPr>
        <w:t xml:space="preserve">’s proposal </w:t>
      </w:r>
      <w:r w:rsidR="00C10381">
        <w:rPr>
          <w:rFonts w:eastAsia="SimSun"/>
        </w:rPr>
        <w:t xml:space="preserve">of denying investors the net gain on their assets is actually contrary to Rate Base Rate of Return Regulation because investors </w:t>
      </w:r>
      <w:r w:rsidR="00C10381" w:rsidRPr="00C10381">
        <w:rPr>
          <w:rFonts w:eastAsia="SimSun"/>
        </w:rPr>
        <w:t>would be denied a return of their investment, and they are denied the appreciation on the assets resulting from their ownership</w:t>
      </w:r>
      <w:r w:rsidR="00C10381">
        <w:rPr>
          <w:rFonts w:eastAsia="SimSun"/>
        </w:rPr>
        <w:t xml:space="preserve">.  </w:t>
      </w:r>
    </w:p>
    <w:p w:rsidR="00285B94" w:rsidRDefault="00512C77" w:rsidP="00285B94">
      <w:pPr>
        <w:pStyle w:val="Answer0"/>
        <w:spacing w:before="240"/>
        <w:rPr>
          <w:rFonts w:eastAsia="SimSun"/>
        </w:rPr>
      </w:pPr>
      <w:r>
        <w:rPr>
          <w:rFonts w:eastAsia="SimSun"/>
        </w:rPr>
        <w:tab/>
      </w:r>
      <w:r w:rsidR="00285B94">
        <w:rPr>
          <w:rFonts w:eastAsia="SimSun"/>
        </w:rPr>
        <w:t xml:space="preserve">A couple of examples will illustrate the point.  First, when </w:t>
      </w:r>
      <w:r w:rsidR="00CE3690">
        <w:rPr>
          <w:rFonts w:eastAsia="SimSun"/>
        </w:rPr>
        <w:t xml:space="preserve">Puget Energy </w:t>
      </w:r>
      <w:r w:rsidR="00285B94">
        <w:rPr>
          <w:rFonts w:eastAsia="SimSun"/>
        </w:rPr>
        <w:t>was acquired in 2009, equity investors received a premium over their previous stock price once the merger was announced.  In that case, investors expect</w:t>
      </w:r>
      <w:r w:rsidR="001A4FBD">
        <w:rPr>
          <w:rFonts w:eastAsia="SimSun"/>
        </w:rPr>
        <w:t>ed</w:t>
      </w:r>
      <w:r w:rsidR="00285B94">
        <w:rPr>
          <w:rFonts w:eastAsia="SimSun"/>
        </w:rPr>
        <w:t xml:space="preserve"> and, in fact, received the full premium.</w:t>
      </w:r>
    </w:p>
    <w:p w:rsidR="00D95E44" w:rsidRDefault="00285B94" w:rsidP="00AB7FD9">
      <w:pPr>
        <w:pStyle w:val="Answer0"/>
        <w:spacing w:before="240"/>
        <w:rPr>
          <w:rFonts w:eastAsia="SimSun"/>
        </w:rPr>
      </w:pPr>
      <w:r>
        <w:rPr>
          <w:rFonts w:eastAsia="SimSun"/>
        </w:rPr>
        <w:tab/>
        <w:t>In another example, consider a complete liquidation scenario.  In that situation, how much of the gain would investors expect to share with customers?  The reality is that investors expect all of the gain or loss in a complete liquidation.  Investors have this expectation because they are owners.</w:t>
      </w:r>
    </w:p>
    <w:p w:rsidR="00674515" w:rsidRPr="00A503F9" w:rsidRDefault="00674515" w:rsidP="00674515">
      <w:pPr>
        <w:pStyle w:val="question"/>
        <w:keepNext/>
        <w:keepLines/>
        <w:spacing w:before="120"/>
      </w:pPr>
      <w:r w:rsidRPr="009075DC">
        <w:rPr>
          <w:rFonts w:eastAsia="SimSun"/>
        </w:rPr>
        <w:lastRenderedPageBreak/>
        <w:t>Q.</w:t>
      </w:r>
      <w:r w:rsidRPr="009075DC">
        <w:rPr>
          <w:rFonts w:eastAsia="SimSun"/>
        </w:rPr>
        <w:tab/>
      </w:r>
      <w:r>
        <w:rPr>
          <w:rFonts w:eastAsia="SimSun"/>
        </w:rPr>
        <w:t>What does the “Rate Base Rate of Return Regulation” say about municipalizations or loss of customers/service territory?</w:t>
      </w:r>
    </w:p>
    <w:p w:rsidR="00674515" w:rsidRDefault="00674515" w:rsidP="00674515">
      <w:pPr>
        <w:pStyle w:val="Answer0"/>
        <w:spacing w:before="240"/>
        <w:rPr>
          <w:rFonts w:eastAsia="SimSun"/>
        </w:rPr>
      </w:pPr>
      <w:r>
        <w:rPr>
          <w:rFonts w:eastAsia="SimSun"/>
        </w:rPr>
        <w:t>A.</w:t>
      </w:r>
      <w:r>
        <w:rPr>
          <w:rFonts w:eastAsia="SimSun"/>
        </w:rPr>
        <w:tab/>
        <w:t>It says nothing about municipalizations.  Municipalizations do no</w:t>
      </w:r>
      <w:r w:rsidR="00512C77">
        <w:rPr>
          <w:rFonts w:eastAsia="SimSun"/>
        </w:rPr>
        <w:t>t</w:t>
      </w:r>
      <w:r>
        <w:rPr>
          <w:rFonts w:eastAsia="SimSun"/>
        </w:rPr>
        <w:t xml:space="preserve"> occur within the normal regulatory context.  It says nothing about how to compensate a utility when it </w:t>
      </w:r>
      <w:r w:rsidR="00A2174C">
        <w:rPr>
          <w:rFonts w:eastAsia="SimSun"/>
        </w:rPr>
        <w:t>loses</w:t>
      </w:r>
      <w:r>
        <w:rPr>
          <w:rFonts w:eastAsia="SimSun"/>
        </w:rPr>
        <w:t xml:space="preserve"> customers or service territory.</w:t>
      </w:r>
    </w:p>
    <w:p w:rsidR="00803288" w:rsidRPr="00A503F9" w:rsidRDefault="00803288" w:rsidP="00803288">
      <w:pPr>
        <w:pStyle w:val="question"/>
        <w:keepNext/>
        <w:keepLines/>
        <w:spacing w:before="120"/>
      </w:pPr>
      <w:r w:rsidRPr="009075DC">
        <w:rPr>
          <w:rFonts w:eastAsia="SimSun"/>
        </w:rPr>
        <w:t>Q.</w:t>
      </w:r>
      <w:r w:rsidRPr="009075DC">
        <w:rPr>
          <w:rFonts w:eastAsia="SimSun"/>
        </w:rPr>
        <w:tab/>
      </w:r>
      <w:r>
        <w:rPr>
          <w:rFonts w:eastAsia="SimSun"/>
        </w:rPr>
        <w:t>Isn’t PSE’s proposal a “significant departure from that which occurs with the majority of depreciable utility plant that is removed from service”?</w:t>
      </w:r>
      <w:r w:rsidR="00FC4CCE">
        <w:rPr>
          <w:rStyle w:val="FootnoteReference"/>
          <w:rFonts w:eastAsia="SimSun"/>
        </w:rPr>
        <w:footnoteReference w:id="23"/>
      </w:r>
      <w:r>
        <w:rPr>
          <w:rFonts w:eastAsia="SimSun"/>
        </w:rPr>
        <w:t xml:space="preserve">  </w:t>
      </w:r>
    </w:p>
    <w:p w:rsidR="00D95E44" w:rsidRDefault="00803288" w:rsidP="00BA067B">
      <w:pPr>
        <w:pStyle w:val="Answer0"/>
        <w:spacing w:before="240"/>
        <w:rPr>
          <w:rFonts w:eastAsia="SimSun"/>
        </w:rPr>
      </w:pPr>
      <w:r>
        <w:rPr>
          <w:rFonts w:eastAsia="SimSun"/>
        </w:rPr>
        <w:t>A.</w:t>
      </w:r>
      <w:r>
        <w:rPr>
          <w:rFonts w:eastAsia="SimSun"/>
        </w:rPr>
        <w:tab/>
        <w:t xml:space="preserve">Yes, </w:t>
      </w:r>
      <w:r w:rsidR="00562115">
        <w:rPr>
          <w:rFonts w:eastAsia="SimSun"/>
        </w:rPr>
        <w:t xml:space="preserve">but only </w:t>
      </w:r>
      <w:r w:rsidR="00AB7FD9">
        <w:rPr>
          <w:rFonts w:eastAsia="SimSun"/>
        </w:rPr>
        <w:t>in the sense that it is specific to a very unique situation</w:t>
      </w:r>
      <w:r w:rsidR="00D95E44" w:rsidRPr="00D95E44">
        <w:rPr>
          <w:rFonts w:eastAsia="SimSun"/>
        </w:rPr>
        <w:t xml:space="preserve"> </w:t>
      </w:r>
      <w:r w:rsidR="00D95E44">
        <w:rPr>
          <w:rFonts w:eastAsia="SimSun"/>
        </w:rPr>
        <w:t xml:space="preserve">that falls outside the rules set by the Commission in </w:t>
      </w:r>
      <w:r w:rsidR="00D95E44">
        <w:rPr>
          <w:rFonts w:eastAsia="SimSun"/>
          <w:i/>
        </w:rPr>
        <w:t>Centralia</w:t>
      </w:r>
      <w:r w:rsidR="00D95E44">
        <w:rPr>
          <w:rFonts w:eastAsia="SimSun"/>
        </w:rPr>
        <w:t xml:space="preserve"> or the normal treatment for plant retirements.</w:t>
      </w:r>
    </w:p>
    <w:p w:rsidR="00803288" w:rsidRDefault="00D95E44">
      <w:pPr>
        <w:pStyle w:val="Answer0"/>
        <w:spacing w:before="240"/>
        <w:rPr>
          <w:rFonts w:eastAsia="SimSun"/>
        </w:rPr>
      </w:pPr>
      <w:r>
        <w:rPr>
          <w:rFonts w:eastAsia="SimSun"/>
        </w:rPr>
        <w:tab/>
        <w:t>This transaction is not</w:t>
      </w:r>
      <w:r w:rsidR="00803288">
        <w:rPr>
          <w:rFonts w:eastAsia="SimSun"/>
        </w:rPr>
        <w:t xml:space="preserve"> normal.  It is not like “the majority of depreciable utility plant that is removed from service”.  For all of the reason set forth in the Company’s original petition </w:t>
      </w:r>
      <w:r w:rsidR="00401026">
        <w:rPr>
          <w:rFonts w:eastAsia="SimSun"/>
        </w:rPr>
        <w:t>and as explained above</w:t>
      </w:r>
      <w:r w:rsidR="00803288">
        <w:rPr>
          <w:rFonts w:eastAsia="SimSun"/>
        </w:rPr>
        <w:t>, this transaction requires treatment</w:t>
      </w:r>
      <w:r w:rsidR="00F405C9">
        <w:rPr>
          <w:rFonts w:eastAsia="SimSun"/>
        </w:rPr>
        <w:t xml:space="preserve"> that considers and is responsive to these </w:t>
      </w:r>
      <w:r w:rsidR="00401026">
        <w:rPr>
          <w:rFonts w:eastAsia="SimSun"/>
        </w:rPr>
        <w:t xml:space="preserve">unique and </w:t>
      </w:r>
      <w:r w:rsidR="00F405C9">
        <w:rPr>
          <w:rFonts w:eastAsia="SimSun"/>
        </w:rPr>
        <w:t>extraordinary facts and circumstances.</w:t>
      </w:r>
    </w:p>
    <w:p w:rsidR="006F56F8" w:rsidRPr="009075DC" w:rsidRDefault="00F54D07" w:rsidP="006F56F8">
      <w:pPr>
        <w:pStyle w:val="Heading1"/>
        <w:spacing w:after="360" w:line="240" w:lineRule="auto"/>
        <w:rPr>
          <w:rFonts w:eastAsia="SimSun"/>
        </w:rPr>
      </w:pPr>
      <w:bookmarkStart w:id="10" w:name="_Toc385937195"/>
      <w:r>
        <w:rPr>
          <w:rFonts w:eastAsia="SimSun"/>
        </w:rPr>
        <w:lastRenderedPageBreak/>
        <w:t>V</w:t>
      </w:r>
      <w:r w:rsidR="001C7B57">
        <w:rPr>
          <w:rFonts w:eastAsia="SimSun"/>
        </w:rPr>
        <w:t>I</w:t>
      </w:r>
      <w:r w:rsidR="006F56F8" w:rsidRPr="009075DC">
        <w:rPr>
          <w:rFonts w:eastAsia="SimSun"/>
        </w:rPr>
        <w:t>.</w:t>
      </w:r>
      <w:r w:rsidR="006F56F8" w:rsidRPr="009075DC">
        <w:rPr>
          <w:rFonts w:eastAsia="SimSun"/>
        </w:rPr>
        <w:tab/>
      </w:r>
      <w:r w:rsidR="006F56F8">
        <w:rPr>
          <w:rFonts w:eastAsia="SimSun"/>
        </w:rPr>
        <w:t>EFFECT OF REINVESTMENT</w:t>
      </w:r>
      <w:bookmarkEnd w:id="10"/>
      <w:r w:rsidR="006F56F8">
        <w:rPr>
          <w:rFonts w:eastAsia="SimSun"/>
        </w:rPr>
        <w:t xml:space="preserve"> </w:t>
      </w:r>
    </w:p>
    <w:p w:rsidR="006F56F8" w:rsidRPr="00A503F9" w:rsidRDefault="006F56F8" w:rsidP="006F56F8">
      <w:pPr>
        <w:pStyle w:val="question"/>
        <w:keepNext/>
        <w:keepLines/>
        <w:spacing w:before="120"/>
      </w:pPr>
      <w:r w:rsidRPr="009075DC">
        <w:rPr>
          <w:rFonts w:eastAsia="SimSun"/>
        </w:rPr>
        <w:t>Q.</w:t>
      </w:r>
      <w:r w:rsidRPr="009075DC">
        <w:rPr>
          <w:rFonts w:eastAsia="SimSun"/>
        </w:rPr>
        <w:tab/>
      </w:r>
      <w:r>
        <w:rPr>
          <w:rFonts w:eastAsia="SimSun"/>
        </w:rPr>
        <w:t>How will PSE’s reinvestment of the proceeds in the service of remaining customers compensate it for the loss of Jefferson customers?</w:t>
      </w:r>
    </w:p>
    <w:p w:rsidR="00CE58F0" w:rsidRDefault="006F56F8" w:rsidP="00232BF2">
      <w:pPr>
        <w:pStyle w:val="Answer0"/>
        <w:spacing w:before="240"/>
        <w:rPr>
          <w:rFonts w:eastAsia="SimSun"/>
        </w:rPr>
      </w:pPr>
      <w:r>
        <w:rPr>
          <w:rFonts w:eastAsia="SimSun"/>
        </w:rPr>
        <w:t>A.</w:t>
      </w:r>
      <w:r>
        <w:rPr>
          <w:rFonts w:eastAsia="SimSun"/>
        </w:rPr>
        <w:tab/>
        <w:t>It will not compensate</w:t>
      </w:r>
      <w:r w:rsidR="00F405C9">
        <w:rPr>
          <w:rFonts w:eastAsia="SimSun"/>
        </w:rPr>
        <w:t xml:space="preserve"> for the loss of these customers</w:t>
      </w:r>
      <w:r>
        <w:rPr>
          <w:rFonts w:eastAsia="SimSun"/>
        </w:rPr>
        <w:t>.  PSE has suffered a permanent diminishment to its investment opportunity.  Whatever investment opportunity lies within its remaining customer base is unchanged by the departure of the JPUD customers</w:t>
      </w:r>
      <w:r w:rsidR="00DE3BAD">
        <w:rPr>
          <w:rFonts w:eastAsia="SimSun"/>
        </w:rPr>
        <w:t>.  It has in no way increased by the loss of JPUD customers.  However,</w:t>
      </w:r>
      <w:r w:rsidR="00F405C9">
        <w:rPr>
          <w:rFonts w:eastAsia="SimSun"/>
        </w:rPr>
        <w:t xml:space="preserve"> the investment</w:t>
      </w:r>
      <w:r w:rsidR="00DE3BAD">
        <w:rPr>
          <w:rFonts w:eastAsia="SimSun"/>
        </w:rPr>
        <w:t xml:space="preserve"> opportunity</w:t>
      </w:r>
      <w:r w:rsidR="00F405C9">
        <w:rPr>
          <w:rFonts w:eastAsia="SimSun"/>
        </w:rPr>
        <w:t xml:space="preserve"> that would have been </w:t>
      </w:r>
      <w:r w:rsidR="00DE3BAD">
        <w:rPr>
          <w:rFonts w:eastAsia="SimSun"/>
        </w:rPr>
        <w:t xml:space="preserve">provided </w:t>
      </w:r>
      <w:r w:rsidR="00F405C9">
        <w:rPr>
          <w:rFonts w:eastAsia="SimSun"/>
        </w:rPr>
        <w:t xml:space="preserve">by 18,000 </w:t>
      </w:r>
      <w:r w:rsidR="00DE3BAD">
        <w:rPr>
          <w:rFonts w:eastAsia="SimSun"/>
        </w:rPr>
        <w:t xml:space="preserve">former </w:t>
      </w:r>
      <w:r w:rsidR="00F405C9">
        <w:rPr>
          <w:rFonts w:eastAsia="SimSun"/>
        </w:rPr>
        <w:t xml:space="preserve">customers </w:t>
      </w:r>
      <w:r w:rsidR="00DE3BAD">
        <w:rPr>
          <w:rFonts w:eastAsia="SimSun"/>
        </w:rPr>
        <w:t xml:space="preserve">has been </w:t>
      </w:r>
      <w:r w:rsidR="00F405C9">
        <w:rPr>
          <w:rFonts w:eastAsia="SimSun"/>
        </w:rPr>
        <w:t>lost</w:t>
      </w:r>
      <w:r>
        <w:rPr>
          <w:rFonts w:eastAsia="SimSun"/>
        </w:rPr>
        <w:t xml:space="preserve">. </w:t>
      </w:r>
    </w:p>
    <w:p w:rsidR="00090DD6" w:rsidRPr="005242BC" w:rsidRDefault="00090DD6" w:rsidP="00BA067B">
      <w:pPr>
        <w:pStyle w:val="Answer0"/>
        <w:spacing w:before="240"/>
      </w:pPr>
      <w:r w:rsidRPr="00BA067B">
        <w:rPr>
          <w:rFonts w:eastAsia="SimSun"/>
          <w:b/>
        </w:rPr>
        <w:t>Q.</w:t>
      </w:r>
      <w:r w:rsidRPr="00BA067B">
        <w:rPr>
          <w:rFonts w:eastAsia="SimSun"/>
          <w:b/>
        </w:rPr>
        <w:tab/>
        <w:t>Isn’t PSE expecting growth from its remaining customer base?</w:t>
      </w:r>
    </w:p>
    <w:p w:rsidR="000A39D5" w:rsidRDefault="00090DD6" w:rsidP="00090DD6">
      <w:pPr>
        <w:pStyle w:val="Answer0"/>
        <w:spacing w:before="240"/>
        <w:rPr>
          <w:rFonts w:eastAsia="SimSun"/>
        </w:rPr>
      </w:pPr>
      <w:r>
        <w:rPr>
          <w:rFonts w:eastAsia="SimSun"/>
        </w:rPr>
        <w:t>A.</w:t>
      </w:r>
      <w:r>
        <w:rPr>
          <w:rFonts w:eastAsia="SimSun"/>
        </w:rPr>
        <w:tab/>
        <w:t xml:space="preserve">Yes.  However, </w:t>
      </w:r>
      <w:r w:rsidR="00232BF2">
        <w:rPr>
          <w:rFonts w:eastAsia="SimSun"/>
        </w:rPr>
        <w:t>Mr. Gorman mischaracterizes the issue.</w:t>
      </w:r>
      <w:r w:rsidR="00FC4CCE">
        <w:rPr>
          <w:rStyle w:val="FootnoteReference"/>
          <w:rFonts w:eastAsia="SimSun"/>
        </w:rPr>
        <w:footnoteReference w:id="24"/>
      </w:r>
      <w:r w:rsidR="00232BF2">
        <w:rPr>
          <w:rFonts w:eastAsia="SimSun"/>
        </w:rPr>
        <w:t xml:space="preserve">  While PSE’s remaining customer count may grow and </w:t>
      </w:r>
      <w:r w:rsidR="003D274D">
        <w:rPr>
          <w:rFonts w:eastAsia="SimSun"/>
        </w:rPr>
        <w:t xml:space="preserve">even </w:t>
      </w:r>
      <w:r w:rsidR="00232BF2">
        <w:rPr>
          <w:rFonts w:eastAsia="SimSun"/>
        </w:rPr>
        <w:t xml:space="preserve">exceed that customer count at the time of the JPUD transaction, PSE has nevertheless suffered a loss of customers today. </w:t>
      </w:r>
      <w:r w:rsidR="003D274D">
        <w:rPr>
          <w:rFonts w:eastAsia="SimSun"/>
        </w:rPr>
        <w:t xml:space="preserve"> </w:t>
      </w:r>
      <w:r w:rsidR="00232BF2">
        <w:rPr>
          <w:rFonts w:eastAsia="SimSun"/>
        </w:rPr>
        <w:t xml:space="preserve">Its earnings base is smaller and its investment opportunity has diminished.  </w:t>
      </w:r>
      <w:r w:rsidR="00A97BA9" w:rsidRPr="00A97BA9">
        <w:rPr>
          <w:rFonts w:eastAsia="SimSun"/>
        </w:rPr>
        <w:t xml:space="preserve">PSE’s earning base will remain smaller and its investment opportunity will be diminished from what it would have been </w:t>
      </w:r>
      <w:r w:rsidR="00DE3BAD">
        <w:rPr>
          <w:rFonts w:eastAsia="SimSun"/>
        </w:rPr>
        <w:t>before</w:t>
      </w:r>
      <w:r w:rsidR="00DE3BAD" w:rsidRPr="00A97BA9">
        <w:rPr>
          <w:rFonts w:eastAsia="SimSun"/>
        </w:rPr>
        <w:t xml:space="preserve"> </w:t>
      </w:r>
      <w:r w:rsidR="00A97BA9" w:rsidRPr="00A97BA9">
        <w:rPr>
          <w:rFonts w:eastAsia="SimSun"/>
        </w:rPr>
        <w:t xml:space="preserve">the loss of Jefferson County service territory.  </w:t>
      </w:r>
      <w:r w:rsidR="00232BF2">
        <w:rPr>
          <w:rFonts w:eastAsia="SimSun"/>
        </w:rPr>
        <w:t xml:space="preserve">Today, the JPUD customers are gone.  Whatever growth is to be had in the remaining customer base is unchanged and unaffected by the transaction.  </w:t>
      </w:r>
    </w:p>
    <w:p w:rsidR="00FC30F3" w:rsidRPr="00A503F9" w:rsidRDefault="00FC30F3" w:rsidP="00FC30F3">
      <w:pPr>
        <w:pStyle w:val="question"/>
        <w:keepNext/>
        <w:keepLines/>
        <w:spacing w:before="120"/>
      </w:pPr>
      <w:r w:rsidRPr="009075DC">
        <w:rPr>
          <w:rFonts w:eastAsia="SimSun"/>
        </w:rPr>
        <w:lastRenderedPageBreak/>
        <w:t>Q.</w:t>
      </w:r>
      <w:r w:rsidRPr="009075DC">
        <w:rPr>
          <w:rFonts w:eastAsia="SimSun"/>
        </w:rPr>
        <w:tab/>
        <w:t>Does th</w:t>
      </w:r>
      <w:r>
        <w:rPr>
          <w:rFonts w:eastAsia="SimSun"/>
        </w:rPr>
        <w:t>e speed of reinvestment matter, as Mr. Keating indicates?</w:t>
      </w:r>
      <w:r w:rsidR="00FC4CCE">
        <w:rPr>
          <w:rStyle w:val="FootnoteReference"/>
          <w:rFonts w:eastAsia="SimSun"/>
        </w:rPr>
        <w:footnoteReference w:id="25"/>
      </w:r>
    </w:p>
    <w:p w:rsidR="00FC30F3" w:rsidRDefault="00FC30F3" w:rsidP="00FC30F3">
      <w:pPr>
        <w:pStyle w:val="Answer0"/>
        <w:rPr>
          <w:rFonts w:eastAsia="SimSun"/>
        </w:rPr>
      </w:pPr>
      <w:r>
        <w:rPr>
          <w:rFonts w:eastAsia="SimSun"/>
        </w:rPr>
        <w:t>A.</w:t>
      </w:r>
      <w:r>
        <w:rPr>
          <w:rFonts w:eastAsia="SimSun"/>
        </w:rPr>
        <w:tab/>
        <w:t xml:space="preserve">No. The speed of reinvestment does not change or restore the Company’s investment opportunity with the departing customers.  It has been eliminated permanently. </w:t>
      </w:r>
      <w:r w:rsidR="00760DDE">
        <w:rPr>
          <w:rFonts w:eastAsia="SimSun"/>
        </w:rPr>
        <w:t xml:space="preserve"> PSE expected growth before the transaction, as well.  No amount </w:t>
      </w:r>
      <w:r w:rsidR="00CE58F0">
        <w:rPr>
          <w:rFonts w:eastAsia="SimSun"/>
        </w:rPr>
        <w:t>of growth n</w:t>
      </w:r>
      <w:r w:rsidR="00760DDE">
        <w:rPr>
          <w:rFonts w:eastAsia="SimSun"/>
        </w:rPr>
        <w:t xml:space="preserve">or </w:t>
      </w:r>
      <w:r w:rsidR="00CE58F0">
        <w:rPr>
          <w:rFonts w:eastAsia="SimSun"/>
        </w:rPr>
        <w:t xml:space="preserve">the </w:t>
      </w:r>
      <w:r w:rsidR="00760DDE">
        <w:rPr>
          <w:rFonts w:eastAsia="SimSun"/>
        </w:rPr>
        <w:t xml:space="preserve">speed of growth can restore the company’s lost </w:t>
      </w:r>
      <w:r w:rsidR="00CE58F0">
        <w:rPr>
          <w:rFonts w:eastAsia="SimSun"/>
        </w:rPr>
        <w:t>opportunity</w:t>
      </w:r>
      <w:r w:rsidR="00760DDE">
        <w:rPr>
          <w:rFonts w:eastAsia="SimSun"/>
        </w:rPr>
        <w:t xml:space="preserve">. </w:t>
      </w:r>
    </w:p>
    <w:p w:rsidR="008248A5" w:rsidRDefault="008248A5" w:rsidP="003775A3">
      <w:pPr>
        <w:pStyle w:val="question"/>
        <w:rPr>
          <w:rFonts w:eastAsia="SimSun"/>
        </w:rPr>
      </w:pPr>
      <w:r w:rsidRPr="00961FD9">
        <w:rPr>
          <w:rFonts w:eastAsia="SimSun"/>
        </w:rPr>
        <w:t>Q.</w:t>
      </w:r>
      <w:r w:rsidRPr="00961FD9">
        <w:rPr>
          <w:rFonts w:eastAsia="SimSun"/>
        </w:rPr>
        <w:tab/>
        <w:t>Did PSE increase its planned capital expenditures</w:t>
      </w:r>
      <w:r>
        <w:rPr>
          <w:rFonts w:eastAsia="SimSun"/>
        </w:rPr>
        <w:t xml:space="preserve"> (“</w:t>
      </w:r>
      <w:proofErr w:type="spellStart"/>
      <w:r>
        <w:rPr>
          <w:rFonts w:eastAsia="SimSun"/>
        </w:rPr>
        <w:t>capex</w:t>
      </w:r>
      <w:proofErr w:type="spellEnd"/>
      <w:r>
        <w:rPr>
          <w:rFonts w:eastAsia="SimSun"/>
        </w:rPr>
        <w:t>”)</w:t>
      </w:r>
      <w:r w:rsidRPr="00961FD9">
        <w:rPr>
          <w:rFonts w:eastAsia="SimSun"/>
        </w:rPr>
        <w:t xml:space="preserve"> to reflect the reinvestment</w:t>
      </w:r>
      <w:r>
        <w:rPr>
          <w:rFonts w:eastAsia="SimSun"/>
        </w:rPr>
        <w:t xml:space="preserve"> of the proceeds</w:t>
      </w:r>
      <w:r w:rsidRPr="00961FD9">
        <w:rPr>
          <w:rFonts w:eastAsia="SimSun"/>
        </w:rPr>
        <w:t>?</w:t>
      </w:r>
    </w:p>
    <w:p w:rsidR="008248A5" w:rsidRDefault="008248A5" w:rsidP="00BA067B">
      <w:pPr>
        <w:pStyle w:val="Answer0"/>
        <w:spacing w:before="240"/>
        <w:rPr>
          <w:rFonts w:eastAsia="SimSun"/>
        </w:rPr>
      </w:pPr>
      <w:r w:rsidRPr="00961FD9">
        <w:rPr>
          <w:rFonts w:eastAsia="SimSun"/>
        </w:rPr>
        <w:t>A.</w:t>
      </w:r>
      <w:r w:rsidRPr="00961FD9">
        <w:rPr>
          <w:rFonts w:eastAsia="SimSun"/>
        </w:rPr>
        <w:tab/>
      </w:r>
      <w:r>
        <w:rPr>
          <w:rFonts w:eastAsia="SimSun"/>
        </w:rPr>
        <w:t xml:space="preserve">No.  The Company’s planned </w:t>
      </w:r>
      <w:proofErr w:type="spellStart"/>
      <w:r>
        <w:rPr>
          <w:rFonts w:eastAsia="SimSun"/>
        </w:rPr>
        <w:t>capex</w:t>
      </w:r>
      <w:proofErr w:type="spellEnd"/>
      <w:r>
        <w:rPr>
          <w:rFonts w:eastAsia="SimSun"/>
        </w:rPr>
        <w:t xml:space="preserve"> is largely unchanged.  The reinvestment is required under §1033 of the Internal Revenue Code in order to defer the tax gain on the involuntary conversion.  The Company will meet this requirement, not through increased investment, but through identifying </w:t>
      </w:r>
      <w:proofErr w:type="spellStart"/>
      <w:r>
        <w:rPr>
          <w:rFonts w:eastAsia="SimSun"/>
        </w:rPr>
        <w:t>capex</w:t>
      </w:r>
      <w:proofErr w:type="spellEnd"/>
      <w:r>
        <w:rPr>
          <w:rFonts w:eastAsia="SimSun"/>
        </w:rPr>
        <w:t xml:space="preserve"> that is already in the plan as qualified replacement property.  Incremental investment above planned </w:t>
      </w:r>
      <w:proofErr w:type="spellStart"/>
      <w:r>
        <w:rPr>
          <w:rFonts w:eastAsia="SimSun"/>
        </w:rPr>
        <w:t>capex</w:t>
      </w:r>
      <w:proofErr w:type="spellEnd"/>
      <w:r>
        <w:rPr>
          <w:rFonts w:eastAsia="SimSun"/>
        </w:rPr>
        <w:t xml:space="preserve"> is not necessary for PSE to satisfy the IRS requirements.</w:t>
      </w:r>
    </w:p>
    <w:p w:rsidR="008248A5" w:rsidRPr="00BA067B" w:rsidRDefault="008248A5" w:rsidP="003775A3">
      <w:pPr>
        <w:pStyle w:val="question"/>
        <w:rPr>
          <w:rFonts w:eastAsia="SimSun"/>
        </w:rPr>
      </w:pPr>
      <w:r w:rsidRPr="00BA067B">
        <w:rPr>
          <w:rFonts w:eastAsia="SimSun"/>
        </w:rPr>
        <w:t>Q.</w:t>
      </w:r>
      <w:r w:rsidRPr="00BA067B">
        <w:rPr>
          <w:rFonts w:eastAsia="SimSun"/>
        </w:rPr>
        <w:tab/>
        <w:t xml:space="preserve">Could PSE increase its planned </w:t>
      </w:r>
      <w:proofErr w:type="spellStart"/>
      <w:r w:rsidRPr="00BA067B">
        <w:rPr>
          <w:rFonts w:eastAsia="SimSun"/>
        </w:rPr>
        <w:t>capex</w:t>
      </w:r>
      <w:proofErr w:type="spellEnd"/>
      <w:r w:rsidRPr="00BA067B">
        <w:rPr>
          <w:rFonts w:eastAsia="SimSun"/>
        </w:rPr>
        <w:t xml:space="preserve"> and </w:t>
      </w:r>
      <w:r w:rsidRPr="008248A5">
        <w:rPr>
          <w:rFonts w:eastAsia="SimSun"/>
        </w:rPr>
        <w:t>recoup</w:t>
      </w:r>
      <w:r w:rsidRPr="00BA067B">
        <w:rPr>
          <w:rFonts w:eastAsia="SimSun"/>
        </w:rPr>
        <w:t xml:space="preserve"> its lost opportunity that way?</w:t>
      </w:r>
    </w:p>
    <w:p w:rsidR="008A2A29" w:rsidRDefault="008248A5" w:rsidP="00BA067B">
      <w:pPr>
        <w:pStyle w:val="Answer0"/>
        <w:spacing w:before="240"/>
        <w:rPr>
          <w:rFonts w:eastAsia="SimSun"/>
        </w:rPr>
      </w:pPr>
      <w:r>
        <w:rPr>
          <w:rFonts w:eastAsia="SimSun"/>
        </w:rPr>
        <w:t>A.</w:t>
      </w:r>
      <w:r>
        <w:rPr>
          <w:rFonts w:eastAsia="SimSun"/>
        </w:rPr>
        <w:tab/>
        <w:t xml:space="preserve">No.  The amount that can be invested economically in the system is finite.  </w:t>
      </w:r>
      <w:r w:rsidR="008A2A29">
        <w:rPr>
          <w:rFonts w:eastAsia="SimSun"/>
        </w:rPr>
        <w:t xml:space="preserve">If investors put their equity back into the smaller business, it would distort the approved capital structure.  They would, in effect, be earning a portion of their </w:t>
      </w:r>
      <w:r w:rsidR="008A2A29">
        <w:rPr>
          <w:rFonts w:eastAsia="SimSun"/>
        </w:rPr>
        <w:lastRenderedPageBreak/>
        <w:t>equity return at the debt rate</w:t>
      </w:r>
      <w:r w:rsidR="002F6A7E">
        <w:rPr>
          <w:rFonts w:eastAsia="SimSun"/>
        </w:rPr>
        <w:t xml:space="preserve"> (e.g. under earning because the approved capital structure would differ from actual)</w:t>
      </w:r>
      <w:r w:rsidR="008A2A29">
        <w:rPr>
          <w:rFonts w:eastAsia="SimSun"/>
        </w:rPr>
        <w:t>.</w:t>
      </w:r>
    </w:p>
    <w:p w:rsidR="008248A5" w:rsidRDefault="002F6A7E" w:rsidP="00BA067B">
      <w:pPr>
        <w:pStyle w:val="Answer0"/>
        <w:spacing w:before="240"/>
        <w:ind w:firstLine="0"/>
        <w:rPr>
          <w:rFonts w:eastAsia="SimSun"/>
        </w:rPr>
      </w:pPr>
      <w:r>
        <w:rPr>
          <w:rFonts w:eastAsia="SimSun"/>
        </w:rPr>
        <w:t xml:space="preserve">If the Company increased its borrowings in order to maintain the approved capital structure, it would have cash in excess of investment needs of the smaller business.  </w:t>
      </w:r>
    </w:p>
    <w:p w:rsidR="00232BF2" w:rsidRPr="00A503F9" w:rsidRDefault="00232BF2" w:rsidP="003775A3">
      <w:pPr>
        <w:pStyle w:val="question"/>
      </w:pPr>
      <w:r w:rsidRPr="009075DC">
        <w:rPr>
          <w:rFonts w:eastAsia="SimSun"/>
        </w:rPr>
        <w:t>Q.</w:t>
      </w:r>
      <w:r w:rsidRPr="009075DC">
        <w:rPr>
          <w:rFonts w:eastAsia="SimSun"/>
        </w:rPr>
        <w:tab/>
      </w:r>
      <w:r w:rsidR="00FA689C">
        <w:rPr>
          <w:rFonts w:eastAsia="SimSun"/>
        </w:rPr>
        <w:t>Please respond to Mr. Keating’s statement that “</w:t>
      </w:r>
      <w:r w:rsidR="00CE3690">
        <w:rPr>
          <w:rFonts w:eastAsia="SimSun"/>
        </w:rPr>
        <w:t>[l]</w:t>
      </w:r>
      <w:proofErr w:type="spellStart"/>
      <w:r w:rsidR="00CE3690">
        <w:rPr>
          <w:rFonts w:eastAsia="SimSun"/>
        </w:rPr>
        <w:t>osing</w:t>
      </w:r>
      <w:proofErr w:type="spellEnd"/>
      <w:r w:rsidR="00CE3690">
        <w:rPr>
          <w:rFonts w:eastAsia="SimSun"/>
        </w:rPr>
        <w:t xml:space="preserve"> </w:t>
      </w:r>
      <w:r w:rsidR="00FA689C">
        <w:rPr>
          <w:rFonts w:eastAsia="SimSun"/>
        </w:rPr>
        <w:t xml:space="preserve">future revenue may be an opportunity cost, but it is </w:t>
      </w:r>
      <w:r w:rsidR="00FA689C">
        <w:rPr>
          <w:rFonts w:eastAsia="SimSun"/>
          <w:i/>
        </w:rPr>
        <w:t>not</w:t>
      </w:r>
      <w:r w:rsidR="00FA689C">
        <w:rPr>
          <w:rFonts w:eastAsia="SimSun"/>
        </w:rPr>
        <w:t xml:space="preserve"> a risk of a capital loss”</w:t>
      </w:r>
      <w:r w:rsidR="00FC4CCE">
        <w:rPr>
          <w:rFonts w:eastAsia="SimSun"/>
        </w:rPr>
        <w:t>.</w:t>
      </w:r>
      <w:r w:rsidR="00FC4CCE">
        <w:rPr>
          <w:rStyle w:val="FootnoteReference"/>
          <w:rFonts w:eastAsia="SimSun"/>
        </w:rPr>
        <w:footnoteReference w:id="26"/>
      </w:r>
      <w:r w:rsidR="00FA689C">
        <w:rPr>
          <w:rFonts w:eastAsia="SimSun"/>
        </w:rPr>
        <w:t xml:space="preserve"> </w:t>
      </w:r>
    </w:p>
    <w:p w:rsidR="00232BF2" w:rsidRDefault="00FA689C" w:rsidP="00232BF2">
      <w:pPr>
        <w:pStyle w:val="Answer0"/>
        <w:rPr>
          <w:rFonts w:eastAsia="SimSun"/>
        </w:rPr>
      </w:pPr>
      <w:r>
        <w:rPr>
          <w:rFonts w:eastAsia="SimSun"/>
        </w:rPr>
        <w:t>A.</w:t>
      </w:r>
      <w:r>
        <w:rPr>
          <w:rFonts w:eastAsia="SimSun"/>
        </w:rPr>
        <w:tab/>
      </w:r>
      <w:r w:rsidR="00C1741C">
        <w:rPr>
          <w:rFonts w:eastAsia="SimSun"/>
        </w:rPr>
        <w:t>I disagree</w:t>
      </w:r>
      <w:r>
        <w:rPr>
          <w:rFonts w:eastAsia="SimSun"/>
        </w:rPr>
        <w:t>.  “Losing future revenue” is the essence of a capital loss.  If there is no revenue, how can there be recovery, n</w:t>
      </w:r>
      <w:r w:rsidR="007E6205">
        <w:rPr>
          <w:rFonts w:eastAsia="SimSun"/>
        </w:rPr>
        <w:t xml:space="preserve">ot to mention </w:t>
      </w:r>
      <w:r>
        <w:rPr>
          <w:rFonts w:eastAsia="SimSun"/>
        </w:rPr>
        <w:t>profit</w:t>
      </w:r>
      <w:r w:rsidR="004F0CC2">
        <w:rPr>
          <w:rFonts w:eastAsia="SimSun"/>
        </w:rPr>
        <w:t xml:space="preserve">?  </w:t>
      </w:r>
      <w:r w:rsidR="007E6205">
        <w:rPr>
          <w:rFonts w:eastAsia="SimSun"/>
        </w:rPr>
        <w:t>That is certainly the recipe for a capital loss.</w:t>
      </w:r>
    </w:p>
    <w:p w:rsidR="007E6205" w:rsidRDefault="007E6205" w:rsidP="00232BF2">
      <w:pPr>
        <w:pStyle w:val="Answer0"/>
        <w:rPr>
          <w:rFonts w:eastAsia="SimSun"/>
        </w:rPr>
      </w:pPr>
      <w:r>
        <w:rPr>
          <w:rFonts w:eastAsia="SimSun"/>
        </w:rPr>
        <w:tab/>
      </w:r>
      <w:r w:rsidR="00CE3690">
        <w:rPr>
          <w:rFonts w:eastAsia="SimSun"/>
        </w:rPr>
        <w:t xml:space="preserve">Mr. Keating also incorrectly states </w:t>
      </w:r>
      <w:r>
        <w:rPr>
          <w:rFonts w:eastAsia="SimSun"/>
        </w:rPr>
        <w:t xml:space="preserve"> that “receiving the full book value of the sold assets … makes shareholders whole”.  (page 33, lines 8-9).  </w:t>
      </w:r>
      <w:r w:rsidR="00CE3690">
        <w:rPr>
          <w:rFonts w:eastAsia="SimSun"/>
        </w:rPr>
        <w:t xml:space="preserve">First, </w:t>
      </w:r>
      <w:r>
        <w:rPr>
          <w:rFonts w:eastAsia="SimSun"/>
        </w:rPr>
        <w:t xml:space="preserve">I believe he means “net book value”, not “full book value”, since his overall testimony only restores the net book value to investors.    </w:t>
      </w:r>
      <w:r w:rsidR="00CE3690">
        <w:rPr>
          <w:rFonts w:eastAsia="SimSun"/>
        </w:rPr>
        <w:t>Second, t</w:t>
      </w:r>
      <w:r>
        <w:rPr>
          <w:rFonts w:eastAsia="SimSun"/>
        </w:rPr>
        <w:t>o return the net book value to investors simple gives them what they already have.  It fails</w:t>
      </w:r>
      <w:r w:rsidR="00FC30F3">
        <w:rPr>
          <w:rFonts w:eastAsia="SimSun"/>
        </w:rPr>
        <w:t xml:space="preserve"> to compensate investors for any element of their</w:t>
      </w:r>
      <w:r>
        <w:rPr>
          <w:rFonts w:eastAsia="SimSun"/>
        </w:rPr>
        <w:t xml:space="preserve"> loss</w:t>
      </w:r>
      <w:r w:rsidR="00FC30F3">
        <w:rPr>
          <w:rFonts w:eastAsia="SimSun"/>
        </w:rPr>
        <w:t xml:space="preserve"> (</w:t>
      </w:r>
      <w:r w:rsidR="00BA067B">
        <w:rPr>
          <w:rFonts w:eastAsia="SimSun"/>
        </w:rPr>
        <w:t>i.e.</w:t>
      </w:r>
      <w:r w:rsidR="00FC30F3">
        <w:rPr>
          <w:rFonts w:eastAsia="SimSun"/>
        </w:rPr>
        <w:t xml:space="preserve"> customers, investment opportunity, etc.). </w:t>
      </w:r>
    </w:p>
    <w:p w:rsidR="007513AD" w:rsidRPr="00A503F9" w:rsidRDefault="007513AD" w:rsidP="003775A3">
      <w:pPr>
        <w:pStyle w:val="question"/>
      </w:pPr>
      <w:r>
        <w:rPr>
          <w:rFonts w:eastAsia="SimSun"/>
        </w:rPr>
        <w:t>Q.</w:t>
      </w:r>
      <w:r>
        <w:rPr>
          <w:rFonts w:eastAsia="SimSun"/>
        </w:rPr>
        <w:tab/>
        <w:t>Won’</w:t>
      </w:r>
      <w:r w:rsidR="00660D80">
        <w:rPr>
          <w:rFonts w:eastAsia="SimSun"/>
        </w:rPr>
        <w:t>t investors be rewarded if they receive the equivalent of a brokerage fee, as suggested by Mr. Keating</w:t>
      </w:r>
      <w:r w:rsidRPr="009075DC">
        <w:rPr>
          <w:rFonts w:eastAsia="SimSun"/>
        </w:rPr>
        <w:t>?</w:t>
      </w:r>
      <w:r w:rsidR="00FC4CCE">
        <w:rPr>
          <w:rStyle w:val="FootnoteReference"/>
          <w:rFonts w:eastAsia="SimSun"/>
        </w:rPr>
        <w:footnoteReference w:id="27"/>
      </w:r>
    </w:p>
    <w:p w:rsidR="007513AD" w:rsidRPr="00C27038" w:rsidRDefault="00660D80" w:rsidP="007513AD">
      <w:pPr>
        <w:pStyle w:val="Answer0"/>
      </w:pPr>
      <w:r>
        <w:rPr>
          <w:rFonts w:eastAsia="SimSun"/>
        </w:rPr>
        <w:lastRenderedPageBreak/>
        <w:t>A.</w:t>
      </w:r>
      <w:r>
        <w:rPr>
          <w:rFonts w:eastAsia="SimSun"/>
        </w:rPr>
        <w:tab/>
        <w:t xml:space="preserve">The problem with this concept is that the investors are owners, not brokers.  The investors owned the assets and the service territory.  </w:t>
      </w:r>
      <w:r w:rsidR="000E6F8A">
        <w:rPr>
          <w:rFonts w:eastAsia="SimSun"/>
        </w:rPr>
        <w:t>Awarding investors</w:t>
      </w:r>
      <w:r>
        <w:rPr>
          <w:rFonts w:eastAsia="SimSun"/>
        </w:rPr>
        <w:t xml:space="preserve"> </w:t>
      </w:r>
      <w:r w:rsidR="000E6F8A">
        <w:rPr>
          <w:rFonts w:eastAsia="SimSun"/>
        </w:rPr>
        <w:t>with the</w:t>
      </w:r>
      <w:r>
        <w:rPr>
          <w:rFonts w:eastAsia="SimSun"/>
        </w:rPr>
        <w:t xml:space="preserve"> equiva</w:t>
      </w:r>
      <w:r w:rsidR="000E6F8A">
        <w:rPr>
          <w:rFonts w:eastAsia="SimSun"/>
        </w:rPr>
        <w:t>lent of a brokerage fee is evidence that his proposal is inadequate.</w:t>
      </w:r>
      <w:r w:rsidR="00090DD6">
        <w:rPr>
          <w:rFonts w:eastAsia="SimSun"/>
        </w:rPr>
        <w:t xml:space="preserve">  Owners don’t get a brokerage fee, they get the gain.</w:t>
      </w:r>
    </w:p>
    <w:p w:rsidR="000E6F8A" w:rsidRPr="009075DC" w:rsidRDefault="000E6F8A" w:rsidP="000E6F8A">
      <w:pPr>
        <w:pStyle w:val="Heading1"/>
        <w:spacing w:after="360" w:line="240" w:lineRule="auto"/>
        <w:rPr>
          <w:rFonts w:eastAsia="SimSun"/>
        </w:rPr>
      </w:pPr>
      <w:bookmarkStart w:id="11" w:name="_Toc385937196"/>
      <w:r>
        <w:rPr>
          <w:rFonts w:eastAsia="SimSun"/>
        </w:rPr>
        <w:t>VI</w:t>
      </w:r>
      <w:r w:rsidR="001C7B57">
        <w:rPr>
          <w:rFonts w:eastAsia="SimSun"/>
        </w:rPr>
        <w:t>I</w:t>
      </w:r>
      <w:r w:rsidRPr="009075DC">
        <w:rPr>
          <w:rFonts w:eastAsia="SimSun"/>
        </w:rPr>
        <w:t>.</w:t>
      </w:r>
      <w:r w:rsidRPr="009075DC">
        <w:rPr>
          <w:rFonts w:eastAsia="SimSun"/>
        </w:rPr>
        <w:tab/>
      </w:r>
      <w:r w:rsidR="00D43629">
        <w:rPr>
          <w:rFonts w:eastAsia="SimSun"/>
        </w:rPr>
        <w:t xml:space="preserve">RESPONSE TO </w:t>
      </w:r>
      <w:r w:rsidR="005F6F0D">
        <w:rPr>
          <w:rFonts w:eastAsia="SimSun"/>
        </w:rPr>
        <w:t xml:space="preserve">OTHER </w:t>
      </w:r>
      <w:r w:rsidR="00D43629">
        <w:rPr>
          <w:rFonts w:eastAsia="SimSun"/>
        </w:rPr>
        <w:t>TESTIMONY</w:t>
      </w:r>
      <w:bookmarkEnd w:id="11"/>
      <w:r>
        <w:rPr>
          <w:rFonts w:eastAsia="SimSun"/>
        </w:rPr>
        <w:t xml:space="preserve"> </w:t>
      </w:r>
    </w:p>
    <w:p w:rsidR="000E6F8A" w:rsidRPr="00A503F9" w:rsidRDefault="000E6F8A" w:rsidP="003775A3">
      <w:pPr>
        <w:pStyle w:val="question"/>
      </w:pPr>
      <w:r w:rsidRPr="009075DC">
        <w:rPr>
          <w:rFonts w:eastAsia="SimSun"/>
        </w:rPr>
        <w:t>Q.</w:t>
      </w:r>
      <w:r w:rsidRPr="009075DC">
        <w:rPr>
          <w:rFonts w:eastAsia="SimSun"/>
        </w:rPr>
        <w:tab/>
      </w:r>
      <w:r w:rsidR="00D43629">
        <w:rPr>
          <w:rFonts w:eastAsia="SimSun"/>
        </w:rPr>
        <w:t xml:space="preserve">Mr. Gorman claims that, </w:t>
      </w:r>
      <w:r w:rsidR="002C773B">
        <w:rPr>
          <w:rFonts w:eastAsia="SimSun"/>
        </w:rPr>
        <w:t xml:space="preserve">“It is noteworthy, however, that </w:t>
      </w:r>
      <w:r w:rsidR="00D43629">
        <w:rPr>
          <w:rFonts w:eastAsia="SimSun"/>
        </w:rPr>
        <w:t xml:space="preserve">in 2013, “PSE’s earnings exceeded its authorized rate of return.”  </w:t>
      </w:r>
      <w:r w:rsidR="00760DDE">
        <w:rPr>
          <w:rFonts w:eastAsia="SimSun"/>
        </w:rPr>
        <w:t>How do you respond</w:t>
      </w:r>
      <w:r w:rsidR="00D43629">
        <w:rPr>
          <w:rFonts w:eastAsia="SimSun"/>
        </w:rPr>
        <w:t>?</w:t>
      </w:r>
    </w:p>
    <w:p w:rsidR="00DD6DCA" w:rsidRDefault="00D43629" w:rsidP="000E6F8A">
      <w:pPr>
        <w:pStyle w:val="Answer0"/>
        <w:rPr>
          <w:rFonts w:eastAsia="SimSun"/>
        </w:rPr>
      </w:pPr>
      <w:r>
        <w:rPr>
          <w:rFonts w:eastAsia="SimSun"/>
        </w:rPr>
        <w:t>A.</w:t>
      </w:r>
      <w:r>
        <w:rPr>
          <w:rFonts w:eastAsia="SimSun"/>
        </w:rPr>
        <w:tab/>
      </w:r>
      <w:r w:rsidR="005C20A6">
        <w:rPr>
          <w:rFonts w:eastAsia="SimSun"/>
        </w:rPr>
        <w:t xml:space="preserve"> </w:t>
      </w:r>
      <w:r w:rsidR="002C773B">
        <w:rPr>
          <w:rFonts w:eastAsia="SimSun"/>
        </w:rPr>
        <w:t xml:space="preserve">Unfortunately, no, the Company did not earn its authorized return in 2013.  </w:t>
      </w:r>
      <w:r w:rsidR="00760DDE">
        <w:rPr>
          <w:rFonts w:eastAsia="SimSun"/>
        </w:rPr>
        <w:t xml:space="preserve">While </w:t>
      </w:r>
      <w:r>
        <w:rPr>
          <w:rFonts w:eastAsia="SimSun"/>
        </w:rPr>
        <w:t xml:space="preserve">Mr. Gorman </w:t>
      </w:r>
      <w:r w:rsidR="00760DDE">
        <w:rPr>
          <w:rFonts w:eastAsia="SimSun"/>
        </w:rPr>
        <w:t xml:space="preserve">provided no support for his claim, page 33 of </w:t>
      </w:r>
      <w:r w:rsidR="002C773B">
        <w:rPr>
          <w:rFonts w:eastAsia="SimSun"/>
        </w:rPr>
        <w:t xml:space="preserve">the Company’s </w:t>
      </w:r>
      <w:r w:rsidR="00760DDE">
        <w:rPr>
          <w:rFonts w:eastAsia="SimSun"/>
        </w:rPr>
        <w:t xml:space="preserve">publicly-available </w:t>
      </w:r>
      <w:r>
        <w:rPr>
          <w:rFonts w:eastAsia="SimSun"/>
        </w:rPr>
        <w:t>10K</w:t>
      </w:r>
      <w:r w:rsidR="00760DDE">
        <w:rPr>
          <w:rFonts w:eastAsia="SimSun"/>
        </w:rPr>
        <w:t xml:space="preserve"> </w:t>
      </w:r>
      <w:r w:rsidR="00B64074">
        <w:rPr>
          <w:rFonts w:eastAsia="SimSun"/>
        </w:rPr>
        <w:t>confirms that</w:t>
      </w:r>
      <w:r w:rsidR="00760DDE">
        <w:rPr>
          <w:rFonts w:eastAsia="SimSun"/>
        </w:rPr>
        <w:t xml:space="preserve"> </w:t>
      </w:r>
      <w:r w:rsidR="00B64074">
        <w:rPr>
          <w:rFonts w:eastAsia="SimSun"/>
        </w:rPr>
        <w:t>PSE’s did not exceed its authorized rate of return in 2013.</w:t>
      </w:r>
      <w:r w:rsidR="002C773B">
        <w:rPr>
          <w:rFonts w:eastAsia="SimSun"/>
        </w:rPr>
        <w:t xml:space="preserve">  </w:t>
      </w:r>
      <w:r w:rsidR="00BF43A7">
        <w:rPr>
          <w:rFonts w:eastAsia="SimSun"/>
        </w:rPr>
        <w:t>Mr. Gorman has</w:t>
      </w:r>
      <w:r w:rsidR="008F3396">
        <w:rPr>
          <w:rFonts w:eastAsia="SimSun"/>
        </w:rPr>
        <w:t>, again,</w:t>
      </w:r>
      <w:r w:rsidR="00BF43A7">
        <w:rPr>
          <w:rFonts w:eastAsia="SimSun"/>
        </w:rPr>
        <w:t xml:space="preserve"> miscalculat</w:t>
      </w:r>
      <w:r w:rsidR="008F3396">
        <w:rPr>
          <w:rFonts w:eastAsia="SimSun"/>
        </w:rPr>
        <w:t>ed</w:t>
      </w:r>
      <w:r w:rsidR="00BF43A7">
        <w:rPr>
          <w:rFonts w:eastAsia="SimSun"/>
        </w:rPr>
        <w:t xml:space="preserve"> PSE’s actual rate of return.  Here, </w:t>
      </w:r>
      <w:r w:rsidR="00A97BA9" w:rsidRPr="00A97BA9">
        <w:rPr>
          <w:rFonts w:eastAsia="SimSun"/>
        </w:rPr>
        <w:t xml:space="preserve">Mr. Gorman makes the same calculation error he made in PSE’s 2011 general rate case and </w:t>
      </w:r>
      <w:r w:rsidR="00BF43A7">
        <w:rPr>
          <w:rFonts w:eastAsia="SimSun"/>
        </w:rPr>
        <w:t xml:space="preserve">2013 </w:t>
      </w:r>
      <w:r w:rsidR="00A97BA9" w:rsidRPr="00A97BA9">
        <w:rPr>
          <w:rFonts w:eastAsia="SimSun"/>
        </w:rPr>
        <w:t>decoupling proceeding, in which he considers PSE’s non-regulated subsidiaries and OCI when calculating return on equity and capital structure.  In those cases, the Commission rejected this “misleading picture” painted by Mr. Gorman.</w:t>
      </w:r>
      <w:r w:rsidR="00A97BA9" w:rsidRPr="00A97BA9">
        <w:rPr>
          <w:rFonts w:eastAsia="SimSun"/>
          <w:position w:val="6"/>
          <w:sz w:val="16"/>
        </w:rPr>
        <w:footnoteReference w:id="28"/>
      </w:r>
      <w:r w:rsidR="00A97BA9" w:rsidRPr="00A97BA9">
        <w:rPr>
          <w:rFonts w:eastAsia="SimSun"/>
        </w:rPr>
        <w:t xml:space="preserve"> </w:t>
      </w:r>
    </w:p>
    <w:p w:rsidR="00DD6DCA" w:rsidRPr="00A503F9" w:rsidRDefault="00DD6DCA" w:rsidP="003775A3">
      <w:pPr>
        <w:pStyle w:val="question"/>
      </w:pPr>
      <w:r w:rsidRPr="009075DC">
        <w:rPr>
          <w:rFonts w:eastAsia="SimSun"/>
        </w:rPr>
        <w:t>Q.</w:t>
      </w:r>
      <w:r w:rsidRPr="009075DC">
        <w:rPr>
          <w:rFonts w:eastAsia="SimSun"/>
        </w:rPr>
        <w:tab/>
      </w:r>
      <w:r>
        <w:rPr>
          <w:rFonts w:eastAsia="SimSun"/>
        </w:rPr>
        <w:t>Mr. Keating is challenging the Company’s inclusion of $317,805 in labor charges to the JPUD transaction costs.  Please elaborate.</w:t>
      </w:r>
    </w:p>
    <w:p w:rsidR="004A338D" w:rsidRPr="00C27038" w:rsidRDefault="00DD6DCA" w:rsidP="00C1741C">
      <w:pPr>
        <w:pStyle w:val="Answer0"/>
      </w:pPr>
      <w:r>
        <w:rPr>
          <w:rFonts w:eastAsia="SimSun"/>
        </w:rPr>
        <w:lastRenderedPageBreak/>
        <w:t>A.</w:t>
      </w:r>
      <w:r>
        <w:rPr>
          <w:rFonts w:eastAsia="SimSun"/>
        </w:rPr>
        <w:tab/>
        <w:t>As part of the transaction, PSE incurred labor charges.  Those charges were properly recorded to the transaction.  Generally accepted accounting pr</w:t>
      </w:r>
      <w:r w:rsidR="000B3273">
        <w:rPr>
          <w:rFonts w:eastAsia="SimSun"/>
        </w:rPr>
        <w:t>inciples</w:t>
      </w:r>
      <w:r>
        <w:rPr>
          <w:rFonts w:eastAsia="SimSun"/>
        </w:rPr>
        <w:t xml:space="preserve">, FERC, and the Commission require that labor </w:t>
      </w:r>
      <w:r w:rsidR="00A67B08">
        <w:rPr>
          <w:rFonts w:eastAsia="SimSun"/>
        </w:rPr>
        <w:t xml:space="preserve">be </w:t>
      </w:r>
      <w:r>
        <w:rPr>
          <w:rFonts w:eastAsia="SimSun"/>
        </w:rPr>
        <w:t>charge</w:t>
      </w:r>
      <w:r w:rsidR="00A67B08">
        <w:rPr>
          <w:rFonts w:eastAsia="SimSun"/>
        </w:rPr>
        <w:t>d to the job to which it is related.</w:t>
      </w:r>
      <w:r>
        <w:rPr>
          <w:rFonts w:eastAsia="SimSun"/>
        </w:rPr>
        <w:t xml:space="preserve"> </w:t>
      </w:r>
      <w:r w:rsidR="00A67B08">
        <w:rPr>
          <w:rFonts w:eastAsia="SimSun"/>
        </w:rPr>
        <w:t xml:space="preserve"> PSE followed it longstanding </w:t>
      </w:r>
      <w:r>
        <w:rPr>
          <w:rFonts w:eastAsia="SimSun"/>
        </w:rPr>
        <w:t>procedures to ensure that all labor charges were recorded to the proper work orders.  Note that Mr. Keating is not challenging the work that was performed</w:t>
      </w:r>
      <w:r w:rsidR="001C7B57">
        <w:rPr>
          <w:rFonts w:eastAsia="SimSun"/>
        </w:rPr>
        <w:t xml:space="preserve"> but instead is challenging</w:t>
      </w:r>
      <w:r>
        <w:rPr>
          <w:rFonts w:eastAsia="SimSun"/>
        </w:rPr>
        <w:t xml:space="preserve"> the accounting.  </w:t>
      </w:r>
      <w:r w:rsidR="004A338D">
        <w:rPr>
          <w:rFonts w:eastAsia="SimSun"/>
        </w:rPr>
        <w:t xml:space="preserve">He believes that the </w:t>
      </w:r>
      <w:r w:rsidR="004160FE">
        <w:rPr>
          <w:rFonts w:eastAsia="SimSun"/>
        </w:rPr>
        <w:t>“</w:t>
      </w:r>
      <w:r w:rsidR="004A338D">
        <w:rPr>
          <w:rFonts w:eastAsia="SimSun"/>
        </w:rPr>
        <w:t xml:space="preserve">labor </w:t>
      </w:r>
      <w:r w:rsidR="004160FE">
        <w:rPr>
          <w:rFonts w:eastAsia="SimSun"/>
        </w:rPr>
        <w:t>expenses duplicated costs that are</w:t>
      </w:r>
      <w:r w:rsidR="004A338D">
        <w:rPr>
          <w:rFonts w:eastAsia="SimSun"/>
        </w:rPr>
        <w:t xml:space="preserve"> already included in rates</w:t>
      </w:r>
      <w:r w:rsidR="004160FE">
        <w:rPr>
          <w:rFonts w:eastAsia="SimSun"/>
        </w:rPr>
        <w:t>”</w:t>
      </w:r>
      <w:r w:rsidR="004A338D">
        <w:rPr>
          <w:rFonts w:eastAsia="SimSun"/>
        </w:rPr>
        <w:t xml:space="preserve"> from </w:t>
      </w:r>
      <w:r w:rsidR="005C20A6">
        <w:rPr>
          <w:rFonts w:eastAsia="SimSun"/>
        </w:rPr>
        <w:t xml:space="preserve">PSE’s most recent rate filings, </w:t>
      </w:r>
      <w:r w:rsidR="004A338D">
        <w:rPr>
          <w:rFonts w:eastAsia="SimSun"/>
        </w:rPr>
        <w:t xml:space="preserve">the </w:t>
      </w:r>
      <w:r w:rsidR="005C20A6">
        <w:rPr>
          <w:rFonts w:eastAsia="SimSun"/>
        </w:rPr>
        <w:t>Expedited Rate Filing (“</w:t>
      </w:r>
      <w:r w:rsidR="004A338D">
        <w:rPr>
          <w:rFonts w:eastAsia="SimSun"/>
        </w:rPr>
        <w:t>ERF</w:t>
      </w:r>
      <w:r w:rsidR="005C20A6">
        <w:rPr>
          <w:rFonts w:eastAsia="SimSun"/>
        </w:rPr>
        <w:t>”, UE-130138)</w:t>
      </w:r>
      <w:r w:rsidR="004A338D">
        <w:rPr>
          <w:rFonts w:eastAsia="SimSun"/>
        </w:rPr>
        <w:t xml:space="preserve"> and most recent </w:t>
      </w:r>
      <w:r w:rsidR="005C20A6">
        <w:rPr>
          <w:rFonts w:eastAsia="SimSun"/>
        </w:rPr>
        <w:t xml:space="preserve">Power Cost </w:t>
      </w:r>
      <w:r w:rsidR="00BA067B">
        <w:rPr>
          <w:rFonts w:eastAsia="SimSun"/>
        </w:rPr>
        <w:t>Only</w:t>
      </w:r>
      <w:r w:rsidR="005C20A6">
        <w:rPr>
          <w:rFonts w:eastAsia="SimSun"/>
        </w:rPr>
        <w:t xml:space="preserve"> Rate Case (“</w:t>
      </w:r>
      <w:proofErr w:type="spellStart"/>
      <w:r w:rsidR="004A338D">
        <w:rPr>
          <w:rFonts w:eastAsia="SimSun"/>
        </w:rPr>
        <w:t>PCORC</w:t>
      </w:r>
      <w:proofErr w:type="spellEnd"/>
      <w:r w:rsidR="005C20A6">
        <w:rPr>
          <w:rFonts w:eastAsia="SimSun"/>
        </w:rPr>
        <w:t>”, UE-130617)</w:t>
      </w:r>
      <w:r w:rsidR="00FC4CCE">
        <w:rPr>
          <w:rFonts w:eastAsia="SimSun"/>
        </w:rPr>
        <w:t>.</w:t>
      </w:r>
      <w:r w:rsidR="00FC4CCE">
        <w:rPr>
          <w:rStyle w:val="FootnoteReference"/>
          <w:rFonts w:eastAsia="SimSun"/>
        </w:rPr>
        <w:footnoteReference w:id="29"/>
      </w:r>
      <w:r w:rsidR="004A338D">
        <w:rPr>
          <w:rFonts w:eastAsia="SimSun"/>
        </w:rPr>
        <w:t xml:space="preserve">  This is not correct.  </w:t>
      </w:r>
      <w:r w:rsidR="004E5332">
        <w:rPr>
          <w:rFonts w:eastAsia="SimSun"/>
        </w:rPr>
        <w:t>There is no overlap</w:t>
      </w:r>
      <w:r w:rsidR="004160FE">
        <w:rPr>
          <w:rFonts w:eastAsia="SimSun"/>
        </w:rPr>
        <w:t xml:space="preserve"> or duplication</w:t>
      </w:r>
      <w:r w:rsidR="004E5332">
        <w:rPr>
          <w:rFonts w:eastAsia="SimSun"/>
        </w:rPr>
        <w:t xml:space="preserve"> between the labor expenses recovered in the ERF and PCORC and those charges reflected in </w:t>
      </w:r>
      <w:r w:rsidR="004A338D">
        <w:rPr>
          <w:rFonts w:eastAsia="SimSun"/>
        </w:rPr>
        <w:t xml:space="preserve">the </w:t>
      </w:r>
      <w:proofErr w:type="spellStart"/>
      <w:r w:rsidR="004A338D">
        <w:rPr>
          <w:rFonts w:eastAsia="SimSun"/>
        </w:rPr>
        <w:t>JPUD</w:t>
      </w:r>
      <w:proofErr w:type="spellEnd"/>
      <w:r w:rsidR="004A338D">
        <w:rPr>
          <w:rFonts w:eastAsia="SimSun"/>
        </w:rPr>
        <w:t xml:space="preserve"> retirement orders</w:t>
      </w:r>
      <w:r w:rsidR="007C1786">
        <w:rPr>
          <w:rFonts w:eastAsia="SimSun"/>
        </w:rPr>
        <w:t xml:space="preserve">.  </w:t>
      </w:r>
      <w:r w:rsidR="004160FE">
        <w:rPr>
          <w:rFonts w:eastAsia="SimSun"/>
        </w:rPr>
        <w:t>The</w:t>
      </w:r>
      <w:r w:rsidR="001C7B57">
        <w:rPr>
          <w:rFonts w:eastAsia="SimSun"/>
        </w:rPr>
        <w:t>y are different charges for different work.</w:t>
      </w:r>
      <w:r w:rsidR="004160FE">
        <w:rPr>
          <w:rFonts w:eastAsia="SimSun"/>
        </w:rPr>
        <w:t xml:space="preserve">  PSE’s accounting system does not permit the posting of the same time to more than one work order.  </w:t>
      </w:r>
    </w:p>
    <w:p w:rsidR="007513AD" w:rsidRPr="00BA067B" w:rsidRDefault="005F4278" w:rsidP="003775A3">
      <w:pPr>
        <w:pStyle w:val="question"/>
      </w:pPr>
      <w:r w:rsidRPr="00BA067B">
        <w:t>Q.</w:t>
      </w:r>
      <w:r w:rsidRPr="00BA067B">
        <w:tab/>
      </w:r>
      <w:r w:rsidR="00B02822" w:rsidRPr="00BA067B">
        <w:t>How do you respond to Staff’s claim that PSE’s proposal here is contrary to its proposal for the Electron Hydroelectric transaction?</w:t>
      </w:r>
    </w:p>
    <w:p w:rsidR="00232BF2" w:rsidRDefault="00B02822" w:rsidP="00BA067B">
      <w:pPr>
        <w:pStyle w:val="Answer0"/>
        <w:spacing w:before="240"/>
        <w:rPr>
          <w:rFonts w:eastAsia="SimSun"/>
        </w:rPr>
      </w:pPr>
      <w:r>
        <w:rPr>
          <w:rFonts w:eastAsia="SimSun"/>
        </w:rPr>
        <w:t>A.</w:t>
      </w:r>
      <w:r>
        <w:rPr>
          <w:rFonts w:eastAsia="SimSun"/>
        </w:rPr>
        <w:tab/>
        <w:t xml:space="preserve">The Electron proposal provides a contrast to the JPUD transaction.  First, the proposal to sell Electron required Commission approval in which (a) </w:t>
      </w:r>
      <w:r w:rsidR="00A41EE0">
        <w:rPr>
          <w:rFonts w:eastAsia="SimSun"/>
        </w:rPr>
        <w:t>it</w:t>
      </w:r>
      <w:r>
        <w:rPr>
          <w:rFonts w:eastAsia="SimSun"/>
        </w:rPr>
        <w:t xml:space="preserve"> applied a no harm test</w:t>
      </w:r>
      <w:r w:rsidR="00F10138">
        <w:rPr>
          <w:rFonts w:eastAsia="SimSun"/>
        </w:rPr>
        <w:t>,</w:t>
      </w:r>
      <w:r>
        <w:rPr>
          <w:rFonts w:eastAsia="SimSun"/>
        </w:rPr>
        <w:t xml:space="preserve"> and (b) PSE demonstrated that the proposal represented the least </w:t>
      </w:r>
      <w:r w:rsidR="00A41EE0">
        <w:rPr>
          <w:rFonts w:eastAsia="SimSun"/>
        </w:rPr>
        <w:t xml:space="preserve">cost alternative </w:t>
      </w:r>
      <w:r w:rsidR="00F10138">
        <w:rPr>
          <w:rFonts w:eastAsia="SimSun"/>
        </w:rPr>
        <w:t>and was in the public interest.</w:t>
      </w:r>
      <w:r w:rsidR="00A41EE0">
        <w:rPr>
          <w:rFonts w:eastAsia="SimSun"/>
        </w:rPr>
        <w:t xml:space="preserve">  </w:t>
      </w:r>
      <w:r>
        <w:rPr>
          <w:rFonts w:eastAsia="SimSun"/>
        </w:rPr>
        <w:t xml:space="preserve">In contrast, the Commission did </w:t>
      </w:r>
      <w:r>
        <w:rPr>
          <w:rFonts w:eastAsia="SimSun"/>
        </w:rPr>
        <w:lastRenderedPageBreak/>
        <w:t xml:space="preserve">not and could not approve or disapprove of the JPUD transaction and the “no harm” test was not applicable.  </w:t>
      </w:r>
    </w:p>
    <w:p w:rsidR="00B02822" w:rsidRDefault="00B02822" w:rsidP="00BA067B">
      <w:pPr>
        <w:pStyle w:val="Answer0"/>
        <w:spacing w:before="240"/>
        <w:rPr>
          <w:rFonts w:eastAsia="SimSun"/>
        </w:rPr>
      </w:pPr>
      <w:r>
        <w:rPr>
          <w:rFonts w:eastAsia="SimSun"/>
        </w:rPr>
        <w:tab/>
        <w:t xml:space="preserve">Second, the cost of the plant is to be reflected in customer rates </w:t>
      </w:r>
      <w:r w:rsidR="00BE127B">
        <w:rPr>
          <w:rFonts w:eastAsia="SimSun"/>
        </w:rPr>
        <w:t xml:space="preserve">under the mechanics of the regulatory compact that is in place.  </w:t>
      </w:r>
      <w:r w:rsidR="008816D3">
        <w:rPr>
          <w:rFonts w:eastAsia="SimSun"/>
        </w:rPr>
        <w:t xml:space="preserve">The risk of Electron closing down early due to </w:t>
      </w:r>
      <w:r w:rsidR="00A41EE0">
        <w:rPr>
          <w:rFonts w:eastAsia="SimSun"/>
        </w:rPr>
        <w:t xml:space="preserve">economic </w:t>
      </w:r>
      <w:r w:rsidR="008816D3">
        <w:rPr>
          <w:rFonts w:eastAsia="SimSun"/>
        </w:rPr>
        <w:t xml:space="preserve">obsolescence and other factors was not reflected in rate making.  That risk became a reality and led the Company to look for a buyer.  This is the kind of risk that the Company can pass to customers only after the fact via Commission approval.  In contrast, the risk of a condemnation proceeding cannot be passed along to </w:t>
      </w:r>
      <w:r w:rsidR="003F7F04">
        <w:rPr>
          <w:rFonts w:eastAsia="SimSun"/>
        </w:rPr>
        <w:t xml:space="preserve">remaining </w:t>
      </w:r>
      <w:r w:rsidR="008816D3">
        <w:rPr>
          <w:rFonts w:eastAsia="SimSun"/>
        </w:rPr>
        <w:t>customers as it</w:t>
      </w:r>
      <w:r w:rsidR="00A41EE0">
        <w:rPr>
          <w:rFonts w:eastAsia="SimSun"/>
        </w:rPr>
        <w:t xml:space="preserve"> is a risk of owning assets and </w:t>
      </w:r>
      <w:r w:rsidR="00BE3877">
        <w:rPr>
          <w:rFonts w:eastAsia="SimSun"/>
        </w:rPr>
        <w:t xml:space="preserve">not </w:t>
      </w:r>
      <w:r w:rsidR="00847565">
        <w:rPr>
          <w:rFonts w:eastAsia="SimSun"/>
        </w:rPr>
        <w:t>a component of the costs of service regulatory model</w:t>
      </w:r>
      <w:r w:rsidR="003F7F04">
        <w:rPr>
          <w:rFonts w:eastAsia="SimSun"/>
        </w:rPr>
        <w:t>.</w:t>
      </w:r>
      <w:r w:rsidR="008816D3">
        <w:rPr>
          <w:rFonts w:eastAsia="SimSun"/>
        </w:rPr>
        <w:t xml:space="preserve"> </w:t>
      </w:r>
      <w:r w:rsidR="003F7F04">
        <w:rPr>
          <w:rFonts w:eastAsia="SimSun"/>
        </w:rPr>
        <w:t xml:space="preserve"> </w:t>
      </w:r>
      <w:r w:rsidR="00023358">
        <w:rPr>
          <w:rFonts w:eastAsia="SimSun"/>
        </w:rPr>
        <w:t>This risk</w:t>
      </w:r>
      <w:r w:rsidR="002A7694">
        <w:rPr>
          <w:rFonts w:eastAsia="SimSun"/>
        </w:rPr>
        <w:t xml:space="preserve"> </w:t>
      </w:r>
      <w:r w:rsidR="00023358">
        <w:rPr>
          <w:rFonts w:eastAsia="SimSun"/>
        </w:rPr>
        <w:t xml:space="preserve">would </w:t>
      </w:r>
      <w:r w:rsidR="002A7694">
        <w:rPr>
          <w:rFonts w:eastAsia="SimSun"/>
        </w:rPr>
        <w:t xml:space="preserve">never be reflected in rate making.  </w:t>
      </w:r>
      <w:r w:rsidR="00023358">
        <w:rPr>
          <w:rFonts w:eastAsia="SimSun"/>
        </w:rPr>
        <w:t>It falls entirely on investors</w:t>
      </w:r>
      <w:r w:rsidR="002A7694">
        <w:rPr>
          <w:rFonts w:eastAsia="SimSun"/>
        </w:rPr>
        <w:t>.</w:t>
      </w:r>
      <w:r w:rsidR="003F7F04">
        <w:rPr>
          <w:rFonts w:eastAsia="SimSun"/>
        </w:rPr>
        <w:t xml:space="preserve"> </w:t>
      </w:r>
    </w:p>
    <w:p w:rsidR="00B94844" w:rsidRPr="00B94844" w:rsidRDefault="00BE127B" w:rsidP="00023358">
      <w:pPr>
        <w:pStyle w:val="Answer0"/>
        <w:spacing w:before="240"/>
        <w:rPr>
          <w:rFonts w:eastAsia="SimSun"/>
        </w:rPr>
      </w:pPr>
      <w:r>
        <w:rPr>
          <w:rFonts w:eastAsia="SimSun"/>
        </w:rPr>
        <w:tab/>
      </w:r>
      <w:r w:rsidR="00023358">
        <w:rPr>
          <w:rFonts w:eastAsia="SimSun"/>
        </w:rPr>
        <w:t>Finally</w:t>
      </w:r>
      <w:r>
        <w:rPr>
          <w:rFonts w:eastAsia="SimSun"/>
        </w:rPr>
        <w:t xml:space="preserve">, no customers or service territory will be lost under the Electron proposal nor will the </w:t>
      </w:r>
      <w:r w:rsidR="001A4FBD">
        <w:rPr>
          <w:rFonts w:eastAsia="SimSun"/>
        </w:rPr>
        <w:t>C</w:t>
      </w:r>
      <w:r>
        <w:rPr>
          <w:rFonts w:eastAsia="SimSun"/>
        </w:rPr>
        <w:t xml:space="preserve">ompany’s investment opportunity be diminished.  </w:t>
      </w:r>
      <w:r w:rsidR="00847565">
        <w:rPr>
          <w:rFonts w:eastAsia="SimSun"/>
        </w:rPr>
        <w:t xml:space="preserve">In fact, replacement generation must be secured in order to meet the undiminished needs of all customers.  </w:t>
      </w:r>
      <w:r w:rsidR="002A7694">
        <w:rPr>
          <w:rFonts w:eastAsia="SimSun"/>
        </w:rPr>
        <w:t>In contrast, PSE lost</w:t>
      </w:r>
      <w:r>
        <w:rPr>
          <w:rFonts w:eastAsia="SimSun"/>
        </w:rPr>
        <w:t xml:space="preserve"> 1.8% of its customers and service territory in the JPUD transaction and it has a smaller investment opportunity.</w:t>
      </w:r>
    </w:p>
    <w:p w:rsidR="001B0B4C" w:rsidRPr="009075DC" w:rsidRDefault="00342E24" w:rsidP="001B0B4C">
      <w:pPr>
        <w:pStyle w:val="Heading1"/>
        <w:spacing w:after="360" w:line="240" w:lineRule="auto"/>
        <w:rPr>
          <w:rFonts w:eastAsia="SimSun"/>
        </w:rPr>
      </w:pPr>
      <w:bookmarkStart w:id="12" w:name="_Toc370909495"/>
      <w:bookmarkStart w:id="13" w:name="_Toc385937197"/>
      <w:r>
        <w:rPr>
          <w:rFonts w:eastAsia="SimSun"/>
        </w:rPr>
        <w:t>V</w:t>
      </w:r>
      <w:r w:rsidR="00F54D07">
        <w:rPr>
          <w:rFonts w:eastAsia="SimSun"/>
        </w:rPr>
        <w:t>II</w:t>
      </w:r>
      <w:r w:rsidR="001C7B57">
        <w:rPr>
          <w:rFonts w:eastAsia="SimSun"/>
        </w:rPr>
        <w:t>I</w:t>
      </w:r>
      <w:r w:rsidR="001B0B4C" w:rsidRPr="009075DC">
        <w:rPr>
          <w:rFonts w:eastAsia="SimSun"/>
        </w:rPr>
        <w:t>.</w:t>
      </w:r>
      <w:r w:rsidR="001B0B4C" w:rsidRPr="009075DC">
        <w:rPr>
          <w:rFonts w:eastAsia="SimSun"/>
        </w:rPr>
        <w:tab/>
      </w:r>
      <w:r w:rsidR="001B0B4C">
        <w:rPr>
          <w:rFonts w:eastAsia="SimSun"/>
        </w:rPr>
        <w:t>CONCLUSION</w:t>
      </w:r>
      <w:bookmarkEnd w:id="12"/>
      <w:bookmarkEnd w:id="13"/>
      <w:r w:rsidR="001B0B4C">
        <w:rPr>
          <w:rFonts w:eastAsia="SimSun"/>
        </w:rPr>
        <w:t xml:space="preserve"> </w:t>
      </w:r>
    </w:p>
    <w:p w:rsidR="00B15858" w:rsidRPr="003775A3" w:rsidRDefault="00B15858" w:rsidP="003775A3">
      <w:pPr>
        <w:pStyle w:val="question"/>
      </w:pPr>
      <w:r w:rsidRPr="003775A3">
        <w:rPr>
          <w:rFonts w:eastAsia="SimSun"/>
        </w:rPr>
        <w:t>Q.</w:t>
      </w:r>
      <w:r w:rsidRPr="003775A3">
        <w:rPr>
          <w:rFonts w:eastAsia="SimSun"/>
        </w:rPr>
        <w:tab/>
        <w:t>Please summarize your testimony</w:t>
      </w:r>
      <w:r w:rsidR="003775A3" w:rsidRPr="003775A3">
        <w:rPr>
          <w:rFonts w:eastAsia="SimSun"/>
        </w:rPr>
        <w:t>.</w:t>
      </w:r>
    </w:p>
    <w:p w:rsidR="00B15858" w:rsidRDefault="00B15858" w:rsidP="00B15858">
      <w:pPr>
        <w:pStyle w:val="Answer0"/>
        <w:rPr>
          <w:rFonts w:eastAsia="SimSun"/>
        </w:rPr>
      </w:pPr>
      <w:r>
        <w:rPr>
          <w:rFonts w:eastAsia="SimSun"/>
        </w:rPr>
        <w:t>A.</w:t>
      </w:r>
      <w:r>
        <w:rPr>
          <w:rFonts w:eastAsia="SimSun"/>
        </w:rPr>
        <w:tab/>
      </w:r>
      <w:r w:rsidR="005E7972">
        <w:rPr>
          <w:rFonts w:eastAsia="SimSun"/>
        </w:rPr>
        <w:t>The testimon</w:t>
      </w:r>
      <w:r w:rsidR="004A1555">
        <w:rPr>
          <w:rFonts w:eastAsia="SimSun"/>
        </w:rPr>
        <w:t>ies</w:t>
      </w:r>
      <w:r w:rsidR="005E7972">
        <w:rPr>
          <w:rFonts w:eastAsia="SimSun"/>
        </w:rPr>
        <w:t xml:space="preserve"> of Staff, ICNU, and Public Counsel are nonresponsive to the facts and circumstances </w:t>
      </w:r>
      <w:r w:rsidR="00D6520E">
        <w:rPr>
          <w:rFonts w:eastAsia="SimSun"/>
        </w:rPr>
        <w:t>that are present in this case.</w:t>
      </w:r>
      <w:r w:rsidR="00847565">
        <w:rPr>
          <w:rFonts w:eastAsia="SimSun"/>
        </w:rPr>
        <w:t xml:space="preserve">  It is the gain that must be allocated.  </w:t>
      </w:r>
      <w:r w:rsidR="006264EA">
        <w:rPr>
          <w:rFonts w:eastAsia="SimSun"/>
        </w:rPr>
        <w:t xml:space="preserve">Depreciation is an allocation exercise, not a valuation analysis.  There </w:t>
      </w:r>
      <w:r w:rsidR="006264EA">
        <w:rPr>
          <w:rFonts w:eastAsia="SimSun"/>
        </w:rPr>
        <w:lastRenderedPageBreak/>
        <w:t>is no double recovery of the inv</w:t>
      </w:r>
      <w:r w:rsidR="005B65F8">
        <w:rPr>
          <w:rFonts w:eastAsia="SimSun"/>
        </w:rPr>
        <w:t xml:space="preserve">estment as </w:t>
      </w:r>
      <w:proofErr w:type="spellStart"/>
      <w:r w:rsidR="005B65F8">
        <w:rPr>
          <w:rFonts w:eastAsia="SimSun"/>
        </w:rPr>
        <w:t>JPUD</w:t>
      </w:r>
      <w:proofErr w:type="spellEnd"/>
      <w:r w:rsidR="005B65F8">
        <w:rPr>
          <w:rFonts w:eastAsia="SimSun"/>
        </w:rPr>
        <w:t xml:space="preserve"> did not acquire</w:t>
      </w:r>
      <w:r w:rsidR="006264EA">
        <w:rPr>
          <w:rFonts w:eastAsia="SimSun"/>
        </w:rPr>
        <w:t xml:space="preserve"> accumulated depreciation.  They purchased the assets in spite of the wear and tear present, not because of it.  The possibility that PSE may reinvest does not compensate it for the loss of customers and investment opportunity.  </w:t>
      </w:r>
    </w:p>
    <w:p w:rsidR="004308D1" w:rsidRPr="00C27038" w:rsidRDefault="004308D1" w:rsidP="00B15858">
      <w:pPr>
        <w:pStyle w:val="Answer0"/>
      </w:pPr>
      <w:r>
        <w:rPr>
          <w:rFonts w:eastAsia="SimSun"/>
        </w:rPr>
        <w:tab/>
        <w:t>In short, reason, logic, and the regulatory compact demand that investors be compensated for the risk that they bore and the loss that they incurred.  I believe that allocating the gain 75% to the Company and 25% to customers will satisfy this demand.</w:t>
      </w:r>
    </w:p>
    <w:p w:rsidR="00B15858" w:rsidRPr="003775A3" w:rsidRDefault="00B15858" w:rsidP="003775A3">
      <w:pPr>
        <w:pStyle w:val="question"/>
      </w:pPr>
      <w:r w:rsidRPr="003775A3">
        <w:rPr>
          <w:rFonts w:eastAsia="SimSun"/>
        </w:rPr>
        <w:t>Q.</w:t>
      </w:r>
      <w:r w:rsidRPr="003775A3">
        <w:rPr>
          <w:rFonts w:eastAsia="SimSun"/>
        </w:rPr>
        <w:tab/>
        <w:t>Does this conclude your rebuttal testimony?</w:t>
      </w:r>
    </w:p>
    <w:p w:rsidR="004610AC" w:rsidRPr="00C27038" w:rsidRDefault="00B15858" w:rsidP="003775A3">
      <w:pPr>
        <w:pStyle w:val="Answer0"/>
      </w:pPr>
      <w:r w:rsidRPr="009075DC">
        <w:rPr>
          <w:rFonts w:eastAsia="SimSun"/>
        </w:rPr>
        <w:t>A.</w:t>
      </w:r>
      <w:r w:rsidRPr="009075DC">
        <w:rPr>
          <w:rFonts w:eastAsia="SimSun"/>
        </w:rPr>
        <w:tab/>
        <w:t>Yes.</w:t>
      </w:r>
    </w:p>
    <w:sectPr w:rsidR="004610AC" w:rsidRPr="00C27038" w:rsidSect="00EC61B9">
      <w:footerReference w:type="default" r:id="rId14"/>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75" w:rsidRDefault="005D1475">
      <w:r>
        <w:separator/>
      </w:r>
    </w:p>
  </w:endnote>
  <w:endnote w:type="continuationSeparator" w:id="0">
    <w:p w:rsidR="005D1475" w:rsidRDefault="005D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BE" w:rsidRDefault="00FD36BE" w:rsidP="0010762E">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BE" w:rsidRDefault="00FD36BE">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FD36BE" w:rsidRDefault="00FD36BE">
    <w:pPr>
      <w:pStyle w:val="Footer"/>
      <w:tabs>
        <w:tab w:val="clear" w:pos="4507"/>
        <w:tab w:val="clear" w:pos="9000"/>
        <w:tab w:val="right" w:pos="8640"/>
      </w:tabs>
      <w:spacing w:line="240" w:lineRule="auto"/>
      <w:ind w:right="0"/>
      <w:rPr>
        <w:sz w:val="10"/>
      </w:rPr>
    </w:pPr>
  </w:p>
  <w:p w:rsidR="00FD36BE" w:rsidRDefault="00FD36BE" w:rsidP="00261D7D">
    <w:pPr>
      <w:pStyle w:val="Footer"/>
      <w:tabs>
        <w:tab w:val="clear" w:pos="4507"/>
        <w:tab w:val="clear" w:pos="9000"/>
        <w:tab w:val="left" w:pos="5940"/>
        <w:tab w:val="left" w:pos="8640"/>
      </w:tabs>
      <w:ind w:right="0"/>
    </w:pPr>
    <w:r>
      <w:t xml:space="preserve">Prefiled Rebuttal Testimony </w:t>
    </w:r>
    <w:r>
      <w:tab/>
      <w:t>Exhibit No. ___(MRM-5T)</w:t>
    </w:r>
  </w:p>
  <w:p w:rsidR="00FD36BE" w:rsidRDefault="00FD36BE" w:rsidP="00FB7ECD">
    <w:pPr>
      <w:pStyle w:val="Footer"/>
      <w:tabs>
        <w:tab w:val="clear" w:pos="4507"/>
        <w:tab w:val="clear" w:pos="9000"/>
        <w:tab w:val="left" w:pos="5940"/>
        <w:tab w:val="left" w:pos="7560"/>
      </w:tabs>
      <w:ind w:right="0"/>
    </w:pPr>
    <w:r>
      <w:t>(</w:t>
    </w:r>
    <w:proofErr w:type="spellStart"/>
    <w:r>
      <w:t>Nonconfidential</w:t>
    </w:r>
    <w:proofErr w:type="spellEnd"/>
    <w:r>
      <w:t xml:space="preserve">) </w:t>
    </w:r>
    <w:r>
      <w:tab/>
    </w:r>
    <w:r>
      <w:tab/>
      <w:t>Page </w:t>
    </w:r>
    <w:r>
      <w:rPr>
        <w:rStyle w:val="PageNumber"/>
      </w:rPr>
      <w:t>i of i</w:t>
    </w:r>
  </w:p>
  <w:p w:rsidR="00FD36BE" w:rsidRDefault="00FD36BE" w:rsidP="003A165F">
    <w:pPr>
      <w:pStyle w:val="Footer"/>
      <w:tabs>
        <w:tab w:val="clear" w:pos="4507"/>
        <w:tab w:val="clear" w:pos="9000"/>
        <w:tab w:val="left" w:pos="5760"/>
        <w:tab w:val="left" w:pos="7560"/>
      </w:tabs>
      <w:ind w:right="0"/>
    </w:pPr>
    <w:r>
      <w:t>of</w:t>
    </w:r>
    <w:r w:rsidRPr="00261D7D">
      <w:t xml:space="preserve"> </w:t>
    </w:r>
    <w:r>
      <w:t>Matthew R. Marcelia</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BE" w:rsidRDefault="00FD36BE">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FD36BE" w:rsidRDefault="00FD36BE">
    <w:pPr>
      <w:pStyle w:val="Footer"/>
      <w:tabs>
        <w:tab w:val="clear" w:pos="4507"/>
        <w:tab w:val="clear" w:pos="9000"/>
        <w:tab w:val="right" w:pos="8640"/>
      </w:tabs>
      <w:spacing w:line="240" w:lineRule="auto"/>
      <w:ind w:left="-630" w:right="0" w:hanging="4"/>
      <w:rPr>
        <w:sz w:val="10"/>
      </w:rPr>
    </w:pPr>
  </w:p>
  <w:p w:rsidR="00FD36BE" w:rsidRDefault="00FD36BE">
    <w:pPr>
      <w:pStyle w:val="Footer"/>
      <w:tabs>
        <w:tab w:val="clear" w:pos="4507"/>
        <w:tab w:val="clear" w:pos="9000"/>
        <w:tab w:val="right" w:pos="8640"/>
      </w:tabs>
      <w:ind w:left="-630" w:hanging="4"/>
    </w:pPr>
    <w:r>
      <w:t>Prefiled Direct Testimony of</w:t>
    </w:r>
    <w:r>
      <w:tab/>
      <w:t>Exhibit No. ___(JD-1CT)</w:t>
    </w:r>
  </w:p>
  <w:p w:rsidR="00FD36BE" w:rsidRDefault="00FD36BE">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BE" w:rsidRDefault="00FD36BE">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FD36BE" w:rsidRDefault="00FD36BE">
    <w:pPr>
      <w:pStyle w:val="Footer"/>
      <w:tabs>
        <w:tab w:val="clear" w:pos="4507"/>
        <w:tab w:val="clear" w:pos="9000"/>
        <w:tab w:val="right" w:pos="8640"/>
      </w:tabs>
      <w:spacing w:line="240" w:lineRule="auto"/>
      <w:ind w:right="0"/>
      <w:rPr>
        <w:sz w:val="10"/>
      </w:rPr>
    </w:pPr>
  </w:p>
  <w:p w:rsidR="00FD36BE" w:rsidRDefault="00FD36BE" w:rsidP="00261D7D">
    <w:pPr>
      <w:pStyle w:val="Footer"/>
      <w:tabs>
        <w:tab w:val="clear" w:pos="4507"/>
        <w:tab w:val="clear" w:pos="9000"/>
        <w:tab w:val="left" w:pos="5940"/>
        <w:tab w:val="left" w:pos="8640"/>
      </w:tabs>
      <w:ind w:right="0"/>
    </w:pPr>
    <w:r>
      <w:t xml:space="preserve">Prefiled Rebuttal Testimony </w:t>
    </w:r>
    <w:r>
      <w:tab/>
      <w:t>Exhibit No. ___(MRM-5T)</w:t>
    </w:r>
  </w:p>
  <w:p w:rsidR="00FD36BE" w:rsidRDefault="00FD36BE" w:rsidP="003775A3">
    <w:pPr>
      <w:pStyle w:val="Footer"/>
      <w:tabs>
        <w:tab w:val="clear" w:pos="4507"/>
        <w:tab w:val="clear" w:pos="9000"/>
        <w:tab w:val="left" w:pos="5940"/>
        <w:tab w:val="left" w:pos="7290"/>
        <w:tab w:val="left" w:pos="7380"/>
      </w:tabs>
      <w:ind w:right="0"/>
    </w:pPr>
    <w:r>
      <w:t>(</w:t>
    </w:r>
    <w:proofErr w:type="spellStart"/>
    <w:r>
      <w:t>Nonconfidential</w:t>
    </w:r>
    <w:proofErr w:type="spellEnd"/>
    <w:r>
      <w:t xml:space="preserve">) </w:t>
    </w:r>
    <w:r>
      <w:tab/>
    </w:r>
    <w:r>
      <w:tab/>
      <w:t>Page </w:t>
    </w:r>
    <w:r>
      <w:rPr>
        <w:rStyle w:val="PageNumber"/>
      </w:rPr>
      <w:fldChar w:fldCharType="begin"/>
    </w:r>
    <w:r>
      <w:rPr>
        <w:rStyle w:val="PageNumber"/>
      </w:rPr>
      <w:instrText xml:space="preserve"> PAGE </w:instrText>
    </w:r>
    <w:r>
      <w:rPr>
        <w:rStyle w:val="PageNumber"/>
      </w:rPr>
      <w:fldChar w:fldCharType="separate"/>
    </w:r>
    <w:r w:rsidR="00472C2B">
      <w:rPr>
        <w:rStyle w:val="PageNumber"/>
        <w:noProof/>
      </w:rPr>
      <w:t>38</w:t>
    </w:r>
    <w:r>
      <w:rPr>
        <w:rStyle w:val="PageNumber"/>
      </w:rPr>
      <w:fldChar w:fldCharType="end"/>
    </w:r>
    <w:r>
      <w:rPr>
        <w:rStyle w:val="PageNumber"/>
      </w:rPr>
      <w:t xml:space="preserve"> of</w:t>
    </w:r>
    <w:r w:rsidRPr="00261D7D">
      <w:t xml:space="preserve"> </w:t>
    </w:r>
    <w:r w:rsidR="00A364C0">
      <w:t>38</w:t>
    </w:r>
    <w:r w:rsidR="003775A3">
      <w:t xml:space="preserve"> </w:t>
    </w:r>
    <w:r>
      <w:t>Matthew R. Marcelia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75" w:rsidRDefault="005D1475">
      <w:r>
        <w:separator/>
      </w:r>
    </w:p>
  </w:footnote>
  <w:footnote w:type="continuationSeparator" w:id="0">
    <w:p w:rsidR="005D1475" w:rsidRDefault="005D1475">
      <w:r>
        <w:continuationSeparator/>
      </w:r>
    </w:p>
  </w:footnote>
  <w:footnote w:id="1">
    <w:p w:rsidR="007D7D53" w:rsidRDefault="007D7D53">
      <w:pPr>
        <w:pStyle w:val="FootnoteText"/>
      </w:pPr>
      <w:r>
        <w:rPr>
          <w:rStyle w:val="FootnoteReference"/>
        </w:rPr>
        <w:footnoteRef/>
      </w:r>
      <w:r>
        <w:t xml:space="preserve"> </w:t>
      </w:r>
      <w:r>
        <w:rPr>
          <w:i/>
        </w:rPr>
        <w:t xml:space="preserve">See </w:t>
      </w:r>
      <w:proofErr w:type="spellStart"/>
      <w:r>
        <w:t>Exh</w:t>
      </w:r>
      <w:proofErr w:type="spellEnd"/>
      <w:r>
        <w:t>. No. JRD-1T at 7:15-16.</w:t>
      </w:r>
    </w:p>
  </w:footnote>
  <w:footnote w:id="2">
    <w:p w:rsidR="007D7D53" w:rsidRDefault="007D7D53">
      <w:pPr>
        <w:pStyle w:val="FootnoteText"/>
      </w:pPr>
      <w:r>
        <w:rPr>
          <w:rStyle w:val="FootnoteReference"/>
        </w:rPr>
        <w:footnoteRef/>
      </w:r>
      <w:r>
        <w:t xml:space="preserve"> </w:t>
      </w:r>
      <w:proofErr w:type="spellStart"/>
      <w:r>
        <w:t>Exh</w:t>
      </w:r>
      <w:proofErr w:type="spellEnd"/>
      <w:r>
        <w:t>. No. JRD-1T at 6:11</w:t>
      </w:r>
      <w:r>
        <w:t>.</w:t>
      </w:r>
    </w:p>
  </w:footnote>
  <w:footnote w:id="3">
    <w:p w:rsidR="00FD36BE" w:rsidRDefault="00FD36BE">
      <w:pPr>
        <w:pStyle w:val="FootnoteText"/>
      </w:pPr>
      <w:r>
        <w:rPr>
          <w:rStyle w:val="FootnoteReference"/>
        </w:rPr>
        <w:footnoteRef/>
      </w:r>
      <w:r>
        <w:t xml:space="preserve"> </w:t>
      </w:r>
      <w:r w:rsidRPr="00357A75">
        <w:rPr>
          <w:i/>
          <w:sz w:val="24"/>
        </w:rPr>
        <w:t>In re Ratemaking Treatment of Capital Gains from the Sale of a Public Utility Distribution System Serving an Area Annexed by a Municipality or Public Entity</w:t>
      </w:r>
      <w:r>
        <w:rPr>
          <w:i/>
          <w:sz w:val="24"/>
        </w:rPr>
        <w:t xml:space="preserve">, </w:t>
      </w:r>
      <w:r w:rsidRPr="005C20A6">
        <w:rPr>
          <w:sz w:val="24"/>
        </w:rPr>
        <w:t>104 PUR4th 157</w:t>
      </w:r>
      <w:r w:rsidR="00DB4903">
        <w:rPr>
          <w:sz w:val="24"/>
        </w:rPr>
        <w:t>, 160</w:t>
      </w:r>
      <w:r w:rsidRPr="005C20A6">
        <w:rPr>
          <w:sz w:val="24"/>
        </w:rPr>
        <w:t xml:space="preserve"> (</w:t>
      </w:r>
      <w:proofErr w:type="spellStart"/>
      <w:r w:rsidRPr="005C20A6">
        <w:rPr>
          <w:sz w:val="24"/>
        </w:rPr>
        <w:t>CPUC</w:t>
      </w:r>
      <w:proofErr w:type="spellEnd"/>
      <w:r w:rsidRPr="005C20A6">
        <w:rPr>
          <w:sz w:val="24"/>
        </w:rPr>
        <w:t xml:space="preserve"> 1989)</w:t>
      </w:r>
      <w:r w:rsidR="00DB4903">
        <w:rPr>
          <w:sz w:val="24"/>
        </w:rPr>
        <w:t xml:space="preserve"> (emphasis added)</w:t>
      </w:r>
      <w:r w:rsidRPr="005C20A6">
        <w:rPr>
          <w:sz w:val="24"/>
        </w:rPr>
        <w:t>.</w:t>
      </w:r>
    </w:p>
  </w:footnote>
  <w:footnote w:id="4">
    <w:p w:rsidR="00FD36BE" w:rsidRDefault="00FD36BE" w:rsidP="00D200EB">
      <w:pPr>
        <w:pStyle w:val="FootnoteText"/>
      </w:pPr>
      <w:r>
        <w:rPr>
          <w:rStyle w:val="FootnoteReference"/>
        </w:rPr>
        <w:footnoteRef/>
      </w:r>
      <w:r>
        <w:t xml:space="preserve"> </w:t>
      </w:r>
      <w:r w:rsidRPr="00635D34">
        <w:rPr>
          <w:i/>
        </w:rPr>
        <w:t>Re Allocation of Gains from Sales of Energy, Telecommunications, and Water Utility Assets Rulemaking Proceeding</w:t>
      </w:r>
      <w:r>
        <w:t xml:space="preserve"> 04-09-003 Decision 06-12-043, </w:t>
      </w:r>
      <w:r w:rsidRPr="00D200EB">
        <w:t xml:space="preserve">2006 WL 3831392 </w:t>
      </w:r>
      <w:r>
        <w:t>(CPUC Dec. 14, 2006).</w:t>
      </w:r>
    </w:p>
  </w:footnote>
  <w:footnote w:id="5">
    <w:p w:rsidR="00FD36BE" w:rsidRDefault="00FD36BE">
      <w:pPr>
        <w:pStyle w:val="FootnoteText"/>
      </w:pPr>
      <w:r>
        <w:rPr>
          <w:rStyle w:val="FootnoteReference"/>
        </w:rPr>
        <w:footnoteRef/>
      </w:r>
      <w:r>
        <w:t xml:space="preserve"> </w:t>
      </w:r>
      <w:proofErr w:type="spellStart"/>
      <w:r>
        <w:t>Exh</w:t>
      </w:r>
      <w:proofErr w:type="spellEnd"/>
      <w:r>
        <w:t>. No. ___(EKJ-1T) at 2.</w:t>
      </w:r>
    </w:p>
  </w:footnote>
  <w:footnote w:id="6">
    <w:p w:rsidR="00FD36BE" w:rsidRDefault="00FD36BE">
      <w:pPr>
        <w:pStyle w:val="FootnoteText"/>
      </w:pPr>
      <w:r>
        <w:rPr>
          <w:rStyle w:val="FootnoteReference"/>
        </w:rPr>
        <w:footnoteRef/>
      </w:r>
      <w:r>
        <w:t xml:space="preserve"> </w:t>
      </w:r>
      <w:proofErr w:type="spellStart"/>
      <w:r>
        <w:t>Exh</w:t>
      </w:r>
      <w:proofErr w:type="spellEnd"/>
      <w:r>
        <w:t>. No. ___(MPG-1T) at 6:7.</w:t>
      </w:r>
    </w:p>
  </w:footnote>
  <w:footnote w:id="7">
    <w:p w:rsidR="00FD36BE" w:rsidRDefault="00FD36BE">
      <w:pPr>
        <w:pStyle w:val="FootnoteText"/>
      </w:pPr>
      <w:r>
        <w:rPr>
          <w:rStyle w:val="FootnoteReference"/>
        </w:rPr>
        <w:footnoteRef/>
      </w:r>
      <w:r>
        <w:t xml:space="preserve"> </w:t>
      </w:r>
      <w:proofErr w:type="spellStart"/>
      <w:r>
        <w:t>Exh</w:t>
      </w:r>
      <w:proofErr w:type="spellEnd"/>
      <w:r>
        <w:t>. No. ___(MPG-1T) at 3:12-13.</w:t>
      </w:r>
    </w:p>
  </w:footnote>
  <w:footnote w:id="8">
    <w:p w:rsidR="00FD36BE" w:rsidRPr="007C1223" w:rsidRDefault="00FD36BE">
      <w:pPr>
        <w:pStyle w:val="FootnoteText"/>
      </w:pPr>
      <w:r>
        <w:rPr>
          <w:rStyle w:val="FootnoteReference"/>
        </w:rPr>
        <w:footnoteRef/>
      </w:r>
      <w:r>
        <w:t xml:space="preserve"> </w:t>
      </w:r>
      <w:r w:rsidRPr="001A4FBD">
        <w:rPr>
          <w:i/>
        </w:rPr>
        <w:t>Id</w:t>
      </w:r>
      <w:r>
        <w:t>. at 3:16-17.</w:t>
      </w:r>
    </w:p>
  </w:footnote>
  <w:footnote w:id="9">
    <w:p w:rsidR="00FD36BE" w:rsidRDefault="00FD36BE">
      <w:pPr>
        <w:pStyle w:val="FootnoteText"/>
      </w:pPr>
      <w:r>
        <w:rPr>
          <w:rStyle w:val="FootnoteReference"/>
        </w:rPr>
        <w:footnoteRef/>
      </w:r>
      <w:r>
        <w:t xml:space="preserve"> </w:t>
      </w:r>
      <w:proofErr w:type="spellStart"/>
      <w:r>
        <w:t>Exh</w:t>
      </w:r>
      <w:proofErr w:type="spellEnd"/>
      <w:r>
        <w:t>. No. ___(</w:t>
      </w:r>
      <w:r>
        <w:rPr>
          <w:rFonts w:eastAsia="SimSun"/>
        </w:rPr>
        <w:t xml:space="preserve">MPG-1T) </w:t>
      </w:r>
      <w:r w:rsidR="002A6005">
        <w:rPr>
          <w:rFonts w:eastAsia="SimSun"/>
        </w:rPr>
        <w:t xml:space="preserve">at </w:t>
      </w:r>
      <w:r>
        <w:rPr>
          <w:rFonts w:eastAsia="SimSun"/>
        </w:rPr>
        <w:t>15:19-20.</w:t>
      </w:r>
    </w:p>
  </w:footnote>
  <w:footnote w:id="10">
    <w:p w:rsidR="00FD36BE" w:rsidRDefault="00FD36BE">
      <w:pPr>
        <w:pStyle w:val="FootnoteText"/>
      </w:pPr>
      <w:r>
        <w:rPr>
          <w:rStyle w:val="FootnoteReference"/>
        </w:rPr>
        <w:footnoteRef/>
      </w:r>
      <w:r>
        <w:t xml:space="preserve"> </w:t>
      </w:r>
      <w:proofErr w:type="spellStart"/>
      <w:r>
        <w:t>Exh</w:t>
      </w:r>
      <w:proofErr w:type="spellEnd"/>
      <w:r>
        <w:t>. No. ___(MPG-1T) at 7:15-16.</w:t>
      </w:r>
    </w:p>
  </w:footnote>
  <w:footnote w:id="11">
    <w:p w:rsidR="00FD36BE" w:rsidRDefault="00FD36BE">
      <w:pPr>
        <w:pStyle w:val="FootnoteText"/>
      </w:pPr>
      <w:r>
        <w:rPr>
          <w:rStyle w:val="FootnoteReference"/>
        </w:rPr>
        <w:footnoteRef/>
      </w:r>
      <w:r>
        <w:t xml:space="preserve"> </w:t>
      </w:r>
      <w:proofErr w:type="spellStart"/>
      <w:r>
        <w:rPr>
          <w:rFonts w:eastAsia="SimSun"/>
        </w:rPr>
        <w:t>Exh</w:t>
      </w:r>
      <w:proofErr w:type="spellEnd"/>
      <w:r>
        <w:rPr>
          <w:rFonts w:eastAsia="SimSun"/>
        </w:rPr>
        <w:t>. No. ___(MPG-3) at 1-2)</w:t>
      </w:r>
    </w:p>
  </w:footnote>
  <w:footnote w:id="12">
    <w:p w:rsidR="00FD36BE" w:rsidRDefault="00FD36BE">
      <w:pPr>
        <w:pStyle w:val="FootnoteText"/>
      </w:pPr>
      <w:r>
        <w:rPr>
          <w:rStyle w:val="FootnoteReference"/>
        </w:rPr>
        <w:footnoteRef/>
      </w:r>
      <w:r>
        <w:t xml:space="preserve"> </w:t>
      </w:r>
      <w:proofErr w:type="spellStart"/>
      <w:r>
        <w:rPr>
          <w:rFonts w:eastAsia="SimSun"/>
        </w:rPr>
        <w:t>Exh</w:t>
      </w:r>
      <w:proofErr w:type="spellEnd"/>
      <w:r>
        <w:rPr>
          <w:rFonts w:eastAsia="SimSun"/>
        </w:rPr>
        <w:t>. No. ___(MPG-3) at 7-9</w:t>
      </w:r>
    </w:p>
  </w:footnote>
  <w:footnote w:id="13">
    <w:p w:rsidR="00BB1CED" w:rsidRDefault="00BB1CED">
      <w:pPr>
        <w:pStyle w:val="FootnoteText"/>
      </w:pPr>
      <w:r>
        <w:rPr>
          <w:rStyle w:val="FootnoteReference"/>
        </w:rPr>
        <w:footnoteRef/>
      </w:r>
      <w:r>
        <w:t xml:space="preserve"> </w:t>
      </w:r>
      <w:proofErr w:type="spellStart"/>
      <w:r>
        <w:t>Exh</w:t>
      </w:r>
      <w:proofErr w:type="spellEnd"/>
      <w:r>
        <w:t xml:space="preserve"> No. ___</w:t>
      </w:r>
      <w:r w:rsidRPr="00BB1CED">
        <w:t>(MPG-3</w:t>
      </w:r>
      <w:r>
        <w:t>) at</w:t>
      </w:r>
      <w:r w:rsidRPr="00BB1CED">
        <w:t xml:space="preserve"> 8</w:t>
      </w:r>
      <w:r>
        <w:t xml:space="preserve"> (emphasis added)</w:t>
      </w:r>
      <w:r w:rsidRPr="00BB1CED">
        <w:t xml:space="preserve">.  </w:t>
      </w:r>
    </w:p>
  </w:footnote>
  <w:footnote w:id="14">
    <w:p w:rsidR="00BB1CED" w:rsidRDefault="00BB1CED">
      <w:pPr>
        <w:pStyle w:val="FootnoteText"/>
      </w:pPr>
      <w:r>
        <w:rPr>
          <w:rStyle w:val="FootnoteReference"/>
        </w:rPr>
        <w:footnoteRef/>
      </w:r>
      <w:r>
        <w:t xml:space="preserve"> </w:t>
      </w:r>
      <w:proofErr w:type="spellStart"/>
      <w:r w:rsidRPr="00BB1CED">
        <w:t>Exh</w:t>
      </w:r>
      <w:proofErr w:type="spellEnd"/>
      <w:r>
        <w:t>. No. ___</w:t>
      </w:r>
      <w:r w:rsidRPr="00BB1CED">
        <w:t xml:space="preserve">(MPG-3) </w:t>
      </w:r>
      <w:r>
        <w:t>at</w:t>
      </w:r>
      <w:r w:rsidRPr="00BB1CED">
        <w:t xml:space="preserve"> 8</w:t>
      </w:r>
      <w:r>
        <w:t xml:space="preserve"> (bottom of page, emphasis added).</w:t>
      </w:r>
    </w:p>
  </w:footnote>
  <w:footnote w:id="15">
    <w:p w:rsidR="00BB1CED" w:rsidRDefault="00BB1CED">
      <w:pPr>
        <w:pStyle w:val="FootnoteText"/>
      </w:pPr>
      <w:r>
        <w:rPr>
          <w:rStyle w:val="FootnoteReference"/>
        </w:rPr>
        <w:footnoteRef/>
      </w:r>
      <w:r>
        <w:t xml:space="preserve"> </w:t>
      </w:r>
      <w:proofErr w:type="spellStart"/>
      <w:r w:rsidRPr="00BB1CED">
        <w:t>Exh</w:t>
      </w:r>
      <w:proofErr w:type="spellEnd"/>
      <w:r>
        <w:t>.</w:t>
      </w:r>
      <w:r w:rsidRPr="00BB1CED">
        <w:t xml:space="preserve"> No.</w:t>
      </w:r>
      <w:r>
        <w:t> ___</w:t>
      </w:r>
      <w:r w:rsidRPr="00BB1CED">
        <w:t>(MPG-3)</w:t>
      </w:r>
      <w:r>
        <w:t xml:space="preserve"> at 9 (emphasis added).</w:t>
      </w:r>
    </w:p>
  </w:footnote>
  <w:footnote w:id="16">
    <w:p w:rsidR="00BB1CED" w:rsidRDefault="00BB1CED">
      <w:pPr>
        <w:pStyle w:val="FootnoteText"/>
      </w:pPr>
      <w:r>
        <w:rPr>
          <w:rStyle w:val="FootnoteReference"/>
        </w:rPr>
        <w:footnoteRef/>
      </w:r>
      <w:r>
        <w:t xml:space="preserve"> </w:t>
      </w:r>
      <w:r w:rsidRPr="00BB1CED">
        <w:t>Exhibit No. ___(MPG-1T) at 12:1-2.</w:t>
      </w:r>
    </w:p>
  </w:footnote>
  <w:footnote w:id="17">
    <w:p w:rsidR="00BB1CED" w:rsidRDefault="00BB1CED">
      <w:pPr>
        <w:pStyle w:val="FootnoteText"/>
      </w:pPr>
      <w:r>
        <w:rPr>
          <w:rStyle w:val="FootnoteReference"/>
        </w:rPr>
        <w:footnoteRef/>
      </w:r>
      <w:r>
        <w:t xml:space="preserve"> </w:t>
      </w:r>
      <w:proofErr w:type="spellStart"/>
      <w:r w:rsidRPr="00BB1CED">
        <w:t>Exh</w:t>
      </w:r>
      <w:proofErr w:type="spellEnd"/>
      <w:r w:rsidRPr="00BB1CED">
        <w:t>. No. __(EJK-1T) at 8: 9-10.</w:t>
      </w:r>
    </w:p>
  </w:footnote>
  <w:footnote w:id="18">
    <w:p w:rsidR="00BB1CED" w:rsidRDefault="00BB1CED">
      <w:pPr>
        <w:pStyle w:val="FootnoteText"/>
      </w:pPr>
      <w:r>
        <w:rPr>
          <w:rStyle w:val="FootnoteReference"/>
        </w:rPr>
        <w:footnoteRef/>
      </w:r>
      <w:r>
        <w:t xml:space="preserve"> </w:t>
      </w:r>
      <w:proofErr w:type="spellStart"/>
      <w:r w:rsidRPr="00BB1CED">
        <w:t>Exh</w:t>
      </w:r>
      <w:proofErr w:type="spellEnd"/>
      <w:r w:rsidRPr="00BB1CED">
        <w:t xml:space="preserve">. ___(EJK-1T) at 9:7.  </w:t>
      </w:r>
    </w:p>
  </w:footnote>
  <w:footnote w:id="19">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12:14.</w:t>
      </w:r>
    </w:p>
  </w:footnote>
  <w:footnote w:id="20">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17:20-21.</w:t>
      </w:r>
    </w:p>
  </w:footnote>
  <w:footnote w:id="21">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19:1-2</w:t>
      </w:r>
      <w:r>
        <w:t>.</w:t>
      </w:r>
    </w:p>
  </w:footnote>
  <w:footnote w:id="22">
    <w:p w:rsidR="00FC4CCE" w:rsidRDefault="00FC4CCE">
      <w:pPr>
        <w:pStyle w:val="FootnoteText"/>
      </w:pPr>
      <w:r>
        <w:rPr>
          <w:rStyle w:val="FootnoteReference"/>
        </w:rPr>
        <w:footnoteRef/>
      </w:r>
      <w:r>
        <w:t xml:space="preserve"> </w:t>
      </w:r>
      <w:proofErr w:type="spellStart"/>
      <w:r w:rsidRPr="00FC4CCE">
        <w:t>Exh</w:t>
      </w:r>
      <w:proofErr w:type="spellEnd"/>
      <w:r w:rsidRPr="00FC4CCE">
        <w:t xml:space="preserve">. No. ___(EJK-1T) at 13: 4-5.  </w:t>
      </w:r>
    </w:p>
  </w:footnote>
  <w:footnote w:id="23">
    <w:p w:rsidR="00FC4CCE" w:rsidRDefault="00FC4CCE">
      <w:pPr>
        <w:pStyle w:val="FootnoteText"/>
      </w:pPr>
      <w:r>
        <w:rPr>
          <w:rStyle w:val="FootnoteReference"/>
        </w:rPr>
        <w:footnoteRef/>
      </w:r>
      <w:r>
        <w:t xml:space="preserve"> </w:t>
      </w:r>
      <w:proofErr w:type="spellStart"/>
      <w:r w:rsidRPr="00FC4CCE">
        <w:t>Exh</w:t>
      </w:r>
      <w:proofErr w:type="spellEnd"/>
      <w:r w:rsidRPr="00FC4CCE">
        <w:t>. No.</w:t>
      </w:r>
      <w:r w:rsidR="007D7D53">
        <w:t xml:space="preserve"> JRD-1T</w:t>
      </w:r>
      <w:r w:rsidRPr="00FC4CCE">
        <w:t xml:space="preserve"> at 6: 11-12.</w:t>
      </w:r>
    </w:p>
  </w:footnote>
  <w:footnote w:id="24">
    <w:p w:rsidR="00FC4CCE" w:rsidRDefault="00FC4CCE">
      <w:pPr>
        <w:pStyle w:val="FootnoteText"/>
      </w:pPr>
      <w:r>
        <w:rPr>
          <w:rStyle w:val="FootnoteReference"/>
        </w:rPr>
        <w:footnoteRef/>
      </w:r>
      <w:r>
        <w:t xml:space="preserve"> </w:t>
      </w:r>
      <w:proofErr w:type="spellStart"/>
      <w:r w:rsidRPr="00FC4CCE">
        <w:t>Exh</w:t>
      </w:r>
      <w:proofErr w:type="spellEnd"/>
      <w:r w:rsidRPr="00FC4CCE">
        <w:t>. No. ___(MPG-1T) at 8:12-16.</w:t>
      </w:r>
    </w:p>
  </w:footnote>
  <w:footnote w:id="25">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33:15.</w:t>
      </w:r>
    </w:p>
  </w:footnote>
  <w:footnote w:id="26">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33:7</w:t>
      </w:r>
      <w:r>
        <w:t>.</w:t>
      </w:r>
    </w:p>
  </w:footnote>
  <w:footnote w:id="27">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35:14-16</w:t>
      </w:r>
      <w:r>
        <w:t>.</w:t>
      </w:r>
    </w:p>
  </w:footnote>
  <w:footnote w:id="28">
    <w:p w:rsidR="00FD36BE" w:rsidRDefault="00FD36BE" w:rsidP="00A97BA9">
      <w:pPr>
        <w:pStyle w:val="FootnoteText"/>
      </w:pPr>
      <w:r>
        <w:rPr>
          <w:rStyle w:val="FootnoteReference"/>
        </w:rPr>
        <w:footnoteRef/>
      </w:r>
      <w:r>
        <w:t xml:space="preserve"> Dockets UE-121697/UG-121705, Order 07, ¶ 62.</w:t>
      </w:r>
    </w:p>
  </w:footnote>
  <w:footnote w:id="29">
    <w:p w:rsidR="00FC4CCE" w:rsidRDefault="00FC4CCE">
      <w:pPr>
        <w:pStyle w:val="FootnoteText"/>
      </w:pPr>
      <w:r>
        <w:rPr>
          <w:rStyle w:val="FootnoteReference"/>
        </w:rPr>
        <w:footnoteRef/>
      </w:r>
      <w:r>
        <w:t xml:space="preserve"> </w:t>
      </w:r>
      <w:proofErr w:type="spellStart"/>
      <w:r w:rsidRPr="00FC4CCE">
        <w:t>Exh</w:t>
      </w:r>
      <w:proofErr w:type="spellEnd"/>
      <w:r w:rsidRPr="00FC4CCE">
        <w:t>. No. ___(EJK-1T) at 36:16-17.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BE" w:rsidRDefault="00FD36BE">
    <w:pPr>
      <w:pStyle w:val="Header"/>
    </w:pPr>
    <w:r>
      <w:rPr>
        <w:noProof/>
        <w:lang w:eastAsia="en-US"/>
      </w:rPr>
      <mc:AlternateContent>
        <mc:Choice Requires="wps">
          <w:drawing>
            <wp:anchor distT="0" distB="0" distL="114298" distR="114298" simplePos="0" relativeHeight="251657728" behindDoc="0" locked="0" layoutInCell="0" allowOverlap="1" wp14:anchorId="5F59B6D1" wp14:editId="0FC76544">
              <wp:simplePos x="0" y="0"/>
              <wp:positionH relativeFrom="column">
                <wp:posOffset>-177166</wp:posOffset>
              </wp:positionH>
              <wp:positionV relativeFrom="paragraph">
                <wp:posOffset>2540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EF2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0C1E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C6995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4D8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DCC7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7A631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02C395D"/>
    <w:multiLevelType w:val="hybridMultilevel"/>
    <w:tmpl w:val="BEA2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62839E9"/>
    <w:multiLevelType w:val="hybridMultilevel"/>
    <w:tmpl w:val="4CD05DE6"/>
    <w:lvl w:ilvl="0" w:tplc="AFEC75D8">
      <w:start w:val="1"/>
      <w:numFmt w:val="lowerLetter"/>
      <w:lvlText w:val="%1."/>
      <w:lvlJc w:val="left"/>
      <w:pPr>
        <w:ind w:left="1800" w:hanging="36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67F61A12"/>
    <w:multiLevelType w:val="hybridMultilevel"/>
    <w:tmpl w:val="E9FCE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10"/>
  </w:num>
  <w:num w:numId="33">
    <w:abstractNumId w:val="24"/>
  </w:num>
  <w:num w:numId="34">
    <w:abstractNumId w:val="15"/>
  </w:num>
  <w:num w:numId="35">
    <w:abstractNumId w:val="20"/>
  </w:num>
  <w:num w:numId="36">
    <w:abstractNumId w:val="21"/>
  </w:num>
  <w:num w:numId="37">
    <w:abstractNumId w:val="25"/>
  </w:num>
  <w:num w:numId="38">
    <w:abstractNumId w:val="17"/>
  </w:num>
  <w:num w:numId="39">
    <w:abstractNumId w:val="26"/>
  </w:num>
  <w:num w:numId="40">
    <w:abstractNumId w:val="18"/>
  </w:num>
  <w:num w:numId="41">
    <w:abstractNumId w:val="19"/>
  </w:num>
  <w:num w:numId="42">
    <w:abstractNumId w:val="12"/>
  </w:num>
  <w:num w:numId="43">
    <w:abstractNumId w:val="11"/>
  </w:num>
  <w:num w:numId="44">
    <w:abstractNumId w:val="14"/>
  </w:num>
  <w:num w:numId="45">
    <w:abstractNumId w:val="13"/>
  </w:num>
  <w:num w:numId="46">
    <w:abstractNumId w:val="16"/>
  </w:num>
  <w:num w:numId="4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3880"/>
    <w:rsid w:val="00004D39"/>
    <w:rsid w:val="00006AEE"/>
    <w:rsid w:val="00006CEF"/>
    <w:rsid w:val="0000723E"/>
    <w:rsid w:val="00007933"/>
    <w:rsid w:val="000101C9"/>
    <w:rsid w:val="000108CD"/>
    <w:rsid w:val="00011315"/>
    <w:rsid w:val="0001184F"/>
    <w:rsid w:val="00011FD7"/>
    <w:rsid w:val="000139D8"/>
    <w:rsid w:val="00013D39"/>
    <w:rsid w:val="00013E10"/>
    <w:rsid w:val="0001462C"/>
    <w:rsid w:val="00015FE8"/>
    <w:rsid w:val="000166B1"/>
    <w:rsid w:val="00016D72"/>
    <w:rsid w:val="00017290"/>
    <w:rsid w:val="00017DB9"/>
    <w:rsid w:val="000221CB"/>
    <w:rsid w:val="000225AA"/>
    <w:rsid w:val="000230FD"/>
    <w:rsid w:val="00023358"/>
    <w:rsid w:val="00023506"/>
    <w:rsid w:val="00024ADC"/>
    <w:rsid w:val="00027AE4"/>
    <w:rsid w:val="0003005E"/>
    <w:rsid w:val="00030F56"/>
    <w:rsid w:val="00031B05"/>
    <w:rsid w:val="00032119"/>
    <w:rsid w:val="00032928"/>
    <w:rsid w:val="000343C2"/>
    <w:rsid w:val="0003497B"/>
    <w:rsid w:val="00034EBC"/>
    <w:rsid w:val="00035234"/>
    <w:rsid w:val="00035AB9"/>
    <w:rsid w:val="00036158"/>
    <w:rsid w:val="0004042B"/>
    <w:rsid w:val="00040AB3"/>
    <w:rsid w:val="00040BFD"/>
    <w:rsid w:val="000425A2"/>
    <w:rsid w:val="0004331A"/>
    <w:rsid w:val="00043BF2"/>
    <w:rsid w:val="00043F54"/>
    <w:rsid w:val="0004438A"/>
    <w:rsid w:val="000456B9"/>
    <w:rsid w:val="000466D0"/>
    <w:rsid w:val="000478C6"/>
    <w:rsid w:val="00047DC5"/>
    <w:rsid w:val="0005078B"/>
    <w:rsid w:val="00051032"/>
    <w:rsid w:val="000528F5"/>
    <w:rsid w:val="00052A37"/>
    <w:rsid w:val="0005318A"/>
    <w:rsid w:val="00053B7F"/>
    <w:rsid w:val="00054C6A"/>
    <w:rsid w:val="00054FA4"/>
    <w:rsid w:val="00055FFA"/>
    <w:rsid w:val="00057091"/>
    <w:rsid w:val="00057C3E"/>
    <w:rsid w:val="000601AC"/>
    <w:rsid w:val="0006097E"/>
    <w:rsid w:val="00060F57"/>
    <w:rsid w:val="00061EC5"/>
    <w:rsid w:val="000623F4"/>
    <w:rsid w:val="00064171"/>
    <w:rsid w:val="00064903"/>
    <w:rsid w:val="000650F0"/>
    <w:rsid w:val="000671C3"/>
    <w:rsid w:val="00067771"/>
    <w:rsid w:val="0006778A"/>
    <w:rsid w:val="00071ADE"/>
    <w:rsid w:val="00071BB1"/>
    <w:rsid w:val="000720D0"/>
    <w:rsid w:val="000720FD"/>
    <w:rsid w:val="0007286F"/>
    <w:rsid w:val="00072DC2"/>
    <w:rsid w:val="000755AA"/>
    <w:rsid w:val="000757B7"/>
    <w:rsid w:val="0007591C"/>
    <w:rsid w:val="00076719"/>
    <w:rsid w:val="00076A47"/>
    <w:rsid w:val="00076B80"/>
    <w:rsid w:val="0008032E"/>
    <w:rsid w:val="0008213E"/>
    <w:rsid w:val="00082B2B"/>
    <w:rsid w:val="00082C18"/>
    <w:rsid w:val="000831B1"/>
    <w:rsid w:val="00085AFB"/>
    <w:rsid w:val="00085CC0"/>
    <w:rsid w:val="00085F69"/>
    <w:rsid w:val="000867DE"/>
    <w:rsid w:val="00086988"/>
    <w:rsid w:val="00086A95"/>
    <w:rsid w:val="00087263"/>
    <w:rsid w:val="00087467"/>
    <w:rsid w:val="00090AC1"/>
    <w:rsid w:val="00090DD6"/>
    <w:rsid w:val="00091AD2"/>
    <w:rsid w:val="00091AE5"/>
    <w:rsid w:val="00092201"/>
    <w:rsid w:val="0009252E"/>
    <w:rsid w:val="000928D8"/>
    <w:rsid w:val="000928E4"/>
    <w:rsid w:val="00093447"/>
    <w:rsid w:val="000947C0"/>
    <w:rsid w:val="00095901"/>
    <w:rsid w:val="00096A95"/>
    <w:rsid w:val="00097E1D"/>
    <w:rsid w:val="000A0290"/>
    <w:rsid w:val="000A03EA"/>
    <w:rsid w:val="000A1803"/>
    <w:rsid w:val="000A18A9"/>
    <w:rsid w:val="000A38C2"/>
    <w:rsid w:val="000A39D5"/>
    <w:rsid w:val="000A3FA4"/>
    <w:rsid w:val="000A466A"/>
    <w:rsid w:val="000A4ADD"/>
    <w:rsid w:val="000A5192"/>
    <w:rsid w:val="000A5599"/>
    <w:rsid w:val="000A7131"/>
    <w:rsid w:val="000A731A"/>
    <w:rsid w:val="000B072E"/>
    <w:rsid w:val="000B1733"/>
    <w:rsid w:val="000B18E9"/>
    <w:rsid w:val="000B1DF8"/>
    <w:rsid w:val="000B1EA2"/>
    <w:rsid w:val="000B3273"/>
    <w:rsid w:val="000B363F"/>
    <w:rsid w:val="000B438F"/>
    <w:rsid w:val="000B45D2"/>
    <w:rsid w:val="000B4EC5"/>
    <w:rsid w:val="000B5329"/>
    <w:rsid w:val="000B547D"/>
    <w:rsid w:val="000B61D1"/>
    <w:rsid w:val="000B6E7F"/>
    <w:rsid w:val="000B6F7E"/>
    <w:rsid w:val="000B7268"/>
    <w:rsid w:val="000B79AA"/>
    <w:rsid w:val="000C0FCD"/>
    <w:rsid w:val="000C1E8E"/>
    <w:rsid w:val="000C22CA"/>
    <w:rsid w:val="000C3E60"/>
    <w:rsid w:val="000C438E"/>
    <w:rsid w:val="000C51B5"/>
    <w:rsid w:val="000C5A2C"/>
    <w:rsid w:val="000C6EA8"/>
    <w:rsid w:val="000C7BD8"/>
    <w:rsid w:val="000C7C74"/>
    <w:rsid w:val="000D18C8"/>
    <w:rsid w:val="000D1FB5"/>
    <w:rsid w:val="000D2B67"/>
    <w:rsid w:val="000D2E80"/>
    <w:rsid w:val="000D30B9"/>
    <w:rsid w:val="000D32DD"/>
    <w:rsid w:val="000D34D0"/>
    <w:rsid w:val="000D3AEE"/>
    <w:rsid w:val="000D3BF9"/>
    <w:rsid w:val="000D66B3"/>
    <w:rsid w:val="000D7125"/>
    <w:rsid w:val="000E024D"/>
    <w:rsid w:val="000E060D"/>
    <w:rsid w:val="000E08A9"/>
    <w:rsid w:val="000E093B"/>
    <w:rsid w:val="000E0956"/>
    <w:rsid w:val="000E0E47"/>
    <w:rsid w:val="000E1972"/>
    <w:rsid w:val="000E2BB4"/>
    <w:rsid w:val="000E2D02"/>
    <w:rsid w:val="000E348A"/>
    <w:rsid w:val="000E4043"/>
    <w:rsid w:val="000E47EE"/>
    <w:rsid w:val="000E4C97"/>
    <w:rsid w:val="000E50F0"/>
    <w:rsid w:val="000E5955"/>
    <w:rsid w:val="000E6F8A"/>
    <w:rsid w:val="000F041C"/>
    <w:rsid w:val="000F04B4"/>
    <w:rsid w:val="000F0952"/>
    <w:rsid w:val="000F0D40"/>
    <w:rsid w:val="000F0E39"/>
    <w:rsid w:val="000F1333"/>
    <w:rsid w:val="000F23B3"/>
    <w:rsid w:val="000F2B1A"/>
    <w:rsid w:val="000F37F6"/>
    <w:rsid w:val="000F4005"/>
    <w:rsid w:val="000F490A"/>
    <w:rsid w:val="000F4F36"/>
    <w:rsid w:val="000F50D4"/>
    <w:rsid w:val="000F52A7"/>
    <w:rsid w:val="000F59B2"/>
    <w:rsid w:val="000F762C"/>
    <w:rsid w:val="000F7DE8"/>
    <w:rsid w:val="00100417"/>
    <w:rsid w:val="001010E0"/>
    <w:rsid w:val="00102D02"/>
    <w:rsid w:val="001038DF"/>
    <w:rsid w:val="0010427D"/>
    <w:rsid w:val="001045A8"/>
    <w:rsid w:val="001047CE"/>
    <w:rsid w:val="001049E6"/>
    <w:rsid w:val="001055EA"/>
    <w:rsid w:val="001066A2"/>
    <w:rsid w:val="0010692E"/>
    <w:rsid w:val="0010724B"/>
    <w:rsid w:val="0010762E"/>
    <w:rsid w:val="001077B3"/>
    <w:rsid w:val="00107F70"/>
    <w:rsid w:val="00111CF4"/>
    <w:rsid w:val="00112AA6"/>
    <w:rsid w:val="001132B0"/>
    <w:rsid w:val="00113C14"/>
    <w:rsid w:val="00113E20"/>
    <w:rsid w:val="001148FE"/>
    <w:rsid w:val="00114B5C"/>
    <w:rsid w:val="001157BE"/>
    <w:rsid w:val="00115F53"/>
    <w:rsid w:val="00117940"/>
    <w:rsid w:val="0012055A"/>
    <w:rsid w:val="001213B8"/>
    <w:rsid w:val="0012187E"/>
    <w:rsid w:val="00122E16"/>
    <w:rsid w:val="00123152"/>
    <w:rsid w:val="00123904"/>
    <w:rsid w:val="00123B36"/>
    <w:rsid w:val="001243B6"/>
    <w:rsid w:val="001248E8"/>
    <w:rsid w:val="0012501C"/>
    <w:rsid w:val="001254C0"/>
    <w:rsid w:val="00125E2B"/>
    <w:rsid w:val="001261B3"/>
    <w:rsid w:val="00126228"/>
    <w:rsid w:val="00126630"/>
    <w:rsid w:val="00127032"/>
    <w:rsid w:val="001310AA"/>
    <w:rsid w:val="001314A8"/>
    <w:rsid w:val="0013195B"/>
    <w:rsid w:val="001327F5"/>
    <w:rsid w:val="00132A7D"/>
    <w:rsid w:val="001332AD"/>
    <w:rsid w:val="001339F7"/>
    <w:rsid w:val="0013586D"/>
    <w:rsid w:val="00136681"/>
    <w:rsid w:val="00136C7D"/>
    <w:rsid w:val="0013704D"/>
    <w:rsid w:val="00140A15"/>
    <w:rsid w:val="00140EC8"/>
    <w:rsid w:val="00141044"/>
    <w:rsid w:val="001419AA"/>
    <w:rsid w:val="00143090"/>
    <w:rsid w:val="001433AA"/>
    <w:rsid w:val="00143690"/>
    <w:rsid w:val="001437FE"/>
    <w:rsid w:val="00143E87"/>
    <w:rsid w:val="0014445E"/>
    <w:rsid w:val="00144612"/>
    <w:rsid w:val="00146EDB"/>
    <w:rsid w:val="001479BB"/>
    <w:rsid w:val="00150762"/>
    <w:rsid w:val="001507AA"/>
    <w:rsid w:val="001509BF"/>
    <w:rsid w:val="00150B43"/>
    <w:rsid w:val="00151E68"/>
    <w:rsid w:val="00154085"/>
    <w:rsid w:val="00155A5E"/>
    <w:rsid w:val="00155ABF"/>
    <w:rsid w:val="001569A7"/>
    <w:rsid w:val="001603DB"/>
    <w:rsid w:val="00160D82"/>
    <w:rsid w:val="0016182B"/>
    <w:rsid w:val="00162108"/>
    <w:rsid w:val="001638AB"/>
    <w:rsid w:val="00164085"/>
    <w:rsid w:val="00164275"/>
    <w:rsid w:val="0016477D"/>
    <w:rsid w:val="0016537D"/>
    <w:rsid w:val="0016594C"/>
    <w:rsid w:val="00165B6B"/>
    <w:rsid w:val="001664B2"/>
    <w:rsid w:val="001668C4"/>
    <w:rsid w:val="00166CB0"/>
    <w:rsid w:val="0016795C"/>
    <w:rsid w:val="00170A15"/>
    <w:rsid w:val="00171539"/>
    <w:rsid w:val="00171551"/>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24E9"/>
    <w:rsid w:val="00184BED"/>
    <w:rsid w:val="00184D5A"/>
    <w:rsid w:val="00185D01"/>
    <w:rsid w:val="00187537"/>
    <w:rsid w:val="00187695"/>
    <w:rsid w:val="00190A38"/>
    <w:rsid w:val="001910AF"/>
    <w:rsid w:val="0019146A"/>
    <w:rsid w:val="0019228F"/>
    <w:rsid w:val="00192868"/>
    <w:rsid w:val="00193441"/>
    <w:rsid w:val="00193732"/>
    <w:rsid w:val="00194033"/>
    <w:rsid w:val="0019623D"/>
    <w:rsid w:val="0019637E"/>
    <w:rsid w:val="00196735"/>
    <w:rsid w:val="00196CB7"/>
    <w:rsid w:val="00197043"/>
    <w:rsid w:val="00197652"/>
    <w:rsid w:val="00197674"/>
    <w:rsid w:val="00197EA3"/>
    <w:rsid w:val="001A2001"/>
    <w:rsid w:val="001A20CB"/>
    <w:rsid w:val="001A250C"/>
    <w:rsid w:val="001A28EB"/>
    <w:rsid w:val="001A2DBE"/>
    <w:rsid w:val="001A4458"/>
    <w:rsid w:val="001A4A08"/>
    <w:rsid w:val="001A4FBD"/>
    <w:rsid w:val="001A62B1"/>
    <w:rsid w:val="001A769C"/>
    <w:rsid w:val="001B05DD"/>
    <w:rsid w:val="001B0754"/>
    <w:rsid w:val="001B0B4C"/>
    <w:rsid w:val="001B0F21"/>
    <w:rsid w:val="001B1042"/>
    <w:rsid w:val="001B3B0C"/>
    <w:rsid w:val="001B3DF5"/>
    <w:rsid w:val="001B3E49"/>
    <w:rsid w:val="001B4019"/>
    <w:rsid w:val="001B4051"/>
    <w:rsid w:val="001B4343"/>
    <w:rsid w:val="001B5DB9"/>
    <w:rsid w:val="001B75FA"/>
    <w:rsid w:val="001C05AF"/>
    <w:rsid w:val="001C1320"/>
    <w:rsid w:val="001C1757"/>
    <w:rsid w:val="001C2894"/>
    <w:rsid w:val="001C2995"/>
    <w:rsid w:val="001C2B4E"/>
    <w:rsid w:val="001C3CB9"/>
    <w:rsid w:val="001C468D"/>
    <w:rsid w:val="001C59B6"/>
    <w:rsid w:val="001C5E73"/>
    <w:rsid w:val="001C7B57"/>
    <w:rsid w:val="001D0F46"/>
    <w:rsid w:val="001D0FC0"/>
    <w:rsid w:val="001D21E8"/>
    <w:rsid w:val="001D2261"/>
    <w:rsid w:val="001D2653"/>
    <w:rsid w:val="001D3097"/>
    <w:rsid w:val="001D4534"/>
    <w:rsid w:val="001D515A"/>
    <w:rsid w:val="001D5575"/>
    <w:rsid w:val="001D684E"/>
    <w:rsid w:val="001D68A6"/>
    <w:rsid w:val="001D7495"/>
    <w:rsid w:val="001D76F3"/>
    <w:rsid w:val="001D7C48"/>
    <w:rsid w:val="001E02E4"/>
    <w:rsid w:val="001E0345"/>
    <w:rsid w:val="001E0901"/>
    <w:rsid w:val="001E1485"/>
    <w:rsid w:val="001E1A1C"/>
    <w:rsid w:val="001E2231"/>
    <w:rsid w:val="001E2391"/>
    <w:rsid w:val="001E2AEA"/>
    <w:rsid w:val="001E3020"/>
    <w:rsid w:val="001E35FE"/>
    <w:rsid w:val="001E513B"/>
    <w:rsid w:val="001E64F1"/>
    <w:rsid w:val="001E694B"/>
    <w:rsid w:val="001F00F8"/>
    <w:rsid w:val="001F0A40"/>
    <w:rsid w:val="001F0E2A"/>
    <w:rsid w:val="001F12EA"/>
    <w:rsid w:val="001F189F"/>
    <w:rsid w:val="001F4E1D"/>
    <w:rsid w:val="001F527F"/>
    <w:rsid w:val="001F53AD"/>
    <w:rsid w:val="001F56EF"/>
    <w:rsid w:val="001F65D4"/>
    <w:rsid w:val="001F7EF7"/>
    <w:rsid w:val="00200785"/>
    <w:rsid w:val="00200EAD"/>
    <w:rsid w:val="0020201E"/>
    <w:rsid w:val="00202C2B"/>
    <w:rsid w:val="00203289"/>
    <w:rsid w:val="002032D3"/>
    <w:rsid w:val="00204F26"/>
    <w:rsid w:val="00206094"/>
    <w:rsid w:val="002062C3"/>
    <w:rsid w:val="00206603"/>
    <w:rsid w:val="00206F0F"/>
    <w:rsid w:val="00207F30"/>
    <w:rsid w:val="00210AF9"/>
    <w:rsid w:val="002111FC"/>
    <w:rsid w:val="002115FF"/>
    <w:rsid w:val="00211FAA"/>
    <w:rsid w:val="002121E3"/>
    <w:rsid w:val="002128AA"/>
    <w:rsid w:val="002136F2"/>
    <w:rsid w:val="002142E7"/>
    <w:rsid w:val="002174BA"/>
    <w:rsid w:val="002176C8"/>
    <w:rsid w:val="00217738"/>
    <w:rsid w:val="0022067C"/>
    <w:rsid w:val="0022127D"/>
    <w:rsid w:val="0022136F"/>
    <w:rsid w:val="00221CB5"/>
    <w:rsid w:val="002225DC"/>
    <w:rsid w:val="002226ED"/>
    <w:rsid w:val="00222B92"/>
    <w:rsid w:val="002251FC"/>
    <w:rsid w:val="00225390"/>
    <w:rsid w:val="0022698A"/>
    <w:rsid w:val="00227A66"/>
    <w:rsid w:val="00227D67"/>
    <w:rsid w:val="00227EB5"/>
    <w:rsid w:val="002301A1"/>
    <w:rsid w:val="0023236D"/>
    <w:rsid w:val="00232BF2"/>
    <w:rsid w:val="00233A20"/>
    <w:rsid w:val="00234A25"/>
    <w:rsid w:val="002366CD"/>
    <w:rsid w:val="002370A7"/>
    <w:rsid w:val="00237797"/>
    <w:rsid w:val="00237937"/>
    <w:rsid w:val="00237BC7"/>
    <w:rsid w:val="00237E1C"/>
    <w:rsid w:val="0024173A"/>
    <w:rsid w:val="002422D7"/>
    <w:rsid w:val="00242F00"/>
    <w:rsid w:val="00243A60"/>
    <w:rsid w:val="00243B08"/>
    <w:rsid w:val="00243D81"/>
    <w:rsid w:val="00246044"/>
    <w:rsid w:val="00247A4E"/>
    <w:rsid w:val="00250695"/>
    <w:rsid w:val="00250A52"/>
    <w:rsid w:val="00250AD0"/>
    <w:rsid w:val="002513A2"/>
    <w:rsid w:val="002514AA"/>
    <w:rsid w:val="0025348F"/>
    <w:rsid w:val="00253A60"/>
    <w:rsid w:val="00253D38"/>
    <w:rsid w:val="0025416C"/>
    <w:rsid w:val="0025490E"/>
    <w:rsid w:val="00254DF0"/>
    <w:rsid w:val="00255EA6"/>
    <w:rsid w:val="00256290"/>
    <w:rsid w:val="00256613"/>
    <w:rsid w:val="002568DE"/>
    <w:rsid w:val="0025728A"/>
    <w:rsid w:val="002576BE"/>
    <w:rsid w:val="00257E6C"/>
    <w:rsid w:val="0026033F"/>
    <w:rsid w:val="00261527"/>
    <w:rsid w:val="00261C58"/>
    <w:rsid w:val="00261D7D"/>
    <w:rsid w:val="002625BD"/>
    <w:rsid w:val="00263954"/>
    <w:rsid w:val="00264A99"/>
    <w:rsid w:val="00264AEE"/>
    <w:rsid w:val="00265D15"/>
    <w:rsid w:val="00265D55"/>
    <w:rsid w:val="00265F00"/>
    <w:rsid w:val="002660AC"/>
    <w:rsid w:val="002667CE"/>
    <w:rsid w:val="002667E4"/>
    <w:rsid w:val="00266CE4"/>
    <w:rsid w:val="002678EF"/>
    <w:rsid w:val="00267E65"/>
    <w:rsid w:val="0027022C"/>
    <w:rsid w:val="0027051B"/>
    <w:rsid w:val="00271076"/>
    <w:rsid w:val="002711B0"/>
    <w:rsid w:val="00272569"/>
    <w:rsid w:val="002727F1"/>
    <w:rsid w:val="002747B0"/>
    <w:rsid w:val="002757C3"/>
    <w:rsid w:val="002758F7"/>
    <w:rsid w:val="00276B53"/>
    <w:rsid w:val="002776EB"/>
    <w:rsid w:val="00277D96"/>
    <w:rsid w:val="002807BC"/>
    <w:rsid w:val="00281570"/>
    <w:rsid w:val="0028186A"/>
    <w:rsid w:val="00281E39"/>
    <w:rsid w:val="00281FB1"/>
    <w:rsid w:val="00282721"/>
    <w:rsid w:val="0028293A"/>
    <w:rsid w:val="00282C40"/>
    <w:rsid w:val="00282D5A"/>
    <w:rsid w:val="00284894"/>
    <w:rsid w:val="00285588"/>
    <w:rsid w:val="002855EA"/>
    <w:rsid w:val="00285B94"/>
    <w:rsid w:val="00287296"/>
    <w:rsid w:val="002909F6"/>
    <w:rsid w:val="00290A9F"/>
    <w:rsid w:val="00290E05"/>
    <w:rsid w:val="00292DA1"/>
    <w:rsid w:val="00292FA1"/>
    <w:rsid w:val="00293401"/>
    <w:rsid w:val="0029610A"/>
    <w:rsid w:val="00296755"/>
    <w:rsid w:val="00296A6A"/>
    <w:rsid w:val="00296C41"/>
    <w:rsid w:val="00297CE7"/>
    <w:rsid w:val="002A0971"/>
    <w:rsid w:val="002A11DF"/>
    <w:rsid w:val="002A134B"/>
    <w:rsid w:val="002A16BC"/>
    <w:rsid w:val="002A1FA6"/>
    <w:rsid w:val="002A2592"/>
    <w:rsid w:val="002A289C"/>
    <w:rsid w:val="002A2B7F"/>
    <w:rsid w:val="002A36E8"/>
    <w:rsid w:val="002A3893"/>
    <w:rsid w:val="002A3D0F"/>
    <w:rsid w:val="002A52A3"/>
    <w:rsid w:val="002A5C68"/>
    <w:rsid w:val="002A6005"/>
    <w:rsid w:val="002A6307"/>
    <w:rsid w:val="002A633A"/>
    <w:rsid w:val="002A6899"/>
    <w:rsid w:val="002A6C1E"/>
    <w:rsid w:val="002A7694"/>
    <w:rsid w:val="002B0467"/>
    <w:rsid w:val="002B06BD"/>
    <w:rsid w:val="002B16F8"/>
    <w:rsid w:val="002B19A0"/>
    <w:rsid w:val="002B1D5B"/>
    <w:rsid w:val="002B1F0C"/>
    <w:rsid w:val="002B4374"/>
    <w:rsid w:val="002B45B6"/>
    <w:rsid w:val="002B6917"/>
    <w:rsid w:val="002B6A98"/>
    <w:rsid w:val="002B7714"/>
    <w:rsid w:val="002C07D7"/>
    <w:rsid w:val="002C091A"/>
    <w:rsid w:val="002C0925"/>
    <w:rsid w:val="002C1E94"/>
    <w:rsid w:val="002C2A01"/>
    <w:rsid w:val="002C4A47"/>
    <w:rsid w:val="002C4BFB"/>
    <w:rsid w:val="002C50FA"/>
    <w:rsid w:val="002C5F7C"/>
    <w:rsid w:val="002C68E6"/>
    <w:rsid w:val="002C773B"/>
    <w:rsid w:val="002C7C00"/>
    <w:rsid w:val="002D09AB"/>
    <w:rsid w:val="002D0C18"/>
    <w:rsid w:val="002D0FA8"/>
    <w:rsid w:val="002D28A6"/>
    <w:rsid w:val="002D293A"/>
    <w:rsid w:val="002D33EB"/>
    <w:rsid w:val="002D3501"/>
    <w:rsid w:val="002D510C"/>
    <w:rsid w:val="002D5599"/>
    <w:rsid w:val="002D5DA2"/>
    <w:rsid w:val="002D5FE6"/>
    <w:rsid w:val="002D673E"/>
    <w:rsid w:val="002D6908"/>
    <w:rsid w:val="002D6F6F"/>
    <w:rsid w:val="002D7216"/>
    <w:rsid w:val="002E0FE0"/>
    <w:rsid w:val="002E1234"/>
    <w:rsid w:val="002E282A"/>
    <w:rsid w:val="002E35BE"/>
    <w:rsid w:val="002E41ED"/>
    <w:rsid w:val="002E4423"/>
    <w:rsid w:val="002E485E"/>
    <w:rsid w:val="002E48B2"/>
    <w:rsid w:val="002E5080"/>
    <w:rsid w:val="002E5103"/>
    <w:rsid w:val="002E5F0A"/>
    <w:rsid w:val="002E6F7D"/>
    <w:rsid w:val="002E73DF"/>
    <w:rsid w:val="002E76BB"/>
    <w:rsid w:val="002E7A64"/>
    <w:rsid w:val="002F0196"/>
    <w:rsid w:val="002F0845"/>
    <w:rsid w:val="002F0E94"/>
    <w:rsid w:val="002F11BF"/>
    <w:rsid w:val="002F3B4F"/>
    <w:rsid w:val="002F3D74"/>
    <w:rsid w:val="002F4CD2"/>
    <w:rsid w:val="002F5779"/>
    <w:rsid w:val="002F6A7E"/>
    <w:rsid w:val="002F6E18"/>
    <w:rsid w:val="002F7C7C"/>
    <w:rsid w:val="0030150A"/>
    <w:rsid w:val="00301A61"/>
    <w:rsid w:val="00301A6C"/>
    <w:rsid w:val="00301E96"/>
    <w:rsid w:val="00305389"/>
    <w:rsid w:val="003059B7"/>
    <w:rsid w:val="00306F7C"/>
    <w:rsid w:val="00307081"/>
    <w:rsid w:val="0030775B"/>
    <w:rsid w:val="00307993"/>
    <w:rsid w:val="00310C1C"/>
    <w:rsid w:val="00311A39"/>
    <w:rsid w:val="00311DA1"/>
    <w:rsid w:val="00311E3C"/>
    <w:rsid w:val="003123A3"/>
    <w:rsid w:val="00312E8D"/>
    <w:rsid w:val="003134A3"/>
    <w:rsid w:val="00313C03"/>
    <w:rsid w:val="003150B6"/>
    <w:rsid w:val="00315610"/>
    <w:rsid w:val="00315C4A"/>
    <w:rsid w:val="0031649B"/>
    <w:rsid w:val="003169D0"/>
    <w:rsid w:val="00316FD9"/>
    <w:rsid w:val="00317C67"/>
    <w:rsid w:val="00317D20"/>
    <w:rsid w:val="00320F41"/>
    <w:rsid w:val="00321BDE"/>
    <w:rsid w:val="00322395"/>
    <w:rsid w:val="00322CA7"/>
    <w:rsid w:val="003231EB"/>
    <w:rsid w:val="003237D5"/>
    <w:rsid w:val="003239D7"/>
    <w:rsid w:val="00323FCF"/>
    <w:rsid w:val="00324237"/>
    <w:rsid w:val="003244A3"/>
    <w:rsid w:val="00324505"/>
    <w:rsid w:val="00325AD4"/>
    <w:rsid w:val="00325B31"/>
    <w:rsid w:val="00325CC4"/>
    <w:rsid w:val="0032688C"/>
    <w:rsid w:val="00326E7E"/>
    <w:rsid w:val="003275BE"/>
    <w:rsid w:val="003303D4"/>
    <w:rsid w:val="00330A52"/>
    <w:rsid w:val="003319AE"/>
    <w:rsid w:val="0033262E"/>
    <w:rsid w:val="00332EF1"/>
    <w:rsid w:val="00334559"/>
    <w:rsid w:val="003353E2"/>
    <w:rsid w:val="00335DD3"/>
    <w:rsid w:val="00335F02"/>
    <w:rsid w:val="0033664C"/>
    <w:rsid w:val="003373C6"/>
    <w:rsid w:val="003415CD"/>
    <w:rsid w:val="00341838"/>
    <w:rsid w:val="00341CC1"/>
    <w:rsid w:val="00342E24"/>
    <w:rsid w:val="003449A5"/>
    <w:rsid w:val="00345B6F"/>
    <w:rsid w:val="003466A5"/>
    <w:rsid w:val="00346B8D"/>
    <w:rsid w:val="00347606"/>
    <w:rsid w:val="0035055A"/>
    <w:rsid w:val="003524AD"/>
    <w:rsid w:val="0035299B"/>
    <w:rsid w:val="00353EC9"/>
    <w:rsid w:val="00354158"/>
    <w:rsid w:val="00355D0F"/>
    <w:rsid w:val="00355E83"/>
    <w:rsid w:val="003567AA"/>
    <w:rsid w:val="003572FD"/>
    <w:rsid w:val="0035768B"/>
    <w:rsid w:val="00357A75"/>
    <w:rsid w:val="0036062A"/>
    <w:rsid w:val="00361737"/>
    <w:rsid w:val="00361C0C"/>
    <w:rsid w:val="00365D6C"/>
    <w:rsid w:val="0036790A"/>
    <w:rsid w:val="003709DA"/>
    <w:rsid w:val="003710FB"/>
    <w:rsid w:val="003722A4"/>
    <w:rsid w:val="00372F79"/>
    <w:rsid w:val="00373D78"/>
    <w:rsid w:val="0037404C"/>
    <w:rsid w:val="003741A5"/>
    <w:rsid w:val="003746CF"/>
    <w:rsid w:val="00374FB3"/>
    <w:rsid w:val="00376794"/>
    <w:rsid w:val="003775A3"/>
    <w:rsid w:val="00377763"/>
    <w:rsid w:val="00380010"/>
    <w:rsid w:val="0038063A"/>
    <w:rsid w:val="00381148"/>
    <w:rsid w:val="0038156A"/>
    <w:rsid w:val="00382131"/>
    <w:rsid w:val="00382153"/>
    <w:rsid w:val="00382180"/>
    <w:rsid w:val="00382C51"/>
    <w:rsid w:val="00382D4F"/>
    <w:rsid w:val="00384AAF"/>
    <w:rsid w:val="003854E8"/>
    <w:rsid w:val="003877F0"/>
    <w:rsid w:val="00387E62"/>
    <w:rsid w:val="0039010F"/>
    <w:rsid w:val="00390BB7"/>
    <w:rsid w:val="003918EE"/>
    <w:rsid w:val="0039351A"/>
    <w:rsid w:val="00393553"/>
    <w:rsid w:val="00393930"/>
    <w:rsid w:val="00393BFD"/>
    <w:rsid w:val="00394906"/>
    <w:rsid w:val="00394CE3"/>
    <w:rsid w:val="00395C17"/>
    <w:rsid w:val="00396770"/>
    <w:rsid w:val="0039752F"/>
    <w:rsid w:val="00397921"/>
    <w:rsid w:val="00397E04"/>
    <w:rsid w:val="003A165F"/>
    <w:rsid w:val="003A25AC"/>
    <w:rsid w:val="003A358A"/>
    <w:rsid w:val="003A37CF"/>
    <w:rsid w:val="003A4643"/>
    <w:rsid w:val="003A4E91"/>
    <w:rsid w:val="003B0242"/>
    <w:rsid w:val="003B039B"/>
    <w:rsid w:val="003B1953"/>
    <w:rsid w:val="003B1A9C"/>
    <w:rsid w:val="003B298F"/>
    <w:rsid w:val="003B3024"/>
    <w:rsid w:val="003B4398"/>
    <w:rsid w:val="003B48E0"/>
    <w:rsid w:val="003B54A9"/>
    <w:rsid w:val="003B6B49"/>
    <w:rsid w:val="003B77BD"/>
    <w:rsid w:val="003B799B"/>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C712C"/>
    <w:rsid w:val="003D25AE"/>
    <w:rsid w:val="003D274D"/>
    <w:rsid w:val="003D2CAA"/>
    <w:rsid w:val="003D3A7A"/>
    <w:rsid w:val="003D3C46"/>
    <w:rsid w:val="003D5491"/>
    <w:rsid w:val="003D5720"/>
    <w:rsid w:val="003D6487"/>
    <w:rsid w:val="003D6D6C"/>
    <w:rsid w:val="003D721D"/>
    <w:rsid w:val="003D7288"/>
    <w:rsid w:val="003E0E5C"/>
    <w:rsid w:val="003E1248"/>
    <w:rsid w:val="003E1CD9"/>
    <w:rsid w:val="003E27C0"/>
    <w:rsid w:val="003E3339"/>
    <w:rsid w:val="003E418E"/>
    <w:rsid w:val="003E53D0"/>
    <w:rsid w:val="003E605A"/>
    <w:rsid w:val="003E79BA"/>
    <w:rsid w:val="003F136D"/>
    <w:rsid w:val="003F17F4"/>
    <w:rsid w:val="003F18D0"/>
    <w:rsid w:val="003F1EE5"/>
    <w:rsid w:val="003F2814"/>
    <w:rsid w:val="003F2A32"/>
    <w:rsid w:val="003F2A81"/>
    <w:rsid w:val="003F2D98"/>
    <w:rsid w:val="003F2EC8"/>
    <w:rsid w:val="003F32CF"/>
    <w:rsid w:val="003F3A2C"/>
    <w:rsid w:val="003F4494"/>
    <w:rsid w:val="003F4AF9"/>
    <w:rsid w:val="003F601C"/>
    <w:rsid w:val="003F6D15"/>
    <w:rsid w:val="003F72B2"/>
    <w:rsid w:val="003F7B63"/>
    <w:rsid w:val="003F7BA0"/>
    <w:rsid w:val="003F7F04"/>
    <w:rsid w:val="004005CD"/>
    <w:rsid w:val="00401026"/>
    <w:rsid w:val="00401BB7"/>
    <w:rsid w:val="00403AB3"/>
    <w:rsid w:val="00404152"/>
    <w:rsid w:val="00404453"/>
    <w:rsid w:val="0040538F"/>
    <w:rsid w:val="00405F79"/>
    <w:rsid w:val="00406194"/>
    <w:rsid w:val="004067DB"/>
    <w:rsid w:val="004068AA"/>
    <w:rsid w:val="004070DB"/>
    <w:rsid w:val="00407DD1"/>
    <w:rsid w:val="004100FF"/>
    <w:rsid w:val="00410C22"/>
    <w:rsid w:val="00410FB9"/>
    <w:rsid w:val="0041150E"/>
    <w:rsid w:val="00411F09"/>
    <w:rsid w:val="00412FDE"/>
    <w:rsid w:val="004142F6"/>
    <w:rsid w:val="004160FE"/>
    <w:rsid w:val="00416515"/>
    <w:rsid w:val="00416A2E"/>
    <w:rsid w:val="00416AE5"/>
    <w:rsid w:val="00417067"/>
    <w:rsid w:val="00417292"/>
    <w:rsid w:val="004204D3"/>
    <w:rsid w:val="00420933"/>
    <w:rsid w:val="00420954"/>
    <w:rsid w:val="004209F9"/>
    <w:rsid w:val="00421D6D"/>
    <w:rsid w:val="00422E56"/>
    <w:rsid w:val="004233FB"/>
    <w:rsid w:val="00423A55"/>
    <w:rsid w:val="0042489F"/>
    <w:rsid w:val="004266CA"/>
    <w:rsid w:val="0042775B"/>
    <w:rsid w:val="00430699"/>
    <w:rsid w:val="004306BC"/>
    <w:rsid w:val="004308D1"/>
    <w:rsid w:val="00430D80"/>
    <w:rsid w:val="0043133F"/>
    <w:rsid w:val="0043186A"/>
    <w:rsid w:val="00431AD8"/>
    <w:rsid w:val="00432B60"/>
    <w:rsid w:val="0043326F"/>
    <w:rsid w:val="0043396E"/>
    <w:rsid w:val="00433CD9"/>
    <w:rsid w:val="0043516D"/>
    <w:rsid w:val="00436564"/>
    <w:rsid w:val="004365DA"/>
    <w:rsid w:val="0044132E"/>
    <w:rsid w:val="00442BDB"/>
    <w:rsid w:val="00445291"/>
    <w:rsid w:val="004479B6"/>
    <w:rsid w:val="0045109A"/>
    <w:rsid w:val="00452684"/>
    <w:rsid w:val="00453B78"/>
    <w:rsid w:val="00454484"/>
    <w:rsid w:val="0045503A"/>
    <w:rsid w:val="00456165"/>
    <w:rsid w:val="00456F77"/>
    <w:rsid w:val="004610AC"/>
    <w:rsid w:val="00461566"/>
    <w:rsid w:val="00461678"/>
    <w:rsid w:val="004634CD"/>
    <w:rsid w:val="004635F1"/>
    <w:rsid w:val="00465629"/>
    <w:rsid w:val="00465779"/>
    <w:rsid w:val="00465C2D"/>
    <w:rsid w:val="00466B41"/>
    <w:rsid w:val="00466CFD"/>
    <w:rsid w:val="00467439"/>
    <w:rsid w:val="00467975"/>
    <w:rsid w:val="00467FE0"/>
    <w:rsid w:val="004708DE"/>
    <w:rsid w:val="00470AC5"/>
    <w:rsid w:val="00472593"/>
    <w:rsid w:val="004725D9"/>
    <w:rsid w:val="00472ABC"/>
    <w:rsid w:val="00472C2B"/>
    <w:rsid w:val="00472ED7"/>
    <w:rsid w:val="00473CB4"/>
    <w:rsid w:val="004758A2"/>
    <w:rsid w:val="00475961"/>
    <w:rsid w:val="004763B7"/>
    <w:rsid w:val="004764A5"/>
    <w:rsid w:val="00477419"/>
    <w:rsid w:val="0047745C"/>
    <w:rsid w:val="00477C64"/>
    <w:rsid w:val="00480BEE"/>
    <w:rsid w:val="00480DFA"/>
    <w:rsid w:val="004810BA"/>
    <w:rsid w:val="0048255A"/>
    <w:rsid w:val="00482CE9"/>
    <w:rsid w:val="004837B4"/>
    <w:rsid w:val="004847D0"/>
    <w:rsid w:val="00485142"/>
    <w:rsid w:val="00485753"/>
    <w:rsid w:val="00485FAF"/>
    <w:rsid w:val="0048679B"/>
    <w:rsid w:val="00486844"/>
    <w:rsid w:val="00486B8D"/>
    <w:rsid w:val="00486F8C"/>
    <w:rsid w:val="00487ADE"/>
    <w:rsid w:val="00490193"/>
    <w:rsid w:val="00490E67"/>
    <w:rsid w:val="00491BBE"/>
    <w:rsid w:val="004949C9"/>
    <w:rsid w:val="00494CF7"/>
    <w:rsid w:val="0049578A"/>
    <w:rsid w:val="00495EB8"/>
    <w:rsid w:val="00495F6C"/>
    <w:rsid w:val="0049768D"/>
    <w:rsid w:val="00497A06"/>
    <w:rsid w:val="00497C3C"/>
    <w:rsid w:val="00497F4C"/>
    <w:rsid w:val="004A1256"/>
    <w:rsid w:val="004A1555"/>
    <w:rsid w:val="004A1F3B"/>
    <w:rsid w:val="004A338D"/>
    <w:rsid w:val="004A34D1"/>
    <w:rsid w:val="004A4030"/>
    <w:rsid w:val="004A4421"/>
    <w:rsid w:val="004A4442"/>
    <w:rsid w:val="004A4716"/>
    <w:rsid w:val="004A4C45"/>
    <w:rsid w:val="004A636A"/>
    <w:rsid w:val="004A6596"/>
    <w:rsid w:val="004A694E"/>
    <w:rsid w:val="004A7127"/>
    <w:rsid w:val="004A7817"/>
    <w:rsid w:val="004A78E3"/>
    <w:rsid w:val="004A7EC9"/>
    <w:rsid w:val="004B3487"/>
    <w:rsid w:val="004B3A14"/>
    <w:rsid w:val="004B3E9E"/>
    <w:rsid w:val="004B4939"/>
    <w:rsid w:val="004B6069"/>
    <w:rsid w:val="004B62CF"/>
    <w:rsid w:val="004B64B6"/>
    <w:rsid w:val="004B654A"/>
    <w:rsid w:val="004B6BC7"/>
    <w:rsid w:val="004B711E"/>
    <w:rsid w:val="004C05B4"/>
    <w:rsid w:val="004C086F"/>
    <w:rsid w:val="004C1204"/>
    <w:rsid w:val="004C168F"/>
    <w:rsid w:val="004C271B"/>
    <w:rsid w:val="004C2850"/>
    <w:rsid w:val="004C331F"/>
    <w:rsid w:val="004C4A2E"/>
    <w:rsid w:val="004C4A7E"/>
    <w:rsid w:val="004C638F"/>
    <w:rsid w:val="004C6641"/>
    <w:rsid w:val="004C6CED"/>
    <w:rsid w:val="004C70DE"/>
    <w:rsid w:val="004C71E1"/>
    <w:rsid w:val="004D03B3"/>
    <w:rsid w:val="004D03CA"/>
    <w:rsid w:val="004D0805"/>
    <w:rsid w:val="004D083F"/>
    <w:rsid w:val="004D0A64"/>
    <w:rsid w:val="004D14CD"/>
    <w:rsid w:val="004D1E70"/>
    <w:rsid w:val="004D2851"/>
    <w:rsid w:val="004D3D21"/>
    <w:rsid w:val="004D3E18"/>
    <w:rsid w:val="004D3EFB"/>
    <w:rsid w:val="004D4861"/>
    <w:rsid w:val="004D4984"/>
    <w:rsid w:val="004D4B77"/>
    <w:rsid w:val="004D4D4C"/>
    <w:rsid w:val="004D5B37"/>
    <w:rsid w:val="004D5BFA"/>
    <w:rsid w:val="004D5C00"/>
    <w:rsid w:val="004D5F60"/>
    <w:rsid w:val="004D7505"/>
    <w:rsid w:val="004D7A7F"/>
    <w:rsid w:val="004D7CBF"/>
    <w:rsid w:val="004E01A2"/>
    <w:rsid w:val="004E06EA"/>
    <w:rsid w:val="004E1648"/>
    <w:rsid w:val="004E17E1"/>
    <w:rsid w:val="004E1E18"/>
    <w:rsid w:val="004E2C82"/>
    <w:rsid w:val="004E36E2"/>
    <w:rsid w:val="004E496A"/>
    <w:rsid w:val="004E4C32"/>
    <w:rsid w:val="004E5062"/>
    <w:rsid w:val="004E5332"/>
    <w:rsid w:val="004E5469"/>
    <w:rsid w:val="004E5E66"/>
    <w:rsid w:val="004E6F33"/>
    <w:rsid w:val="004F0CC2"/>
    <w:rsid w:val="004F11E5"/>
    <w:rsid w:val="004F1338"/>
    <w:rsid w:val="004F1D86"/>
    <w:rsid w:val="004F25CC"/>
    <w:rsid w:val="004F272B"/>
    <w:rsid w:val="004F2D81"/>
    <w:rsid w:val="004F3149"/>
    <w:rsid w:val="004F35C5"/>
    <w:rsid w:val="004F3A4C"/>
    <w:rsid w:val="004F42CA"/>
    <w:rsid w:val="004F55BA"/>
    <w:rsid w:val="004F5EC4"/>
    <w:rsid w:val="004F7BB1"/>
    <w:rsid w:val="0050095A"/>
    <w:rsid w:val="00502550"/>
    <w:rsid w:val="00502CAA"/>
    <w:rsid w:val="00503B4D"/>
    <w:rsid w:val="00503BB4"/>
    <w:rsid w:val="00503EC1"/>
    <w:rsid w:val="00504484"/>
    <w:rsid w:val="005044D0"/>
    <w:rsid w:val="00504687"/>
    <w:rsid w:val="0050617C"/>
    <w:rsid w:val="00506388"/>
    <w:rsid w:val="00507948"/>
    <w:rsid w:val="00507DCE"/>
    <w:rsid w:val="005101FD"/>
    <w:rsid w:val="00511B9A"/>
    <w:rsid w:val="00512554"/>
    <w:rsid w:val="00512C77"/>
    <w:rsid w:val="00513B70"/>
    <w:rsid w:val="00513C79"/>
    <w:rsid w:val="0051440F"/>
    <w:rsid w:val="00515B75"/>
    <w:rsid w:val="00515FC9"/>
    <w:rsid w:val="00516FC7"/>
    <w:rsid w:val="0051776C"/>
    <w:rsid w:val="00517837"/>
    <w:rsid w:val="00520E14"/>
    <w:rsid w:val="00521984"/>
    <w:rsid w:val="00523F60"/>
    <w:rsid w:val="005242BC"/>
    <w:rsid w:val="005245FB"/>
    <w:rsid w:val="00524B1B"/>
    <w:rsid w:val="00524B2F"/>
    <w:rsid w:val="00524E22"/>
    <w:rsid w:val="00525A4A"/>
    <w:rsid w:val="00527866"/>
    <w:rsid w:val="00530959"/>
    <w:rsid w:val="00533F86"/>
    <w:rsid w:val="00534A2F"/>
    <w:rsid w:val="00534FCA"/>
    <w:rsid w:val="005353E8"/>
    <w:rsid w:val="005374A8"/>
    <w:rsid w:val="00537591"/>
    <w:rsid w:val="00537B92"/>
    <w:rsid w:val="00537D81"/>
    <w:rsid w:val="00537FD0"/>
    <w:rsid w:val="00540CD9"/>
    <w:rsid w:val="00541167"/>
    <w:rsid w:val="005413FD"/>
    <w:rsid w:val="00542B94"/>
    <w:rsid w:val="00542BDF"/>
    <w:rsid w:val="005447C6"/>
    <w:rsid w:val="00546622"/>
    <w:rsid w:val="0054739E"/>
    <w:rsid w:val="00550151"/>
    <w:rsid w:val="005501CF"/>
    <w:rsid w:val="00551328"/>
    <w:rsid w:val="00551C94"/>
    <w:rsid w:val="005524A5"/>
    <w:rsid w:val="00552ABC"/>
    <w:rsid w:val="00553157"/>
    <w:rsid w:val="00554CEB"/>
    <w:rsid w:val="005557AF"/>
    <w:rsid w:val="0055590F"/>
    <w:rsid w:val="00555E8B"/>
    <w:rsid w:val="00556755"/>
    <w:rsid w:val="00556802"/>
    <w:rsid w:val="00557F17"/>
    <w:rsid w:val="00557FF3"/>
    <w:rsid w:val="005601B3"/>
    <w:rsid w:val="00562115"/>
    <w:rsid w:val="00562521"/>
    <w:rsid w:val="005634C0"/>
    <w:rsid w:val="00563A48"/>
    <w:rsid w:val="00564239"/>
    <w:rsid w:val="00564892"/>
    <w:rsid w:val="005648E9"/>
    <w:rsid w:val="005651E0"/>
    <w:rsid w:val="005654DC"/>
    <w:rsid w:val="00566D9B"/>
    <w:rsid w:val="00567AA6"/>
    <w:rsid w:val="0057057E"/>
    <w:rsid w:val="0057087F"/>
    <w:rsid w:val="00571F90"/>
    <w:rsid w:val="0057278B"/>
    <w:rsid w:val="005730AB"/>
    <w:rsid w:val="005731E1"/>
    <w:rsid w:val="00573432"/>
    <w:rsid w:val="00573E28"/>
    <w:rsid w:val="005748D1"/>
    <w:rsid w:val="005767FD"/>
    <w:rsid w:val="00576E89"/>
    <w:rsid w:val="0057744B"/>
    <w:rsid w:val="00577500"/>
    <w:rsid w:val="0058052A"/>
    <w:rsid w:val="005809F6"/>
    <w:rsid w:val="0058104E"/>
    <w:rsid w:val="0058119D"/>
    <w:rsid w:val="00582F46"/>
    <w:rsid w:val="00585564"/>
    <w:rsid w:val="00585597"/>
    <w:rsid w:val="005858BF"/>
    <w:rsid w:val="00585BB2"/>
    <w:rsid w:val="005879F2"/>
    <w:rsid w:val="00587ADE"/>
    <w:rsid w:val="00587D8C"/>
    <w:rsid w:val="00587ECE"/>
    <w:rsid w:val="0059006F"/>
    <w:rsid w:val="0059182F"/>
    <w:rsid w:val="00591A61"/>
    <w:rsid w:val="00592134"/>
    <w:rsid w:val="00592351"/>
    <w:rsid w:val="00592472"/>
    <w:rsid w:val="00592A44"/>
    <w:rsid w:val="00592BA4"/>
    <w:rsid w:val="00592D78"/>
    <w:rsid w:val="00592DAD"/>
    <w:rsid w:val="00593085"/>
    <w:rsid w:val="00593147"/>
    <w:rsid w:val="00593862"/>
    <w:rsid w:val="00593E9C"/>
    <w:rsid w:val="0059465D"/>
    <w:rsid w:val="00594C7F"/>
    <w:rsid w:val="00595F32"/>
    <w:rsid w:val="00596396"/>
    <w:rsid w:val="00597808"/>
    <w:rsid w:val="005A0C1C"/>
    <w:rsid w:val="005A34F1"/>
    <w:rsid w:val="005A3A5E"/>
    <w:rsid w:val="005A47CE"/>
    <w:rsid w:val="005A5C7F"/>
    <w:rsid w:val="005A7B39"/>
    <w:rsid w:val="005B1B78"/>
    <w:rsid w:val="005B1BDA"/>
    <w:rsid w:val="005B1CB8"/>
    <w:rsid w:val="005B2241"/>
    <w:rsid w:val="005B314D"/>
    <w:rsid w:val="005B352A"/>
    <w:rsid w:val="005B455F"/>
    <w:rsid w:val="005B485C"/>
    <w:rsid w:val="005B4F0C"/>
    <w:rsid w:val="005B5D76"/>
    <w:rsid w:val="005B5D80"/>
    <w:rsid w:val="005B65F8"/>
    <w:rsid w:val="005C0F6D"/>
    <w:rsid w:val="005C20A6"/>
    <w:rsid w:val="005C2638"/>
    <w:rsid w:val="005C26D2"/>
    <w:rsid w:val="005C2EC0"/>
    <w:rsid w:val="005C31F9"/>
    <w:rsid w:val="005C3BDA"/>
    <w:rsid w:val="005C4134"/>
    <w:rsid w:val="005C4350"/>
    <w:rsid w:val="005C4382"/>
    <w:rsid w:val="005C4B88"/>
    <w:rsid w:val="005C52C0"/>
    <w:rsid w:val="005C58C8"/>
    <w:rsid w:val="005C633A"/>
    <w:rsid w:val="005C6F49"/>
    <w:rsid w:val="005C74AC"/>
    <w:rsid w:val="005C764F"/>
    <w:rsid w:val="005C7F64"/>
    <w:rsid w:val="005D058D"/>
    <w:rsid w:val="005D1475"/>
    <w:rsid w:val="005D1598"/>
    <w:rsid w:val="005D180F"/>
    <w:rsid w:val="005D27B0"/>
    <w:rsid w:val="005D27C9"/>
    <w:rsid w:val="005D2DF2"/>
    <w:rsid w:val="005D3306"/>
    <w:rsid w:val="005D5B3A"/>
    <w:rsid w:val="005D6946"/>
    <w:rsid w:val="005D7148"/>
    <w:rsid w:val="005D7198"/>
    <w:rsid w:val="005D7606"/>
    <w:rsid w:val="005D78A6"/>
    <w:rsid w:val="005D7C82"/>
    <w:rsid w:val="005D7CBB"/>
    <w:rsid w:val="005E0C3F"/>
    <w:rsid w:val="005E10B6"/>
    <w:rsid w:val="005E1640"/>
    <w:rsid w:val="005E1BF9"/>
    <w:rsid w:val="005E2C8E"/>
    <w:rsid w:val="005E30B2"/>
    <w:rsid w:val="005E33C4"/>
    <w:rsid w:val="005E391B"/>
    <w:rsid w:val="005E436F"/>
    <w:rsid w:val="005E4CEA"/>
    <w:rsid w:val="005E4F1E"/>
    <w:rsid w:val="005E63F8"/>
    <w:rsid w:val="005E6AA5"/>
    <w:rsid w:val="005E7972"/>
    <w:rsid w:val="005E7DF8"/>
    <w:rsid w:val="005F0DAB"/>
    <w:rsid w:val="005F10CA"/>
    <w:rsid w:val="005F1A8C"/>
    <w:rsid w:val="005F28F4"/>
    <w:rsid w:val="005F2A8D"/>
    <w:rsid w:val="005F2E6F"/>
    <w:rsid w:val="005F3825"/>
    <w:rsid w:val="005F4278"/>
    <w:rsid w:val="005F6F0D"/>
    <w:rsid w:val="005F76C3"/>
    <w:rsid w:val="00600207"/>
    <w:rsid w:val="00600A48"/>
    <w:rsid w:val="006016E2"/>
    <w:rsid w:val="00601F0F"/>
    <w:rsid w:val="006029BA"/>
    <w:rsid w:val="00603E13"/>
    <w:rsid w:val="006052DC"/>
    <w:rsid w:val="00605523"/>
    <w:rsid w:val="00605756"/>
    <w:rsid w:val="00605D54"/>
    <w:rsid w:val="006060D0"/>
    <w:rsid w:val="00607FCD"/>
    <w:rsid w:val="00610341"/>
    <w:rsid w:val="00610390"/>
    <w:rsid w:val="00610A97"/>
    <w:rsid w:val="00610DA4"/>
    <w:rsid w:val="006116C9"/>
    <w:rsid w:val="00612582"/>
    <w:rsid w:val="00613400"/>
    <w:rsid w:val="00613459"/>
    <w:rsid w:val="0061358D"/>
    <w:rsid w:val="006145D3"/>
    <w:rsid w:val="00614AB0"/>
    <w:rsid w:val="00614C73"/>
    <w:rsid w:val="0061546B"/>
    <w:rsid w:val="006158B0"/>
    <w:rsid w:val="00615BA8"/>
    <w:rsid w:val="006162D0"/>
    <w:rsid w:val="00617A6B"/>
    <w:rsid w:val="006203EB"/>
    <w:rsid w:val="006219C1"/>
    <w:rsid w:val="00622D1F"/>
    <w:rsid w:val="006234EB"/>
    <w:rsid w:val="00624398"/>
    <w:rsid w:val="006246D1"/>
    <w:rsid w:val="006254D3"/>
    <w:rsid w:val="0062622C"/>
    <w:rsid w:val="006264EA"/>
    <w:rsid w:val="00626651"/>
    <w:rsid w:val="00630315"/>
    <w:rsid w:val="006319EB"/>
    <w:rsid w:val="00632141"/>
    <w:rsid w:val="00633834"/>
    <w:rsid w:val="00634A84"/>
    <w:rsid w:val="00635B8A"/>
    <w:rsid w:val="00635D34"/>
    <w:rsid w:val="00636B02"/>
    <w:rsid w:val="006408DB"/>
    <w:rsid w:val="00640E94"/>
    <w:rsid w:val="00641BA1"/>
    <w:rsid w:val="00641CBB"/>
    <w:rsid w:val="00642CA4"/>
    <w:rsid w:val="00643051"/>
    <w:rsid w:val="00643350"/>
    <w:rsid w:val="006469D7"/>
    <w:rsid w:val="00650CC9"/>
    <w:rsid w:val="006511CF"/>
    <w:rsid w:val="00652A50"/>
    <w:rsid w:val="00652CDE"/>
    <w:rsid w:val="0065378F"/>
    <w:rsid w:val="00653E0A"/>
    <w:rsid w:val="0065510D"/>
    <w:rsid w:val="0065537C"/>
    <w:rsid w:val="00655A9E"/>
    <w:rsid w:val="00655E27"/>
    <w:rsid w:val="00655E60"/>
    <w:rsid w:val="00656967"/>
    <w:rsid w:val="00657599"/>
    <w:rsid w:val="0065798C"/>
    <w:rsid w:val="00657CCB"/>
    <w:rsid w:val="0066089E"/>
    <w:rsid w:val="00660D21"/>
    <w:rsid w:val="00660D80"/>
    <w:rsid w:val="00661590"/>
    <w:rsid w:val="00661CF5"/>
    <w:rsid w:val="006626D0"/>
    <w:rsid w:val="00662CCF"/>
    <w:rsid w:val="00662F32"/>
    <w:rsid w:val="00663620"/>
    <w:rsid w:val="006642AA"/>
    <w:rsid w:val="00665366"/>
    <w:rsid w:val="0066545B"/>
    <w:rsid w:val="00665CF3"/>
    <w:rsid w:val="00665D71"/>
    <w:rsid w:val="00666543"/>
    <w:rsid w:val="006665EA"/>
    <w:rsid w:val="0066669F"/>
    <w:rsid w:val="00667981"/>
    <w:rsid w:val="00667AC5"/>
    <w:rsid w:val="00667CA3"/>
    <w:rsid w:val="006719EF"/>
    <w:rsid w:val="0067213D"/>
    <w:rsid w:val="00672286"/>
    <w:rsid w:val="0067270F"/>
    <w:rsid w:val="00672F0B"/>
    <w:rsid w:val="00673A9F"/>
    <w:rsid w:val="006740A1"/>
    <w:rsid w:val="00674515"/>
    <w:rsid w:val="0067782C"/>
    <w:rsid w:val="0068044E"/>
    <w:rsid w:val="006806DF"/>
    <w:rsid w:val="00680803"/>
    <w:rsid w:val="00680A76"/>
    <w:rsid w:val="00680A90"/>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431E"/>
    <w:rsid w:val="0069502F"/>
    <w:rsid w:val="00695D44"/>
    <w:rsid w:val="00696255"/>
    <w:rsid w:val="00697E85"/>
    <w:rsid w:val="006A1A12"/>
    <w:rsid w:val="006A262E"/>
    <w:rsid w:val="006A2E25"/>
    <w:rsid w:val="006A36EB"/>
    <w:rsid w:val="006A5744"/>
    <w:rsid w:val="006A6E43"/>
    <w:rsid w:val="006A7035"/>
    <w:rsid w:val="006A716E"/>
    <w:rsid w:val="006A74F5"/>
    <w:rsid w:val="006B0261"/>
    <w:rsid w:val="006B053C"/>
    <w:rsid w:val="006B0D9C"/>
    <w:rsid w:val="006B152D"/>
    <w:rsid w:val="006B3079"/>
    <w:rsid w:val="006B3EB1"/>
    <w:rsid w:val="006B40A8"/>
    <w:rsid w:val="006B40FF"/>
    <w:rsid w:val="006B4712"/>
    <w:rsid w:val="006B4928"/>
    <w:rsid w:val="006B506F"/>
    <w:rsid w:val="006B50D3"/>
    <w:rsid w:val="006B5757"/>
    <w:rsid w:val="006B5B78"/>
    <w:rsid w:val="006B79D5"/>
    <w:rsid w:val="006C0B06"/>
    <w:rsid w:val="006C15B5"/>
    <w:rsid w:val="006C25C2"/>
    <w:rsid w:val="006C27F1"/>
    <w:rsid w:val="006C27F6"/>
    <w:rsid w:val="006C2CC9"/>
    <w:rsid w:val="006C2ED2"/>
    <w:rsid w:val="006C47DA"/>
    <w:rsid w:val="006C4C28"/>
    <w:rsid w:val="006C6CB7"/>
    <w:rsid w:val="006C6DCB"/>
    <w:rsid w:val="006C78DE"/>
    <w:rsid w:val="006C793A"/>
    <w:rsid w:val="006D0311"/>
    <w:rsid w:val="006D07F2"/>
    <w:rsid w:val="006D0E17"/>
    <w:rsid w:val="006D14F9"/>
    <w:rsid w:val="006D3235"/>
    <w:rsid w:val="006D37B6"/>
    <w:rsid w:val="006D40EB"/>
    <w:rsid w:val="006D48DF"/>
    <w:rsid w:val="006D5D2B"/>
    <w:rsid w:val="006D6D2C"/>
    <w:rsid w:val="006D6F94"/>
    <w:rsid w:val="006D795E"/>
    <w:rsid w:val="006E000D"/>
    <w:rsid w:val="006E034B"/>
    <w:rsid w:val="006E041D"/>
    <w:rsid w:val="006E0E79"/>
    <w:rsid w:val="006E14E9"/>
    <w:rsid w:val="006E159E"/>
    <w:rsid w:val="006E16B1"/>
    <w:rsid w:val="006E1B73"/>
    <w:rsid w:val="006E2CFE"/>
    <w:rsid w:val="006E38DF"/>
    <w:rsid w:val="006E39DE"/>
    <w:rsid w:val="006E42AB"/>
    <w:rsid w:val="006E52F9"/>
    <w:rsid w:val="006E56DD"/>
    <w:rsid w:val="006E670F"/>
    <w:rsid w:val="006E7A32"/>
    <w:rsid w:val="006E7B76"/>
    <w:rsid w:val="006E7D9A"/>
    <w:rsid w:val="006F0464"/>
    <w:rsid w:val="006F0CA7"/>
    <w:rsid w:val="006F36F5"/>
    <w:rsid w:val="006F56F8"/>
    <w:rsid w:val="006F5D9E"/>
    <w:rsid w:val="006F7036"/>
    <w:rsid w:val="006F760B"/>
    <w:rsid w:val="00700519"/>
    <w:rsid w:val="00702F60"/>
    <w:rsid w:val="00704B71"/>
    <w:rsid w:val="00704BF4"/>
    <w:rsid w:val="0070506E"/>
    <w:rsid w:val="007068E6"/>
    <w:rsid w:val="00706B06"/>
    <w:rsid w:val="00706BCB"/>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360A"/>
    <w:rsid w:val="00724297"/>
    <w:rsid w:val="007259B3"/>
    <w:rsid w:val="00726952"/>
    <w:rsid w:val="007272EF"/>
    <w:rsid w:val="00732222"/>
    <w:rsid w:val="00733028"/>
    <w:rsid w:val="00734133"/>
    <w:rsid w:val="0073473E"/>
    <w:rsid w:val="00734B1C"/>
    <w:rsid w:val="007371B6"/>
    <w:rsid w:val="00740171"/>
    <w:rsid w:val="0074133E"/>
    <w:rsid w:val="00741A4C"/>
    <w:rsid w:val="00741D0C"/>
    <w:rsid w:val="00741DDA"/>
    <w:rsid w:val="00742234"/>
    <w:rsid w:val="0074434B"/>
    <w:rsid w:val="0074503B"/>
    <w:rsid w:val="00746D21"/>
    <w:rsid w:val="0074780F"/>
    <w:rsid w:val="007479D7"/>
    <w:rsid w:val="00747E79"/>
    <w:rsid w:val="007500C0"/>
    <w:rsid w:val="0075051F"/>
    <w:rsid w:val="0075114A"/>
    <w:rsid w:val="007513AD"/>
    <w:rsid w:val="00752EBB"/>
    <w:rsid w:val="007566DF"/>
    <w:rsid w:val="00756DFF"/>
    <w:rsid w:val="00760094"/>
    <w:rsid w:val="007601AB"/>
    <w:rsid w:val="00760DDE"/>
    <w:rsid w:val="00761497"/>
    <w:rsid w:val="00761C3C"/>
    <w:rsid w:val="007634AB"/>
    <w:rsid w:val="00763C78"/>
    <w:rsid w:val="00763E2D"/>
    <w:rsid w:val="00764A88"/>
    <w:rsid w:val="007651A2"/>
    <w:rsid w:val="00765829"/>
    <w:rsid w:val="007658A2"/>
    <w:rsid w:val="00765BC2"/>
    <w:rsid w:val="00765CD3"/>
    <w:rsid w:val="00770765"/>
    <w:rsid w:val="007732A5"/>
    <w:rsid w:val="0077386A"/>
    <w:rsid w:val="00773C51"/>
    <w:rsid w:val="00774148"/>
    <w:rsid w:val="00775A5F"/>
    <w:rsid w:val="00776C7C"/>
    <w:rsid w:val="00777065"/>
    <w:rsid w:val="00777698"/>
    <w:rsid w:val="007777BC"/>
    <w:rsid w:val="00780212"/>
    <w:rsid w:val="00780447"/>
    <w:rsid w:val="00780F92"/>
    <w:rsid w:val="0078122C"/>
    <w:rsid w:val="0078192B"/>
    <w:rsid w:val="00783A84"/>
    <w:rsid w:val="00784F4E"/>
    <w:rsid w:val="00786F84"/>
    <w:rsid w:val="00787143"/>
    <w:rsid w:val="00787792"/>
    <w:rsid w:val="007879A0"/>
    <w:rsid w:val="00787F7F"/>
    <w:rsid w:val="00787F86"/>
    <w:rsid w:val="007900B1"/>
    <w:rsid w:val="00790A7B"/>
    <w:rsid w:val="007912BD"/>
    <w:rsid w:val="007916C8"/>
    <w:rsid w:val="007916DE"/>
    <w:rsid w:val="007931C7"/>
    <w:rsid w:val="00793ED4"/>
    <w:rsid w:val="00794888"/>
    <w:rsid w:val="00794BAC"/>
    <w:rsid w:val="00795240"/>
    <w:rsid w:val="007952D8"/>
    <w:rsid w:val="007955DE"/>
    <w:rsid w:val="0079589C"/>
    <w:rsid w:val="007964B6"/>
    <w:rsid w:val="00796AB9"/>
    <w:rsid w:val="00796F84"/>
    <w:rsid w:val="007A0359"/>
    <w:rsid w:val="007A038A"/>
    <w:rsid w:val="007A09DE"/>
    <w:rsid w:val="007A1A70"/>
    <w:rsid w:val="007A1C4B"/>
    <w:rsid w:val="007A1DE3"/>
    <w:rsid w:val="007A217C"/>
    <w:rsid w:val="007A264B"/>
    <w:rsid w:val="007A31D7"/>
    <w:rsid w:val="007A4F21"/>
    <w:rsid w:val="007A50D7"/>
    <w:rsid w:val="007A524A"/>
    <w:rsid w:val="007A52B5"/>
    <w:rsid w:val="007A69BB"/>
    <w:rsid w:val="007A79A1"/>
    <w:rsid w:val="007B071B"/>
    <w:rsid w:val="007B0D7A"/>
    <w:rsid w:val="007B2007"/>
    <w:rsid w:val="007B3C89"/>
    <w:rsid w:val="007B413A"/>
    <w:rsid w:val="007B43E3"/>
    <w:rsid w:val="007B46B9"/>
    <w:rsid w:val="007B4805"/>
    <w:rsid w:val="007B53B5"/>
    <w:rsid w:val="007B6603"/>
    <w:rsid w:val="007B692C"/>
    <w:rsid w:val="007B6F24"/>
    <w:rsid w:val="007B725E"/>
    <w:rsid w:val="007B7275"/>
    <w:rsid w:val="007B76A0"/>
    <w:rsid w:val="007C0025"/>
    <w:rsid w:val="007C010B"/>
    <w:rsid w:val="007C0F47"/>
    <w:rsid w:val="007C1223"/>
    <w:rsid w:val="007C13E4"/>
    <w:rsid w:val="007C1638"/>
    <w:rsid w:val="007C1786"/>
    <w:rsid w:val="007C1797"/>
    <w:rsid w:val="007C19D3"/>
    <w:rsid w:val="007C1CE4"/>
    <w:rsid w:val="007C341F"/>
    <w:rsid w:val="007C3DA2"/>
    <w:rsid w:val="007C4003"/>
    <w:rsid w:val="007C56FC"/>
    <w:rsid w:val="007C5CB2"/>
    <w:rsid w:val="007C6142"/>
    <w:rsid w:val="007C7110"/>
    <w:rsid w:val="007C7EDA"/>
    <w:rsid w:val="007D0116"/>
    <w:rsid w:val="007D223E"/>
    <w:rsid w:val="007D2984"/>
    <w:rsid w:val="007D38C9"/>
    <w:rsid w:val="007D422A"/>
    <w:rsid w:val="007D470E"/>
    <w:rsid w:val="007D4C5C"/>
    <w:rsid w:val="007D4D04"/>
    <w:rsid w:val="007D4E77"/>
    <w:rsid w:val="007D50A4"/>
    <w:rsid w:val="007D6872"/>
    <w:rsid w:val="007D728F"/>
    <w:rsid w:val="007D7C2F"/>
    <w:rsid w:val="007D7D53"/>
    <w:rsid w:val="007E09D2"/>
    <w:rsid w:val="007E28A2"/>
    <w:rsid w:val="007E29A4"/>
    <w:rsid w:val="007E37E0"/>
    <w:rsid w:val="007E42D5"/>
    <w:rsid w:val="007E45D1"/>
    <w:rsid w:val="007E572D"/>
    <w:rsid w:val="007E58DF"/>
    <w:rsid w:val="007E5D84"/>
    <w:rsid w:val="007E5F4F"/>
    <w:rsid w:val="007E6205"/>
    <w:rsid w:val="007E64EB"/>
    <w:rsid w:val="007E689E"/>
    <w:rsid w:val="007E692E"/>
    <w:rsid w:val="007E76AC"/>
    <w:rsid w:val="007E7DB7"/>
    <w:rsid w:val="007F0294"/>
    <w:rsid w:val="007F0435"/>
    <w:rsid w:val="007F06D7"/>
    <w:rsid w:val="007F09B0"/>
    <w:rsid w:val="007F1060"/>
    <w:rsid w:val="007F1570"/>
    <w:rsid w:val="007F1B32"/>
    <w:rsid w:val="007F1DA1"/>
    <w:rsid w:val="007F2256"/>
    <w:rsid w:val="007F265A"/>
    <w:rsid w:val="007F3746"/>
    <w:rsid w:val="007F3EA4"/>
    <w:rsid w:val="007F4174"/>
    <w:rsid w:val="007F4E35"/>
    <w:rsid w:val="007F5450"/>
    <w:rsid w:val="007F5A13"/>
    <w:rsid w:val="007F61E0"/>
    <w:rsid w:val="007F6A9D"/>
    <w:rsid w:val="007F6C03"/>
    <w:rsid w:val="007F72D9"/>
    <w:rsid w:val="007F7E67"/>
    <w:rsid w:val="00800DE1"/>
    <w:rsid w:val="00800EEA"/>
    <w:rsid w:val="00801246"/>
    <w:rsid w:val="00801904"/>
    <w:rsid w:val="00801D04"/>
    <w:rsid w:val="00802ACC"/>
    <w:rsid w:val="00802BCB"/>
    <w:rsid w:val="00803288"/>
    <w:rsid w:val="008036AA"/>
    <w:rsid w:val="00803700"/>
    <w:rsid w:val="00803A83"/>
    <w:rsid w:val="00804023"/>
    <w:rsid w:val="00804AAA"/>
    <w:rsid w:val="00805019"/>
    <w:rsid w:val="0080681F"/>
    <w:rsid w:val="008069EB"/>
    <w:rsid w:val="00807920"/>
    <w:rsid w:val="00807BFB"/>
    <w:rsid w:val="008108AB"/>
    <w:rsid w:val="0081170C"/>
    <w:rsid w:val="00812215"/>
    <w:rsid w:val="00812D69"/>
    <w:rsid w:val="00813661"/>
    <w:rsid w:val="00814872"/>
    <w:rsid w:val="00814B2E"/>
    <w:rsid w:val="008165D3"/>
    <w:rsid w:val="00817414"/>
    <w:rsid w:val="00821648"/>
    <w:rsid w:val="00821B30"/>
    <w:rsid w:val="008228E3"/>
    <w:rsid w:val="0082303E"/>
    <w:rsid w:val="0082398C"/>
    <w:rsid w:val="008248A5"/>
    <w:rsid w:val="00825E6E"/>
    <w:rsid w:val="0082602E"/>
    <w:rsid w:val="008272EF"/>
    <w:rsid w:val="00827622"/>
    <w:rsid w:val="0083214F"/>
    <w:rsid w:val="0083228E"/>
    <w:rsid w:val="008329CF"/>
    <w:rsid w:val="00832B64"/>
    <w:rsid w:val="008333DD"/>
    <w:rsid w:val="00833838"/>
    <w:rsid w:val="00833992"/>
    <w:rsid w:val="00834A08"/>
    <w:rsid w:val="0083536B"/>
    <w:rsid w:val="00835B91"/>
    <w:rsid w:val="0083638D"/>
    <w:rsid w:val="00837E3B"/>
    <w:rsid w:val="00840CAF"/>
    <w:rsid w:val="008418FE"/>
    <w:rsid w:val="00841B7E"/>
    <w:rsid w:val="0084230E"/>
    <w:rsid w:val="008426C6"/>
    <w:rsid w:val="00842FCF"/>
    <w:rsid w:val="00843191"/>
    <w:rsid w:val="008437E7"/>
    <w:rsid w:val="00845A09"/>
    <w:rsid w:val="0084663C"/>
    <w:rsid w:val="00847565"/>
    <w:rsid w:val="0085014D"/>
    <w:rsid w:val="00851308"/>
    <w:rsid w:val="00851483"/>
    <w:rsid w:val="00853D37"/>
    <w:rsid w:val="0085432B"/>
    <w:rsid w:val="00854371"/>
    <w:rsid w:val="00854A7C"/>
    <w:rsid w:val="00855128"/>
    <w:rsid w:val="008554E1"/>
    <w:rsid w:val="00856175"/>
    <w:rsid w:val="00857637"/>
    <w:rsid w:val="00857C4F"/>
    <w:rsid w:val="00860860"/>
    <w:rsid w:val="00861015"/>
    <w:rsid w:val="008622E6"/>
    <w:rsid w:val="00862803"/>
    <w:rsid w:val="00862C8F"/>
    <w:rsid w:val="008648CD"/>
    <w:rsid w:val="00864908"/>
    <w:rsid w:val="008654ED"/>
    <w:rsid w:val="008659FF"/>
    <w:rsid w:val="008677A5"/>
    <w:rsid w:val="00870468"/>
    <w:rsid w:val="008707B7"/>
    <w:rsid w:val="00871BFC"/>
    <w:rsid w:val="008728B1"/>
    <w:rsid w:val="00873862"/>
    <w:rsid w:val="00873F67"/>
    <w:rsid w:val="00874FAE"/>
    <w:rsid w:val="00875BED"/>
    <w:rsid w:val="00876706"/>
    <w:rsid w:val="008768A1"/>
    <w:rsid w:val="0088137D"/>
    <w:rsid w:val="008816D3"/>
    <w:rsid w:val="00881A27"/>
    <w:rsid w:val="00882298"/>
    <w:rsid w:val="00882736"/>
    <w:rsid w:val="008827A7"/>
    <w:rsid w:val="00884379"/>
    <w:rsid w:val="0088470E"/>
    <w:rsid w:val="00886451"/>
    <w:rsid w:val="00887B10"/>
    <w:rsid w:val="00887F68"/>
    <w:rsid w:val="008906F3"/>
    <w:rsid w:val="00890811"/>
    <w:rsid w:val="00890AB0"/>
    <w:rsid w:val="00890D83"/>
    <w:rsid w:val="0089212C"/>
    <w:rsid w:val="00892520"/>
    <w:rsid w:val="008948DC"/>
    <w:rsid w:val="00896170"/>
    <w:rsid w:val="00896299"/>
    <w:rsid w:val="008975B2"/>
    <w:rsid w:val="008978DD"/>
    <w:rsid w:val="008A059F"/>
    <w:rsid w:val="008A0B3E"/>
    <w:rsid w:val="008A1F10"/>
    <w:rsid w:val="008A288C"/>
    <w:rsid w:val="008A2A29"/>
    <w:rsid w:val="008A3638"/>
    <w:rsid w:val="008A5E4E"/>
    <w:rsid w:val="008A5FCA"/>
    <w:rsid w:val="008A606D"/>
    <w:rsid w:val="008A66A7"/>
    <w:rsid w:val="008A6B5F"/>
    <w:rsid w:val="008A79B7"/>
    <w:rsid w:val="008A7B95"/>
    <w:rsid w:val="008A7CA1"/>
    <w:rsid w:val="008A7D26"/>
    <w:rsid w:val="008A7F35"/>
    <w:rsid w:val="008B00F5"/>
    <w:rsid w:val="008B0167"/>
    <w:rsid w:val="008B0D24"/>
    <w:rsid w:val="008B2293"/>
    <w:rsid w:val="008B25E3"/>
    <w:rsid w:val="008B273D"/>
    <w:rsid w:val="008B3270"/>
    <w:rsid w:val="008B4340"/>
    <w:rsid w:val="008B4895"/>
    <w:rsid w:val="008B502B"/>
    <w:rsid w:val="008B62DD"/>
    <w:rsid w:val="008C0615"/>
    <w:rsid w:val="008C100B"/>
    <w:rsid w:val="008C1BAC"/>
    <w:rsid w:val="008C1F65"/>
    <w:rsid w:val="008C20FF"/>
    <w:rsid w:val="008C31E3"/>
    <w:rsid w:val="008C47C2"/>
    <w:rsid w:val="008C506B"/>
    <w:rsid w:val="008C589D"/>
    <w:rsid w:val="008C5DCB"/>
    <w:rsid w:val="008C69DB"/>
    <w:rsid w:val="008C6F1D"/>
    <w:rsid w:val="008C79FE"/>
    <w:rsid w:val="008D03EA"/>
    <w:rsid w:val="008D231B"/>
    <w:rsid w:val="008D2CE4"/>
    <w:rsid w:val="008D30C6"/>
    <w:rsid w:val="008D3FE1"/>
    <w:rsid w:val="008D4518"/>
    <w:rsid w:val="008D4C23"/>
    <w:rsid w:val="008D6C80"/>
    <w:rsid w:val="008E00EF"/>
    <w:rsid w:val="008E07EE"/>
    <w:rsid w:val="008E1898"/>
    <w:rsid w:val="008E18FA"/>
    <w:rsid w:val="008E3AC7"/>
    <w:rsid w:val="008E3C4E"/>
    <w:rsid w:val="008E41E0"/>
    <w:rsid w:val="008E4520"/>
    <w:rsid w:val="008E4A46"/>
    <w:rsid w:val="008E5C68"/>
    <w:rsid w:val="008E5D69"/>
    <w:rsid w:val="008E61BB"/>
    <w:rsid w:val="008E6753"/>
    <w:rsid w:val="008E7A0D"/>
    <w:rsid w:val="008F0360"/>
    <w:rsid w:val="008F1F8B"/>
    <w:rsid w:val="008F21F0"/>
    <w:rsid w:val="008F228E"/>
    <w:rsid w:val="008F3396"/>
    <w:rsid w:val="008F455B"/>
    <w:rsid w:val="008F4C14"/>
    <w:rsid w:val="008F55A3"/>
    <w:rsid w:val="008F6008"/>
    <w:rsid w:val="008F6105"/>
    <w:rsid w:val="008F686E"/>
    <w:rsid w:val="008F70BE"/>
    <w:rsid w:val="008F7306"/>
    <w:rsid w:val="008F7F31"/>
    <w:rsid w:val="008F7F79"/>
    <w:rsid w:val="009013D9"/>
    <w:rsid w:val="00901420"/>
    <w:rsid w:val="00902AA1"/>
    <w:rsid w:val="009067E4"/>
    <w:rsid w:val="00906937"/>
    <w:rsid w:val="009075DC"/>
    <w:rsid w:val="00907CA5"/>
    <w:rsid w:val="00910504"/>
    <w:rsid w:val="00910CD0"/>
    <w:rsid w:val="00911066"/>
    <w:rsid w:val="0091153B"/>
    <w:rsid w:val="00911969"/>
    <w:rsid w:val="00911AD7"/>
    <w:rsid w:val="00912345"/>
    <w:rsid w:val="00912ACA"/>
    <w:rsid w:val="00912EEC"/>
    <w:rsid w:val="009139C3"/>
    <w:rsid w:val="00913C17"/>
    <w:rsid w:val="00913CE6"/>
    <w:rsid w:val="00913F9B"/>
    <w:rsid w:val="009142C4"/>
    <w:rsid w:val="00914617"/>
    <w:rsid w:val="00914888"/>
    <w:rsid w:val="00914AA3"/>
    <w:rsid w:val="00915F3E"/>
    <w:rsid w:val="009167EB"/>
    <w:rsid w:val="00917969"/>
    <w:rsid w:val="00921BB4"/>
    <w:rsid w:val="00921C0B"/>
    <w:rsid w:val="009225E7"/>
    <w:rsid w:val="00923506"/>
    <w:rsid w:val="0092367C"/>
    <w:rsid w:val="00923FD6"/>
    <w:rsid w:val="009243DE"/>
    <w:rsid w:val="00924F80"/>
    <w:rsid w:val="00926395"/>
    <w:rsid w:val="00926BB5"/>
    <w:rsid w:val="00927BE5"/>
    <w:rsid w:val="00927FB5"/>
    <w:rsid w:val="00930230"/>
    <w:rsid w:val="00930DE9"/>
    <w:rsid w:val="00930FAD"/>
    <w:rsid w:val="00930FF6"/>
    <w:rsid w:val="00931AF0"/>
    <w:rsid w:val="00932723"/>
    <w:rsid w:val="00933C29"/>
    <w:rsid w:val="00934061"/>
    <w:rsid w:val="00934526"/>
    <w:rsid w:val="00934563"/>
    <w:rsid w:val="0093478A"/>
    <w:rsid w:val="009349A4"/>
    <w:rsid w:val="00934BE7"/>
    <w:rsid w:val="00934F6C"/>
    <w:rsid w:val="009367D5"/>
    <w:rsid w:val="00936F05"/>
    <w:rsid w:val="00937640"/>
    <w:rsid w:val="00937A5E"/>
    <w:rsid w:val="00937D59"/>
    <w:rsid w:val="00937D5A"/>
    <w:rsid w:val="00940C57"/>
    <w:rsid w:val="00940C67"/>
    <w:rsid w:val="00941237"/>
    <w:rsid w:val="00941718"/>
    <w:rsid w:val="009426F1"/>
    <w:rsid w:val="0094330C"/>
    <w:rsid w:val="00947B74"/>
    <w:rsid w:val="00947F23"/>
    <w:rsid w:val="00951F47"/>
    <w:rsid w:val="00952549"/>
    <w:rsid w:val="00952690"/>
    <w:rsid w:val="00956EA5"/>
    <w:rsid w:val="00960171"/>
    <w:rsid w:val="00961E5B"/>
    <w:rsid w:val="0096292D"/>
    <w:rsid w:val="009633ED"/>
    <w:rsid w:val="00963942"/>
    <w:rsid w:val="00963AB5"/>
    <w:rsid w:val="00963C5F"/>
    <w:rsid w:val="00963E83"/>
    <w:rsid w:val="00963F3E"/>
    <w:rsid w:val="009647FA"/>
    <w:rsid w:val="0096637B"/>
    <w:rsid w:val="00966588"/>
    <w:rsid w:val="0096673F"/>
    <w:rsid w:val="00966F57"/>
    <w:rsid w:val="009674C8"/>
    <w:rsid w:val="00971941"/>
    <w:rsid w:val="00972197"/>
    <w:rsid w:val="0097229E"/>
    <w:rsid w:val="00972BD7"/>
    <w:rsid w:val="00972D2E"/>
    <w:rsid w:val="00972E38"/>
    <w:rsid w:val="0097489A"/>
    <w:rsid w:val="009751B0"/>
    <w:rsid w:val="00975FAE"/>
    <w:rsid w:val="009760D8"/>
    <w:rsid w:val="009773FF"/>
    <w:rsid w:val="009775C7"/>
    <w:rsid w:val="009779B9"/>
    <w:rsid w:val="00977B93"/>
    <w:rsid w:val="00980289"/>
    <w:rsid w:val="009810B0"/>
    <w:rsid w:val="009813D7"/>
    <w:rsid w:val="009819D5"/>
    <w:rsid w:val="0098299A"/>
    <w:rsid w:val="00983DD9"/>
    <w:rsid w:val="009852B7"/>
    <w:rsid w:val="009852D0"/>
    <w:rsid w:val="00985D15"/>
    <w:rsid w:val="009869AA"/>
    <w:rsid w:val="00990591"/>
    <w:rsid w:val="00990A5B"/>
    <w:rsid w:val="00990FFC"/>
    <w:rsid w:val="00991A60"/>
    <w:rsid w:val="0099224E"/>
    <w:rsid w:val="0099371E"/>
    <w:rsid w:val="0099372A"/>
    <w:rsid w:val="00993BD7"/>
    <w:rsid w:val="00993D71"/>
    <w:rsid w:val="00994C51"/>
    <w:rsid w:val="009956F8"/>
    <w:rsid w:val="0099791D"/>
    <w:rsid w:val="009A0AD1"/>
    <w:rsid w:val="009A3260"/>
    <w:rsid w:val="009A3528"/>
    <w:rsid w:val="009A38BE"/>
    <w:rsid w:val="009A52C8"/>
    <w:rsid w:val="009A6ED6"/>
    <w:rsid w:val="009A7BEE"/>
    <w:rsid w:val="009B0C25"/>
    <w:rsid w:val="009B0DB9"/>
    <w:rsid w:val="009B0E8E"/>
    <w:rsid w:val="009B0EB3"/>
    <w:rsid w:val="009B241A"/>
    <w:rsid w:val="009B2DD1"/>
    <w:rsid w:val="009B4814"/>
    <w:rsid w:val="009B66A3"/>
    <w:rsid w:val="009B67C5"/>
    <w:rsid w:val="009B6F21"/>
    <w:rsid w:val="009C04DD"/>
    <w:rsid w:val="009C109B"/>
    <w:rsid w:val="009C12DE"/>
    <w:rsid w:val="009C17B4"/>
    <w:rsid w:val="009C1C81"/>
    <w:rsid w:val="009C1DF9"/>
    <w:rsid w:val="009C28B1"/>
    <w:rsid w:val="009C3E90"/>
    <w:rsid w:val="009C47E9"/>
    <w:rsid w:val="009C4C31"/>
    <w:rsid w:val="009C55D9"/>
    <w:rsid w:val="009C5825"/>
    <w:rsid w:val="009C61A7"/>
    <w:rsid w:val="009C6207"/>
    <w:rsid w:val="009D0FDD"/>
    <w:rsid w:val="009D2CBD"/>
    <w:rsid w:val="009D4A7C"/>
    <w:rsid w:val="009D5D3D"/>
    <w:rsid w:val="009D65C1"/>
    <w:rsid w:val="009D7AD4"/>
    <w:rsid w:val="009D7FA2"/>
    <w:rsid w:val="009E01FD"/>
    <w:rsid w:val="009E115E"/>
    <w:rsid w:val="009E125C"/>
    <w:rsid w:val="009E1E5D"/>
    <w:rsid w:val="009E27EB"/>
    <w:rsid w:val="009E3B0A"/>
    <w:rsid w:val="009E4391"/>
    <w:rsid w:val="009E50D9"/>
    <w:rsid w:val="009E757D"/>
    <w:rsid w:val="009E758A"/>
    <w:rsid w:val="009E7E84"/>
    <w:rsid w:val="009F0584"/>
    <w:rsid w:val="009F16F6"/>
    <w:rsid w:val="009F2135"/>
    <w:rsid w:val="009F2286"/>
    <w:rsid w:val="009F2A00"/>
    <w:rsid w:val="009F2E62"/>
    <w:rsid w:val="009F303B"/>
    <w:rsid w:val="009F3137"/>
    <w:rsid w:val="009F3D88"/>
    <w:rsid w:val="009F4FD6"/>
    <w:rsid w:val="009F6332"/>
    <w:rsid w:val="009F6D1E"/>
    <w:rsid w:val="009F6F92"/>
    <w:rsid w:val="00A0051F"/>
    <w:rsid w:val="00A00AFC"/>
    <w:rsid w:val="00A014E9"/>
    <w:rsid w:val="00A0341E"/>
    <w:rsid w:val="00A03C2C"/>
    <w:rsid w:val="00A0437D"/>
    <w:rsid w:val="00A04BEB"/>
    <w:rsid w:val="00A05B24"/>
    <w:rsid w:val="00A068A1"/>
    <w:rsid w:val="00A1013D"/>
    <w:rsid w:val="00A1115C"/>
    <w:rsid w:val="00A11AA8"/>
    <w:rsid w:val="00A1276E"/>
    <w:rsid w:val="00A12C18"/>
    <w:rsid w:val="00A1339F"/>
    <w:rsid w:val="00A13807"/>
    <w:rsid w:val="00A1390B"/>
    <w:rsid w:val="00A13A02"/>
    <w:rsid w:val="00A148EB"/>
    <w:rsid w:val="00A14DAF"/>
    <w:rsid w:val="00A1537F"/>
    <w:rsid w:val="00A15935"/>
    <w:rsid w:val="00A15A09"/>
    <w:rsid w:val="00A16FBB"/>
    <w:rsid w:val="00A1796F"/>
    <w:rsid w:val="00A17DCD"/>
    <w:rsid w:val="00A17DD3"/>
    <w:rsid w:val="00A2069D"/>
    <w:rsid w:val="00A21717"/>
    <w:rsid w:val="00A2174C"/>
    <w:rsid w:val="00A22356"/>
    <w:rsid w:val="00A227BA"/>
    <w:rsid w:val="00A24DEB"/>
    <w:rsid w:val="00A24F0A"/>
    <w:rsid w:val="00A25124"/>
    <w:rsid w:val="00A27290"/>
    <w:rsid w:val="00A27F45"/>
    <w:rsid w:val="00A27F4D"/>
    <w:rsid w:val="00A30DDC"/>
    <w:rsid w:val="00A31691"/>
    <w:rsid w:val="00A31748"/>
    <w:rsid w:val="00A32037"/>
    <w:rsid w:val="00A33805"/>
    <w:rsid w:val="00A33C72"/>
    <w:rsid w:val="00A3415A"/>
    <w:rsid w:val="00A3485C"/>
    <w:rsid w:val="00A354F2"/>
    <w:rsid w:val="00A3583D"/>
    <w:rsid w:val="00A364C0"/>
    <w:rsid w:val="00A41383"/>
    <w:rsid w:val="00A41413"/>
    <w:rsid w:val="00A41EE0"/>
    <w:rsid w:val="00A42881"/>
    <w:rsid w:val="00A42B60"/>
    <w:rsid w:val="00A42FE7"/>
    <w:rsid w:val="00A43978"/>
    <w:rsid w:val="00A4504A"/>
    <w:rsid w:val="00A45B22"/>
    <w:rsid w:val="00A45E7D"/>
    <w:rsid w:val="00A46FB7"/>
    <w:rsid w:val="00A4790C"/>
    <w:rsid w:val="00A47A93"/>
    <w:rsid w:val="00A5025E"/>
    <w:rsid w:val="00A503F9"/>
    <w:rsid w:val="00A50851"/>
    <w:rsid w:val="00A511AC"/>
    <w:rsid w:val="00A52612"/>
    <w:rsid w:val="00A52A23"/>
    <w:rsid w:val="00A52FBE"/>
    <w:rsid w:val="00A56D01"/>
    <w:rsid w:val="00A572B0"/>
    <w:rsid w:val="00A57902"/>
    <w:rsid w:val="00A602CD"/>
    <w:rsid w:val="00A60AA4"/>
    <w:rsid w:val="00A612E2"/>
    <w:rsid w:val="00A62040"/>
    <w:rsid w:val="00A62AB0"/>
    <w:rsid w:val="00A63621"/>
    <w:rsid w:val="00A641C7"/>
    <w:rsid w:val="00A643B3"/>
    <w:rsid w:val="00A64ADC"/>
    <w:rsid w:val="00A65C7F"/>
    <w:rsid w:val="00A6635F"/>
    <w:rsid w:val="00A66690"/>
    <w:rsid w:val="00A668BB"/>
    <w:rsid w:val="00A66A45"/>
    <w:rsid w:val="00A6725D"/>
    <w:rsid w:val="00A679F1"/>
    <w:rsid w:val="00A67B08"/>
    <w:rsid w:val="00A72F77"/>
    <w:rsid w:val="00A73B33"/>
    <w:rsid w:val="00A75BCB"/>
    <w:rsid w:val="00A766C4"/>
    <w:rsid w:val="00A76BF9"/>
    <w:rsid w:val="00A76E2F"/>
    <w:rsid w:val="00A77667"/>
    <w:rsid w:val="00A8078F"/>
    <w:rsid w:val="00A81093"/>
    <w:rsid w:val="00A811FC"/>
    <w:rsid w:val="00A8135A"/>
    <w:rsid w:val="00A82850"/>
    <w:rsid w:val="00A82F87"/>
    <w:rsid w:val="00A83E17"/>
    <w:rsid w:val="00A84915"/>
    <w:rsid w:val="00A857D7"/>
    <w:rsid w:val="00A860B7"/>
    <w:rsid w:val="00A87832"/>
    <w:rsid w:val="00A912AC"/>
    <w:rsid w:val="00A91720"/>
    <w:rsid w:val="00A943DE"/>
    <w:rsid w:val="00A950BE"/>
    <w:rsid w:val="00A95E53"/>
    <w:rsid w:val="00A9627B"/>
    <w:rsid w:val="00A96BA8"/>
    <w:rsid w:val="00A96EA8"/>
    <w:rsid w:val="00A96FF2"/>
    <w:rsid w:val="00A97BA9"/>
    <w:rsid w:val="00AA01A6"/>
    <w:rsid w:val="00AA0A33"/>
    <w:rsid w:val="00AA0DD3"/>
    <w:rsid w:val="00AA0F3E"/>
    <w:rsid w:val="00AA2435"/>
    <w:rsid w:val="00AA2591"/>
    <w:rsid w:val="00AA3302"/>
    <w:rsid w:val="00AA35AA"/>
    <w:rsid w:val="00AA434C"/>
    <w:rsid w:val="00AA63DC"/>
    <w:rsid w:val="00AB0C43"/>
    <w:rsid w:val="00AB1214"/>
    <w:rsid w:val="00AB1B73"/>
    <w:rsid w:val="00AB23AC"/>
    <w:rsid w:val="00AB3379"/>
    <w:rsid w:val="00AB4C4C"/>
    <w:rsid w:val="00AB4C54"/>
    <w:rsid w:val="00AB5D04"/>
    <w:rsid w:val="00AB5F08"/>
    <w:rsid w:val="00AB75F7"/>
    <w:rsid w:val="00AB7BF1"/>
    <w:rsid w:val="00AB7FD9"/>
    <w:rsid w:val="00AC0E6C"/>
    <w:rsid w:val="00AC0EFD"/>
    <w:rsid w:val="00AC1699"/>
    <w:rsid w:val="00AC1C8D"/>
    <w:rsid w:val="00AC286C"/>
    <w:rsid w:val="00AC3040"/>
    <w:rsid w:val="00AC3234"/>
    <w:rsid w:val="00AC40E9"/>
    <w:rsid w:val="00AC5B94"/>
    <w:rsid w:val="00AC5FC7"/>
    <w:rsid w:val="00AC6E75"/>
    <w:rsid w:val="00AC7AED"/>
    <w:rsid w:val="00AC7B64"/>
    <w:rsid w:val="00AC7C43"/>
    <w:rsid w:val="00AC7CF6"/>
    <w:rsid w:val="00AD03A4"/>
    <w:rsid w:val="00AD165D"/>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49A"/>
    <w:rsid w:val="00AF2B4F"/>
    <w:rsid w:val="00AF34B0"/>
    <w:rsid w:val="00AF39FC"/>
    <w:rsid w:val="00AF426F"/>
    <w:rsid w:val="00AF4765"/>
    <w:rsid w:val="00AF5CAD"/>
    <w:rsid w:val="00AF6283"/>
    <w:rsid w:val="00B00295"/>
    <w:rsid w:val="00B00C32"/>
    <w:rsid w:val="00B01958"/>
    <w:rsid w:val="00B027A9"/>
    <w:rsid w:val="00B02822"/>
    <w:rsid w:val="00B03F44"/>
    <w:rsid w:val="00B04D94"/>
    <w:rsid w:val="00B0701E"/>
    <w:rsid w:val="00B07E93"/>
    <w:rsid w:val="00B100E8"/>
    <w:rsid w:val="00B10D55"/>
    <w:rsid w:val="00B11A09"/>
    <w:rsid w:val="00B11AD6"/>
    <w:rsid w:val="00B13047"/>
    <w:rsid w:val="00B15858"/>
    <w:rsid w:val="00B15EDE"/>
    <w:rsid w:val="00B16DBD"/>
    <w:rsid w:val="00B17EDF"/>
    <w:rsid w:val="00B205FF"/>
    <w:rsid w:val="00B20B25"/>
    <w:rsid w:val="00B2223B"/>
    <w:rsid w:val="00B22DF8"/>
    <w:rsid w:val="00B23A48"/>
    <w:rsid w:val="00B24883"/>
    <w:rsid w:val="00B25229"/>
    <w:rsid w:val="00B25E38"/>
    <w:rsid w:val="00B266D7"/>
    <w:rsid w:val="00B27039"/>
    <w:rsid w:val="00B278E8"/>
    <w:rsid w:val="00B27941"/>
    <w:rsid w:val="00B30725"/>
    <w:rsid w:val="00B30E04"/>
    <w:rsid w:val="00B3103F"/>
    <w:rsid w:val="00B31BE4"/>
    <w:rsid w:val="00B31E27"/>
    <w:rsid w:val="00B31ECC"/>
    <w:rsid w:val="00B34A82"/>
    <w:rsid w:val="00B34C3C"/>
    <w:rsid w:val="00B35921"/>
    <w:rsid w:val="00B35BF5"/>
    <w:rsid w:val="00B3643A"/>
    <w:rsid w:val="00B3683E"/>
    <w:rsid w:val="00B36A6E"/>
    <w:rsid w:val="00B37133"/>
    <w:rsid w:val="00B373CC"/>
    <w:rsid w:val="00B409F3"/>
    <w:rsid w:val="00B410DC"/>
    <w:rsid w:val="00B44620"/>
    <w:rsid w:val="00B4502B"/>
    <w:rsid w:val="00B46CBB"/>
    <w:rsid w:val="00B470CD"/>
    <w:rsid w:val="00B47142"/>
    <w:rsid w:val="00B47E3C"/>
    <w:rsid w:val="00B5076F"/>
    <w:rsid w:val="00B50B31"/>
    <w:rsid w:val="00B5217C"/>
    <w:rsid w:val="00B536F4"/>
    <w:rsid w:val="00B5381B"/>
    <w:rsid w:val="00B56541"/>
    <w:rsid w:val="00B566E6"/>
    <w:rsid w:val="00B57332"/>
    <w:rsid w:val="00B57496"/>
    <w:rsid w:val="00B603D4"/>
    <w:rsid w:val="00B60EE5"/>
    <w:rsid w:val="00B61FBE"/>
    <w:rsid w:val="00B62D23"/>
    <w:rsid w:val="00B62D3F"/>
    <w:rsid w:val="00B63675"/>
    <w:rsid w:val="00B63BC3"/>
    <w:rsid w:val="00B63CB6"/>
    <w:rsid w:val="00B64074"/>
    <w:rsid w:val="00B64BF6"/>
    <w:rsid w:val="00B64F79"/>
    <w:rsid w:val="00B658A6"/>
    <w:rsid w:val="00B6777E"/>
    <w:rsid w:val="00B7150D"/>
    <w:rsid w:val="00B7217C"/>
    <w:rsid w:val="00B72B8E"/>
    <w:rsid w:val="00B72BF7"/>
    <w:rsid w:val="00B72D3D"/>
    <w:rsid w:val="00B73F34"/>
    <w:rsid w:val="00B73FBB"/>
    <w:rsid w:val="00B8099C"/>
    <w:rsid w:val="00B81686"/>
    <w:rsid w:val="00B81740"/>
    <w:rsid w:val="00B81CEF"/>
    <w:rsid w:val="00B82C14"/>
    <w:rsid w:val="00B861DB"/>
    <w:rsid w:val="00B8622A"/>
    <w:rsid w:val="00B86F50"/>
    <w:rsid w:val="00B87A02"/>
    <w:rsid w:val="00B87F43"/>
    <w:rsid w:val="00B905E9"/>
    <w:rsid w:val="00B90D3E"/>
    <w:rsid w:val="00B94844"/>
    <w:rsid w:val="00B97BA8"/>
    <w:rsid w:val="00B97E17"/>
    <w:rsid w:val="00BA0232"/>
    <w:rsid w:val="00BA0677"/>
    <w:rsid w:val="00BA067B"/>
    <w:rsid w:val="00BA099E"/>
    <w:rsid w:val="00BA120F"/>
    <w:rsid w:val="00BA13A6"/>
    <w:rsid w:val="00BA17EA"/>
    <w:rsid w:val="00BA18DA"/>
    <w:rsid w:val="00BA2D6C"/>
    <w:rsid w:val="00BA35F3"/>
    <w:rsid w:val="00BA3890"/>
    <w:rsid w:val="00BA49FE"/>
    <w:rsid w:val="00BA5292"/>
    <w:rsid w:val="00BA564D"/>
    <w:rsid w:val="00BA6230"/>
    <w:rsid w:val="00BA6566"/>
    <w:rsid w:val="00BA65A8"/>
    <w:rsid w:val="00BA6F03"/>
    <w:rsid w:val="00BA7B3C"/>
    <w:rsid w:val="00BB02B7"/>
    <w:rsid w:val="00BB068C"/>
    <w:rsid w:val="00BB0E8D"/>
    <w:rsid w:val="00BB0E95"/>
    <w:rsid w:val="00BB1CED"/>
    <w:rsid w:val="00BB1D36"/>
    <w:rsid w:val="00BB2331"/>
    <w:rsid w:val="00BB379D"/>
    <w:rsid w:val="00BB3B79"/>
    <w:rsid w:val="00BB4BEA"/>
    <w:rsid w:val="00BB56E2"/>
    <w:rsid w:val="00BB58AE"/>
    <w:rsid w:val="00BB59C4"/>
    <w:rsid w:val="00BB6440"/>
    <w:rsid w:val="00BB71E9"/>
    <w:rsid w:val="00BB7617"/>
    <w:rsid w:val="00BC0C2B"/>
    <w:rsid w:val="00BC172B"/>
    <w:rsid w:val="00BC1CCB"/>
    <w:rsid w:val="00BC29F7"/>
    <w:rsid w:val="00BC2C0B"/>
    <w:rsid w:val="00BC2D15"/>
    <w:rsid w:val="00BC3AF4"/>
    <w:rsid w:val="00BC4460"/>
    <w:rsid w:val="00BC44AB"/>
    <w:rsid w:val="00BC49DD"/>
    <w:rsid w:val="00BC4CF1"/>
    <w:rsid w:val="00BC6885"/>
    <w:rsid w:val="00BC6B8F"/>
    <w:rsid w:val="00BC7443"/>
    <w:rsid w:val="00BC7A9A"/>
    <w:rsid w:val="00BD0105"/>
    <w:rsid w:val="00BD094A"/>
    <w:rsid w:val="00BD0FA2"/>
    <w:rsid w:val="00BD1824"/>
    <w:rsid w:val="00BD1891"/>
    <w:rsid w:val="00BD27DF"/>
    <w:rsid w:val="00BD2E50"/>
    <w:rsid w:val="00BD3A77"/>
    <w:rsid w:val="00BD3C91"/>
    <w:rsid w:val="00BD5053"/>
    <w:rsid w:val="00BD50E5"/>
    <w:rsid w:val="00BD5285"/>
    <w:rsid w:val="00BD5D14"/>
    <w:rsid w:val="00BD5DC8"/>
    <w:rsid w:val="00BD6611"/>
    <w:rsid w:val="00BD6B3D"/>
    <w:rsid w:val="00BD6B7E"/>
    <w:rsid w:val="00BD6DDF"/>
    <w:rsid w:val="00BD6EB9"/>
    <w:rsid w:val="00BE0B31"/>
    <w:rsid w:val="00BE0D4C"/>
    <w:rsid w:val="00BE0D5C"/>
    <w:rsid w:val="00BE127B"/>
    <w:rsid w:val="00BE165C"/>
    <w:rsid w:val="00BE20A5"/>
    <w:rsid w:val="00BE24A2"/>
    <w:rsid w:val="00BE2A55"/>
    <w:rsid w:val="00BE3877"/>
    <w:rsid w:val="00BE3AC1"/>
    <w:rsid w:val="00BE4B47"/>
    <w:rsid w:val="00BE540B"/>
    <w:rsid w:val="00BE59A0"/>
    <w:rsid w:val="00BE5A79"/>
    <w:rsid w:val="00BE6000"/>
    <w:rsid w:val="00BE6C1A"/>
    <w:rsid w:val="00BE7C9B"/>
    <w:rsid w:val="00BF04A7"/>
    <w:rsid w:val="00BF16FF"/>
    <w:rsid w:val="00BF26C9"/>
    <w:rsid w:val="00BF274B"/>
    <w:rsid w:val="00BF2C19"/>
    <w:rsid w:val="00BF2D9E"/>
    <w:rsid w:val="00BF328C"/>
    <w:rsid w:val="00BF34D1"/>
    <w:rsid w:val="00BF43A7"/>
    <w:rsid w:val="00BF454F"/>
    <w:rsid w:val="00BF5915"/>
    <w:rsid w:val="00BF5B1A"/>
    <w:rsid w:val="00BF5BDF"/>
    <w:rsid w:val="00BF774D"/>
    <w:rsid w:val="00C017CB"/>
    <w:rsid w:val="00C01DCE"/>
    <w:rsid w:val="00C01F62"/>
    <w:rsid w:val="00C03302"/>
    <w:rsid w:val="00C0338C"/>
    <w:rsid w:val="00C04831"/>
    <w:rsid w:val="00C04D0F"/>
    <w:rsid w:val="00C0581B"/>
    <w:rsid w:val="00C0724C"/>
    <w:rsid w:val="00C0752B"/>
    <w:rsid w:val="00C10381"/>
    <w:rsid w:val="00C10B0E"/>
    <w:rsid w:val="00C10DC6"/>
    <w:rsid w:val="00C10FFE"/>
    <w:rsid w:val="00C1240D"/>
    <w:rsid w:val="00C125FA"/>
    <w:rsid w:val="00C129BD"/>
    <w:rsid w:val="00C12ADD"/>
    <w:rsid w:val="00C12C7D"/>
    <w:rsid w:val="00C135F3"/>
    <w:rsid w:val="00C14D1F"/>
    <w:rsid w:val="00C14D48"/>
    <w:rsid w:val="00C17147"/>
    <w:rsid w:val="00C1741C"/>
    <w:rsid w:val="00C17E96"/>
    <w:rsid w:val="00C20DD3"/>
    <w:rsid w:val="00C22377"/>
    <w:rsid w:val="00C22B2F"/>
    <w:rsid w:val="00C22D7C"/>
    <w:rsid w:val="00C23367"/>
    <w:rsid w:val="00C23EF3"/>
    <w:rsid w:val="00C23F7A"/>
    <w:rsid w:val="00C27038"/>
    <w:rsid w:val="00C276A9"/>
    <w:rsid w:val="00C30EF0"/>
    <w:rsid w:val="00C31DDE"/>
    <w:rsid w:val="00C340A0"/>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3C4"/>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5BF"/>
    <w:rsid w:val="00C55B2C"/>
    <w:rsid w:val="00C56552"/>
    <w:rsid w:val="00C57983"/>
    <w:rsid w:val="00C6018D"/>
    <w:rsid w:val="00C622A7"/>
    <w:rsid w:val="00C626CE"/>
    <w:rsid w:val="00C62CBD"/>
    <w:rsid w:val="00C6303B"/>
    <w:rsid w:val="00C63444"/>
    <w:rsid w:val="00C63D7A"/>
    <w:rsid w:val="00C63FEC"/>
    <w:rsid w:val="00C6459A"/>
    <w:rsid w:val="00C64764"/>
    <w:rsid w:val="00C64770"/>
    <w:rsid w:val="00C64F37"/>
    <w:rsid w:val="00C65866"/>
    <w:rsid w:val="00C6713F"/>
    <w:rsid w:val="00C67DF3"/>
    <w:rsid w:val="00C67E9C"/>
    <w:rsid w:val="00C7064C"/>
    <w:rsid w:val="00C707EF"/>
    <w:rsid w:val="00C70AD4"/>
    <w:rsid w:val="00C70E1D"/>
    <w:rsid w:val="00C71101"/>
    <w:rsid w:val="00C72096"/>
    <w:rsid w:val="00C72FF0"/>
    <w:rsid w:val="00C7348A"/>
    <w:rsid w:val="00C73C6C"/>
    <w:rsid w:val="00C74BFB"/>
    <w:rsid w:val="00C74F33"/>
    <w:rsid w:val="00C75D47"/>
    <w:rsid w:val="00C763D7"/>
    <w:rsid w:val="00C76955"/>
    <w:rsid w:val="00C777B2"/>
    <w:rsid w:val="00C77D9A"/>
    <w:rsid w:val="00C800B2"/>
    <w:rsid w:val="00C807B6"/>
    <w:rsid w:val="00C8119A"/>
    <w:rsid w:val="00C81E5F"/>
    <w:rsid w:val="00C846D7"/>
    <w:rsid w:val="00C84B04"/>
    <w:rsid w:val="00C85021"/>
    <w:rsid w:val="00C85E89"/>
    <w:rsid w:val="00C86ED6"/>
    <w:rsid w:val="00C9015B"/>
    <w:rsid w:val="00C906D1"/>
    <w:rsid w:val="00C914FC"/>
    <w:rsid w:val="00C91AAE"/>
    <w:rsid w:val="00C91F9D"/>
    <w:rsid w:val="00C92CD7"/>
    <w:rsid w:val="00C9311B"/>
    <w:rsid w:val="00C93A44"/>
    <w:rsid w:val="00C9692A"/>
    <w:rsid w:val="00C972DF"/>
    <w:rsid w:val="00CA0FE3"/>
    <w:rsid w:val="00CA1F02"/>
    <w:rsid w:val="00CA25B8"/>
    <w:rsid w:val="00CA33DF"/>
    <w:rsid w:val="00CA3B3D"/>
    <w:rsid w:val="00CA4632"/>
    <w:rsid w:val="00CA5B05"/>
    <w:rsid w:val="00CA6B1B"/>
    <w:rsid w:val="00CA6F2E"/>
    <w:rsid w:val="00CA7053"/>
    <w:rsid w:val="00CA7F28"/>
    <w:rsid w:val="00CB089E"/>
    <w:rsid w:val="00CB0A6C"/>
    <w:rsid w:val="00CB0BD5"/>
    <w:rsid w:val="00CB0BD7"/>
    <w:rsid w:val="00CB18D3"/>
    <w:rsid w:val="00CB2CDA"/>
    <w:rsid w:val="00CB3A67"/>
    <w:rsid w:val="00CB410C"/>
    <w:rsid w:val="00CB41A4"/>
    <w:rsid w:val="00CB4A11"/>
    <w:rsid w:val="00CB5143"/>
    <w:rsid w:val="00CB6B51"/>
    <w:rsid w:val="00CB723F"/>
    <w:rsid w:val="00CB7A7C"/>
    <w:rsid w:val="00CC0546"/>
    <w:rsid w:val="00CC06B8"/>
    <w:rsid w:val="00CC1BCD"/>
    <w:rsid w:val="00CC1D35"/>
    <w:rsid w:val="00CC29C6"/>
    <w:rsid w:val="00CC347C"/>
    <w:rsid w:val="00CC43A2"/>
    <w:rsid w:val="00CC4F77"/>
    <w:rsid w:val="00CC771C"/>
    <w:rsid w:val="00CC7784"/>
    <w:rsid w:val="00CC79CD"/>
    <w:rsid w:val="00CC7E24"/>
    <w:rsid w:val="00CD029F"/>
    <w:rsid w:val="00CD1A65"/>
    <w:rsid w:val="00CD1F25"/>
    <w:rsid w:val="00CD2306"/>
    <w:rsid w:val="00CD2C75"/>
    <w:rsid w:val="00CD35E1"/>
    <w:rsid w:val="00CD433F"/>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3690"/>
    <w:rsid w:val="00CE4786"/>
    <w:rsid w:val="00CE54C2"/>
    <w:rsid w:val="00CE5533"/>
    <w:rsid w:val="00CE558C"/>
    <w:rsid w:val="00CE577C"/>
    <w:rsid w:val="00CE58F0"/>
    <w:rsid w:val="00CE5F94"/>
    <w:rsid w:val="00CE63D6"/>
    <w:rsid w:val="00CE6B0D"/>
    <w:rsid w:val="00CE7F4B"/>
    <w:rsid w:val="00CF052C"/>
    <w:rsid w:val="00CF1119"/>
    <w:rsid w:val="00CF1E44"/>
    <w:rsid w:val="00CF358D"/>
    <w:rsid w:val="00CF53C7"/>
    <w:rsid w:val="00CF5E04"/>
    <w:rsid w:val="00CF678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9F8"/>
    <w:rsid w:val="00D10C82"/>
    <w:rsid w:val="00D111AF"/>
    <w:rsid w:val="00D125BF"/>
    <w:rsid w:val="00D130E2"/>
    <w:rsid w:val="00D1313E"/>
    <w:rsid w:val="00D137E2"/>
    <w:rsid w:val="00D1395F"/>
    <w:rsid w:val="00D13EBA"/>
    <w:rsid w:val="00D1407E"/>
    <w:rsid w:val="00D15163"/>
    <w:rsid w:val="00D1546C"/>
    <w:rsid w:val="00D15781"/>
    <w:rsid w:val="00D173FD"/>
    <w:rsid w:val="00D17B2C"/>
    <w:rsid w:val="00D17D92"/>
    <w:rsid w:val="00D17E62"/>
    <w:rsid w:val="00D200EB"/>
    <w:rsid w:val="00D203D3"/>
    <w:rsid w:val="00D2154D"/>
    <w:rsid w:val="00D21686"/>
    <w:rsid w:val="00D21761"/>
    <w:rsid w:val="00D21FDB"/>
    <w:rsid w:val="00D22E5B"/>
    <w:rsid w:val="00D231AA"/>
    <w:rsid w:val="00D235DB"/>
    <w:rsid w:val="00D23BFA"/>
    <w:rsid w:val="00D241E8"/>
    <w:rsid w:val="00D24501"/>
    <w:rsid w:val="00D25D58"/>
    <w:rsid w:val="00D26843"/>
    <w:rsid w:val="00D27F9C"/>
    <w:rsid w:val="00D302CE"/>
    <w:rsid w:val="00D30975"/>
    <w:rsid w:val="00D3121E"/>
    <w:rsid w:val="00D3158F"/>
    <w:rsid w:val="00D32A41"/>
    <w:rsid w:val="00D33228"/>
    <w:rsid w:val="00D34CD1"/>
    <w:rsid w:val="00D34F29"/>
    <w:rsid w:val="00D35801"/>
    <w:rsid w:val="00D36461"/>
    <w:rsid w:val="00D36784"/>
    <w:rsid w:val="00D372B9"/>
    <w:rsid w:val="00D37839"/>
    <w:rsid w:val="00D417A1"/>
    <w:rsid w:val="00D41FFC"/>
    <w:rsid w:val="00D430CB"/>
    <w:rsid w:val="00D43629"/>
    <w:rsid w:val="00D43B6E"/>
    <w:rsid w:val="00D44143"/>
    <w:rsid w:val="00D45FEB"/>
    <w:rsid w:val="00D46CE8"/>
    <w:rsid w:val="00D473C6"/>
    <w:rsid w:val="00D477DE"/>
    <w:rsid w:val="00D512CE"/>
    <w:rsid w:val="00D51985"/>
    <w:rsid w:val="00D5240F"/>
    <w:rsid w:val="00D5242A"/>
    <w:rsid w:val="00D53D27"/>
    <w:rsid w:val="00D53DEE"/>
    <w:rsid w:val="00D54EA8"/>
    <w:rsid w:val="00D5585F"/>
    <w:rsid w:val="00D56963"/>
    <w:rsid w:val="00D57C79"/>
    <w:rsid w:val="00D601A4"/>
    <w:rsid w:val="00D604CB"/>
    <w:rsid w:val="00D604E3"/>
    <w:rsid w:val="00D60F8F"/>
    <w:rsid w:val="00D6114D"/>
    <w:rsid w:val="00D61152"/>
    <w:rsid w:val="00D6139A"/>
    <w:rsid w:val="00D62AE4"/>
    <w:rsid w:val="00D63BF5"/>
    <w:rsid w:val="00D65101"/>
    <w:rsid w:val="00D65113"/>
    <w:rsid w:val="00D6520E"/>
    <w:rsid w:val="00D6547D"/>
    <w:rsid w:val="00D65954"/>
    <w:rsid w:val="00D65CC4"/>
    <w:rsid w:val="00D66A2B"/>
    <w:rsid w:val="00D66CA0"/>
    <w:rsid w:val="00D66EA9"/>
    <w:rsid w:val="00D679CA"/>
    <w:rsid w:val="00D70C26"/>
    <w:rsid w:val="00D70E42"/>
    <w:rsid w:val="00D719E2"/>
    <w:rsid w:val="00D7323B"/>
    <w:rsid w:val="00D733E9"/>
    <w:rsid w:val="00D74BE2"/>
    <w:rsid w:val="00D7559D"/>
    <w:rsid w:val="00D7577A"/>
    <w:rsid w:val="00D76783"/>
    <w:rsid w:val="00D76AB6"/>
    <w:rsid w:val="00D76C18"/>
    <w:rsid w:val="00D778B5"/>
    <w:rsid w:val="00D77D82"/>
    <w:rsid w:val="00D80347"/>
    <w:rsid w:val="00D80DFA"/>
    <w:rsid w:val="00D83BD3"/>
    <w:rsid w:val="00D83F66"/>
    <w:rsid w:val="00D847AD"/>
    <w:rsid w:val="00D847C4"/>
    <w:rsid w:val="00D84CCB"/>
    <w:rsid w:val="00D8544C"/>
    <w:rsid w:val="00D863C2"/>
    <w:rsid w:val="00D87089"/>
    <w:rsid w:val="00D90EA9"/>
    <w:rsid w:val="00D90FF4"/>
    <w:rsid w:val="00D92830"/>
    <w:rsid w:val="00D9293B"/>
    <w:rsid w:val="00D93FF7"/>
    <w:rsid w:val="00D94101"/>
    <w:rsid w:val="00D94BBE"/>
    <w:rsid w:val="00D95151"/>
    <w:rsid w:val="00D952E4"/>
    <w:rsid w:val="00D95E44"/>
    <w:rsid w:val="00D970CB"/>
    <w:rsid w:val="00D971A4"/>
    <w:rsid w:val="00D978F7"/>
    <w:rsid w:val="00DA0153"/>
    <w:rsid w:val="00DA5C81"/>
    <w:rsid w:val="00DA752E"/>
    <w:rsid w:val="00DB02A3"/>
    <w:rsid w:val="00DB07EF"/>
    <w:rsid w:val="00DB0A6C"/>
    <w:rsid w:val="00DB0E0E"/>
    <w:rsid w:val="00DB2869"/>
    <w:rsid w:val="00DB2986"/>
    <w:rsid w:val="00DB4903"/>
    <w:rsid w:val="00DB4BE0"/>
    <w:rsid w:val="00DB508B"/>
    <w:rsid w:val="00DB5488"/>
    <w:rsid w:val="00DB64DC"/>
    <w:rsid w:val="00DB653B"/>
    <w:rsid w:val="00DB6949"/>
    <w:rsid w:val="00DB707C"/>
    <w:rsid w:val="00DC02E9"/>
    <w:rsid w:val="00DC0707"/>
    <w:rsid w:val="00DC188D"/>
    <w:rsid w:val="00DC23EB"/>
    <w:rsid w:val="00DC30E3"/>
    <w:rsid w:val="00DC3CF2"/>
    <w:rsid w:val="00DC3F6F"/>
    <w:rsid w:val="00DC6CA9"/>
    <w:rsid w:val="00DC72C2"/>
    <w:rsid w:val="00DC72DC"/>
    <w:rsid w:val="00DD02E9"/>
    <w:rsid w:val="00DD0489"/>
    <w:rsid w:val="00DD07FD"/>
    <w:rsid w:val="00DD233F"/>
    <w:rsid w:val="00DD3BEB"/>
    <w:rsid w:val="00DD4589"/>
    <w:rsid w:val="00DD4985"/>
    <w:rsid w:val="00DD593D"/>
    <w:rsid w:val="00DD5AC3"/>
    <w:rsid w:val="00DD6052"/>
    <w:rsid w:val="00DD68FB"/>
    <w:rsid w:val="00DD6DCA"/>
    <w:rsid w:val="00DD773E"/>
    <w:rsid w:val="00DE25E3"/>
    <w:rsid w:val="00DE3005"/>
    <w:rsid w:val="00DE37B3"/>
    <w:rsid w:val="00DE3BAD"/>
    <w:rsid w:val="00DE4702"/>
    <w:rsid w:val="00DE495A"/>
    <w:rsid w:val="00DE671B"/>
    <w:rsid w:val="00DE6A65"/>
    <w:rsid w:val="00DE7B5E"/>
    <w:rsid w:val="00DF0490"/>
    <w:rsid w:val="00DF1108"/>
    <w:rsid w:val="00DF1978"/>
    <w:rsid w:val="00DF1FD2"/>
    <w:rsid w:val="00DF32B7"/>
    <w:rsid w:val="00DF3335"/>
    <w:rsid w:val="00DF55B2"/>
    <w:rsid w:val="00DF5755"/>
    <w:rsid w:val="00DF5AC8"/>
    <w:rsid w:val="00DF5E16"/>
    <w:rsid w:val="00DF6BA9"/>
    <w:rsid w:val="00DF6EE4"/>
    <w:rsid w:val="00DF6F4A"/>
    <w:rsid w:val="00DF742C"/>
    <w:rsid w:val="00DF74EA"/>
    <w:rsid w:val="00DF7CB8"/>
    <w:rsid w:val="00DF7DCA"/>
    <w:rsid w:val="00E0034C"/>
    <w:rsid w:val="00E005DE"/>
    <w:rsid w:val="00E010DF"/>
    <w:rsid w:val="00E02DCE"/>
    <w:rsid w:val="00E03641"/>
    <w:rsid w:val="00E03B14"/>
    <w:rsid w:val="00E0439A"/>
    <w:rsid w:val="00E04E19"/>
    <w:rsid w:val="00E05014"/>
    <w:rsid w:val="00E0503C"/>
    <w:rsid w:val="00E054D8"/>
    <w:rsid w:val="00E055F9"/>
    <w:rsid w:val="00E061AA"/>
    <w:rsid w:val="00E06210"/>
    <w:rsid w:val="00E07108"/>
    <w:rsid w:val="00E07358"/>
    <w:rsid w:val="00E074EE"/>
    <w:rsid w:val="00E07B33"/>
    <w:rsid w:val="00E07D3B"/>
    <w:rsid w:val="00E101AE"/>
    <w:rsid w:val="00E1027E"/>
    <w:rsid w:val="00E104DB"/>
    <w:rsid w:val="00E110BE"/>
    <w:rsid w:val="00E14189"/>
    <w:rsid w:val="00E147DB"/>
    <w:rsid w:val="00E15EC7"/>
    <w:rsid w:val="00E200CC"/>
    <w:rsid w:val="00E226D5"/>
    <w:rsid w:val="00E243CF"/>
    <w:rsid w:val="00E24D64"/>
    <w:rsid w:val="00E26CC9"/>
    <w:rsid w:val="00E26D82"/>
    <w:rsid w:val="00E26E5A"/>
    <w:rsid w:val="00E2712A"/>
    <w:rsid w:val="00E273D2"/>
    <w:rsid w:val="00E30A66"/>
    <w:rsid w:val="00E3120F"/>
    <w:rsid w:val="00E3143B"/>
    <w:rsid w:val="00E32F0D"/>
    <w:rsid w:val="00E33738"/>
    <w:rsid w:val="00E33AAC"/>
    <w:rsid w:val="00E34842"/>
    <w:rsid w:val="00E35091"/>
    <w:rsid w:val="00E3529D"/>
    <w:rsid w:val="00E35888"/>
    <w:rsid w:val="00E36103"/>
    <w:rsid w:val="00E361CA"/>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51E1"/>
    <w:rsid w:val="00E46107"/>
    <w:rsid w:val="00E4622F"/>
    <w:rsid w:val="00E467FB"/>
    <w:rsid w:val="00E4716E"/>
    <w:rsid w:val="00E47CB4"/>
    <w:rsid w:val="00E50262"/>
    <w:rsid w:val="00E51B87"/>
    <w:rsid w:val="00E5233D"/>
    <w:rsid w:val="00E52F45"/>
    <w:rsid w:val="00E53A95"/>
    <w:rsid w:val="00E53AC8"/>
    <w:rsid w:val="00E54077"/>
    <w:rsid w:val="00E54542"/>
    <w:rsid w:val="00E54A6E"/>
    <w:rsid w:val="00E607EC"/>
    <w:rsid w:val="00E60BCC"/>
    <w:rsid w:val="00E61628"/>
    <w:rsid w:val="00E6199D"/>
    <w:rsid w:val="00E61D16"/>
    <w:rsid w:val="00E62B0B"/>
    <w:rsid w:val="00E637C9"/>
    <w:rsid w:val="00E6390C"/>
    <w:rsid w:val="00E6503B"/>
    <w:rsid w:val="00E650B6"/>
    <w:rsid w:val="00E65581"/>
    <w:rsid w:val="00E659AC"/>
    <w:rsid w:val="00E66BF9"/>
    <w:rsid w:val="00E704AC"/>
    <w:rsid w:val="00E70958"/>
    <w:rsid w:val="00E720DC"/>
    <w:rsid w:val="00E724DE"/>
    <w:rsid w:val="00E72750"/>
    <w:rsid w:val="00E73A16"/>
    <w:rsid w:val="00E73AA4"/>
    <w:rsid w:val="00E73AC1"/>
    <w:rsid w:val="00E74AD9"/>
    <w:rsid w:val="00E74F74"/>
    <w:rsid w:val="00E75AE2"/>
    <w:rsid w:val="00E76535"/>
    <w:rsid w:val="00E767B4"/>
    <w:rsid w:val="00E76B40"/>
    <w:rsid w:val="00E77D12"/>
    <w:rsid w:val="00E77E8A"/>
    <w:rsid w:val="00E81B09"/>
    <w:rsid w:val="00E82709"/>
    <w:rsid w:val="00E828EB"/>
    <w:rsid w:val="00E82F84"/>
    <w:rsid w:val="00E850E4"/>
    <w:rsid w:val="00E855FA"/>
    <w:rsid w:val="00E85A4A"/>
    <w:rsid w:val="00E8637D"/>
    <w:rsid w:val="00E90D0B"/>
    <w:rsid w:val="00E9290E"/>
    <w:rsid w:val="00E92C09"/>
    <w:rsid w:val="00E92E52"/>
    <w:rsid w:val="00E93405"/>
    <w:rsid w:val="00E956C2"/>
    <w:rsid w:val="00E9590B"/>
    <w:rsid w:val="00E95995"/>
    <w:rsid w:val="00E95BDA"/>
    <w:rsid w:val="00E967B4"/>
    <w:rsid w:val="00E96B5B"/>
    <w:rsid w:val="00EA10BF"/>
    <w:rsid w:val="00EA22D8"/>
    <w:rsid w:val="00EA4915"/>
    <w:rsid w:val="00EA5149"/>
    <w:rsid w:val="00EA5484"/>
    <w:rsid w:val="00EA6126"/>
    <w:rsid w:val="00EA613B"/>
    <w:rsid w:val="00EA642A"/>
    <w:rsid w:val="00EA66F1"/>
    <w:rsid w:val="00EA69F2"/>
    <w:rsid w:val="00EA6C51"/>
    <w:rsid w:val="00EA710F"/>
    <w:rsid w:val="00EB07F5"/>
    <w:rsid w:val="00EB0B86"/>
    <w:rsid w:val="00EB176D"/>
    <w:rsid w:val="00EB1B2F"/>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941"/>
    <w:rsid w:val="00EC5B2D"/>
    <w:rsid w:val="00EC5B85"/>
    <w:rsid w:val="00EC61B9"/>
    <w:rsid w:val="00EC6871"/>
    <w:rsid w:val="00ED274B"/>
    <w:rsid w:val="00ED3116"/>
    <w:rsid w:val="00ED3D8A"/>
    <w:rsid w:val="00ED423F"/>
    <w:rsid w:val="00ED4B7C"/>
    <w:rsid w:val="00ED5C89"/>
    <w:rsid w:val="00ED5E39"/>
    <w:rsid w:val="00ED6024"/>
    <w:rsid w:val="00ED63B1"/>
    <w:rsid w:val="00ED687B"/>
    <w:rsid w:val="00ED6A6E"/>
    <w:rsid w:val="00ED6EB9"/>
    <w:rsid w:val="00ED7B6D"/>
    <w:rsid w:val="00EE0122"/>
    <w:rsid w:val="00EE0234"/>
    <w:rsid w:val="00EE0B22"/>
    <w:rsid w:val="00EE11C1"/>
    <w:rsid w:val="00EE12F6"/>
    <w:rsid w:val="00EE1640"/>
    <w:rsid w:val="00EE1AC4"/>
    <w:rsid w:val="00EE20D1"/>
    <w:rsid w:val="00EE21E9"/>
    <w:rsid w:val="00EE2746"/>
    <w:rsid w:val="00EE46E7"/>
    <w:rsid w:val="00EE4764"/>
    <w:rsid w:val="00EE4FC6"/>
    <w:rsid w:val="00EE5925"/>
    <w:rsid w:val="00EE5E3B"/>
    <w:rsid w:val="00EE6149"/>
    <w:rsid w:val="00EE6DF9"/>
    <w:rsid w:val="00EE6F79"/>
    <w:rsid w:val="00EE733F"/>
    <w:rsid w:val="00EF00EC"/>
    <w:rsid w:val="00EF0976"/>
    <w:rsid w:val="00EF0D14"/>
    <w:rsid w:val="00EF0FD4"/>
    <w:rsid w:val="00EF1C89"/>
    <w:rsid w:val="00EF1D28"/>
    <w:rsid w:val="00EF2085"/>
    <w:rsid w:val="00EF33AC"/>
    <w:rsid w:val="00EF3868"/>
    <w:rsid w:val="00EF4542"/>
    <w:rsid w:val="00EF4CFB"/>
    <w:rsid w:val="00EF5CC2"/>
    <w:rsid w:val="00EF6CE5"/>
    <w:rsid w:val="00EF6F01"/>
    <w:rsid w:val="00F003F6"/>
    <w:rsid w:val="00F01467"/>
    <w:rsid w:val="00F01C6A"/>
    <w:rsid w:val="00F0213D"/>
    <w:rsid w:val="00F0218F"/>
    <w:rsid w:val="00F02261"/>
    <w:rsid w:val="00F03679"/>
    <w:rsid w:val="00F03B47"/>
    <w:rsid w:val="00F0470F"/>
    <w:rsid w:val="00F04E1C"/>
    <w:rsid w:val="00F06D30"/>
    <w:rsid w:val="00F06FFD"/>
    <w:rsid w:val="00F10138"/>
    <w:rsid w:val="00F102E7"/>
    <w:rsid w:val="00F139A3"/>
    <w:rsid w:val="00F139FF"/>
    <w:rsid w:val="00F13CB9"/>
    <w:rsid w:val="00F16E6A"/>
    <w:rsid w:val="00F1744A"/>
    <w:rsid w:val="00F177A6"/>
    <w:rsid w:val="00F177D6"/>
    <w:rsid w:val="00F21D3A"/>
    <w:rsid w:val="00F21D5C"/>
    <w:rsid w:val="00F22DBA"/>
    <w:rsid w:val="00F237F3"/>
    <w:rsid w:val="00F240F4"/>
    <w:rsid w:val="00F24E19"/>
    <w:rsid w:val="00F250E1"/>
    <w:rsid w:val="00F262C1"/>
    <w:rsid w:val="00F275A7"/>
    <w:rsid w:val="00F27CB4"/>
    <w:rsid w:val="00F27F41"/>
    <w:rsid w:val="00F3028C"/>
    <w:rsid w:val="00F31555"/>
    <w:rsid w:val="00F31ADF"/>
    <w:rsid w:val="00F31DB1"/>
    <w:rsid w:val="00F32561"/>
    <w:rsid w:val="00F337AD"/>
    <w:rsid w:val="00F3455F"/>
    <w:rsid w:val="00F355BD"/>
    <w:rsid w:val="00F35C58"/>
    <w:rsid w:val="00F36537"/>
    <w:rsid w:val="00F36E31"/>
    <w:rsid w:val="00F3778C"/>
    <w:rsid w:val="00F37B02"/>
    <w:rsid w:val="00F37F61"/>
    <w:rsid w:val="00F400E2"/>
    <w:rsid w:val="00F405C9"/>
    <w:rsid w:val="00F40918"/>
    <w:rsid w:val="00F409F5"/>
    <w:rsid w:val="00F41C13"/>
    <w:rsid w:val="00F41DAB"/>
    <w:rsid w:val="00F42112"/>
    <w:rsid w:val="00F42270"/>
    <w:rsid w:val="00F4270A"/>
    <w:rsid w:val="00F43940"/>
    <w:rsid w:val="00F43FB9"/>
    <w:rsid w:val="00F44163"/>
    <w:rsid w:val="00F446D2"/>
    <w:rsid w:val="00F4496E"/>
    <w:rsid w:val="00F4532A"/>
    <w:rsid w:val="00F456FE"/>
    <w:rsid w:val="00F45E6C"/>
    <w:rsid w:val="00F46067"/>
    <w:rsid w:val="00F4626C"/>
    <w:rsid w:val="00F4694D"/>
    <w:rsid w:val="00F473AC"/>
    <w:rsid w:val="00F47BB1"/>
    <w:rsid w:val="00F52174"/>
    <w:rsid w:val="00F52CEC"/>
    <w:rsid w:val="00F52EB7"/>
    <w:rsid w:val="00F530CD"/>
    <w:rsid w:val="00F53712"/>
    <w:rsid w:val="00F541AA"/>
    <w:rsid w:val="00F542E3"/>
    <w:rsid w:val="00F54D07"/>
    <w:rsid w:val="00F54EB2"/>
    <w:rsid w:val="00F560DB"/>
    <w:rsid w:val="00F56256"/>
    <w:rsid w:val="00F56FB8"/>
    <w:rsid w:val="00F573D0"/>
    <w:rsid w:val="00F60895"/>
    <w:rsid w:val="00F60BF1"/>
    <w:rsid w:val="00F6120A"/>
    <w:rsid w:val="00F61E32"/>
    <w:rsid w:val="00F63003"/>
    <w:rsid w:val="00F637CB"/>
    <w:rsid w:val="00F63A44"/>
    <w:rsid w:val="00F65E80"/>
    <w:rsid w:val="00F65F19"/>
    <w:rsid w:val="00F668C7"/>
    <w:rsid w:val="00F6731F"/>
    <w:rsid w:val="00F678EF"/>
    <w:rsid w:val="00F707BD"/>
    <w:rsid w:val="00F70E56"/>
    <w:rsid w:val="00F72542"/>
    <w:rsid w:val="00F7294B"/>
    <w:rsid w:val="00F738B4"/>
    <w:rsid w:val="00F7519D"/>
    <w:rsid w:val="00F752F3"/>
    <w:rsid w:val="00F761B9"/>
    <w:rsid w:val="00F762AE"/>
    <w:rsid w:val="00F7641D"/>
    <w:rsid w:val="00F76A25"/>
    <w:rsid w:val="00F777C8"/>
    <w:rsid w:val="00F8418D"/>
    <w:rsid w:val="00F856D8"/>
    <w:rsid w:val="00F85D5F"/>
    <w:rsid w:val="00F86AA2"/>
    <w:rsid w:val="00F87945"/>
    <w:rsid w:val="00F879E4"/>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3939"/>
    <w:rsid w:val="00FA689C"/>
    <w:rsid w:val="00FA6A03"/>
    <w:rsid w:val="00FA70BD"/>
    <w:rsid w:val="00FB0BAC"/>
    <w:rsid w:val="00FB1380"/>
    <w:rsid w:val="00FB1952"/>
    <w:rsid w:val="00FB1F00"/>
    <w:rsid w:val="00FB203C"/>
    <w:rsid w:val="00FB25A6"/>
    <w:rsid w:val="00FB3809"/>
    <w:rsid w:val="00FB39EB"/>
    <w:rsid w:val="00FB7594"/>
    <w:rsid w:val="00FB783D"/>
    <w:rsid w:val="00FB7EA9"/>
    <w:rsid w:val="00FB7ECD"/>
    <w:rsid w:val="00FC0CB3"/>
    <w:rsid w:val="00FC0FC9"/>
    <w:rsid w:val="00FC2710"/>
    <w:rsid w:val="00FC293F"/>
    <w:rsid w:val="00FC295F"/>
    <w:rsid w:val="00FC2970"/>
    <w:rsid w:val="00FC30F3"/>
    <w:rsid w:val="00FC3195"/>
    <w:rsid w:val="00FC34AF"/>
    <w:rsid w:val="00FC38C2"/>
    <w:rsid w:val="00FC3AFD"/>
    <w:rsid w:val="00FC4217"/>
    <w:rsid w:val="00FC48B2"/>
    <w:rsid w:val="00FC494C"/>
    <w:rsid w:val="00FC4CCE"/>
    <w:rsid w:val="00FC62B6"/>
    <w:rsid w:val="00FC62ED"/>
    <w:rsid w:val="00FC6D07"/>
    <w:rsid w:val="00FC7417"/>
    <w:rsid w:val="00FD1570"/>
    <w:rsid w:val="00FD2477"/>
    <w:rsid w:val="00FD269F"/>
    <w:rsid w:val="00FD309A"/>
    <w:rsid w:val="00FD36BE"/>
    <w:rsid w:val="00FD3BF2"/>
    <w:rsid w:val="00FD4F62"/>
    <w:rsid w:val="00FD5488"/>
    <w:rsid w:val="00FD54FC"/>
    <w:rsid w:val="00FD59D7"/>
    <w:rsid w:val="00FD5B44"/>
    <w:rsid w:val="00FD7ACD"/>
    <w:rsid w:val="00FE0045"/>
    <w:rsid w:val="00FE18BB"/>
    <w:rsid w:val="00FE3F4E"/>
    <w:rsid w:val="00FE4B40"/>
    <w:rsid w:val="00FE4E26"/>
    <w:rsid w:val="00FE4FBA"/>
    <w:rsid w:val="00FE5558"/>
    <w:rsid w:val="00FE661C"/>
    <w:rsid w:val="00FE7709"/>
    <w:rsid w:val="00FF0FC2"/>
    <w:rsid w:val="00FF103B"/>
    <w:rsid w:val="00FF13E8"/>
    <w:rsid w:val="00FF1A39"/>
    <w:rsid w:val="00FF2050"/>
    <w:rsid w:val="00FF29DE"/>
    <w:rsid w:val="00FF3435"/>
    <w:rsid w:val="00FF3A45"/>
    <w:rsid w:val="00FF3D0A"/>
    <w:rsid w:val="00FF3FE5"/>
    <w:rsid w:val="00FF4284"/>
    <w:rsid w:val="00FF476D"/>
    <w:rsid w:val="00FF4C76"/>
    <w:rsid w:val="00FF5864"/>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10762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10762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5785">
      <w:bodyDiv w:val="1"/>
      <w:marLeft w:val="0"/>
      <w:marRight w:val="0"/>
      <w:marTop w:val="0"/>
      <w:marBottom w:val="0"/>
      <w:divBdr>
        <w:top w:val="none" w:sz="0" w:space="0" w:color="auto"/>
        <w:left w:val="none" w:sz="0" w:space="0" w:color="auto"/>
        <w:bottom w:val="none" w:sz="0" w:space="0" w:color="auto"/>
        <w:right w:val="none" w:sz="0" w:space="0" w:color="auto"/>
      </w:divBdr>
    </w:div>
    <w:div w:id="570241665">
      <w:marLeft w:val="0"/>
      <w:marRight w:val="0"/>
      <w:marTop w:val="0"/>
      <w:marBottom w:val="0"/>
      <w:divBdr>
        <w:top w:val="none" w:sz="0" w:space="0" w:color="auto"/>
        <w:left w:val="none" w:sz="0" w:space="0" w:color="auto"/>
        <w:bottom w:val="none" w:sz="0" w:space="0" w:color="auto"/>
        <w:right w:val="none" w:sz="0" w:space="0" w:color="auto"/>
      </w:divBdr>
      <w:divsChild>
        <w:div w:id="570241667">
          <w:marLeft w:val="0"/>
          <w:marRight w:val="0"/>
          <w:marTop w:val="0"/>
          <w:marBottom w:val="0"/>
          <w:divBdr>
            <w:top w:val="none" w:sz="0" w:space="0" w:color="auto"/>
            <w:left w:val="none" w:sz="0" w:space="0" w:color="auto"/>
            <w:bottom w:val="none" w:sz="0" w:space="0" w:color="auto"/>
            <w:right w:val="none" w:sz="0" w:space="0" w:color="auto"/>
          </w:divBdr>
        </w:div>
      </w:divsChild>
    </w:div>
    <w:div w:id="570241666">
      <w:marLeft w:val="0"/>
      <w:marRight w:val="0"/>
      <w:marTop w:val="0"/>
      <w:marBottom w:val="0"/>
      <w:divBdr>
        <w:top w:val="none" w:sz="0" w:space="0" w:color="auto"/>
        <w:left w:val="none" w:sz="0" w:space="0" w:color="auto"/>
        <w:bottom w:val="none" w:sz="0" w:space="0" w:color="auto"/>
        <w:right w:val="none" w:sz="0" w:space="0" w:color="auto"/>
      </w:divBdr>
      <w:divsChild>
        <w:div w:id="570241668">
          <w:marLeft w:val="0"/>
          <w:marRight w:val="0"/>
          <w:marTop w:val="0"/>
          <w:marBottom w:val="0"/>
          <w:divBdr>
            <w:top w:val="none" w:sz="0" w:space="0" w:color="auto"/>
            <w:left w:val="none" w:sz="0" w:space="0" w:color="auto"/>
            <w:bottom w:val="none" w:sz="0" w:space="0" w:color="auto"/>
            <w:right w:val="none" w:sz="0" w:space="0" w:color="auto"/>
          </w:divBdr>
        </w:div>
      </w:divsChild>
    </w:div>
    <w:div w:id="570241669">
      <w:marLeft w:val="0"/>
      <w:marRight w:val="0"/>
      <w:marTop w:val="0"/>
      <w:marBottom w:val="0"/>
      <w:divBdr>
        <w:top w:val="none" w:sz="0" w:space="0" w:color="auto"/>
        <w:left w:val="none" w:sz="0" w:space="0" w:color="auto"/>
        <w:bottom w:val="none" w:sz="0" w:space="0" w:color="auto"/>
        <w:right w:val="none" w:sz="0" w:space="0" w:color="auto"/>
      </w:divBdr>
    </w:div>
    <w:div w:id="570241670">
      <w:marLeft w:val="0"/>
      <w:marRight w:val="0"/>
      <w:marTop w:val="0"/>
      <w:marBottom w:val="0"/>
      <w:divBdr>
        <w:top w:val="none" w:sz="0" w:space="0" w:color="auto"/>
        <w:left w:val="none" w:sz="0" w:space="0" w:color="auto"/>
        <w:bottom w:val="none" w:sz="0" w:space="0" w:color="auto"/>
        <w:right w:val="none" w:sz="0" w:space="0" w:color="auto"/>
      </w:divBdr>
    </w:div>
    <w:div w:id="570241671">
      <w:marLeft w:val="0"/>
      <w:marRight w:val="0"/>
      <w:marTop w:val="0"/>
      <w:marBottom w:val="0"/>
      <w:divBdr>
        <w:top w:val="none" w:sz="0" w:space="0" w:color="auto"/>
        <w:left w:val="none" w:sz="0" w:space="0" w:color="auto"/>
        <w:bottom w:val="none" w:sz="0" w:space="0" w:color="auto"/>
        <w:right w:val="none" w:sz="0" w:space="0" w:color="auto"/>
      </w:divBdr>
    </w:div>
    <w:div w:id="570241672">
      <w:marLeft w:val="0"/>
      <w:marRight w:val="0"/>
      <w:marTop w:val="0"/>
      <w:marBottom w:val="0"/>
      <w:divBdr>
        <w:top w:val="none" w:sz="0" w:space="0" w:color="auto"/>
        <w:left w:val="none" w:sz="0" w:space="0" w:color="auto"/>
        <w:bottom w:val="none" w:sz="0" w:space="0" w:color="auto"/>
        <w:right w:val="none" w:sz="0" w:space="0" w:color="auto"/>
      </w:divBdr>
    </w:div>
    <w:div w:id="570241673">
      <w:marLeft w:val="0"/>
      <w:marRight w:val="0"/>
      <w:marTop w:val="0"/>
      <w:marBottom w:val="0"/>
      <w:divBdr>
        <w:top w:val="none" w:sz="0" w:space="0" w:color="auto"/>
        <w:left w:val="none" w:sz="0" w:space="0" w:color="auto"/>
        <w:bottom w:val="none" w:sz="0" w:space="0" w:color="auto"/>
        <w:right w:val="none" w:sz="0" w:space="0" w:color="auto"/>
      </w:divBdr>
    </w:div>
    <w:div w:id="570241674">
      <w:marLeft w:val="0"/>
      <w:marRight w:val="0"/>
      <w:marTop w:val="0"/>
      <w:marBottom w:val="0"/>
      <w:divBdr>
        <w:top w:val="none" w:sz="0" w:space="0" w:color="auto"/>
        <w:left w:val="none" w:sz="0" w:space="0" w:color="auto"/>
        <w:bottom w:val="none" w:sz="0" w:space="0" w:color="auto"/>
        <w:right w:val="none" w:sz="0" w:space="0" w:color="auto"/>
      </w:divBdr>
    </w:div>
    <w:div w:id="1763868541">
      <w:bodyDiv w:val="1"/>
      <w:marLeft w:val="30"/>
      <w:marRight w:val="30"/>
      <w:marTop w:val="30"/>
      <w:marBottom w:val="30"/>
      <w:divBdr>
        <w:top w:val="none" w:sz="0" w:space="0" w:color="auto"/>
        <w:left w:val="none" w:sz="0" w:space="0" w:color="auto"/>
        <w:bottom w:val="none" w:sz="0" w:space="0" w:color="auto"/>
        <w:right w:val="none" w:sz="0" w:space="0" w:color="auto"/>
      </w:divBdr>
      <w:divsChild>
        <w:div w:id="739062810">
          <w:marLeft w:val="0"/>
          <w:marRight w:val="0"/>
          <w:marTop w:val="0"/>
          <w:marBottom w:val="0"/>
          <w:divBdr>
            <w:top w:val="none" w:sz="0" w:space="0" w:color="auto"/>
            <w:left w:val="none" w:sz="0" w:space="0" w:color="auto"/>
            <w:bottom w:val="none" w:sz="0" w:space="0" w:color="auto"/>
            <w:right w:val="none" w:sz="0" w:space="0" w:color="auto"/>
          </w:divBdr>
          <w:divsChild>
            <w:div w:id="728967138">
              <w:marLeft w:val="45"/>
              <w:marRight w:val="45"/>
              <w:marTop w:val="45"/>
              <w:marBottom w:val="45"/>
              <w:divBdr>
                <w:top w:val="none" w:sz="0" w:space="0" w:color="auto"/>
                <w:left w:val="none" w:sz="0" w:space="0" w:color="auto"/>
                <w:bottom w:val="none" w:sz="0" w:space="0" w:color="auto"/>
                <w:right w:val="none" w:sz="0" w:space="0" w:color="auto"/>
              </w:divBdr>
              <w:divsChild>
                <w:div w:id="975447717">
                  <w:marLeft w:val="0"/>
                  <w:marRight w:val="0"/>
                  <w:marTop w:val="0"/>
                  <w:marBottom w:val="0"/>
                  <w:divBdr>
                    <w:top w:val="none" w:sz="0" w:space="0" w:color="auto"/>
                    <w:left w:val="none" w:sz="0" w:space="0" w:color="auto"/>
                    <w:bottom w:val="none" w:sz="0" w:space="0" w:color="auto"/>
                    <w:right w:val="none" w:sz="0" w:space="0" w:color="auto"/>
                  </w:divBdr>
                  <w:divsChild>
                    <w:div w:id="1488090579">
                      <w:marLeft w:val="0"/>
                      <w:marRight w:val="0"/>
                      <w:marTop w:val="0"/>
                      <w:marBottom w:val="0"/>
                      <w:divBdr>
                        <w:top w:val="none" w:sz="0" w:space="0" w:color="auto"/>
                        <w:left w:val="none" w:sz="0" w:space="0" w:color="auto"/>
                        <w:bottom w:val="none" w:sz="0" w:space="0" w:color="auto"/>
                        <w:right w:val="none" w:sz="0" w:space="0" w:color="auto"/>
                      </w:divBdr>
                    </w:div>
                    <w:div w:id="10830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72940-FF08-4FCE-BE6E-0E13C5D8B7AE}"/>
</file>

<file path=customXml/itemProps2.xml><?xml version="1.0" encoding="utf-8"?>
<ds:datastoreItem xmlns:ds="http://schemas.openxmlformats.org/officeDocument/2006/customXml" ds:itemID="{B103E347-7B9A-4AB3-B9D8-6615C1A32B43}"/>
</file>

<file path=customXml/itemProps3.xml><?xml version="1.0" encoding="utf-8"?>
<ds:datastoreItem xmlns:ds="http://schemas.openxmlformats.org/officeDocument/2006/customXml" ds:itemID="{C79E0319-1637-4B00-A669-5690D810286B}"/>
</file>

<file path=customXml/itemProps4.xml><?xml version="1.0" encoding="utf-8"?>
<ds:datastoreItem xmlns:ds="http://schemas.openxmlformats.org/officeDocument/2006/customXml" ds:itemID="{179D33D7-D225-484E-9637-3CA59C2BFA5E}"/>
</file>

<file path=customXml/itemProps5.xml><?xml version="1.0" encoding="utf-8"?>
<ds:datastoreItem xmlns:ds="http://schemas.openxmlformats.org/officeDocument/2006/customXml" ds:itemID="{6B7B0689-BCFC-4FA9-A231-683023CA3097}"/>
</file>

<file path=customXml/itemProps6.xml><?xml version="1.0" encoding="utf-8"?>
<ds:datastoreItem xmlns:ds="http://schemas.openxmlformats.org/officeDocument/2006/customXml" ds:itemID="{CACD0A91-254A-4D2E-B348-484DE802DC56}"/>
</file>

<file path=docProps/app.xml><?xml version="1.0" encoding="utf-8"?>
<Properties xmlns="http://schemas.openxmlformats.org/officeDocument/2006/extended-properties" xmlns:vt="http://schemas.openxmlformats.org/officeDocument/2006/docPropsVTypes">
  <Template>Normal.dotm</Template>
  <TotalTime>110</TotalTime>
  <Pages>40</Pages>
  <Words>8526</Words>
  <Characters>44938</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53358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Marcelia, Matthew R -Matt</dc:creator>
  <cp:lastModifiedBy>No Name</cp:lastModifiedBy>
  <cp:revision>10</cp:revision>
  <cp:lastPrinted>2014-04-22T18:37:00Z</cp:lastPrinted>
  <dcterms:created xsi:type="dcterms:W3CDTF">2014-04-22T14:36:00Z</dcterms:created>
  <dcterms:modified xsi:type="dcterms:W3CDTF">2014-04-22T20:37:00Z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gFAAsdpvfP9KDXLqWebBGS81ixYIkmqhcfiDPeu9dCTwQKn6LE1FAPmnXvsVB5zasEW4BjCUOVtegNkk
XGedJwDX9r5yuhDD5pmpBGrEhRCAnneX8Nh6liSKhE4WFmPT6FFX/hMxekj/EvIXrDgg8OAS/nyR
o24nQjc9PHF21sSrXpPH4ITJticMM0A1F3whsftssLGc7WdccMtNS8z1m2hnNqKX+psx/BoRNw3C
vwOEWkZBg3nJ0TJOC</vt:lpwstr>
  </property>
  <property fmtid="{D5CDD505-2E9C-101B-9397-08002B2CF9AE}" pid="3" name="MAIL_MSG_ID2">
    <vt:lpwstr>h+ppapevHEZIdY7lSxwJ02TnNBlhZ8dXRUNjVHeIxOyBBAKpn1dNSu+1PFg
MdYPxaP596cxDSBgKo7fgBcRbFn4MG8UssatcQ==</vt:lpwstr>
  </property>
  <property fmtid="{D5CDD505-2E9C-101B-9397-08002B2CF9AE}" pid="4" name="RESPONSE_SENDER_NAME">
    <vt:lpwstr>4AAAv2pPQheLA5UG9qMHflINewdU2v5Jb12ppeJjp8Q3a2/tjmzWKIzB6A==</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0x0101006E56B4D1795A2E4DB2F0B01679ED314A00C87A0A5D7D9C4E4DAB7922844D35C890</vt:lpwstr>
  </property>
  <property fmtid="{D5CDD505-2E9C-101B-9397-08002B2CF9AE}" pid="7" name="_docset_NoMedatataSyncRequired">
    <vt:lpwstr>False</vt:lpwstr>
  </property>
</Properties>
</file>