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B9D6F" w14:textId="77777777" w:rsidR="00EB4016" w:rsidRPr="00B52E9D" w:rsidRDefault="00EB4016" w:rsidP="00EB4016">
      <w:pPr>
        <w:pStyle w:val="BodyText"/>
        <w:rPr>
          <w:b/>
          <w:bCs/>
          <w:sz w:val="25"/>
          <w:szCs w:val="25"/>
        </w:rPr>
      </w:pPr>
      <w:bookmarkStart w:id="0" w:name="_GoBack"/>
      <w:bookmarkEnd w:id="0"/>
      <w:r w:rsidRPr="00B52E9D">
        <w:rPr>
          <w:b/>
          <w:bCs/>
          <w:sz w:val="25"/>
          <w:szCs w:val="25"/>
        </w:rPr>
        <w:t>BEFORE THE WASHINGTON</w:t>
      </w:r>
    </w:p>
    <w:p w14:paraId="40E36638" w14:textId="77777777" w:rsidR="00EB4016" w:rsidRPr="00B52E9D" w:rsidRDefault="00EB4016" w:rsidP="00EB4016">
      <w:pPr>
        <w:pStyle w:val="BodyText"/>
        <w:rPr>
          <w:b/>
          <w:bCs/>
          <w:sz w:val="25"/>
          <w:szCs w:val="25"/>
        </w:rPr>
      </w:pPr>
      <w:r w:rsidRPr="00B52E9D">
        <w:rPr>
          <w:b/>
          <w:bCs/>
          <w:sz w:val="25"/>
          <w:szCs w:val="25"/>
        </w:rPr>
        <w:t>UTILITIES AND TRANSPORTATION COMMISSION</w:t>
      </w:r>
    </w:p>
    <w:p w14:paraId="6ED54357" w14:textId="77777777" w:rsidR="00EB4016" w:rsidRPr="00B52E9D" w:rsidRDefault="00EB4016" w:rsidP="00EB4016">
      <w:pPr>
        <w:pStyle w:val="BodyText"/>
        <w:rPr>
          <w:sz w:val="25"/>
          <w:szCs w:val="25"/>
        </w:rPr>
      </w:pPr>
    </w:p>
    <w:p w14:paraId="06854803" w14:textId="77777777" w:rsidR="00EB4016" w:rsidRPr="00B52E9D" w:rsidRDefault="00EB4016" w:rsidP="00EB4016">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EB4016" w:rsidRPr="00B52E9D" w14:paraId="0766E224" w14:textId="77777777" w:rsidTr="00EB4016">
        <w:tc>
          <w:tcPr>
            <w:tcW w:w="4248" w:type="dxa"/>
          </w:tcPr>
          <w:p w14:paraId="422841AE" w14:textId="77777777" w:rsidR="00EB4016" w:rsidRPr="00B52E9D" w:rsidRDefault="00EB4016" w:rsidP="00EB4016">
            <w:pPr>
              <w:pStyle w:val="BodyText"/>
              <w:jc w:val="left"/>
              <w:rPr>
                <w:sz w:val="25"/>
                <w:szCs w:val="25"/>
              </w:rPr>
            </w:pPr>
            <w:r w:rsidRPr="00B52E9D">
              <w:rPr>
                <w:sz w:val="25"/>
                <w:szCs w:val="25"/>
              </w:rPr>
              <w:t>WASHINGTON UTILITIES AND TRANSPORTATION COMMISSION,</w:t>
            </w:r>
          </w:p>
          <w:p w14:paraId="1D6C7898" w14:textId="77777777" w:rsidR="00EB4016" w:rsidRPr="00B52E9D" w:rsidRDefault="00EB4016" w:rsidP="00EB4016">
            <w:pPr>
              <w:pStyle w:val="BodyText"/>
              <w:jc w:val="left"/>
              <w:rPr>
                <w:sz w:val="25"/>
                <w:szCs w:val="25"/>
              </w:rPr>
            </w:pPr>
          </w:p>
          <w:p w14:paraId="655B2487" w14:textId="77777777" w:rsidR="00EB4016" w:rsidRPr="00B52E9D" w:rsidRDefault="00EB4016" w:rsidP="00EB4016">
            <w:pPr>
              <w:pStyle w:val="BodyText"/>
              <w:tabs>
                <w:tab w:val="left" w:pos="2174"/>
              </w:tabs>
              <w:jc w:val="left"/>
              <w:rPr>
                <w:sz w:val="25"/>
                <w:szCs w:val="25"/>
              </w:rPr>
            </w:pPr>
            <w:r w:rsidRPr="00B52E9D">
              <w:rPr>
                <w:sz w:val="25"/>
                <w:szCs w:val="25"/>
              </w:rPr>
              <w:tab/>
              <w:t>Complainant,</w:t>
            </w:r>
          </w:p>
          <w:p w14:paraId="7495298E" w14:textId="77777777" w:rsidR="00EB4016" w:rsidRPr="00B52E9D" w:rsidRDefault="00EB4016" w:rsidP="00EB4016">
            <w:pPr>
              <w:pStyle w:val="BodyText"/>
              <w:tabs>
                <w:tab w:val="left" w:pos="2174"/>
              </w:tabs>
              <w:jc w:val="left"/>
              <w:rPr>
                <w:sz w:val="25"/>
                <w:szCs w:val="25"/>
              </w:rPr>
            </w:pPr>
          </w:p>
          <w:p w14:paraId="1968169D" w14:textId="77777777" w:rsidR="00EB4016" w:rsidRPr="00B52E9D" w:rsidRDefault="00EB4016" w:rsidP="00EB4016">
            <w:pPr>
              <w:pStyle w:val="BodyText"/>
              <w:tabs>
                <w:tab w:val="left" w:pos="2174"/>
              </w:tabs>
              <w:jc w:val="left"/>
              <w:rPr>
                <w:sz w:val="25"/>
                <w:szCs w:val="25"/>
              </w:rPr>
            </w:pPr>
            <w:r w:rsidRPr="00B52E9D">
              <w:rPr>
                <w:sz w:val="25"/>
                <w:szCs w:val="25"/>
              </w:rPr>
              <w:t>v.</w:t>
            </w:r>
          </w:p>
          <w:p w14:paraId="49383969" w14:textId="77777777" w:rsidR="00EB4016" w:rsidRPr="00B52E9D" w:rsidRDefault="00EB4016" w:rsidP="00EB4016">
            <w:pPr>
              <w:pStyle w:val="BodyText"/>
              <w:tabs>
                <w:tab w:val="left" w:pos="2174"/>
              </w:tabs>
              <w:jc w:val="left"/>
              <w:rPr>
                <w:sz w:val="25"/>
                <w:szCs w:val="25"/>
              </w:rPr>
            </w:pPr>
          </w:p>
          <w:p w14:paraId="0CFF49B7" w14:textId="77777777" w:rsidR="00EB4016" w:rsidRPr="00B52E9D" w:rsidRDefault="00EB4016" w:rsidP="00EB4016">
            <w:pPr>
              <w:pStyle w:val="BodyText"/>
              <w:tabs>
                <w:tab w:val="left" w:pos="2174"/>
              </w:tabs>
              <w:jc w:val="left"/>
              <w:rPr>
                <w:sz w:val="25"/>
                <w:szCs w:val="25"/>
              </w:rPr>
            </w:pPr>
            <w:r w:rsidRPr="00B52E9D">
              <w:rPr>
                <w:sz w:val="25"/>
                <w:szCs w:val="25"/>
              </w:rPr>
              <w:t>WASTE CONTROL, INC. (G-101),</w:t>
            </w:r>
          </w:p>
          <w:p w14:paraId="38BB996B" w14:textId="77777777" w:rsidR="00EB4016" w:rsidRPr="00B52E9D" w:rsidRDefault="00EB4016" w:rsidP="00EB4016">
            <w:pPr>
              <w:pStyle w:val="BodyText"/>
              <w:tabs>
                <w:tab w:val="left" w:pos="2174"/>
              </w:tabs>
              <w:jc w:val="left"/>
              <w:rPr>
                <w:sz w:val="25"/>
                <w:szCs w:val="25"/>
              </w:rPr>
            </w:pPr>
          </w:p>
          <w:p w14:paraId="0FF97098" w14:textId="77777777" w:rsidR="00EB4016" w:rsidRPr="00B52E9D" w:rsidRDefault="00EB4016" w:rsidP="00EB4016">
            <w:pPr>
              <w:pStyle w:val="BodyText"/>
              <w:tabs>
                <w:tab w:val="left" w:pos="2174"/>
              </w:tabs>
              <w:jc w:val="left"/>
              <w:rPr>
                <w:sz w:val="25"/>
                <w:szCs w:val="25"/>
              </w:rPr>
            </w:pPr>
            <w:r w:rsidRPr="00B52E9D">
              <w:rPr>
                <w:sz w:val="25"/>
                <w:szCs w:val="25"/>
              </w:rPr>
              <w:tab/>
              <w:t>Respondent.</w:t>
            </w:r>
          </w:p>
          <w:p w14:paraId="6F613F13" w14:textId="77777777" w:rsidR="00EB4016" w:rsidRPr="00B52E9D" w:rsidRDefault="00EB4016" w:rsidP="00EB4016">
            <w:pPr>
              <w:pStyle w:val="BodyText"/>
              <w:tabs>
                <w:tab w:val="left" w:pos="2174"/>
              </w:tabs>
              <w:jc w:val="left"/>
              <w:rPr>
                <w:sz w:val="25"/>
                <w:szCs w:val="25"/>
              </w:rPr>
            </w:pPr>
          </w:p>
          <w:p w14:paraId="00BD9D2A" w14:textId="77777777" w:rsidR="00EB4016" w:rsidRPr="00B52E9D" w:rsidRDefault="00EB4016" w:rsidP="00EB4016">
            <w:pPr>
              <w:pStyle w:val="BodyText"/>
              <w:tabs>
                <w:tab w:val="left" w:pos="2174"/>
              </w:tabs>
              <w:jc w:val="left"/>
              <w:rPr>
                <w:sz w:val="25"/>
                <w:szCs w:val="25"/>
              </w:rPr>
            </w:pPr>
            <w:r w:rsidRPr="00B52E9D">
              <w:rPr>
                <w:sz w:val="25"/>
                <w:szCs w:val="25"/>
              </w:rPr>
              <w:t>. . . . . . . . . . . . . . . . . . . . . . . . . . . . . . . .</w:t>
            </w:r>
          </w:p>
        </w:tc>
        <w:tc>
          <w:tcPr>
            <w:tcW w:w="450" w:type="dxa"/>
          </w:tcPr>
          <w:p w14:paraId="0542FF0C" w14:textId="77777777" w:rsidR="00EB4016" w:rsidRPr="00B52E9D" w:rsidRDefault="00EB4016" w:rsidP="00EB4016">
            <w:pPr>
              <w:pStyle w:val="BodyText"/>
              <w:jc w:val="left"/>
              <w:rPr>
                <w:sz w:val="25"/>
                <w:szCs w:val="25"/>
              </w:rPr>
            </w:pPr>
            <w:r w:rsidRPr="00B52E9D">
              <w:rPr>
                <w:sz w:val="25"/>
                <w:szCs w:val="25"/>
              </w:rPr>
              <w:t>)</w:t>
            </w:r>
          </w:p>
          <w:p w14:paraId="763F17F8" w14:textId="77777777" w:rsidR="00EB4016" w:rsidRPr="00B52E9D" w:rsidRDefault="00EB4016" w:rsidP="00EB4016">
            <w:pPr>
              <w:pStyle w:val="BodyText"/>
              <w:jc w:val="left"/>
              <w:rPr>
                <w:sz w:val="25"/>
                <w:szCs w:val="25"/>
              </w:rPr>
            </w:pPr>
            <w:r w:rsidRPr="00B52E9D">
              <w:rPr>
                <w:sz w:val="25"/>
                <w:szCs w:val="25"/>
              </w:rPr>
              <w:t>)</w:t>
            </w:r>
          </w:p>
          <w:p w14:paraId="6D877BA9" w14:textId="77777777" w:rsidR="00EB4016" w:rsidRPr="00B52E9D" w:rsidRDefault="00EB4016" w:rsidP="00EB4016">
            <w:pPr>
              <w:pStyle w:val="BodyText"/>
              <w:jc w:val="left"/>
              <w:rPr>
                <w:sz w:val="25"/>
                <w:szCs w:val="25"/>
              </w:rPr>
            </w:pPr>
            <w:r w:rsidRPr="00B52E9D">
              <w:rPr>
                <w:sz w:val="25"/>
                <w:szCs w:val="25"/>
              </w:rPr>
              <w:t>)</w:t>
            </w:r>
          </w:p>
          <w:p w14:paraId="019FF903" w14:textId="77777777" w:rsidR="00EB4016" w:rsidRPr="00B52E9D" w:rsidRDefault="00EB4016" w:rsidP="00EB4016">
            <w:pPr>
              <w:pStyle w:val="BodyText"/>
              <w:jc w:val="left"/>
              <w:rPr>
                <w:sz w:val="25"/>
                <w:szCs w:val="25"/>
              </w:rPr>
            </w:pPr>
            <w:r w:rsidRPr="00B52E9D">
              <w:rPr>
                <w:sz w:val="25"/>
                <w:szCs w:val="25"/>
              </w:rPr>
              <w:t>)</w:t>
            </w:r>
          </w:p>
          <w:p w14:paraId="712089E1" w14:textId="77777777" w:rsidR="00EB4016" w:rsidRPr="00B52E9D" w:rsidRDefault="00EB4016" w:rsidP="00EB4016">
            <w:pPr>
              <w:pStyle w:val="BodyText"/>
              <w:jc w:val="left"/>
              <w:rPr>
                <w:sz w:val="25"/>
                <w:szCs w:val="25"/>
              </w:rPr>
            </w:pPr>
            <w:r w:rsidRPr="00B52E9D">
              <w:rPr>
                <w:sz w:val="25"/>
                <w:szCs w:val="25"/>
              </w:rPr>
              <w:t>)</w:t>
            </w:r>
          </w:p>
          <w:p w14:paraId="085679E0" w14:textId="77777777" w:rsidR="00EB4016" w:rsidRPr="00B52E9D" w:rsidRDefault="00EB4016" w:rsidP="00EB4016">
            <w:pPr>
              <w:pStyle w:val="BodyText"/>
              <w:jc w:val="left"/>
              <w:rPr>
                <w:sz w:val="25"/>
                <w:szCs w:val="25"/>
              </w:rPr>
            </w:pPr>
            <w:r w:rsidRPr="00B52E9D">
              <w:rPr>
                <w:sz w:val="25"/>
                <w:szCs w:val="25"/>
              </w:rPr>
              <w:t>)</w:t>
            </w:r>
          </w:p>
          <w:p w14:paraId="788E2C10" w14:textId="77777777" w:rsidR="00EB4016" w:rsidRPr="00B52E9D" w:rsidRDefault="00EB4016" w:rsidP="00EB4016">
            <w:pPr>
              <w:pStyle w:val="BodyText"/>
              <w:jc w:val="left"/>
              <w:rPr>
                <w:sz w:val="25"/>
                <w:szCs w:val="25"/>
              </w:rPr>
            </w:pPr>
            <w:r w:rsidRPr="00B52E9D">
              <w:rPr>
                <w:sz w:val="25"/>
                <w:szCs w:val="25"/>
              </w:rPr>
              <w:t>)</w:t>
            </w:r>
          </w:p>
          <w:p w14:paraId="013D49AB" w14:textId="77777777" w:rsidR="00EB4016" w:rsidRPr="00B52E9D" w:rsidRDefault="00EB4016" w:rsidP="00EB4016">
            <w:pPr>
              <w:pStyle w:val="BodyText"/>
              <w:jc w:val="left"/>
              <w:rPr>
                <w:sz w:val="25"/>
                <w:szCs w:val="25"/>
              </w:rPr>
            </w:pPr>
            <w:r w:rsidRPr="00B52E9D">
              <w:rPr>
                <w:sz w:val="25"/>
                <w:szCs w:val="25"/>
              </w:rPr>
              <w:t>)</w:t>
            </w:r>
          </w:p>
          <w:p w14:paraId="273FCF4F" w14:textId="77777777" w:rsidR="00EB4016" w:rsidRPr="00B52E9D" w:rsidRDefault="00EB4016" w:rsidP="00EB4016">
            <w:pPr>
              <w:pStyle w:val="BodyText"/>
              <w:jc w:val="left"/>
              <w:rPr>
                <w:sz w:val="25"/>
                <w:szCs w:val="25"/>
              </w:rPr>
            </w:pPr>
            <w:r w:rsidRPr="00B52E9D">
              <w:rPr>
                <w:sz w:val="25"/>
                <w:szCs w:val="25"/>
              </w:rPr>
              <w:t>)</w:t>
            </w:r>
          </w:p>
          <w:p w14:paraId="5600C74A" w14:textId="77777777" w:rsidR="00EB4016" w:rsidRPr="00B52E9D" w:rsidRDefault="00EB4016" w:rsidP="00EB4016">
            <w:pPr>
              <w:pStyle w:val="BodyText"/>
              <w:jc w:val="left"/>
              <w:rPr>
                <w:sz w:val="25"/>
                <w:szCs w:val="25"/>
              </w:rPr>
            </w:pPr>
            <w:r w:rsidRPr="00B52E9D">
              <w:rPr>
                <w:sz w:val="25"/>
                <w:szCs w:val="25"/>
              </w:rPr>
              <w:t>)</w:t>
            </w:r>
          </w:p>
          <w:p w14:paraId="76EA530F" w14:textId="77777777" w:rsidR="00EB4016" w:rsidRPr="00B52E9D" w:rsidRDefault="00EB4016" w:rsidP="00EB4016">
            <w:pPr>
              <w:pStyle w:val="BodyText"/>
              <w:jc w:val="left"/>
              <w:rPr>
                <w:sz w:val="25"/>
                <w:szCs w:val="25"/>
              </w:rPr>
            </w:pPr>
            <w:r w:rsidRPr="00B52E9D">
              <w:rPr>
                <w:sz w:val="25"/>
                <w:szCs w:val="25"/>
              </w:rPr>
              <w:t>)</w:t>
            </w:r>
          </w:p>
          <w:p w14:paraId="168161A2" w14:textId="77777777" w:rsidR="00EB4016" w:rsidRPr="00B52E9D" w:rsidRDefault="00EB4016" w:rsidP="00EB4016">
            <w:pPr>
              <w:pStyle w:val="BodyText"/>
              <w:jc w:val="left"/>
              <w:rPr>
                <w:sz w:val="25"/>
                <w:szCs w:val="25"/>
              </w:rPr>
            </w:pPr>
            <w:r w:rsidRPr="00B52E9D">
              <w:rPr>
                <w:sz w:val="25"/>
                <w:szCs w:val="25"/>
              </w:rPr>
              <w:t>)</w:t>
            </w:r>
          </w:p>
        </w:tc>
        <w:tc>
          <w:tcPr>
            <w:tcW w:w="4248" w:type="dxa"/>
          </w:tcPr>
          <w:p w14:paraId="7C8B4F00" w14:textId="77777777" w:rsidR="00EB4016" w:rsidRPr="00B52E9D" w:rsidRDefault="00EB4016" w:rsidP="00EB4016">
            <w:pPr>
              <w:pStyle w:val="BodyText"/>
              <w:jc w:val="left"/>
              <w:rPr>
                <w:sz w:val="25"/>
                <w:szCs w:val="25"/>
              </w:rPr>
            </w:pPr>
            <w:r w:rsidRPr="00B52E9D">
              <w:rPr>
                <w:sz w:val="25"/>
                <w:szCs w:val="25"/>
              </w:rPr>
              <w:t>DOCKET TG-131794</w:t>
            </w:r>
          </w:p>
          <w:p w14:paraId="0762BA53" w14:textId="77777777" w:rsidR="00EB4016" w:rsidRPr="00B52E9D" w:rsidRDefault="00EB4016" w:rsidP="00EB4016">
            <w:pPr>
              <w:pStyle w:val="BodyText"/>
              <w:jc w:val="left"/>
              <w:rPr>
                <w:sz w:val="25"/>
                <w:szCs w:val="25"/>
              </w:rPr>
            </w:pPr>
          </w:p>
          <w:p w14:paraId="7192B76C" w14:textId="77777777" w:rsidR="00EB4016" w:rsidRPr="00B52E9D" w:rsidRDefault="00EB4016" w:rsidP="00EB4016">
            <w:pPr>
              <w:pStyle w:val="BodyText"/>
              <w:jc w:val="left"/>
              <w:rPr>
                <w:sz w:val="25"/>
                <w:szCs w:val="25"/>
              </w:rPr>
            </w:pPr>
          </w:p>
          <w:p w14:paraId="2493B00F" w14:textId="5D69BDC9" w:rsidR="00EB4016" w:rsidRPr="00B52E9D" w:rsidRDefault="00EB4016" w:rsidP="00EB4016">
            <w:pPr>
              <w:pStyle w:val="BodyText"/>
              <w:jc w:val="left"/>
              <w:rPr>
                <w:sz w:val="25"/>
                <w:szCs w:val="25"/>
              </w:rPr>
            </w:pPr>
            <w:r w:rsidRPr="00B52E9D">
              <w:rPr>
                <w:sz w:val="25"/>
                <w:szCs w:val="25"/>
              </w:rPr>
              <w:t>ORDER 0</w:t>
            </w:r>
            <w:r w:rsidR="0040388B" w:rsidRPr="00B52E9D">
              <w:rPr>
                <w:sz w:val="25"/>
                <w:szCs w:val="25"/>
              </w:rPr>
              <w:t>5</w:t>
            </w:r>
          </w:p>
          <w:p w14:paraId="50D5F2CF" w14:textId="77777777" w:rsidR="00EB4016" w:rsidRPr="00B52E9D" w:rsidRDefault="00EB4016" w:rsidP="00EB4016">
            <w:pPr>
              <w:pStyle w:val="BodyText"/>
              <w:jc w:val="left"/>
              <w:rPr>
                <w:sz w:val="25"/>
                <w:szCs w:val="25"/>
              </w:rPr>
            </w:pPr>
          </w:p>
          <w:p w14:paraId="3AD0D45A" w14:textId="77777777" w:rsidR="00EB4016" w:rsidRPr="00B52E9D" w:rsidRDefault="00EB4016" w:rsidP="00EB4016">
            <w:pPr>
              <w:pStyle w:val="BodyText"/>
              <w:jc w:val="left"/>
              <w:rPr>
                <w:sz w:val="25"/>
                <w:szCs w:val="25"/>
              </w:rPr>
            </w:pPr>
          </w:p>
          <w:p w14:paraId="786F62C6" w14:textId="63EF529E" w:rsidR="00EB4016" w:rsidRPr="00B52E9D" w:rsidRDefault="00465EF7" w:rsidP="00EB4016">
            <w:pPr>
              <w:spacing w:line="264" w:lineRule="auto"/>
              <w:rPr>
                <w:b/>
                <w:sz w:val="25"/>
                <w:szCs w:val="25"/>
              </w:rPr>
            </w:pPr>
            <w:r w:rsidRPr="00B52E9D">
              <w:rPr>
                <w:sz w:val="25"/>
                <w:szCs w:val="25"/>
              </w:rPr>
              <w:t xml:space="preserve">INITIAL </w:t>
            </w:r>
            <w:r w:rsidR="00EB4016" w:rsidRPr="00B52E9D">
              <w:rPr>
                <w:sz w:val="25"/>
                <w:szCs w:val="25"/>
              </w:rPr>
              <w:t xml:space="preserve">ORDER GRANTING MOTION TO DISMISS AND </w:t>
            </w:r>
            <w:r w:rsidR="00434168" w:rsidRPr="00B52E9D">
              <w:rPr>
                <w:sz w:val="25"/>
                <w:szCs w:val="25"/>
              </w:rPr>
              <w:t>REJECTING</w:t>
            </w:r>
            <w:r w:rsidR="00EB4016" w:rsidRPr="00B52E9D">
              <w:rPr>
                <w:sz w:val="25"/>
                <w:szCs w:val="25"/>
              </w:rPr>
              <w:t xml:space="preserve"> TARIFF FILING </w:t>
            </w:r>
          </w:p>
          <w:p w14:paraId="642D3D37" w14:textId="77777777" w:rsidR="00EB4016" w:rsidRPr="00B52E9D" w:rsidRDefault="00EB4016" w:rsidP="00EB4016">
            <w:pPr>
              <w:spacing w:line="264" w:lineRule="auto"/>
              <w:rPr>
                <w:b/>
                <w:sz w:val="25"/>
                <w:szCs w:val="25"/>
              </w:rPr>
            </w:pPr>
          </w:p>
          <w:p w14:paraId="3692476A" w14:textId="77777777" w:rsidR="00EB4016" w:rsidRPr="00B52E9D" w:rsidRDefault="00EB4016" w:rsidP="00EB4016">
            <w:pPr>
              <w:spacing w:line="264" w:lineRule="auto"/>
              <w:rPr>
                <w:b/>
                <w:sz w:val="25"/>
                <w:szCs w:val="25"/>
              </w:rPr>
            </w:pPr>
          </w:p>
          <w:p w14:paraId="06A7562F" w14:textId="77777777" w:rsidR="00EB4016" w:rsidRPr="00B52E9D" w:rsidRDefault="00EB4016" w:rsidP="00EB4016">
            <w:pPr>
              <w:pStyle w:val="BodyText"/>
              <w:jc w:val="left"/>
              <w:rPr>
                <w:sz w:val="25"/>
                <w:szCs w:val="25"/>
              </w:rPr>
            </w:pPr>
          </w:p>
          <w:p w14:paraId="24CA7E95" w14:textId="77777777" w:rsidR="00EB4016" w:rsidRPr="00B52E9D" w:rsidRDefault="00EB4016" w:rsidP="00EB4016">
            <w:pPr>
              <w:pStyle w:val="BodyText"/>
              <w:jc w:val="both"/>
              <w:rPr>
                <w:sz w:val="25"/>
                <w:szCs w:val="25"/>
              </w:rPr>
            </w:pPr>
          </w:p>
        </w:tc>
      </w:tr>
    </w:tbl>
    <w:p w14:paraId="00055EC6" w14:textId="1F943EF1" w:rsidR="00EB4016" w:rsidRPr="00B52E9D" w:rsidRDefault="00EB4016" w:rsidP="00B52E9D">
      <w:pPr>
        <w:pStyle w:val="ListParagraph"/>
        <w:numPr>
          <w:ilvl w:val="0"/>
          <w:numId w:val="2"/>
        </w:numPr>
        <w:spacing w:line="288" w:lineRule="auto"/>
        <w:ind w:left="0" w:right="720" w:hanging="720"/>
        <w:rPr>
          <w:sz w:val="25"/>
          <w:szCs w:val="25"/>
        </w:rPr>
      </w:pPr>
      <w:r w:rsidRPr="00B52E9D">
        <w:rPr>
          <w:b/>
          <w:sz w:val="25"/>
          <w:szCs w:val="25"/>
        </w:rPr>
        <w:t xml:space="preserve">NATURE OF PROCEEDING.  </w:t>
      </w:r>
      <w:r w:rsidRPr="00B52E9D">
        <w:rPr>
          <w:sz w:val="25"/>
          <w:szCs w:val="25"/>
        </w:rPr>
        <w:t xml:space="preserve">On September 23, 2013, Waste Control, Inc. (Waste Control or Company) filed with the Washington Utilities and Transportation Commission (Commission) new Tariff No. 15 reflecting a general rate increase of approximately $392,000 in additional annual revenue.  On October 10, 2013, the </w:t>
      </w:r>
      <w:r w:rsidRPr="00B52E9D">
        <w:rPr>
          <w:bCs/>
          <w:sz w:val="25"/>
          <w:szCs w:val="25"/>
        </w:rPr>
        <w:t>Commission entered Order 01 in this docket denying Waste Control’s request for exemption from WAC 480-07-520(4)(j), requir</w:t>
      </w:r>
      <w:r w:rsidR="00FF3265" w:rsidRPr="00B52E9D">
        <w:rPr>
          <w:bCs/>
          <w:sz w:val="25"/>
          <w:szCs w:val="25"/>
        </w:rPr>
        <w:t>ing</w:t>
      </w:r>
      <w:r w:rsidRPr="00B52E9D">
        <w:rPr>
          <w:bCs/>
          <w:sz w:val="25"/>
          <w:szCs w:val="25"/>
        </w:rPr>
        <w:t xml:space="preserve"> solid waste companies to include certain information in general rate increase filings.  On November 27, 2013, the Commission entered Order 02, a complaint and order suspending Waste Control’s revised tariff pending Commission investigation of the proposed rates, and allow</w:t>
      </w:r>
      <w:r w:rsidR="00FF3265" w:rsidRPr="00B52E9D">
        <w:rPr>
          <w:bCs/>
          <w:sz w:val="25"/>
          <w:szCs w:val="25"/>
        </w:rPr>
        <w:t>ing</w:t>
      </w:r>
      <w:r w:rsidRPr="00B52E9D">
        <w:rPr>
          <w:bCs/>
          <w:sz w:val="25"/>
          <w:szCs w:val="25"/>
        </w:rPr>
        <w:t xml:space="preserve"> Waste Control’s proposed disposal fees to become effective on a temporary basis, subject to refund.</w:t>
      </w:r>
      <w:r w:rsidR="00B542FE" w:rsidRPr="00B52E9D">
        <w:rPr>
          <w:rStyle w:val="FootnoteReference"/>
          <w:bCs/>
          <w:sz w:val="25"/>
          <w:szCs w:val="25"/>
        </w:rPr>
        <w:footnoteReference w:id="1"/>
      </w:r>
    </w:p>
    <w:p w14:paraId="1DC3145D" w14:textId="77777777" w:rsidR="000132ED" w:rsidRPr="00B52E9D" w:rsidRDefault="000132ED" w:rsidP="000132ED">
      <w:pPr>
        <w:spacing w:line="288" w:lineRule="auto"/>
        <w:ind w:right="720"/>
        <w:rPr>
          <w:sz w:val="25"/>
          <w:szCs w:val="25"/>
        </w:rPr>
      </w:pPr>
    </w:p>
    <w:p w14:paraId="79270E2E" w14:textId="5F57C345" w:rsidR="000132ED" w:rsidRPr="00B52E9D" w:rsidRDefault="000132ED" w:rsidP="00E25B10">
      <w:pPr>
        <w:pStyle w:val="ListParagraph"/>
        <w:numPr>
          <w:ilvl w:val="0"/>
          <w:numId w:val="2"/>
        </w:numPr>
        <w:spacing w:line="288" w:lineRule="auto"/>
        <w:ind w:left="0" w:right="720" w:hanging="720"/>
        <w:rPr>
          <w:sz w:val="25"/>
          <w:szCs w:val="25"/>
        </w:rPr>
      </w:pPr>
      <w:r w:rsidRPr="00B52E9D">
        <w:rPr>
          <w:b/>
          <w:sz w:val="25"/>
          <w:szCs w:val="25"/>
        </w:rPr>
        <w:t xml:space="preserve">APPEARANCES.  </w:t>
      </w:r>
      <w:r w:rsidRPr="00B52E9D">
        <w:rPr>
          <w:sz w:val="25"/>
          <w:szCs w:val="25"/>
        </w:rPr>
        <w:t>David W. Wiley, Williams, Kastner &amp; Gibbs PLLC, Seattle, represents Waste Control.  Steven W. Smith, Assistant Attorney General, Olympia, represents the Commission’s regulatory staff (Staff).</w:t>
      </w:r>
      <w:r w:rsidRPr="00B52E9D">
        <w:rPr>
          <w:rStyle w:val="FootnoteReference"/>
          <w:sz w:val="25"/>
          <w:szCs w:val="25"/>
        </w:rPr>
        <w:footnoteReference w:id="2"/>
      </w:r>
      <w:r w:rsidRPr="00B52E9D">
        <w:rPr>
          <w:sz w:val="25"/>
          <w:szCs w:val="25"/>
        </w:rPr>
        <w:t xml:space="preserve">  </w:t>
      </w:r>
      <w:r w:rsidRPr="00B52E9D">
        <w:rPr>
          <w:sz w:val="25"/>
          <w:szCs w:val="25"/>
        </w:rPr>
        <w:lastRenderedPageBreak/>
        <w:t>James K. Sells, Gig Harbor, represents Washington Refuse and Recycling Association (WRRA).</w:t>
      </w:r>
    </w:p>
    <w:p w14:paraId="52F73215" w14:textId="77777777" w:rsidR="006B0F95" w:rsidRPr="00B52E9D" w:rsidRDefault="006B0F95" w:rsidP="006B0F95">
      <w:pPr>
        <w:pStyle w:val="ListParagraph"/>
        <w:rPr>
          <w:sz w:val="25"/>
          <w:szCs w:val="25"/>
        </w:rPr>
      </w:pPr>
    </w:p>
    <w:p w14:paraId="1769DAAF" w14:textId="63444D87" w:rsidR="006B0F95" w:rsidRPr="00B52E9D" w:rsidRDefault="006B0F95" w:rsidP="00E25B10">
      <w:pPr>
        <w:pStyle w:val="ListParagraph"/>
        <w:numPr>
          <w:ilvl w:val="0"/>
          <w:numId w:val="2"/>
        </w:numPr>
        <w:spacing w:line="288" w:lineRule="auto"/>
        <w:ind w:left="0" w:right="720" w:hanging="720"/>
        <w:rPr>
          <w:sz w:val="25"/>
          <w:szCs w:val="25"/>
        </w:rPr>
      </w:pPr>
      <w:r w:rsidRPr="00B52E9D">
        <w:rPr>
          <w:b/>
          <w:sz w:val="25"/>
          <w:szCs w:val="25"/>
        </w:rPr>
        <w:t xml:space="preserve">PROCEDURAL HISTORY.  </w:t>
      </w:r>
      <w:r w:rsidR="009901C0" w:rsidRPr="00B52E9D">
        <w:rPr>
          <w:sz w:val="25"/>
          <w:szCs w:val="25"/>
        </w:rPr>
        <w:t xml:space="preserve">The Commission convened a prehearing conference in this proceeding at its offices in </w:t>
      </w:r>
      <w:r w:rsidR="009901C0" w:rsidRPr="00B52E9D">
        <w:rPr>
          <w:bCs/>
          <w:sz w:val="25"/>
          <w:szCs w:val="25"/>
        </w:rPr>
        <w:t>Olympia</w:t>
      </w:r>
      <w:r w:rsidR="009901C0" w:rsidRPr="00B52E9D">
        <w:rPr>
          <w:sz w:val="25"/>
          <w:szCs w:val="25"/>
        </w:rPr>
        <w:t>, Washington on January 14, 2014.</w:t>
      </w:r>
      <w:r w:rsidR="009901C0" w:rsidRPr="00B52E9D">
        <w:rPr>
          <w:bCs/>
          <w:sz w:val="25"/>
          <w:szCs w:val="25"/>
        </w:rPr>
        <w:t xml:space="preserve">  On January 16, 2014, the Commission entered Order 03 – Prehearing Conference Order; Notice of Hearing, which set </w:t>
      </w:r>
      <w:r w:rsidR="00F52784" w:rsidRPr="00B52E9D">
        <w:rPr>
          <w:bCs/>
          <w:sz w:val="25"/>
          <w:szCs w:val="25"/>
        </w:rPr>
        <w:t>a procedural schedule in this matter.</w:t>
      </w:r>
    </w:p>
    <w:p w14:paraId="068EC73C" w14:textId="77777777" w:rsidR="009901C0" w:rsidRPr="00B52E9D" w:rsidRDefault="009901C0" w:rsidP="009901C0">
      <w:pPr>
        <w:pStyle w:val="ListParagraph"/>
        <w:rPr>
          <w:sz w:val="25"/>
          <w:szCs w:val="25"/>
        </w:rPr>
      </w:pPr>
    </w:p>
    <w:p w14:paraId="17071A75" w14:textId="461D5A3A" w:rsidR="009901C0" w:rsidRPr="00B52E9D" w:rsidRDefault="00F52784" w:rsidP="00E25B10">
      <w:pPr>
        <w:pStyle w:val="ListParagraph"/>
        <w:numPr>
          <w:ilvl w:val="0"/>
          <w:numId w:val="2"/>
        </w:numPr>
        <w:spacing w:line="288" w:lineRule="auto"/>
        <w:ind w:left="0" w:right="720" w:hanging="720"/>
        <w:rPr>
          <w:sz w:val="25"/>
          <w:szCs w:val="25"/>
        </w:rPr>
      </w:pPr>
      <w:r w:rsidRPr="00B52E9D">
        <w:rPr>
          <w:sz w:val="25"/>
          <w:szCs w:val="25"/>
        </w:rPr>
        <w:t>On February 18, 2014, Waste Control filed the direct testimony and exhibits of Joseph Willis, president of the Company, and Jacqueline G. Davis, owner/shareholder of G.L. Booth/J.G. Davis &amp; Associates, PLLC, in support of its rate request.</w:t>
      </w:r>
    </w:p>
    <w:p w14:paraId="1AFB7224" w14:textId="77777777" w:rsidR="002F3A41" w:rsidRPr="00B52E9D" w:rsidRDefault="002F3A41" w:rsidP="002F3A41">
      <w:pPr>
        <w:pStyle w:val="ListParagraph"/>
        <w:rPr>
          <w:sz w:val="25"/>
          <w:szCs w:val="25"/>
        </w:rPr>
      </w:pPr>
    </w:p>
    <w:p w14:paraId="145BA5FC" w14:textId="2542ECDA" w:rsidR="002F3A41" w:rsidRPr="00B52E9D" w:rsidRDefault="006B0F95" w:rsidP="00E25B10">
      <w:pPr>
        <w:pStyle w:val="ListParagraph"/>
        <w:numPr>
          <w:ilvl w:val="0"/>
          <w:numId w:val="2"/>
        </w:numPr>
        <w:spacing w:line="288" w:lineRule="auto"/>
        <w:ind w:left="0" w:right="720" w:hanging="720"/>
        <w:rPr>
          <w:sz w:val="25"/>
          <w:szCs w:val="25"/>
        </w:rPr>
      </w:pPr>
      <w:r w:rsidRPr="00B52E9D">
        <w:rPr>
          <w:b/>
          <w:sz w:val="25"/>
          <w:szCs w:val="25"/>
        </w:rPr>
        <w:t xml:space="preserve">STAFF’S MOTION TO DISMISS.  </w:t>
      </w:r>
      <w:r w:rsidR="002F3A41" w:rsidRPr="00B52E9D">
        <w:rPr>
          <w:sz w:val="25"/>
          <w:szCs w:val="25"/>
        </w:rPr>
        <w:t xml:space="preserve">On March 5, 2014, Staff filed its Motion to Dismiss Waste Control’s Tariff Filing (Motion to Dismiss).  Staff alleges that </w:t>
      </w:r>
      <w:r w:rsidR="00C95CC2" w:rsidRPr="00B52E9D">
        <w:rPr>
          <w:sz w:val="25"/>
          <w:szCs w:val="25"/>
        </w:rPr>
        <w:t xml:space="preserve">the Company, in its </w:t>
      </w:r>
      <w:r w:rsidR="003E025E" w:rsidRPr="00B52E9D">
        <w:rPr>
          <w:sz w:val="25"/>
          <w:szCs w:val="25"/>
        </w:rPr>
        <w:t>prefiled direct testimony and exhibits</w:t>
      </w:r>
      <w:r w:rsidR="00C95CC2" w:rsidRPr="00B52E9D">
        <w:rPr>
          <w:sz w:val="25"/>
          <w:szCs w:val="25"/>
        </w:rPr>
        <w:t>, “failed to make a prima facie case for its requested rate increase.”</w:t>
      </w:r>
      <w:r w:rsidR="00C95CC2" w:rsidRPr="00B52E9D">
        <w:rPr>
          <w:rStyle w:val="FootnoteReference"/>
          <w:sz w:val="25"/>
          <w:szCs w:val="25"/>
        </w:rPr>
        <w:footnoteReference w:id="3"/>
      </w:r>
      <w:r w:rsidR="00C95CC2" w:rsidRPr="00B52E9D">
        <w:rPr>
          <w:sz w:val="25"/>
          <w:szCs w:val="25"/>
        </w:rPr>
        <w:t xml:space="preserve">  Instead, Staff argues that </w:t>
      </w:r>
      <w:r w:rsidR="00C15870" w:rsidRPr="00B52E9D">
        <w:rPr>
          <w:sz w:val="25"/>
          <w:szCs w:val="25"/>
        </w:rPr>
        <w:t xml:space="preserve">the testimony of </w:t>
      </w:r>
      <w:r w:rsidR="00C95CC2" w:rsidRPr="00B52E9D">
        <w:rPr>
          <w:sz w:val="25"/>
          <w:szCs w:val="25"/>
        </w:rPr>
        <w:t xml:space="preserve">Waste Control’s </w:t>
      </w:r>
      <w:r w:rsidR="00C15870" w:rsidRPr="00B52E9D">
        <w:rPr>
          <w:sz w:val="25"/>
          <w:szCs w:val="25"/>
        </w:rPr>
        <w:t xml:space="preserve">primary accounting </w:t>
      </w:r>
      <w:r w:rsidR="00C95CC2" w:rsidRPr="00B52E9D">
        <w:rPr>
          <w:sz w:val="25"/>
          <w:szCs w:val="25"/>
        </w:rPr>
        <w:t xml:space="preserve">witness, Jacqueline </w:t>
      </w:r>
      <w:r w:rsidR="00C15870" w:rsidRPr="00B52E9D">
        <w:rPr>
          <w:sz w:val="25"/>
          <w:szCs w:val="25"/>
        </w:rPr>
        <w:t>Davis, “addresses just eight accounting issues that result in six adjustments in the pro forma results of operations and one adjustment in the Lurito-Gallagher revenue requirement calculation.”</w:t>
      </w:r>
      <w:r w:rsidR="00C15870" w:rsidRPr="00B52E9D">
        <w:rPr>
          <w:rStyle w:val="FootnoteReference"/>
          <w:sz w:val="25"/>
          <w:szCs w:val="25"/>
        </w:rPr>
        <w:footnoteReference w:id="4"/>
      </w:r>
      <w:r w:rsidR="00C15870" w:rsidRPr="00B52E9D">
        <w:rPr>
          <w:sz w:val="25"/>
          <w:szCs w:val="25"/>
        </w:rPr>
        <w:t xml:space="preserve">  </w:t>
      </w:r>
      <w:r w:rsidR="0057548B" w:rsidRPr="00B52E9D">
        <w:rPr>
          <w:sz w:val="25"/>
          <w:szCs w:val="25"/>
        </w:rPr>
        <w:t>On the whole, Staff states that the Company does not address most of the pro forma results of operations which “consist</w:t>
      </w:r>
      <w:r w:rsidR="003E025E" w:rsidRPr="00B52E9D">
        <w:rPr>
          <w:sz w:val="25"/>
          <w:szCs w:val="25"/>
        </w:rPr>
        <w:t>s</w:t>
      </w:r>
      <w:r w:rsidR="0057548B" w:rsidRPr="00B52E9D">
        <w:rPr>
          <w:sz w:val="25"/>
          <w:szCs w:val="25"/>
        </w:rPr>
        <w:t xml:space="preserve"> of allocations between regulated and non-regulated operations, 18 additional restating adjustments, and five pro forma adjustments….”</w:t>
      </w:r>
      <w:r w:rsidR="0057548B" w:rsidRPr="00B52E9D">
        <w:rPr>
          <w:rStyle w:val="FootnoteReference"/>
          <w:sz w:val="25"/>
          <w:szCs w:val="25"/>
        </w:rPr>
        <w:footnoteReference w:id="5"/>
      </w:r>
    </w:p>
    <w:p w14:paraId="35C063CA" w14:textId="77777777" w:rsidR="0057548B" w:rsidRPr="00B52E9D" w:rsidRDefault="0057548B" w:rsidP="0057548B">
      <w:pPr>
        <w:pStyle w:val="ListParagraph"/>
        <w:rPr>
          <w:sz w:val="25"/>
          <w:szCs w:val="25"/>
        </w:rPr>
      </w:pPr>
    </w:p>
    <w:p w14:paraId="4D7F9206" w14:textId="06A1594E" w:rsidR="0057548B" w:rsidRPr="00B52E9D" w:rsidRDefault="000036CA" w:rsidP="00E25B10">
      <w:pPr>
        <w:pStyle w:val="ListParagraph"/>
        <w:numPr>
          <w:ilvl w:val="0"/>
          <w:numId w:val="2"/>
        </w:numPr>
        <w:spacing w:line="288" w:lineRule="auto"/>
        <w:ind w:left="0" w:right="720" w:hanging="720"/>
        <w:rPr>
          <w:sz w:val="25"/>
          <w:szCs w:val="25"/>
        </w:rPr>
      </w:pPr>
      <w:r w:rsidRPr="00B52E9D">
        <w:rPr>
          <w:sz w:val="25"/>
          <w:szCs w:val="25"/>
        </w:rPr>
        <w:t>Quoting Ms. Davis, Staff asserts that Waste Control intentionally filed support for only six adjustments in the pro forma results of operations because it had reached agreement with Staff on the rest of the accounting issues.</w:t>
      </w:r>
      <w:r w:rsidRPr="00B52E9D">
        <w:rPr>
          <w:rStyle w:val="FootnoteReference"/>
          <w:sz w:val="25"/>
          <w:szCs w:val="25"/>
        </w:rPr>
        <w:footnoteReference w:id="6"/>
      </w:r>
      <w:r w:rsidR="00DE0A29" w:rsidRPr="00B52E9D">
        <w:rPr>
          <w:sz w:val="25"/>
          <w:szCs w:val="25"/>
        </w:rPr>
        <w:t xml:space="preserve">  Pursuant to WAC 480-07-540 and RCW 81.04.130, </w:t>
      </w:r>
      <w:r w:rsidR="00747B0D" w:rsidRPr="00B52E9D">
        <w:rPr>
          <w:sz w:val="25"/>
          <w:szCs w:val="25"/>
        </w:rPr>
        <w:t xml:space="preserve">the Company has the burden of proving the tariff filing, as proposed, will result in rates that are just, </w:t>
      </w:r>
      <w:r w:rsidR="00747B0D" w:rsidRPr="00B52E9D">
        <w:rPr>
          <w:sz w:val="25"/>
          <w:szCs w:val="25"/>
        </w:rPr>
        <w:lastRenderedPageBreak/>
        <w:t>reasonable, fair, and sufficient.</w:t>
      </w:r>
      <w:r w:rsidR="00747B0D" w:rsidRPr="00B52E9D">
        <w:rPr>
          <w:rStyle w:val="FootnoteReference"/>
          <w:sz w:val="25"/>
          <w:szCs w:val="25"/>
        </w:rPr>
        <w:footnoteReference w:id="7"/>
      </w:r>
      <w:r w:rsidR="00747B0D" w:rsidRPr="00B52E9D">
        <w:rPr>
          <w:sz w:val="25"/>
          <w:szCs w:val="25"/>
        </w:rPr>
        <w:t xml:space="preserve">  </w:t>
      </w:r>
      <w:r w:rsidR="000526FC" w:rsidRPr="00B52E9D">
        <w:rPr>
          <w:sz w:val="25"/>
          <w:szCs w:val="25"/>
        </w:rPr>
        <w:t>Further, WAC 480-07-540 provides that the Commission will consider the Company’s prefiled evidence to be its full direct case in support of its rate filing for purposes of deciding any prehearing motion to dismiss under WAC 480-07-380.</w:t>
      </w:r>
      <w:r w:rsidR="003A42B7" w:rsidRPr="00B52E9D">
        <w:rPr>
          <w:rStyle w:val="FootnoteReference"/>
          <w:sz w:val="25"/>
          <w:szCs w:val="25"/>
        </w:rPr>
        <w:footnoteReference w:id="8"/>
      </w:r>
      <w:r w:rsidR="000526FC" w:rsidRPr="00B52E9D">
        <w:rPr>
          <w:sz w:val="25"/>
          <w:szCs w:val="25"/>
        </w:rPr>
        <w:t xml:space="preserve"> </w:t>
      </w:r>
      <w:r w:rsidR="00747B0D" w:rsidRPr="00B52E9D">
        <w:rPr>
          <w:sz w:val="25"/>
          <w:szCs w:val="25"/>
        </w:rPr>
        <w:t xml:space="preserve"> </w:t>
      </w:r>
    </w:p>
    <w:p w14:paraId="03257F89" w14:textId="77777777" w:rsidR="003A42B7" w:rsidRPr="00B52E9D" w:rsidRDefault="003A42B7" w:rsidP="003A42B7">
      <w:pPr>
        <w:pStyle w:val="ListParagraph"/>
        <w:rPr>
          <w:sz w:val="25"/>
          <w:szCs w:val="25"/>
        </w:rPr>
      </w:pPr>
    </w:p>
    <w:p w14:paraId="06E5ECB4" w14:textId="77777777" w:rsidR="003E025E" w:rsidRPr="00B52E9D" w:rsidRDefault="003E025E" w:rsidP="00E25B10">
      <w:pPr>
        <w:pStyle w:val="ListParagraph"/>
        <w:numPr>
          <w:ilvl w:val="0"/>
          <w:numId w:val="2"/>
        </w:numPr>
        <w:spacing w:line="288" w:lineRule="auto"/>
        <w:ind w:left="0" w:right="720" w:hanging="720"/>
        <w:rPr>
          <w:sz w:val="25"/>
          <w:szCs w:val="25"/>
        </w:rPr>
      </w:pPr>
      <w:r w:rsidRPr="00B52E9D">
        <w:rPr>
          <w:sz w:val="25"/>
          <w:szCs w:val="25"/>
        </w:rPr>
        <w:t>Even if Staff</w:t>
      </w:r>
      <w:r w:rsidR="003A42B7" w:rsidRPr="00B52E9D">
        <w:rPr>
          <w:sz w:val="25"/>
          <w:szCs w:val="25"/>
        </w:rPr>
        <w:t xml:space="preserve"> agrees with Waste Control on all of the adjustments </w:t>
      </w:r>
      <w:r w:rsidR="00770D2B" w:rsidRPr="00B52E9D">
        <w:rPr>
          <w:sz w:val="25"/>
          <w:szCs w:val="25"/>
        </w:rPr>
        <w:t>the Company failed to file testimony in support of, the Commission still has to base its decisions on supporting evidence.</w:t>
      </w:r>
      <w:r w:rsidR="00770D2B" w:rsidRPr="00B52E9D">
        <w:rPr>
          <w:rStyle w:val="FootnoteReference"/>
          <w:sz w:val="25"/>
          <w:szCs w:val="25"/>
        </w:rPr>
        <w:footnoteReference w:id="9"/>
      </w:r>
      <w:r w:rsidR="003A42B7" w:rsidRPr="00B52E9D">
        <w:rPr>
          <w:sz w:val="25"/>
          <w:szCs w:val="25"/>
        </w:rPr>
        <w:t xml:space="preserve"> </w:t>
      </w:r>
      <w:r w:rsidR="00770D2B" w:rsidRPr="00B52E9D">
        <w:rPr>
          <w:sz w:val="25"/>
          <w:szCs w:val="25"/>
        </w:rPr>
        <w:t xml:space="preserve"> Based on Waste Control’s </w:t>
      </w:r>
      <w:r w:rsidRPr="00B52E9D">
        <w:rPr>
          <w:sz w:val="25"/>
          <w:szCs w:val="25"/>
        </w:rPr>
        <w:t>February 18</w:t>
      </w:r>
      <w:r w:rsidRPr="00B52E9D">
        <w:rPr>
          <w:sz w:val="25"/>
          <w:szCs w:val="25"/>
          <w:vertAlign w:val="superscript"/>
        </w:rPr>
        <w:t>th</w:t>
      </w:r>
      <w:r w:rsidRPr="00B52E9D">
        <w:rPr>
          <w:sz w:val="25"/>
          <w:szCs w:val="25"/>
        </w:rPr>
        <w:t xml:space="preserve"> filing</w:t>
      </w:r>
      <w:r w:rsidR="00770D2B" w:rsidRPr="00B52E9D">
        <w:rPr>
          <w:sz w:val="25"/>
          <w:szCs w:val="25"/>
        </w:rPr>
        <w:t>, “the Commission is not in a position to make legally defensible findings of fact on the accounting issues for which the [C]ompany has supplied no support.”</w:t>
      </w:r>
      <w:r w:rsidR="00770D2B" w:rsidRPr="00B52E9D">
        <w:rPr>
          <w:rStyle w:val="FootnoteReference"/>
          <w:sz w:val="25"/>
          <w:szCs w:val="25"/>
        </w:rPr>
        <w:footnoteReference w:id="10"/>
      </w:r>
      <w:r w:rsidR="00770D2B" w:rsidRPr="00B52E9D">
        <w:rPr>
          <w:sz w:val="25"/>
          <w:szCs w:val="25"/>
        </w:rPr>
        <w:t xml:space="preserve">  </w:t>
      </w:r>
    </w:p>
    <w:p w14:paraId="18C26B41" w14:textId="77777777" w:rsidR="003E025E" w:rsidRPr="00B52E9D" w:rsidRDefault="003E025E" w:rsidP="003E025E">
      <w:pPr>
        <w:pStyle w:val="ListParagraph"/>
        <w:rPr>
          <w:sz w:val="25"/>
          <w:szCs w:val="25"/>
        </w:rPr>
      </w:pPr>
    </w:p>
    <w:p w14:paraId="75778E77" w14:textId="3DB66160" w:rsidR="003A42B7" w:rsidRPr="00B52E9D" w:rsidRDefault="003E025E" w:rsidP="00E25B10">
      <w:pPr>
        <w:pStyle w:val="ListParagraph"/>
        <w:numPr>
          <w:ilvl w:val="0"/>
          <w:numId w:val="2"/>
        </w:numPr>
        <w:spacing w:line="288" w:lineRule="auto"/>
        <w:ind w:left="0" w:right="720" w:hanging="720"/>
        <w:rPr>
          <w:sz w:val="25"/>
          <w:szCs w:val="25"/>
        </w:rPr>
      </w:pPr>
      <w:r w:rsidRPr="00B52E9D">
        <w:rPr>
          <w:b/>
          <w:sz w:val="25"/>
          <w:szCs w:val="25"/>
        </w:rPr>
        <w:t>In</w:t>
      </w:r>
      <w:r w:rsidRPr="00B52E9D">
        <w:rPr>
          <w:sz w:val="25"/>
          <w:szCs w:val="25"/>
        </w:rPr>
        <w:t xml:space="preserve"> support of its request to dismiss Waste Control’s tariff filing after the Company filed its direct case, </w:t>
      </w:r>
      <w:r w:rsidR="00770D2B" w:rsidRPr="00B52E9D">
        <w:rPr>
          <w:sz w:val="25"/>
          <w:szCs w:val="25"/>
        </w:rPr>
        <w:t xml:space="preserve">Staff cites to Commission precedent </w:t>
      </w:r>
      <w:r w:rsidR="001C4063" w:rsidRPr="00B52E9D">
        <w:rPr>
          <w:sz w:val="25"/>
          <w:szCs w:val="25"/>
        </w:rPr>
        <w:t xml:space="preserve">in </w:t>
      </w:r>
      <w:r w:rsidRPr="00B52E9D">
        <w:rPr>
          <w:i/>
          <w:sz w:val="25"/>
          <w:szCs w:val="25"/>
        </w:rPr>
        <w:t>WUTC</w:t>
      </w:r>
      <w:r w:rsidR="001C4063" w:rsidRPr="00B52E9D">
        <w:rPr>
          <w:i/>
          <w:sz w:val="25"/>
          <w:szCs w:val="25"/>
        </w:rPr>
        <w:t xml:space="preserve"> v. Puget Sound Energy, Inc.</w:t>
      </w:r>
      <w:r w:rsidRPr="00B52E9D">
        <w:rPr>
          <w:sz w:val="25"/>
          <w:szCs w:val="25"/>
        </w:rPr>
        <w:t>,</w:t>
      </w:r>
      <w:r w:rsidR="001C4063" w:rsidRPr="00B52E9D">
        <w:rPr>
          <w:i/>
          <w:sz w:val="25"/>
          <w:szCs w:val="25"/>
        </w:rPr>
        <w:t xml:space="preserve"> </w:t>
      </w:r>
      <w:r w:rsidR="001C4063" w:rsidRPr="00B52E9D">
        <w:rPr>
          <w:sz w:val="25"/>
          <w:szCs w:val="25"/>
        </w:rPr>
        <w:t xml:space="preserve">where the Commission </w:t>
      </w:r>
      <w:r w:rsidR="006269F5" w:rsidRPr="00B52E9D">
        <w:rPr>
          <w:sz w:val="25"/>
          <w:szCs w:val="25"/>
        </w:rPr>
        <w:t>dismissed Puget Sound Energy</w:t>
      </w:r>
      <w:r w:rsidRPr="00B52E9D">
        <w:rPr>
          <w:sz w:val="25"/>
          <w:szCs w:val="25"/>
        </w:rPr>
        <w:t>’s filing due to the</w:t>
      </w:r>
      <w:r w:rsidR="006269F5" w:rsidRPr="00B52E9D">
        <w:rPr>
          <w:sz w:val="25"/>
          <w:szCs w:val="25"/>
        </w:rPr>
        <w:t xml:space="preserve"> legal insufficiency of </w:t>
      </w:r>
      <w:r w:rsidRPr="00B52E9D">
        <w:rPr>
          <w:sz w:val="25"/>
          <w:szCs w:val="25"/>
        </w:rPr>
        <w:t>its</w:t>
      </w:r>
      <w:r w:rsidR="006269F5" w:rsidRPr="00B52E9D">
        <w:rPr>
          <w:sz w:val="25"/>
          <w:szCs w:val="25"/>
        </w:rPr>
        <w:t xml:space="preserve"> prefiled evidence</w:t>
      </w:r>
      <w:r w:rsidR="001C4063" w:rsidRPr="00B52E9D">
        <w:rPr>
          <w:sz w:val="25"/>
          <w:szCs w:val="25"/>
        </w:rPr>
        <w:t>:</w:t>
      </w:r>
    </w:p>
    <w:p w14:paraId="4FD2509D" w14:textId="77777777" w:rsidR="00770D2B" w:rsidRPr="00B52E9D" w:rsidRDefault="00770D2B" w:rsidP="00770D2B">
      <w:pPr>
        <w:pStyle w:val="ListParagraph"/>
        <w:rPr>
          <w:sz w:val="25"/>
          <w:szCs w:val="25"/>
        </w:rPr>
      </w:pPr>
    </w:p>
    <w:p w14:paraId="3F986B48" w14:textId="31B395DF" w:rsidR="001C4063" w:rsidRPr="00B52E9D" w:rsidRDefault="00770D2B" w:rsidP="00B52E9D">
      <w:pPr>
        <w:spacing w:line="288" w:lineRule="auto"/>
        <w:ind w:left="720" w:right="288"/>
        <w:rPr>
          <w:sz w:val="25"/>
          <w:szCs w:val="25"/>
        </w:rPr>
      </w:pPr>
      <w:r w:rsidRPr="00B52E9D">
        <w:rPr>
          <w:sz w:val="25"/>
          <w:szCs w:val="25"/>
        </w:rPr>
        <w:t xml:space="preserve">In reviewing a motion under WAC 480-09-246(1) [the predecessor to WAC 480-07-380], the Commission uses the prefiled evidence to define the pleadings originating the proceeding….  The situation is analogous to CR 50, which allows dismissal of a proceeding at the conclusion of the plaintiff’s presentation if, taking the evidence in the light most favorable to the respondent, the evidence is insufficient to support the complaint.  </w:t>
      </w:r>
      <w:r w:rsidRPr="00B52E9D">
        <w:rPr>
          <w:sz w:val="25"/>
          <w:szCs w:val="25"/>
          <w:u w:val="single"/>
        </w:rPr>
        <w:t>A company seeking a rate increase has the burden of coming forward with sufficient evidence to support its request</w:t>
      </w:r>
      <w:r w:rsidR="006E04C7" w:rsidRPr="00B52E9D">
        <w:rPr>
          <w:sz w:val="25"/>
          <w:szCs w:val="25"/>
        </w:rPr>
        <w:t xml:space="preserve">….Other parties rely on the prefiled evidence as the basis for preparing their cross examination of witnesses and in formulating their responsive evidence. </w:t>
      </w:r>
      <w:r w:rsidRPr="00B52E9D">
        <w:rPr>
          <w:rStyle w:val="FootnoteReference"/>
          <w:sz w:val="25"/>
          <w:szCs w:val="25"/>
        </w:rPr>
        <w:footnoteReference w:id="11"/>
      </w:r>
    </w:p>
    <w:p w14:paraId="01178EED" w14:textId="77777777" w:rsidR="001C4063" w:rsidRPr="00B52E9D" w:rsidRDefault="001C4063" w:rsidP="001C4063">
      <w:pPr>
        <w:ind w:right="288"/>
        <w:rPr>
          <w:sz w:val="25"/>
          <w:szCs w:val="25"/>
        </w:rPr>
      </w:pPr>
    </w:p>
    <w:p w14:paraId="2AF5AFFC" w14:textId="1424B22B" w:rsidR="00D96F9A" w:rsidRPr="00B52E9D" w:rsidRDefault="003E025E" w:rsidP="00E25B10">
      <w:pPr>
        <w:pStyle w:val="ListParagraph"/>
        <w:numPr>
          <w:ilvl w:val="0"/>
          <w:numId w:val="2"/>
        </w:numPr>
        <w:spacing w:line="288" w:lineRule="auto"/>
        <w:ind w:left="0" w:right="720" w:hanging="720"/>
        <w:rPr>
          <w:sz w:val="25"/>
          <w:szCs w:val="25"/>
        </w:rPr>
      </w:pPr>
      <w:r w:rsidRPr="00B52E9D">
        <w:rPr>
          <w:i/>
          <w:sz w:val="25"/>
          <w:szCs w:val="25"/>
        </w:rPr>
        <w:lastRenderedPageBreak/>
        <w:t>Parties’ Opposition to the Motion to Dismiss.</w:t>
      </w:r>
      <w:r w:rsidRPr="00B52E9D">
        <w:rPr>
          <w:sz w:val="25"/>
          <w:szCs w:val="25"/>
        </w:rPr>
        <w:t xml:space="preserve">  </w:t>
      </w:r>
      <w:r w:rsidR="006269F5" w:rsidRPr="00B52E9D">
        <w:rPr>
          <w:sz w:val="25"/>
          <w:szCs w:val="25"/>
        </w:rPr>
        <w:t>On March 10, 2014, Waste Control and WRRA filed Responses to Staff’s Mo</w:t>
      </w:r>
      <w:r w:rsidR="0068186A" w:rsidRPr="00B52E9D">
        <w:rPr>
          <w:sz w:val="25"/>
          <w:szCs w:val="25"/>
        </w:rPr>
        <w:t xml:space="preserve">tion to Dismiss.  The Company </w:t>
      </w:r>
      <w:r w:rsidR="00EA6D53" w:rsidRPr="00B52E9D">
        <w:rPr>
          <w:sz w:val="25"/>
          <w:szCs w:val="25"/>
        </w:rPr>
        <w:t xml:space="preserve">asserts that solid waste rate cases are anomalous to </w:t>
      </w:r>
      <w:r w:rsidR="00E14468" w:rsidRPr="00B52E9D">
        <w:rPr>
          <w:sz w:val="25"/>
          <w:szCs w:val="25"/>
        </w:rPr>
        <w:t>utility</w:t>
      </w:r>
      <w:r w:rsidR="00485D9C" w:rsidRPr="00B52E9D">
        <w:rPr>
          <w:sz w:val="25"/>
          <w:szCs w:val="25"/>
        </w:rPr>
        <w:t xml:space="preserve"> rate cases because the latter generally include prefiled testimony as well as revised tariffs</w:t>
      </w:r>
      <w:r w:rsidR="00E14468" w:rsidRPr="00B52E9D">
        <w:rPr>
          <w:sz w:val="25"/>
          <w:szCs w:val="25"/>
        </w:rPr>
        <w:t>.</w:t>
      </w:r>
      <w:r w:rsidR="00485D9C" w:rsidRPr="00B52E9D">
        <w:rPr>
          <w:rStyle w:val="FootnoteReference"/>
          <w:sz w:val="25"/>
          <w:szCs w:val="25"/>
        </w:rPr>
        <w:footnoteReference w:id="12"/>
      </w:r>
      <w:r w:rsidR="00485D9C" w:rsidRPr="00B52E9D">
        <w:rPr>
          <w:sz w:val="25"/>
          <w:szCs w:val="25"/>
        </w:rPr>
        <w:t xml:space="preserve">  </w:t>
      </w:r>
      <w:r w:rsidR="00E61BF9" w:rsidRPr="00B52E9D">
        <w:rPr>
          <w:sz w:val="25"/>
          <w:szCs w:val="25"/>
        </w:rPr>
        <w:t xml:space="preserve">Waste Control does not dispute the applicability of WAC 480-07-540 which establishes the burden of proof firmly with the proponent of the rate increase and allows the Commission to consider the Company’s prefiled evidence as its full direct case when deciding any prehearing motion to dismiss.  Instead, </w:t>
      </w:r>
      <w:r w:rsidR="00485D9C" w:rsidRPr="00B52E9D">
        <w:rPr>
          <w:sz w:val="25"/>
          <w:szCs w:val="25"/>
        </w:rPr>
        <w:t xml:space="preserve">Waste Control </w:t>
      </w:r>
      <w:r w:rsidR="006131A3" w:rsidRPr="00B52E9D">
        <w:rPr>
          <w:sz w:val="25"/>
          <w:szCs w:val="25"/>
        </w:rPr>
        <w:t xml:space="preserve">argues that it </w:t>
      </w:r>
      <w:r w:rsidR="00E14468" w:rsidRPr="00B52E9D">
        <w:rPr>
          <w:sz w:val="25"/>
          <w:szCs w:val="25"/>
        </w:rPr>
        <w:t xml:space="preserve">focused its prefiled testimony in support of </w:t>
      </w:r>
      <w:r w:rsidR="006131A3" w:rsidRPr="00B52E9D">
        <w:rPr>
          <w:sz w:val="25"/>
          <w:szCs w:val="25"/>
        </w:rPr>
        <w:t>any</w:t>
      </w:r>
      <w:r w:rsidR="00E14468" w:rsidRPr="00B52E9D">
        <w:rPr>
          <w:sz w:val="25"/>
          <w:szCs w:val="25"/>
        </w:rPr>
        <w:t xml:space="preserve"> </w:t>
      </w:r>
      <w:r w:rsidR="006131A3" w:rsidRPr="00B52E9D">
        <w:rPr>
          <w:sz w:val="25"/>
          <w:szCs w:val="25"/>
        </w:rPr>
        <w:t xml:space="preserve">issues it anticipated Staff would </w:t>
      </w:r>
      <w:r w:rsidR="00E14468" w:rsidRPr="00B52E9D">
        <w:rPr>
          <w:sz w:val="25"/>
          <w:szCs w:val="25"/>
        </w:rPr>
        <w:t>dispute</w:t>
      </w:r>
      <w:r w:rsidR="006131A3" w:rsidRPr="00B52E9D">
        <w:rPr>
          <w:sz w:val="25"/>
          <w:szCs w:val="25"/>
        </w:rPr>
        <w:t>,</w:t>
      </w:r>
      <w:r w:rsidR="00E14468" w:rsidRPr="00B52E9D">
        <w:rPr>
          <w:rStyle w:val="FootnoteReference"/>
          <w:sz w:val="25"/>
          <w:szCs w:val="25"/>
        </w:rPr>
        <w:footnoteReference w:id="13"/>
      </w:r>
      <w:r w:rsidR="00E14468" w:rsidRPr="00B52E9D">
        <w:rPr>
          <w:sz w:val="25"/>
          <w:szCs w:val="25"/>
        </w:rPr>
        <w:t xml:space="preserve"> </w:t>
      </w:r>
      <w:r w:rsidR="00E61BF9" w:rsidRPr="00B52E9D">
        <w:rPr>
          <w:sz w:val="25"/>
          <w:szCs w:val="25"/>
        </w:rPr>
        <w:t>and it</w:t>
      </w:r>
      <w:r w:rsidR="00E14468" w:rsidRPr="00B52E9D">
        <w:rPr>
          <w:sz w:val="25"/>
          <w:szCs w:val="25"/>
        </w:rPr>
        <w:t xml:space="preserve"> plans to “refer to and develop foundational testimony on [its original tariff filing] at hearing.”</w:t>
      </w:r>
      <w:r w:rsidR="00E14468" w:rsidRPr="00B52E9D">
        <w:rPr>
          <w:rStyle w:val="FootnoteReference"/>
          <w:sz w:val="25"/>
          <w:szCs w:val="25"/>
        </w:rPr>
        <w:footnoteReference w:id="14"/>
      </w:r>
      <w:r w:rsidR="00E14468" w:rsidRPr="00B52E9D">
        <w:rPr>
          <w:sz w:val="25"/>
          <w:szCs w:val="25"/>
        </w:rPr>
        <w:t xml:space="preserve">   </w:t>
      </w:r>
      <w:r w:rsidR="00D96F9A" w:rsidRPr="00B52E9D">
        <w:rPr>
          <w:sz w:val="25"/>
          <w:szCs w:val="25"/>
        </w:rPr>
        <w:t>According to Waste Control, the Motion to Dismiss is an attempt “to force the Company and its customers to incur substantially more cost and expense simply to lay additional written foundation on those threshold issues which the Company believes it preserves the right to do at hearing on this matter and from which it is not precluded by current Commission rules governing contested solid waste rate cases.”</w:t>
      </w:r>
      <w:r w:rsidR="00D96F9A" w:rsidRPr="00B52E9D">
        <w:rPr>
          <w:rStyle w:val="FootnoteReference"/>
          <w:sz w:val="25"/>
          <w:szCs w:val="25"/>
        </w:rPr>
        <w:footnoteReference w:id="15"/>
      </w:r>
      <w:r w:rsidR="00D96F9A" w:rsidRPr="00B52E9D">
        <w:rPr>
          <w:sz w:val="25"/>
          <w:szCs w:val="25"/>
        </w:rPr>
        <w:t xml:space="preserve">  </w:t>
      </w:r>
      <w:r w:rsidR="006131A3" w:rsidRPr="00B52E9D">
        <w:rPr>
          <w:sz w:val="25"/>
          <w:szCs w:val="25"/>
        </w:rPr>
        <w:t xml:space="preserve">Waste Control explains that Staff is not disadvantaged by the abridged support </w:t>
      </w:r>
      <w:r w:rsidR="00D96F9A" w:rsidRPr="00B52E9D">
        <w:rPr>
          <w:sz w:val="25"/>
          <w:szCs w:val="25"/>
        </w:rPr>
        <w:t xml:space="preserve">for its rate request </w:t>
      </w:r>
      <w:r w:rsidR="006131A3" w:rsidRPr="00B52E9D">
        <w:rPr>
          <w:sz w:val="25"/>
          <w:szCs w:val="25"/>
        </w:rPr>
        <w:t xml:space="preserve">since Staff has already subjected the </w:t>
      </w:r>
      <w:r w:rsidR="00EA6D53" w:rsidRPr="00B52E9D">
        <w:rPr>
          <w:sz w:val="25"/>
          <w:szCs w:val="25"/>
        </w:rPr>
        <w:t xml:space="preserve">rate case filing </w:t>
      </w:r>
      <w:r w:rsidR="006131A3" w:rsidRPr="00B52E9D">
        <w:rPr>
          <w:sz w:val="25"/>
          <w:szCs w:val="25"/>
        </w:rPr>
        <w:t>“</w:t>
      </w:r>
      <w:r w:rsidR="00EA6D53" w:rsidRPr="00B52E9D">
        <w:rPr>
          <w:sz w:val="25"/>
          <w:szCs w:val="25"/>
        </w:rPr>
        <w:t>to extensive audit, data requests, site visits and review</w:t>
      </w:r>
      <w:r w:rsidR="006131A3" w:rsidRPr="00B52E9D">
        <w:rPr>
          <w:sz w:val="25"/>
          <w:szCs w:val="25"/>
        </w:rPr>
        <w:t>.</w:t>
      </w:r>
      <w:r w:rsidR="00485D9C" w:rsidRPr="00B52E9D">
        <w:rPr>
          <w:sz w:val="25"/>
          <w:szCs w:val="25"/>
        </w:rPr>
        <w:t>”</w:t>
      </w:r>
      <w:r w:rsidR="00EA6D53" w:rsidRPr="00B52E9D">
        <w:rPr>
          <w:rStyle w:val="FootnoteReference"/>
          <w:sz w:val="25"/>
          <w:szCs w:val="25"/>
        </w:rPr>
        <w:footnoteReference w:id="16"/>
      </w:r>
      <w:r w:rsidR="00EA6D53" w:rsidRPr="00B52E9D">
        <w:rPr>
          <w:sz w:val="25"/>
          <w:szCs w:val="25"/>
        </w:rPr>
        <w:t xml:space="preserve"> </w:t>
      </w:r>
      <w:r w:rsidR="00D96F9A" w:rsidRPr="00B52E9D">
        <w:rPr>
          <w:sz w:val="25"/>
          <w:szCs w:val="25"/>
        </w:rPr>
        <w:t xml:space="preserve"> </w:t>
      </w:r>
    </w:p>
    <w:p w14:paraId="2A87BE70" w14:textId="77777777" w:rsidR="00D96F9A" w:rsidRPr="00B52E9D" w:rsidRDefault="00D96F9A" w:rsidP="00D96F9A">
      <w:pPr>
        <w:pStyle w:val="ListParagraph"/>
        <w:spacing w:line="288" w:lineRule="auto"/>
        <w:ind w:left="360" w:right="720"/>
        <w:rPr>
          <w:sz w:val="25"/>
          <w:szCs w:val="25"/>
        </w:rPr>
      </w:pPr>
    </w:p>
    <w:p w14:paraId="34C8C024" w14:textId="15531542" w:rsidR="00D96F9A" w:rsidRPr="00B52E9D" w:rsidRDefault="006131A3" w:rsidP="00E25B10">
      <w:pPr>
        <w:pStyle w:val="ListParagraph"/>
        <w:numPr>
          <w:ilvl w:val="0"/>
          <w:numId w:val="2"/>
        </w:numPr>
        <w:spacing w:line="288" w:lineRule="auto"/>
        <w:ind w:left="0" w:right="720" w:hanging="720"/>
        <w:rPr>
          <w:sz w:val="25"/>
          <w:szCs w:val="25"/>
        </w:rPr>
      </w:pPr>
      <w:r w:rsidRPr="00B52E9D">
        <w:rPr>
          <w:sz w:val="25"/>
          <w:szCs w:val="25"/>
        </w:rPr>
        <w:t xml:space="preserve">The Company distinguishes </w:t>
      </w:r>
      <w:r w:rsidRPr="00B52E9D">
        <w:rPr>
          <w:i/>
          <w:sz w:val="25"/>
          <w:szCs w:val="25"/>
        </w:rPr>
        <w:t>WUTC v. PSE</w:t>
      </w:r>
      <w:r w:rsidRPr="00B52E9D">
        <w:rPr>
          <w:sz w:val="25"/>
          <w:szCs w:val="25"/>
        </w:rPr>
        <w:t xml:space="preserve"> from the instant matter </w:t>
      </w:r>
      <w:r w:rsidR="00D96F9A" w:rsidRPr="00B52E9D">
        <w:rPr>
          <w:sz w:val="25"/>
          <w:szCs w:val="25"/>
        </w:rPr>
        <w:t>since</w:t>
      </w:r>
      <w:r w:rsidRPr="00B52E9D">
        <w:rPr>
          <w:sz w:val="25"/>
          <w:szCs w:val="25"/>
        </w:rPr>
        <w:t xml:space="preserve"> PSE failed to file its results of operations and generally did not comply with WAC 480-07-510; while Waste Control asserts that its general rate case filing is consistent with WAC 480-07-520, the applicable rule for solid waste companies.</w:t>
      </w:r>
      <w:r w:rsidRPr="00B52E9D">
        <w:rPr>
          <w:rStyle w:val="FootnoteReference"/>
          <w:sz w:val="25"/>
          <w:szCs w:val="25"/>
        </w:rPr>
        <w:footnoteReference w:id="17"/>
      </w:r>
      <w:r w:rsidR="00D96F9A" w:rsidRPr="00B52E9D">
        <w:rPr>
          <w:sz w:val="25"/>
          <w:szCs w:val="25"/>
        </w:rPr>
        <w:t xml:space="preserve">  Instead, Waste Control points to </w:t>
      </w:r>
      <w:r w:rsidR="00D96F9A" w:rsidRPr="00B52E9D">
        <w:rPr>
          <w:i/>
          <w:sz w:val="25"/>
          <w:szCs w:val="25"/>
        </w:rPr>
        <w:t>WUTC v. Verizon Northwest, Inc.</w:t>
      </w:r>
      <w:r w:rsidR="00D96F9A" w:rsidRPr="00B52E9D">
        <w:rPr>
          <w:sz w:val="25"/>
          <w:szCs w:val="25"/>
        </w:rPr>
        <w:t xml:space="preserve"> in which the Commission rejected Staff’s motion to dismiss and “distinguish[ed] the favorable standard against which a respondent’s rate case </w:t>
      </w:r>
      <w:r w:rsidR="00D96F9A" w:rsidRPr="00B52E9D">
        <w:rPr>
          <w:sz w:val="25"/>
          <w:szCs w:val="25"/>
        </w:rPr>
        <w:lastRenderedPageBreak/>
        <w:t>is evaluated under a motion to dismiss standard from that of the burden of proof at the subsequent rate case hearing.”</w:t>
      </w:r>
      <w:r w:rsidR="00D96F9A" w:rsidRPr="00B52E9D">
        <w:rPr>
          <w:rStyle w:val="FootnoteReference"/>
          <w:sz w:val="25"/>
          <w:szCs w:val="25"/>
        </w:rPr>
        <w:footnoteReference w:id="18"/>
      </w:r>
    </w:p>
    <w:p w14:paraId="682357CD" w14:textId="77777777" w:rsidR="000E7FF3" w:rsidRPr="00B52E9D" w:rsidRDefault="000E7FF3" w:rsidP="000E7FF3">
      <w:pPr>
        <w:pStyle w:val="ListParagraph"/>
        <w:rPr>
          <w:sz w:val="25"/>
          <w:szCs w:val="25"/>
        </w:rPr>
      </w:pPr>
    </w:p>
    <w:p w14:paraId="60DCC58A" w14:textId="6699D9CB" w:rsidR="000E7FF3" w:rsidRPr="00B52E9D" w:rsidRDefault="000E7FF3" w:rsidP="00E25B10">
      <w:pPr>
        <w:pStyle w:val="ListParagraph"/>
        <w:numPr>
          <w:ilvl w:val="0"/>
          <w:numId w:val="2"/>
        </w:numPr>
        <w:spacing w:line="288" w:lineRule="auto"/>
        <w:ind w:left="0" w:right="720" w:hanging="720"/>
        <w:rPr>
          <w:sz w:val="25"/>
          <w:szCs w:val="25"/>
        </w:rPr>
      </w:pPr>
      <w:r w:rsidRPr="00B52E9D">
        <w:rPr>
          <w:sz w:val="25"/>
          <w:szCs w:val="25"/>
        </w:rPr>
        <w:t xml:space="preserve">WRRA admonishes Staff for not alerting the Company that its </w:t>
      </w:r>
      <w:r w:rsidR="008B6CD5" w:rsidRPr="00B52E9D">
        <w:rPr>
          <w:sz w:val="25"/>
          <w:szCs w:val="25"/>
        </w:rPr>
        <w:t xml:space="preserve">original </w:t>
      </w:r>
      <w:r w:rsidRPr="00B52E9D">
        <w:rPr>
          <w:sz w:val="25"/>
          <w:szCs w:val="25"/>
        </w:rPr>
        <w:t xml:space="preserve">rate </w:t>
      </w:r>
      <w:r w:rsidR="008B6CD5" w:rsidRPr="00B52E9D">
        <w:rPr>
          <w:sz w:val="25"/>
          <w:szCs w:val="25"/>
        </w:rPr>
        <w:t>filing, which Ms. Davis, Waste Control’s witness is sponsoring as Exhibit No. JD-2,</w:t>
      </w:r>
      <w:r w:rsidRPr="00B52E9D">
        <w:rPr>
          <w:sz w:val="25"/>
          <w:szCs w:val="25"/>
        </w:rPr>
        <w:t xml:space="preserve"> needs to be “reconfigured as prefiled testimony.”</w:t>
      </w:r>
      <w:r w:rsidRPr="00B52E9D">
        <w:rPr>
          <w:rStyle w:val="FootnoteReference"/>
          <w:sz w:val="25"/>
          <w:szCs w:val="25"/>
        </w:rPr>
        <w:footnoteReference w:id="19"/>
      </w:r>
      <w:r w:rsidR="004F418E" w:rsidRPr="00B52E9D">
        <w:rPr>
          <w:sz w:val="25"/>
          <w:szCs w:val="25"/>
        </w:rPr>
        <w:t xml:space="preserve">  In fact, WRRA asserts that all of the information Staff alleges is missing can be found in Exhibit No. JD-2.</w:t>
      </w:r>
      <w:r w:rsidR="004F418E" w:rsidRPr="00B52E9D">
        <w:rPr>
          <w:rStyle w:val="FootnoteReference"/>
          <w:sz w:val="25"/>
          <w:szCs w:val="25"/>
        </w:rPr>
        <w:footnoteReference w:id="20"/>
      </w:r>
      <w:r w:rsidR="004F418E" w:rsidRPr="00B52E9D">
        <w:rPr>
          <w:sz w:val="25"/>
          <w:szCs w:val="25"/>
        </w:rPr>
        <w:t xml:space="preserve">  </w:t>
      </w:r>
      <w:r w:rsidR="00793BA1" w:rsidRPr="00B52E9D">
        <w:rPr>
          <w:sz w:val="25"/>
          <w:szCs w:val="25"/>
        </w:rPr>
        <w:t>WRRA states that, if Staff’s Motion to Dismiss is granted, “it is clear that the [C]ompany will refile the case, probably the very next day” and “we start the whole process over again, meaning the company continues its loss of revenue, and payment of attorney and accountant fees to travel the same ground which has already been done.”</w:t>
      </w:r>
      <w:r w:rsidR="00793BA1" w:rsidRPr="00B52E9D">
        <w:rPr>
          <w:rStyle w:val="FootnoteReference"/>
          <w:sz w:val="25"/>
          <w:szCs w:val="25"/>
        </w:rPr>
        <w:footnoteReference w:id="21"/>
      </w:r>
      <w:r w:rsidR="00793BA1" w:rsidRPr="00B52E9D">
        <w:rPr>
          <w:sz w:val="25"/>
          <w:szCs w:val="25"/>
        </w:rPr>
        <w:t xml:space="preserve"> </w:t>
      </w:r>
    </w:p>
    <w:p w14:paraId="2F543A13" w14:textId="77777777" w:rsidR="0091023D" w:rsidRPr="00B52E9D" w:rsidRDefault="0091023D" w:rsidP="0091023D">
      <w:pPr>
        <w:pStyle w:val="ListParagraph"/>
        <w:rPr>
          <w:sz w:val="25"/>
          <w:szCs w:val="25"/>
        </w:rPr>
      </w:pPr>
    </w:p>
    <w:p w14:paraId="607C0FAE" w14:textId="29892AC7" w:rsidR="0091023D" w:rsidRPr="00B52E9D" w:rsidRDefault="0091023D" w:rsidP="00E25B10">
      <w:pPr>
        <w:pStyle w:val="ListParagraph"/>
        <w:numPr>
          <w:ilvl w:val="0"/>
          <w:numId w:val="2"/>
        </w:numPr>
        <w:spacing w:line="288" w:lineRule="auto"/>
        <w:ind w:left="0" w:right="720" w:hanging="720"/>
        <w:rPr>
          <w:b/>
          <w:sz w:val="25"/>
          <w:szCs w:val="25"/>
        </w:rPr>
      </w:pPr>
      <w:r w:rsidRPr="00B52E9D">
        <w:rPr>
          <w:b/>
          <w:sz w:val="25"/>
          <w:szCs w:val="25"/>
        </w:rPr>
        <w:t xml:space="preserve">DISCUSSION/DECISION.  </w:t>
      </w:r>
      <w:r w:rsidR="00B124E6" w:rsidRPr="00B52E9D">
        <w:rPr>
          <w:sz w:val="25"/>
          <w:szCs w:val="25"/>
        </w:rPr>
        <w:t xml:space="preserve">Pursuant to WAC 480-07-380(1), </w:t>
      </w:r>
      <w:r w:rsidR="001D56CD" w:rsidRPr="00B52E9D">
        <w:rPr>
          <w:sz w:val="25"/>
          <w:szCs w:val="25"/>
        </w:rPr>
        <w:t xml:space="preserve">a party may move to dismiss another party’s case on the basis that the opposing party’s pleading fails to state a claim upon which the Commission may grant relief.  </w:t>
      </w:r>
      <w:r w:rsidR="00465EF7" w:rsidRPr="00B52E9D">
        <w:rPr>
          <w:sz w:val="25"/>
          <w:szCs w:val="25"/>
        </w:rPr>
        <w:t xml:space="preserve">In reviewing a motion to dismiss, we will consider the standards applicable to a motion made under Court Rule </w:t>
      </w:r>
      <w:r w:rsidR="005D32E5" w:rsidRPr="00B52E9D">
        <w:rPr>
          <w:sz w:val="25"/>
          <w:szCs w:val="25"/>
        </w:rPr>
        <w:t xml:space="preserve">(CR) </w:t>
      </w:r>
      <w:r w:rsidR="00465EF7" w:rsidRPr="00B52E9D">
        <w:rPr>
          <w:sz w:val="25"/>
          <w:szCs w:val="25"/>
        </w:rPr>
        <w:t>12(b)(6) and 12(c) of the Washington Superior Court’s civil rules.</w:t>
      </w:r>
      <w:r w:rsidR="008B6CD5" w:rsidRPr="00B52E9D">
        <w:rPr>
          <w:rStyle w:val="FootnoteReference"/>
          <w:sz w:val="25"/>
          <w:szCs w:val="25"/>
        </w:rPr>
        <w:footnoteReference w:id="22"/>
      </w:r>
      <w:r w:rsidR="005D32E5" w:rsidRPr="00B52E9D">
        <w:rPr>
          <w:sz w:val="25"/>
          <w:szCs w:val="25"/>
        </w:rPr>
        <w:t xml:space="preserve">  Washington courts treat CR 12(c) motions for judgment on the pleadings identically to CR 12(b)(6) motions to dismiss for failure to state a claim.</w:t>
      </w:r>
      <w:r w:rsidR="005D32E5" w:rsidRPr="00B52E9D">
        <w:rPr>
          <w:rStyle w:val="FootnoteReference"/>
          <w:sz w:val="25"/>
          <w:szCs w:val="25"/>
        </w:rPr>
        <w:footnoteReference w:id="23"/>
      </w:r>
      <w:r w:rsidR="005D32E5" w:rsidRPr="00B52E9D">
        <w:rPr>
          <w:sz w:val="25"/>
          <w:szCs w:val="25"/>
        </w:rPr>
        <w:t xml:space="preserve"> The purpose of both motions is to determine i</w:t>
      </w:r>
      <w:r w:rsidR="008B6CD5" w:rsidRPr="00B52E9D">
        <w:rPr>
          <w:sz w:val="25"/>
          <w:szCs w:val="25"/>
        </w:rPr>
        <w:t>f</w:t>
      </w:r>
      <w:r w:rsidR="005D32E5" w:rsidRPr="00B52E9D">
        <w:rPr>
          <w:sz w:val="25"/>
          <w:szCs w:val="25"/>
        </w:rPr>
        <w:t xml:space="preserve"> a plaintiff can prove any set of facts that would justify relief.</w:t>
      </w:r>
      <w:r w:rsidR="005D32E5" w:rsidRPr="00B52E9D">
        <w:rPr>
          <w:rStyle w:val="FootnoteReference"/>
          <w:sz w:val="25"/>
          <w:szCs w:val="25"/>
        </w:rPr>
        <w:footnoteReference w:id="24"/>
      </w:r>
      <w:r w:rsidR="005D32E5" w:rsidRPr="00B52E9D">
        <w:rPr>
          <w:sz w:val="25"/>
          <w:szCs w:val="25"/>
        </w:rPr>
        <w:t xml:space="preserve">  </w:t>
      </w:r>
      <w:r w:rsidR="009508DE" w:rsidRPr="00B52E9D">
        <w:rPr>
          <w:sz w:val="25"/>
          <w:szCs w:val="25"/>
        </w:rPr>
        <w:t>In this review, we consider the facts alleged in Waste Control’s rate case filing in a light most favorable to the Company.</w:t>
      </w:r>
      <w:r w:rsidR="009508DE" w:rsidRPr="00B52E9D">
        <w:rPr>
          <w:rStyle w:val="FootnoteReference"/>
          <w:sz w:val="25"/>
          <w:szCs w:val="25"/>
        </w:rPr>
        <w:footnoteReference w:id="25"/>
      </w:r>
    </w:p>
    <w:p w14:paraId="5C0E7DE4" w14:textId="77777777" w:rsidR="00E21D9C" w:rsidRPr="00B52E9D" w:rsidRDefault="00E21D9C" w:rsidP="00E21D9C">
      <w:pPr>
        <w:pStyle w:val="ListParagraph"/>
        <w:rPr>
          <w:b/>
          <w:sz w:val="25"/>
          <w:szCs w:val="25"/>
        </w:rPr>
      </w:pPr>
    </w:p>
    <w:p w14:paraId="512FA8B4" w14:textId="110649F8" w:rsidR="008B6CD5" w:rsidRPr="00B52E9D" w:rsidRDefault="008B6CD5" w:rsidP="00E25B10">
      <w:pPr>
        <w:pStyle w:val="ListParagraph"/>
        <w:numPr>
          <w:ilvl w:val="0"/>
          <w:numId w:val="2"/>
        </w:numPr>
        <w:spacing w:line="288" w:lineRule="auto"/>
        <w:ind w:left="0" w:right="720" w:hanging="720"/>
        <w:rPr>
          <w:b/>
          <w:sz w:val="25"/>
          <w:szCs w:val="25"/>
        </w:rPr>
      </w:pPr>
      <w:r w:rsidRPr="00B52E9D">
        <w:rPr>
          <w:sz w:val="25"/>
          <w:szCs w:val="25"/>
        </w:rPr>
        <w:lastRenderedPageBreak/>
        <w:t>WAC 480-07-540 is clear that the burden of proof in a general rate case</w:t>
      </w:r>
      <w:r w:rsidR="00434168" w:rsidRPr="00B52E9D">
        <w:rPr>
          <w:sz w:val="25"/>
          <w:szCs w:val="25"/>
        </w:rPr>
        <w:t xml:space="preserve"> </w:t>
      </w:r>
      <w:r w:rsidR="00B6228D" w:rsidRPr="00B52E9D">
        <w:rPr>
          <w:sz w:val="25"/>
          <w:szCs w:val="25"/>
        </w:rPr>
        <w:t>for</w:t>
      </w:r>
      <w:r w:rsidRPr="00B52E9D">
        <w:rPr>
          <w:sz w:val="25"/>
          <w:szCs w:val="25"/>
        </w:rPr>
        <w:t xml:space="preserve"> both utility and transportation </w:t>
      </w:r>
      <w:r w:rsidR="00B6228D" w:rsidRPr="00B52E9D">
        <w:rPr>
          <w:sz w:val="25"/>
          <w:szCs w:val="25"/>
        </w:rPr>
        <w:t>companies</w:t>
      </w:r>
      <w:r w:rsidRPr="00B52E9D">
        <w:rPr>
          <w:sz w:val="25"/>
          <w:szCs w:val="25"/>
        </w:rPr>
        <w:t xml:space="preserve"> rests with the proponent of the request:</w:t>
      </w:r>
    </w:p>
    <w:p w14:paraId="25F387E3" w14:textId="77777777" w:rsidR="008B6CD5" w:rsidRPr="00B52E9D" w:rsidRDefault="008B6CD5" w:rsidP="008B6CD5">
      <w:pPr>
        <w:pStyle w:val="ListParagraph"/>
        <w:rPr>
          <w:sz w:val="25"/>
          <w:szCs w:val="25"/>
        </w:rPr>
      </w:pPr>
    </w:p>
    <w:p w14:paraId="7935E0D4" w14:textId="4C52D2E5" w:rsidR="008B6CD5" w:rsidRPr="00B52E9D" w:rsidRDefault="008B6CD5" w:rsidP="00E25B10">
      <w:pPr>
        <w:pStyle w:val="ListParagraph"/>
        <w:spacing w:line="288" w:lineRule="auto"/>
        <w:ind w:right="720"/>
        <w:rPr>
          <w:sz w:val="25"/>
          <w:szCs w:val="25"/>
        </w:rPr>
      </w:pPr>
      <w:r w:rsidRPr="00B52E9D">
        <w:rPr>
          <w:sz w:val="25"/>
          <w:szCs w:val="25"/>
        </w:rPr>
        <w:t xml:space="preserve">Public service companies bear the burden of proof in general rate proceedings that propose changes that would increase any rate, charge, rental, or toll, as provided in RCW </w:t>
      </w:r>
      <w:hyperlink r:id="rId12" w:history="1">
        <w:r w:rsidRPr="00B52E9D">
          <w:rPr>
            <w:rStyle w:val="Hyperlink"/>
            <w:sz w:val="25"/>
            <w:szCs w:val="25"/>
          </w:rPr>
          <w:t>80.04.130</w:t>
        </w:r>
      </w:hyperlink>
      <w:r w:rsidRPr="00B52E9D">
        <w:rPr>
          <w:sz w:val="25"/>
          <w:szCs w:val="25"/>
        </w:rPr>
        <w:t xml:space="preserve"> or 81.04.130. The burden of proof includes the burden of going forward with evidence and the burden of persuasion. </w:t>
      </w:r>
      <w:r w:rsidRPr="00B52E9D">
        <w:rPr>
          <w:i/>
          <w:sz w:val="25"/>
          <w:szCs w:val="25"/>
        </w:rPr>
        <w:t xml:space="preserve">The commission will consider the company's prefiled evidence to be its full direct case in support of its rate filing for purposes of deciding any prehearing motion to dismiss under WAC </w:t>
      </w:r>
      <w:hyperlink r:id="rId13" w:history="1">
        <w:r w:rsidRPr="00B52E9D">
          <w:rPr>
            <w:rStyle w:val="Hyperlink"/>
            <w:i/>
            <w:sz w:val="25"/>
            <w:szCs w:val="25"/>
          </w:rPr>
          <w:t>480-07-380</w:t>
        </w:r>
      </w:hyperlink>
      <w:r w:rsidRPr="00B52E9D">
        <w:rPr>
          <w:sz w:val="25"/>
          <w:szCs w:val="25"/>
        </w:rPr>
        <w:t>.</w:t>
      </w:r>
      <w:r w:rsidRPr="00B52E9D">
        <w:rPr>
          <w:rStyle w:val="FootnoteReference"/>
          <w:sz w:val="25"/>
          <w:szCs w:val="25"/>
        </w:rPr>
        <w:footnoteReference w:id="26"/>
      </w:r>
    </w:p>
    <w:p w14:paraId="309FCE8A" w14:textId="77777777" w:rsidR="008B6CD5" w:rsidRPr="00B52E9D" w:rsidRDefault="008B6CD5" w:rsidP="008B6CD5">
      <w:pPr>
        <w:pStyle w:val="ListParagraph"/>
        <w:spacing w:line="288" w:lineRule="auto"/>
        <w:ind w:left="360" w:right="720"/>
        <w:rPr>
          <w:sz w:val="25"/>
          <w:szCs w:val="25"/>
        </w:rPr>
      </w:pPr>
    </w:p>
    <w:p w14:paraId="1B66BAA4" w14:textId="7530F685" w:rsidR="00D84FE8" w:rsidRPr="00B52E9D" w:rsidRDefault="00E21D9C" w:rsidP="00E25B10">
      <w:pPr>
        <w:pStyle w:val="ListParagraph"/>
        <w:numPr>
          <w:ilvl w:val="0"/>
          <w:numId w:val="2"/>
        </w:numPr>
        <w:spacing w:line="288" w:lineRule="auto"/>
        <w:ind w:left="0" w:right="720" w:hanging="720"/>
        <w:rPr>
          <w:b/>
          <w:sz w:val="25"/>
          <w:szCs w:val="25"/>
        </w:rPr>
      </w:pPr>
      <w:r w:rsidRPr="00B52E9D">
        <w:rPr>
          <w:sz w:val="25"/>
          <w:szCs w:val="25"/>
        </w:rPr>
        <w:t>Waste Control does not dispute that</w:t>
      </w:r>
      <w:r w:rsidR="007F3C06" w:rsidRPr="00B52E9D">
        <w:rPr>
          <w:sz w:val="25"/>
          <w:szCs w:val="25"/>
        </w:rPr>
        <w:t xml:space="preserve"> its prefiled testimony and exhibits</w:t>
      </w:r>
      <w:r w:rsidRPr="00B52E9D">
        <w:rPr>
          <w:sz w:val="25"/>
          <w:szCs w:val="25"/>
        </w:rPr>
        <w:t xml:space="preserve"> fail to support most of the adjustments in its general rate case filing.  </w:t>
      </w:r>
      <w:r w:rsidR="008B6CD5" w:rsidRPr="00B52E9D">
        <w:rPr>
          <w:sz w:val="25"/>
          <w:szCs w:val="25"/>
        </w:rPr>
        <w:t xml:space="preserve">The </w:t>
      </w:r>
      <w:r w:rsidRPr="00B52E9D">
        <w:rPr>
          <w:sz w:val="25"/>
          <w:szCs w:val="25"/>
        </w:rPr>
        <w:t>Company</w:t>
      </w:r>
      <w:r w:rsidR="00DE4FCD" w:rsidRPr="00B52E9D">
        <w:rPr>
          <w:sz w:val="25"/>
          <w:szCs w:val="25"/>
        </w:rPr>
        <w:t xml:space="preserve"> admits it only</w:t>
      </w:r>
      <w:r w:rsidRPr="00B52E9D">
        <w:rPr>
          <w:sz w:val="25"/>
          <w:szCs w:val="25"/>
        </w:rPr>
        <w:t xml:space="preserve"> </w:t>
      </w:r>
      <w:r w:rsidR="00DE4FCD" w:rsidRPr="00B52E9D">
        <w:rPr>
          <w:sz w:val="25"/>
          <w:szCs w:val="25"/>
        </w:rPr>
        <w:t>filed testimony and exhibits for the adjustments it expect</w:t>
      </w:r>
      <w:r w:rsidR="00B6228D" w:rsidRPr="00B52E9D">
        <w:rPr>
          <w:sz w:val="25"/>
          <w:szCs w:val="25"/>
        </w:rPr>
        <w:t>ed</w:t>
      </w:r>
      <w:r w:rsidR="00DE4FCD" w:rsidRPr="00B52E9D">
        <w:rPr>
          <w:sz w:val="25"/>
          <w:szCs w:val="25"/>
        </w:rPr>
        <w:t xml:space="preserve"> Staff to contest.  </w:t>
      </w:r>
      <w:r w:rsidR="00E61BF9" w:rsidRPr="00B52E9D">
        <w:rPr>
          <w:sz w:val="25"/>
          <w:szCs w:val="25"/>
        </w:rPr>
        <w:t>At the same time, Waste Control does not dispute</w:t>
      </w:r>
      <w:r w:rsidR="008B6CD5" w:rsidRPr="00B52E9D">
        <w:rPr>
          <w:sz w:val="25"/>
          <w:szCs w:val="25"/>
        </w:rPr>
        <w:t xml:space="preserve"> </w:t>
      </w:r>
      <w:r w:rsidR="00B6228D" w:rsidRPr="00B52E9D">
        <w:rPr>
          <w:sz w:val="25"/>
          <w:szCs w:val="25"/>
        </w:rPr>
        <w:t xml:space="preserve">the requirements in </w:t>
      </w:r>
      <w:r w:rsidR="008B6CD5" w:rsidRPr="00B52E9D">
        <w:rPr>
          <w:sz w:val="25"/>
          <w:szCs w:val="25"/>
        </w:rPr>
        <w:t>WAC 480-07-540</w:t>
      </w:r>
      <w:r w:rsidR="00E61BF9" w:rsidRPr="00B52E9D">
        <w:rPr>
          <w:sz w:val="25"/>
          <w:szCs w:val="25"/>
        </w:rPr>
        <w:t xml:space="preserve"> but instead explains that it will </w:t>
      </w:r>
      <w:r w:rsidR="00D84FE8" w:rsidRPr="00B52E9D">
        <w:rPr>
          <w:sz w:val="25"/>
          <w:szCs w:val="25"/>
        </w:rPr>
        <w:t>develop its full case at hearing</w:t>
      </w:r>
      <w:r w:rsidR="008B6CD5" w:rsidRPr="00B52E9D">
        <w:rPr>
          <w:sz w:val="25"/>
          <w:szCs w:val="25"/>
        </w:rPr>
        <w:t xml:space="preserve">.  </w:t>
      </w:r>
      <w:r w:rsidR="00D84FE8" w:rsidRPr="00B52E9D">
        <w:rPr>
          <w:sz w:val="25"/>
          <w:szCs w:val="25"/>
        </w:rPr>
        <w:t xml:space="preserve">This is not the common practice before the Commission, nor is it what is anticipated in our rules.  As we stated in </w:t>
      </w:r>
      <w:r w:rsidR="00D84FE8" w:rsidRPr="00B52E9D">
        <w:rPr>
          <w:i/>
          <w:sz w:val="25"/>
          <w:szCs w:val="25"/>
        </w:rPr>
        <w:t>WUTC v. PSE</w:t>
      </w:r>
      <w:r w:rsidR="00D84FE8" w:rsidRPr="00B52E9D">
        <w:rPr>
          <w:sz w:val="25"/>
          <w:szCs w:val="25"/>
        </w:rPr>
        <w:t>:</w:t>
      </w:r>
    </w:p>
    <w:p w14:paraId="66545EF2" w14:textId="77777777" w:rsidR="00D84FE8" w:rsidRPr="00B52E9D" w:rsidRDefault="00D84FE8" w:rsidP="00D84FE8">
      <w:pPr>
        <w:pStyle w:val="ListParagraph"/>
        <w:spacing w:line="288" w:lineRule="auto"/>
        <w:ind w:left="360" w:right="720"/>
        <w:rPr>
          <w:sz w:val="25"/>
          <w:szCs w:val="25"/>
        </w:rPr>
      </w:pPr>
    </w:p>
    <w:p w14:paraId="0E963F60" w14:textId="5877BF14" w:rsidR="00D84FE8" w:rsidRPr="00B52E9D" w:rsidRDefault="00D84FE8" w:rsidP="00B52E9D">
      <w:pPr>
        <w:pStyle w:val="ListParagraph"/>
        <w:tabs>
          <w:tab w:val="left" w:pos="720"/>
        </w:tabs>
        <w:spacing w:line="288" w:lineRule="auto"/>
        <w:ind w:right="720"/>
        <w:rPr>
          <w:b/>
          <w:sz w:val="25"/>
          <w:szCs w:val="25"/>
        </w:rPr>
      </w:pPr>
      <w:r w:rsidRPr="00B52E9D">
        <w:rPr>
          <w:sz w:val="25"/>
          <w:szCs w:val="25"/>
        </w:rPr>
        <w:t xml:space="preserve">In Commission proceedings, prefiled evidence </w:t>
      </w:r>
      <w:r w:rsidRPr="00B52E9D">
        <w:rPr>
          <w:i/>
          <w:sz w:val="25"/>
          <w:szCs w:val="25"/>
        </w:rPr>
        <w:t>is</w:t>
      </w:r>
      <w:r w:rsidRPr="00B52E9D">
        <w:rPr>
          <w:sz w:val="25"/>
          <w:szCs w:val="25"/>
        </w:rPr>
        <w:t xml:space="preserve"> a party’s evidence supporting its case.  Prefiled evidence serves an essential regulatory function.  The Commission resolves complex, high-stakes, multiparty litigation within time frames from start to completion that are often shorter than the civil courts can schedule and hold a trial.  Prefiled evidence is one of the means by which this efficiency is accomplished.  Other parties rely on the prefiled evidence as the basis for preparing their cross examination of witnesses and in formulating their responsive evidence.</w:t>
      </w:r>
      <w:r w:rsidRPr="00B52E9D">
        <w:rPr>
          <w:rStyle w:val="FootnoteReference"/>
          <w:sz w:val="25"/>
          <w:szCs w:val="25"/>
        </w:rPr>
        <w:footnoteReference w:id="27"/>
      </w:r>
      <w:r w:rsidRPr="00B52E9D">
        <w:rPr>
          <w:sz w:val="25"/>
          <w:szCs w:val="25"/>
        </w:rPr>
        <w:t xml:space="preserve">  </w:t>
      </w:r>
    </w:p>
    <w:p w14:paraId="23C9E0FB" w14:textId="77777777" w:rsidR="00D84FE8" w:rsidRPr="00B52E9D" w:rsidRDefault="00D84FE8" w:rsidP="00D84FE8">
      <w:pPr>
        <w:pStyle w:val="ListParagraph"/>
        <w:spacing w:line="288" w:lineRule="auto"/>
        <w:ind w:left="360" w:right="720"/>
        <w:rPr>
          <w:b/>
          <w:sz w:val="25"/>
          <w:szCs w:val="25"/>
        </w:rPr>
      </w:pPr>
    </w:p>
    <w:p w14:paraId="176A61B3" w14:textId="55EA61F5" w:rsidR="00567264" w:rsidRPr="00B52E9D" w:rsidRDefault="00F8385E" w:rsidP="00E25B10">
      <w:pPr>
        <w:pStyle w:val="ListParagraph"/>
        <w:numPr>
          <w:ilvl w:val="0"/>
          <w:numId w:val="2"/>
        </w:numPr>
        <w:spacing w:line="288" w:lineRule="auto"/>
        <w:ind w:left="0" w:right="720" w:hanging="720"/>
        <w:rPr>
          <w:b/>
          <w:sz w:val="25"/>
          <w:szCs w:val="25"/>
        </w:rPr>
      </w:pPr>
      <w:r w:rsidRPr="00B52E9D">
        <w:rPr>
          <w:sz w:val="25"/>
          <w:szCs w:val="25"/>
        </w:rPr>
        <w:lastRenderedPageBreak/>
        <w:t>Waste Control and WRRA point to the “case” that the Company filed on September 23, 2013, when this proceeding was initiated</w:t>
      </w:r>
      <w:r w:rsidR="00D84FE8" w:rsidRPr="00B52E9D">
        <w:rPr>
          <w:sz w:val="25"/>
          <w:szCs w:val="25"/>
        </w:rPr>
        <w:t xml:space="preserve">, as sufficient evidence to </w:t>
      </w:r>
      <w:r w:rsidR="00B6228D" w:rsidRPr="00B52E9D">
        <w:rPr>
          <w:sz w:val="25"/>
          <w:szCs w:val="25"/>
        </w:rPr>
        <w:t>support</w:t>
      </w:r>
      <w:r w:rsidR="00D84FE8" w:rsidRPr="00B52E9D">
        <w:rPr>
          <w:sz w:val="25"/>
          <w:szCs w:val="25"/>
        </w:rPr>
        <w:t xml:space="preserve"> the Company’s direct case</w:t>
      </w:r>
      <w:r w:rsidRPr="00B52E9D">
        <w:rPr>
          <w:sz w:val="25"/>
          <w:szCs w:val="25"/>
        </w:rPr>
        <w:t xml:space="preserve">.  The Company’s </w:t>
      </w:r>
      <w:r w:rsidR="00D84FE8" w:rsidRPr="00B52E9D">
        <w:rPr>
          <w:sz w:val="25"/>
          <w:szCs w:val="25"/>
        </w:rPr>
        <w:t>September 23</w:t>
      </w:r>
      <w:r w:rsidR="00D84FE8" w:rsidRPr="00B52E9D">
        <w:rPr>
          <w:sz w:val="25"/>
          <w:szCs w:val="25"/>
          <w:vertAlign w:val="superscript"/>
        </w:rPr>
        <w:t>rd</w:t>
      </w:r>
      <w:r w:rsidR="00D84FE8" w:rsidRPr="00B52E9D">
        <w:rPr>
          <w:sz w:val="25"/>
          <w:szCs w:val="25"/>
        </w:rPr>
        <w:t xml:space="preserve"> filing</w:t>
      </w:r>
      <w:r w:rsidRPr="00B52E9D">
        <w:rPr>
          <w:sz w:val="25"/>
          <w:szCs w:val="25"/>
        </w:rPr>
        <w:t xml:space="preserve">, however, consists of proposed tariff pages containing the requested rate increases as well as customer notices of the rate filing.  </w:t>
      </w:r>
      <w:r w:rsidR="00D84FE8" w:rsidRPr="00B52E9D">
        <w:rPr>
          <w:sz w:val="25"/>
          <w:szCs w:val="25"/>
        </w:rPr>
        <w:t>The</w:t>
      </w:r>
      <w:r w:rsidR="00B6228D" w:rsidRPr="00B52E9D">
        <w:rPr>
          <w:sz w:val="25"/>
          <w:szCs w:val="25"/>
        </w:rPr>
        <w:t xml:space="preserve"> filing includes</w:t>
      </w:r>
      <w:r w:rsidR="00D84FE8" w:rsidRPr="00B52E9D">
        <w:rPr>
          <w:sz w:val="25"/>
          <w:szCs w:val="25"/>
        </w:rPr>
        <w:t xml:space="preserve"> little</w:t>
      </w:r>
      <w:r w:rsidR="00B6228D" w:rsidRPr="00B52E9D">
        <w:rPr>
          <w:sz w:val="25"/>
          <w:szCs w:val="25"/>
        </w:rPr>
        <w:t>,</w:t>
      </w:r>
      <w:r w:rsidR="00D84FE8" w:rsidRPr="00B52E9D">
        <w:rPr>
          <w:sz w:val="25"/>
          <w:szCs w:val="25"/>
        </w:rPr>
        <w:t xml:space="preserve"> if any</w:t>
      </w:r>
      <w:r w:rsidR="00B6228D" w:rsidRPr="00B52E9D">
        <w:rPr>
          <w:sz w:val="25"/>
          <w:szCs w:val="25"/>
        </w:rPr>
        <w:t>,</w:t>
      </w:r>
      <w:r w:rsidR="00D84FE8" w:rsidRPr="00B52E9D">
        <w:rPr>
          <w:sz w:val="25"/>
          <w:szCs w:val="25"/>
        </w:rPr>
        <w:t xml:space="preserve"> </w:t>
      </w:r>
      <w:r w:rsidRPr="00B52E9D">
        <w:rPr>
          <w:sz w:val="25"/>
          <w:szCs w:val="25"/>
        </w:rPr>
        <w:t xml:space="preserve">explanation </w:t>
      </w:r>
      <w:r w:rsidR="00D84FE8" w:rsidRPr="00B52E9D">
        <w:rPr>
          <w:sz w:val="25"/>
          <w:szCs w:val="25"/>
        </w:rPr>
        <w:t xml:space="preserve">or support for the </w:t>
      </w:r>
      <w:r w:rsidR="00B6228D" w:rsidRPr="00B52E9D">
        <w:rPr>
          <w:sz w:val="25"/>
          <w:szCs w:val="25"/>
        </w:rPr>
        <w:t>revised rates</w:t>
      </w:r>
      <w:r w:rsidRPr="00B52E9D">
        <w:rPr>
          <w:sz w:val="25"/>
          <w:szCs w:val="25"/>
        </w:rPr>
        <w:t>.</w:t>
      </w:r>
    </w:p>
    <w:p w14:paraId="559BB868" w14:textId="77777777" w:rsidR="003603AB" w:rsidRPr="00B52E9D" w:rsidRDefault="003603AB" w:rsidP="003603AB">
      <w:pPr>
        <w:pStyle w:val="ListParagraph"/>
        <w:rPr>
          <w:b/>
          <w:sz w:val="25"/>
          <w:szCs w:val="25"/>
        </w:rPr>
      </w:pPr>
    </w:p>
    <w:p w14:paraId="752D0B11" w14:textId="64F9B61B" w:rsidR="00E21D9C" w:rsidRPr="00B52E9D" w:rsidRDefault="006754C3" w:rsidP="00E25B10">
      <w:pPr>
        <w:pStyle w:val="ListParagraph"/>
        <w:numPr>
          <w:ilvl w:val="0"/>
          <w:numId w:val="2"/>
        </w:numPr>
        <w:spacing w:line="288" w:lineRule="auto"/>
        <w:ind w:left="0" w:right="720" w:hanging="720"/>
        <w:rPr>
          <w:b/>
          <w:sz w:val="25"/>
          <w:szCs w:val="25"/>
        </w:rPr>
      </w:pPr>
      <w:r w:rsidRPr="00B52E9D">
        <w:rPr>
          <w:sz w:val="25"/>
          <w:szCs w:val="25"/>
        </w:rPr>
        <w:t xml:space="preserve">Waste Control </w:t>
      </w:r>
      <w:r w:rsidR="00567264" w:rsidRPr="00B52E9D">
        <w:rPr>
          <w:sz w:val="25"/>
          <w:szCs w:val="25"/>
        </w:rPr>
        <w:t xml:space="preserve">also </w:t>
      </w:r>
      <w:r w:rsidRPr="00B52E9D">
        <w:rPr>
          <w:sz w:val="25"/>
          <w:szCs w:val="25"/>
        </w:rPr>
        <w:t>contends that its rate request has already been subject to audit, review, and numerous data requests from Staff</w:t>
      </w:r>
      <w:r w:rsidR="0005482F" w:rsidRPr="00B52E9D">
        <w:rPr>
          <w:sz w:val="25"/>
          <w:szCs w:val="25"/>
        </w:rPr>
        <w:t>.</w:t>
      </w:r>
      <w:r w:rsidR="0005482F" w:rsidRPr="00B52E9D">
        <w:rPr>
          <w:rStyle w:val="FootnoteReference"/>
          <w:sz w:val="25"/>
          <w:szCs w:val="25"/>
        </w:rPr>
        <w:footnoteReference w:id="28"/>
      </w:r>
      <w:r w:rsidR="00567264" w:rsidRPr="00B52E9D">
        <w:rPr>
          <w:sz w:val="25"/>
          <w:szCs w:val="25"/>
        </w:rPr>
        <w:t xml:space="preserve"> </w:t>
      </w:r>
      <w:r w:rsidR="00DE4FCD" w:rsidRPr="00B52E9D">
        <w:rPr>
          <w:sz w:val="25"/>
          <w:szCs w:val="25"/>
        </w:rPr>
        <w:t xml:space="preserve"> </w:t>
      </w:r>
      <w:r w:rsidR="00D84FE8" w:rsidRPr="00B52E9D">
        <w:rPr>
          <w:sz w:val="25"/>
          <w:szCs w:val="25"/>
        </w:rPr>
        <w:t xml:space="preserve">Staff is not responsible for making the Company’s case.  </w:t>
      </w:r>
      <w:r w:rsidR="00B6228D" w:rsidRPr="00B52E9D">
        <w:rPr>
          <w:sz w:val="25"/>
          <w:szCs w:val="25"/>
        </w:rPr>
        <w:t>Staff conducts its</w:t>
      </w:r>
      <w:r w:rsidR="00D84FE8" w:rsidRPr="00B52E9D">
        <w:rPr>
          <w:sz w:val="25"/>
          <w:szCs w:val="25"/>
        </w:rPr>
        <w:t xml:space="preserve"> audit or review to formulate its position in the litigation, not to </w:t>
      </w:r>
      <w:r w:rsidR="00B6228D" w:rsidRPr="00B52E9D">
        <w:rPr>
          <w:sz w:val="25"/>
          <w:szCs w:val="25"/>
        </w:rPr>
        <w:t>produce</w:t>
      </w:r>
      <w:r w:rsidR="00D84FE8" w:rsidRPr="00B52E9D">
        <w:rPr>
          <w:sz w:val="25"/>
          <w:szCs w:val="25"/>
        </w:rPr>
        <w:t xml:space="preserve"> evidence that will support Waste Control’s request.  Additionally, </w:t>
      </w:r>
      <w:r w:rsidR="009D36AE" w:rsidRPr="00B52E9D">
        <w:rPr>
          <w:sz w:val="25"/>
          <w:szCs w:val="25"/>
        </w:rPr>
        <w:t xml:space="preserve">while Staff possesses this information, the Commission, which is separate and distinct from its </w:t>
      </w:r>
      <w:r w:rsidR="00B6228D" w:rsidRPr="00B52E9D">
        <w:rPr>
          <w:sz w:val="25"/>
          <w:szCs w:val="25"/>
        </w:rPr>
        <w:t>regulatory</w:t>
      </w:r>
      <w:r w:rsidR="009D36AE" w:rsidRPr="00B52E9D">
        <w:rPr>
          <w:sz w:val="25"/>
          <w:szCs w:val="25"/>
        </w:rPr>
        <w:t xml:space="preserve"> staff, does not.  None of this information has become part of the evidentiary record.  </w:t>
      </w:r>
      <w:r w:rsidRPr="00B52E9D">
        <w:rPr>
          <w:sz w:val="25"/>
          <w:szCs w:val="25"/>
        </w:rPr>
        <w:t xml:space="preserve">Ultimately, </w:t>
      </w:r>
      <w:r w:rsidR="00A6201D" w:rsidRPr="00B52E9D">
        <w:rPr>
          <w:sz w:val="25"/>
          <w:szCs w:val="25"/>
        </w:rPr>
        <w:t xml:space="preserve">it is the Company </w:t>
      </w:r>
      <w:r w:rsidR="00B6228D" w:rsidRPr="00B52E9D">
        <w:rPr>
          <w:sz w:val="25"/>
          <w:szCs w:val="25"/>
        </w:rPr>
        <w:t>that</w:t>
      </w:r>
      <w:r w:rsidR="00A6201D" w:rsidRPr="00B52E9D">
        <w:rPr>
          <w:sz w:val="25"/>
          <w:szCs w:val="25"/>
        </w:rPr>
        <w:t xml:space="preserve"> bears the burden of proof.  Waste Control </w:t>
      </w:r>
      <w:r w:rsidRPr="00B52E9D">
        <w:rPr>
          <w:sz w:val="25"/>
          <w:szCs w:val="25"/>
        </w:rPr>
        <w:t xml:space="preserve">has not </w:t>
      </w:r>
      <w:r w:rsidR="00A6201D" w:rsidRPr="00B52E9D">
        <w:rPr>
          <w:sz w:val="25"/>
          <w:szCs w:val="25"/>
        </w:rPr>
        <w:t>met that burden</w:t>
      </w:r>
      <w:r w:rsidRPr="00B52E9D">
        <w:rPr>
          <w:sz w:val="25"/>
          <w:szCs w:val="25"/>
        </w:rPr>
        <w:t>.</w:t>
      </w:r>
    </w:p>
    <w:p w14:paraId="71B4B3E0" w14:textId="77777777" w:rsidR="004D2A6E" w:rsidRPr="00B52E9D" w:rsidRDefault="004D2A6E" w:rsidP="004D2A6E">
      <w:pPr>
        <w:pStyle w:val="ListParagraph"/>
        <w:rPr>
          <w:b/>
          <w:sz w:val="25"/>
          <w:szCs w:val="25"/>
        </w:rPr>
      </w:pPr>
    </w:p>
    <w:p w14:paraId="02AE3F07" w14:textId="19608D53" w:rsidR="004D2A6E" w:rsidRPr="00B52E9D" w:rsidRDefault="00A206F9" w:rsidP="00E25B10">
      <w:pPr>
        <w:pStyle w:val="ListParagraph"/>
        <w:numPr>
          <w:ilvl w:val="0"/>
          <w:numId w:val="2"/>
        </w:numPr>
        <w:spacing w:line="288" w:lineRule="auto"/>
        <w:ind w:left="0" w:right="720" w:hanging="720"/>
        <w:rPr>
          <w:b/>
          <w:sz w:val="25"/>
          <w:szCs w:val="25"/>
        </w:rPr>
      </w:pPr>
      <w:r w:rsidRPr="00B52E9D">
        <w:rPr>
          <w:sz w:val="25"/>
          <w:szCs w:val="25"/>
        </w:rPr>
        <w:t xml:space="preserve">The Company points to Order 05 in Docket UT-040788, </w:t>
      </w:r>
      <w:r w:rsidRPr="00B52E9D">
        <w:rPr>
          <w:i/>
          <w:sz w:val="25"/>
          <w:szCs w:val="25"/>
        </w:rPr>
        <w:t>WUTC v. Verizon Northwest, Inc.,</w:t>
      </w:r>
      <w:r w:rsidRPr="00B52E9D">
        <w:rPr>
          <w:sz w:val="25"/>
          <w:szCs w:val="25"/>
        </w:rPr>
        <w:t xml:space="preserve"> in which we found that Verizon had demonstrated enough of a prima facie case to </w:t>
      </w:r>
      <w:r w:rsidR="00577239" w:rsidRPr="00B52E9D">
        <w:rPr>
          <w:sz w:val="25"/>
          <w:szCs w:val="25"/>
        </w:rPr>
        <w:t xml:space="preserve">proceed to hearing.  </w:t>
      </w:r>
      <w:r w:rsidR="00434168" w:rsidRPr="00B52E9D">
        <w:rPr>
          <w:sz w:val="25"/>
          <w:szCs w:val="25"/>
        </w:rPr>
        <w:t xml:space="preserve">In </w:t>
      </w:r>
      <w:r w:rsidR="00434168" w:rsidRPr="00B52E9D">
        <w:rPr>
          <w:i/>
          <w:sz w:val="25"/>
          <w:szCs w:val="25"/>
        </w:rPr>
        <w:t xml:space="preserve">Verizon, </w:t>
      </w:r>
      <w:r w:rsidR="00434168" w:rsidRPr="00B52E9D">
        <w:rPr>
          <w:sz w:val="25"/>
          <w:szCs w:val="25"/>
        </w:rPr>
        <w:t>the Respondent supplied sufficient evidentiary support to sustain its case to hearing which Waste Control has not</w:t>
      </w:r>
      <w:r w:rsidR="00577239" w:rsidRPr="00B52E9D">
        <w:rPr>
          <w:sz w:val="25"/>
          <w:szCs w:val="25"/>
        </w:rPr>
        <w:t xml:space="preserve">.   </w:t>
      </w:r>
      <w:r w:rsidR="00577239" w:rsidRPr="00B52E9D">
        <w:rPr>
          <w:i/>
          <w:sz w:val="25"/>
          <w:szCs w:val="25"/>
        </w:rPr>
        <w:t xml:space="preserve">WUTC v. </w:t>
      </w:r>
      <w:r w:rsidR="009D36AE" w:rsidRPr="00B52E9D">
        <w:rPr>
          <w:i/>
          <w:sz w:val="25"/>
          <w:szCs w:val="25"/>
        </w:rPr>
        <w:t>PSE</w:t>
      </w:r>
      <w:r w:rsidR="00577239" w:rsidRPr="00B52E9D">
        <w:rPr>
          <w:i/>
          <w:sz w:val="25"/>
          <w:szCs w:val="25"/>
        </w:rPr>
        <w:t xml:space="preserve">, </w:t>
      </w:r>
      <w:r w:rsidR="009D36AE" w:rsidRPr="00B52E9D">
        <w:rPr>
          <w:sz w:val="25"/>
          <w:szCs w:val="25"/>
        </w:rPr>
        <w:t>as Staff explains, is more analogous to the instant situation and reiterates</w:t>
      </w:r>
      <w:r w:rsidR="00577239" w:rsidRPr="00B52E9D">
        <w:rPr>
          <w:sz w:val="25"/>
          <w:szCs w:val="25"/>
        </w:rPr>
        <w:t xml:space="preserve"> that the burden of proof in rate cases rests with the proponent of the increase.</w:t>
      </w:r>
      <w:r w:rsidR="00577239" w:rsidRPr="00B52E9D">
        <w:rPr>
          <w:rStyle w:val="FootnoteReference"/>
          <w:sz w:val="25"/>
          <w:szCs w:val="25"/>
        </w:rPr>
        <w:footnoteReference w:id="29"/>
      </w:r>
      <w:r w:rsidR="00F954D7" w:rsidRPr="00B52E9D">
        <w:rPr>
          <w:sz w:val="25"/>
          <w:szCs w:val="25"/>
        </w:rPr>
        <w:t xml:space="preserve">  This burden attaches when the case is filed and continues until it has been met</w:t>
      </w:r>
      <w:r w:rsidR="00310908" w:rsidRPr="00B52E9D">
        <w:rPr>
          <w:sz w:val="25"/>
          <w:szCs w:val="25"/>
        </w:rPr>
        <w:t>.  Waste Control, as the requestor, has the burden and has failed to meet it.</w:t>
      </w:r>
    </w:p>
    <w:p w14:paraId="5544258D" w14:textId="77777777" w:rsidR="003603AB" w:rsidRPr="00B52E9D" w:rsidRDefault="003603AB" w:rsidP="003603AB">
      <w:pPr>
        <w:pStyle w:val="ListParagraph"/>
        <w:rPr>
          <w:b/>
          <w:sz w:val="25"/>
          <w:szCs w:val="25"/>
        </w:rPr>
      </w:pPr>
    </w:p>
    <w:p w14:paraId="032836F6" w14:textId="69844698" w:rsidR="006754C3" w:rsidRPr="00B52E9D" w:rsidRDefault="00A6201D" w:rsidP="00E25B10">
      <w:pPr>
        <w:pStyle w:val="ListParagraph"/>
        <w:numPr>
          <w:ilvl w:val="0"/>
          <w:numId w:val="2"/>
        </w:numPr>
        <w:spacing w:line="288" w:lineRule="auto"/>
        <w:ind w:left="0" w:right="720" w:hanging="720"/>
        <w:rPr>
          <w:b/>
          <w:sz w:val="25"/>
          <w:szCs w:val="25"/>
        </w:rPr>
      </w:pPr>
      <w:r w:rsidRPr="00B52E9D">
        <w:rPr>
          <w:sz w:val="25"/>
          <w:szCs w:val="25"/>
        </w:rPr>
        <w:lastRenderedPageBreak/>
        <w:t xml:space="preserve">With regard to Waste Control’s argument that dismissal would waste resources, an argument that WRRA has echoed, </w:t>
      </w:r>
      <w:r w:rsidR="007434ED" w:rsidRPr="00B52E9D">
        <w:rPr>
          <w:sz w:val="25"/>
          <w:szCs w:val="25"/>
        </w:rPr>
        <w:t>the Company, not the Commission or Staff, is responsible</w:t>
      </w:r>
      <w:r w:rsidR="004D2A6E" w:rsidRPr="00B52E9D">
        <w:rPr>
          <w:sz w:val="25"/>
          <w:szCs w:val="25"/>
        </w:rPr>
        <w:t xml:space="preserve">.  </w:t>
      </w:r>
      <w:r w:rsidR="008C62FC" w:rsidRPr="00B52E9D">
        <w:rPr>
          <w:sz w:val="25"/>
          <w:szCs w:val="25"/>
        </w:rPr>
        <w:t xml:space="preserve">Our rule, </w:t>
      </w:r>
      <w:r w:rsidR="004D2A6E" w:rsidRPr="00B52E9D">
        <w:rPr>
          <w:sz w:val="25"/>
          <w:szCs w:val="25"/>
        </w:rPr>
        <w:t>WAC 480-07-540</w:t>
      </w:r>
      <w:r w:rsidR="008C62FC" w:rsidRPr="00B52E9D">
        <w:rPr>
          <w:sz w:val="25"/>
          <w:szCs w:val="25"/>
        </w:rPr>
        <w:t>,</w:t>
      </w:r>
      <w:r w:rsidR="004D2A6E" w:rsidRPr="00B52E9D">
        <w:rPr>
          <w:sz w:val="25"/>
          <w:szCs w:val="25"/>
        </w:rPr>
        <w:t xml:space="preserve"> is clear </w:t>
      </w:r>
      <w:r w:rsidR="008C62FC" w:rsidRPr="00B52E9D">
        <w:rPr>
          <w:sz w:val="25"/>
          <w:szCs w:val="25"/>
        </w:rPr>
        <w:t xml:space="preserve">as to </w:t>
      </w:r>
      <w:r w:rsidR="004D2A6E" w:rsidRPr="00B52E9D">
        <w:rPr>
          <w:sz w:val="25"/>
          <w:szCs w:val="25"/>
        </w:rPr>
        <w:t xml:space="preserve">the burden of proof </w:t>
      </w:r>
      <w:r w:rsidR="008C62FC" w:rsidRPr="00B52E9D">
        <w:rPr>
          <w:sz w:val="25"/>
          <w:szCs w:val="25"/>
        </w:rPr>
        <w:t xml:space="preserve">in this case.  </w:t>
      </w:r>
      <w:r w:rsidR="002F6DE8" w:rsidRPr="00B52E9D">
        <w:rPr>
          <w:sz w:val="25"/>
          <w:szCs w:val="25"/>
        </w:rPr>
        <w:t xml:space="preserve">Waste Control agreed to prefile its direct case as laid out in the procedural schedule.  </w:t>
      </w:r>
      <w:r w:rsidR="007434ED" w:rsidRPr="00B52E9D">
        <w:rPr>
          <w:sz w:val="25"/>
          <w:szCs w:val="25"/>
        </w:rPr>
        <w:t>T</w:t>
      </w:r>
      <w:r w:rsidR="008C62FC" w:rsidRPr="00B52E9D">
        <w:rPr>
          <w:sz w:val="25"/>
          <w:szCs w:val="25"/>
        </w:rPr>
        <w:t xml:space="preserve">he Company’s </w:t>
      </w:r>
      <w:r w:rsidR="007434ED" w:rsidRPr="00B52E9D">
        <w:rPr>
          <w:sz w:val="25"/>
          <w:szCs w:val="25"/>
        </w:rPr>
        <w:t>failure</w:t>
      </w:r>
      <w:r w:rsidR="008C62FC" w:rsidRPr="00B52E9D">
        <w:rPr>
          <w:sz w:val="25"/>
          <w:szCs w:val="25"/>
        </w:rPr>
        <w:t xml:space="preserve"> to file a direct case that provide</w:t>
      </w:r>
      <w:r w:rsidR="007434ED" w:rsidRPr="00B52E9D">
        <w:rPr>
          <w:sz w:val="25"/>
          <w:szCs w:val="25"/>
        </w:rPr>
        <w:t>s</w:t>
      </w:r>
      <w:r w:rsidR="008C62FC" w:rsidRPr="00B52E9D">
        <w:rPr>
          <w:sz w:val="25"/>
          <w:szCs w:val="25"/>
        </w:rPr>
        <w:t xml:space="preserve"> full support for its rate request</w:t>
      </w:r>
      <w:r w:rsidR="007434ED" w:rsidRPr="00B52E9D">
        <w:rPr>
          <w:sz w:val="25"/>
          <w:szCs w:val="25"/>
        </w:rPr>
        <w:t xml:space="preserve"> necessarily results in dismissal of that case and rejection of the tariff filing</w:t>
      </w:r>
      <w:r w:rsidR="008C62FC" w:rsidRPr="00B52E9D">
        <w:rPr>
          <w:sz w:val="25"/>
          <w:szCs w:val="25"/>
        </w:rPr>
        <w:t xml:space="preserve">.  </w:t>
      </w:r>
    </w:p>
    <w:p w14:paraId="37DFE980" w14:textId="77777777" w:rsidR="00310908" w:rsidRPr="00B52E9D" w:rsidRDefault="00310908" w:rsidP="00310908">
      <w:pPr>
        <w:pStyle w:val="ListParagraph"/>
        <w:rPr>
          <w:b/>
          <w:sz w:val="25"/>
          <w:szCs w:val="25"/>
        </w:rPr>
      </w:pPr>
    </w:p>
    <w:p w14:paraId="76B2792F" w14:textId="59AAE1CB" w:rsidR="00310908" w:rsidRPr="00B52E9D" w:rsidRDefault="00EA2755" w:rsidP="00E25B10">
      <w:pPr>
        <w:pStyle w:val="ListParagraph"/>
        <w:numPr>
          <w:ilvl w:val="0"/>
          <w:numId w:val="2"/>
        </w:numPr>
        <w:spacing w:line="288" w:lineRule="auto"/>
        <w:ind w:left="0" w:right="720" w:hanging="720"/>
        <w:rPr>
          <w:b/>
          <w:sz w:val="25"/>
          <w:szCs w:val="25"/>
        </w:rPr>
      </w:pPr>
      <w:r w:rsidRPr="00B52E9D">
        <w:rPr>
          <w:b/>
          <w:sz w:val="25"/>
          <w:szCs w:val="25"/>
        </w:rPr>
        <w:t>Taking</w:t>
      </w:r>
      <w:r w:rsidRPr="00B52E9D">
        <w:rPr>
          <w:sz w:val="25"/>
          <w:szCs w:val="25"/>
        </w:rPr>
        <w:t xml:space="preserve"> the evidence in the light most favorable to the Company, Waste Control’s evidence is insufficient to support its rate request.  </w:t>
      </w:r>
      <w:r w:rsidR="00310908" w:rsidRPr="00B52E9D">
        <w:rPr>
          <w:sz w:val="25"/>
          <w:szCs w:val="25"/>
        </w:rPr>
        <w:t>We grant Staff’s Motion to Dismiss without prejudice</w:t>
      </w:r>
      <w:r w:rsidR="007434ED" w:rsidRPr="00B52E9D">
        <w:rPr>
          <w:sz w:val="25"/>
          <w:szCs w:val="25"/>
        </w:rPr>
        <w:t xml:space="preserve"> and reject the tariff filing</w:t>
      </w:r>
      <w:r w:rsidR="00591DA9" w:rsidRPr="00B52E9D">
        <w:rPr>
          <w:sz w:val="25"/>
          <w:szCs w:val="25"/>
        </w:rPr>
        <w:t>.</w:t>
      </w:r>
    </w:p>
    <w:p w14:paraId="6EF203F5" w14:textId="77777777" w:rsidR="00B542FE" w:rsidRPr="00B52E9D" w:rsidRDefault="00B542FE" w:rsidP="00B542FE">
      <w:pPr>
        <w:pStyle w:val="ListParagraph"/>
        <w:rPr>
          <w:b/>
          <w:sz w:val="25"/>
          <w:szCs w:val="25"/>
        </w:rPr>
      </w:pPr>
    </w:p>
    <w:p w14:paraId="3072E59D" w14:textId="56877501" w:rsidR="00E512B8" w:rsidRPr="00B52E9D" w:rsidRDefault="00CA7D48" w:rsidP="00E25B10">
      <w:pPr>
        <w:pStyle w:val="ListParagraph"/>
        <w:numPr>
          <w:ilvl w:val="0"/>
          <w:numId w:val="2"/>
        </w:numPr>
        <w:spacing w:line="288" w:lineRule="auto"/>
        <w:ind w:left="0" w:right="720" w:hanging="720"/>
        <w:rPr>
          <w:b/>
          <w:sz w:val="25"/>
          <w:szCs w:val="25"/>
        </w:rPr>
      </w:pPr>
      <w:r w:rsidRPr="00B52E9D">
        <w:rPr>
          <w:sz w:val="25"/>
          <w:szCs w:val="25"/>
        </w:rPr>
        <w:t>Effective December 1, 2013</w:t>
      </w:r>
      <w:r w:rsidR="00B542FE" w:rsidRPr="00B52E9D">
        <w:rPr>
          <w:sz w:val="25"/>
          <w:szCs w:val="25"/>
        </w:rPr>
        <w:t xml:space="preserve">, </w:t>
      </w:r>
      <w:r w:rsidRPr="00B52E9D">
        <w:rPr>
          <w:sz w:val="25"/>
          <w:szCs w:val="25"/>
        </w:rPr>
        <w:t xml:space="preserve">we allowed </w:t>
      </w:r>
      <w:r w:rsidR="00B542FE" w:rsidRPr="00B52E9D">
        <w:rPr>
          <w:sz w:val="25"/>
          <w:szCs w:val="25"/>
        </w:rPr>
        <w:t xml:space="preserve">Waste Control </w:t>
      </w:r>
      <w:r w:rsidRPr="00B52E9D">
        <w:rPr>
          <w:sz w:val="25"/>
          <w:szCs w:val="25"/>
        </w:rPr>
        <w:t>to collect</w:t>
      </w:r>
      <w:r w:rsidR="00B542FE" w:rsidRPr="00B52E9D">
        <w:rPr>
          <w:sz w:val="25"/>
          <w:szCs w:val="25"/>
        </w:rPr>
        <w:t xml:space="preserve"> rates to recover, on a temporary basis and subject to refund, </w:t>
      </w:r>
      <w:r w:rsidR="00E512B8" w:rsidRPr="00B52E9D">
        <w:rPr>
          <w:sz w:val="25"/>
          <w:szCs w:val="25"/>
        </w:rPr>
        <w:t>increased</w:t>
      </w:r>
      <w:r w:rsidR="00B542FE" w:rsidRPr="00B52E9D">
        <w:rPr>
          <w:sz w:val="25"/>
          <w:szCs w:val="25"/>
        </w:rPr>
        <w:t xml:space="preserve"> disposal fee</w:t>
      </w:r>
      <w:r w:rsidR="00E512B8" w:rsidRPr="00B52E9D">
        <w:rPr>
          <w:sz w:val="25"/>
          <w:szCs w:val="25"/>
        </w:rPr>
        <w:t>s</w:t>
      </w:r>
      <w:r w:rsidR="00B542FE" w:rsidRPr="00B52E9D">
        <w:rPr>
          <w:sz w:val="25"/>
          <w:szCs w:val="25"/>
        </w:rPr>
        <w:t xml:space="preserve">.  Waste Control has expressed its intent to re-file </w:t>
      </w:r>
      <w:r w:rsidRPr="00B52E9D">
        <w:rPr>
          <w:sz w:val="25"/>
          <w:szCs w:val="25"/>
        </w:rPr>
        <w:t>its</w:t>
      </w:r>
      <w:r w:rsidR="00B542FE" w:rsidRPr="00B52E9D">
        <w:rPr>
          <w:sz w:val="25"/>
          <w:szCs w:val="25"/>
        </w:rPr>
        <w:t xml:space="preserve"> rate request</w:t>
      </w:r>
      <w:r w:rsidRPr="00B52E9D">
        <w:rPr>
          <w:sz w:val="25"/>
          <w:szCs w:val="25"/>
        </w:rPr>
        <w:t>, from which the temporary disposal fee rates originated,</w:t>
      </w:r>
      <w:r w:rsidR="00B542FE" w:rsidRPr="00B52E9D">
        <w:rPr>
          <w:sz w:val="25"/>
          <w:szCs w:val="25"/>
        </w:rPr>
        <w:t xml:space="preserve"> if Staff’s M</w:t>
      </w:r>
      <w:r w:rsidR="00E512B8" w:rsidRPr="00B52E9D">
        <w:rPr>
          <w:sz w:val="25"/>
          <w:szCs w:val="25"/>
        </w:rPr>
        <w:t>otion to Dismiss is granted.  As a result, it would likely cause confusion if we were to require the Company to refund the disposal fees during the interim between this Order and the re-filed rate request</w:t>
      </w:r>
      <w:r w:rsidRPr="00B52E9D">
        <w:rPr>
          <w:sz w:val="25"/>
          <w:szCs w:val="25"/>
        </w:rPr>
        <w:t>,</w:t>
      </w:r>
      <w:r w:rsidR="00E512B8" w:rsidRPr="00B52E9D">
        <w:rPr>
          <w:sz w:val="25"/>
          <w:szCs w:val="25"/>
        </w:rPr>
        <w:t xml:space="preserve"> only to have to implement the rate increase again once in accordance with RCW 81.77.160</w:t>
      </w:r>
      <w:r w:rsidR="00B542FE" w:rsidRPr="00B52E9D">
        <w:rPr>
          <w:sz w:val="25"/>
          <w:szCs w:val="25"/>
        </w:rPr>
        <w:t xml:space="preserve">.  </w:t>
      </w:r>
      <w:r w:rsidR="00E512B8" w:rsidRPr="00B52E9D">
        <w:rPr>
          <w:sz w:val="25"/>
          <w:szCs w:val="25"/>
        </w:rPr>
        <w:t>At this time, we will not require Waste Control to refund the temporary disposal fees so long as:</w:t>
      </w:r>
    </w:p>
    <w:p w14:paraId="16E624CC" w14:textId="77777777" w:rsidR="00E512B8" w:rsidRPr="00B52E9D" w:rsidRDefault="00E512B8" w:rsidP="00E512B8">
      <w:pPr>
        <w:pStyle w:val="ListParagraph"/>
        <w:rPr>
          <w:sz w:val="25"/>
          <w:szCs w:val="25"/>
        </w:rPr>
      </w:pPr>
    </w:p>
    <w:p w14:paraId="055CF18A" w14:textId="1A838E50" w:rsidR="00B542FE" w:rsidRPr="00B52E9D" w:rsidRDefault="00E512B8" w:rsidP="00E512B8">
      <w:pPr>
        <w:pStyle w:val="ListParagraph"/>
        <w:numPr>
          <w:ilvl w:val="0"/>
          <w:numId w:val="4"/>
        </w:numPr>
        <w:spacing w:line="288" w:lineRule="auto"/>
        <w:ind w:right="720"/>
        <w:rPr>
          <w:b/>
          <w:sz w:val="25"/>
          <w:szCs w:val="25"/>
        </w:rPr>
      </w:pPr>
      <w:r w:rsidRPr="00B52E9D">
        <w:rPr>
          <w:sz w:val="25"/>
          <w:szCs w:val="25"/>
        </w:rPr>
        <w:t>Waste Control re-files its rate request with</w:t>
      </w:r>
      <w:r w:rsidR="00CA7D48" w:rsidRPr="00B52E9D">
        <w:rPr>
          <w:sz w:val="25"/>
          <w:szCs w:val="25"/>
        </w:rPr>
        <w:t>in</w:t>
      </w:r>
      <w:r w:rsidRPr="00B52E9D">
        <w:rPr>
          <w:sz w:val="25"/>
          <w:szCs w:val="25"/>
        </w:rPr>
        <w:t xml:space="preserve"> ten business days of the effective date of this Order, and</w:t>
      </w:r>
    </w:p>
    <w:p w14:paraId="512C0E30" w14:textId="04933C23" w:rsidR="00E512B8" w:rsidRPr="00B52E9D" w:rsidRDefault="00E512B8" w:rsidP="00E512B8">
      <w:pPr>
        <w:pStyle w:val="ListParagraph"/>
        <w:numPr>
          <w:ilvl w:val="0"/>
          <w:numId w:val="4"/>
        </w:numPr>
        <w:spacing w:line="288" w:lineRule="auto"/>
        <w:ind w:right="720"/>
        <w:rPr>
          <w:b/>
          <w:sz w:val="25"/>
          <w:szCs w:val="25"/>
        </w:rPr>
      </w:pPr>
      <w:r w:rsidRPr="00B52E9D">
        <w:rPr>
          <w:sz w:val="25"/>
          <w:szCs w:val="25"/>
        </w:rPr>
        <w:t xml:space="preserve">The </w:t>
      </w:r>
      <w:r w:rsidR="00A73296" w:rsidRPr="00B52E9D">
        <w:rPr>
          <w:sz w:val="25"/>
          <w:szCs w:val="25"/>
        </w:rPr>
        <w:t>new filing, with its new docket number and new statutory effective date,</w:t>
      </w:r>
      <w:r w:rsidRPr="00B52E9D">
        <w:rPr>
          <w:sz w:val="25"/>
          <w:szCs w:val="25"/>
        </w:rPr>
        <w:t xml:space="preserve"> contains the same disposal fee rate increase </w:t>
      </w:r>
      <w:r w:rsidR="00A73296" w:rsidRPr="00B52E9D">
        <w:rPr>
          <w:sz w:val="25"/>
          <w:szCs w:val="25"/>
        </w:rPr>
        <w:t>that was allowed to become effective as of December 1, 2013.</w:t>
      </w:r>
    </w:p>
    <w:p w14:paraId="7462924B" w14:textId="77777777" w:rsidR="00A73296" w:rsidRPr="00B52E9D" w:rsidRDefault="00A73296" w:rsidP="00A73296">
      <w:pPr>
        <w:spacing w:line="288" w:lineRule="auto"/>
        <w:ind w:left="720" w:right="720"/>
        <w:rPr>
          <w:b/>
          <w:sz w:val="25"/>
          <w:szCs w:val="25"/>
        </w:rPr>
      </w:pPr>
    </w:p>
    <w:p w14:paraId="45B15D9B" w14:textId="4D82E741" w:rsidR="00A73296" w:rsidRPr="00B52E9D" w:rsidRDefault="00A73296" w:rsidP="00E25B10">
      <w:pPr>
        <w:spacing w:line="288" w:lineRule="auto"/>
        <w:ind w:right="720"/>
        <w:rPr>
          <w:b/>
          <w:sz w:val="25"/>
          <w:szCs w:val="25"/>
        </w:rPr>
      </w:pPr>
      <w:r w:rsidRPr="00B52E9D">
        <w:rPr>
          <w:sz w:val="25"/>
          <w:szCs w:val="25"/>
        </w:rPr>
        <w:t>By not requiring the Company to refund this rate, we are in no way presuming its reasonableness, and in fact, the rate will continue to be temporary and subject to refund.  If we</w:t>
      </w:r>
      <w:r w:rsidR="00CA7D48" w:rsidRPr="00B52E9D">
        <w:rPr>
          <w:sz w:val="25"/>
          <w:szCs w:val="25"/>
        </w:rPr>
        <w:t xml:space="preserve"> ultimately</w:t>
      </w:r>
      <w:r w:rsidRPr="00B52E9D">
        <w:rPr>
          <w:sz w:val="25"/>
          <w:szCs w:val="25"/>
        </w:rPr>
        <w:t xml:space="preserve"> order the Company to refund the disposal fees in its re-filed case, the refund will extend back to the </w:t>
      </w:r>
      <w:r w:rsidR="00CA7D48" w:rsidRPr="00B52E9D">
        <w:rPr>
          <w:sz w:val="25"/>
          <w:szCs w:val="25"/>
        </w:rPr>
        <w:t xml:space="preserve">December 1, 2013, </w:t>
      </w:r>
      <w:r w:rsidRPr="00B52E9D">
        <w:rPr>
          <w:sz w:val="25"/>
          <w:szCs w:val="25"/>
        </w:rPr>
        <w:t>effective date of the rates.</w:t>
      </w:r>
    </w:p>
    <w:p w14:paraId="434EEACA" w14:textId="3CE8E70B" w:rsidR="00B52E9D" w:rsidRDefault="00B52E9D">
      <w:pPr>
        <w:spacing w:after="160" w:line="259" w:lineRule="auto"/>
        <w:rPr>
          <w:b/>
          <w:sz w:val="25"/>
          <w:szCs w:val="25"/>
        </w:rPr>
      </w:pPr>
      <w:r>
        <w:rPr>
          <w:b/>
          <w:sz w:val="25"/>
          <w:szCs w:val="25"/>
        </w:rPr>
        <w:br w:type="page"/>
      </w:r>
    </w:p>
    <w:p w14:paraId="4DF46657" w14:textId="77777777" w:rsidR="00547DAA" w:rsidRPr="00B52E9D" w:rsidRDefault="00547DAA" w:rsidP="00547DAA">
      <w:pPr>
        <w:pStyle w:val="ListParagraph"/>
        <w:rPr>
          <w:b/>
          <w:sz w:val="25"/>
          <w:szCs w:val="25"/>
        </w:rPr>
      </w:pPr>
    </w:p>
    <w:p w14:paraId="2D8786E6" w14:textId="7DE489D6" w:rsidR="00547DAA" w:rsidRPr="00B52E9D" w:rsidRDefault="00547DAA" w:rsidP="00547DAA">
      <w:pPr>
        <w:pStyle w:val="ListParagraph"/>
        <w:spacing w:line="288" w:lineRule="auto"/>
        <w:ind w:left="360" w:right="720"/>
        <w:jc w:val="center"/>
        <w:rPr>
          <w:b/>
          <w:sz w:val="25"/>
          <w:szCs w:val="25"/>
        </w:rPr>
      </w:pPr>
      <w:r w:rsidRPr="00B52E9D">
        <w:rPr>
          <w:b/>
          <w:sz w:val="25"/>
          <w:szCs w:val="25"/>
        </w:rPr>
        <w:t>FINDINGS AND CONCLUSIONS</w:t>
      </w:r>
    </w:p>
    <w:p w14:paraId="623A9EA2" w14:textId="77777777" w:rsidR="00547DAA" w:rsidRPr="00B52E9D" w:rsidRDefault="00547DAA" w:rsidP="00547DAA">
      <w:pPr>
        <w:pStyle w:val="ListParagraph"/>
        <w:spacing w:line="288" w:lineRule="auto"/>
        <w:ind w:left="360" w:right="720"/>
        <w:rPr>
          <w:sz w:val="25"/>
          <w:szCs w:val="25"/>
        </w:rPr>
      </w:pPr>
    </w:p>
    <w:p w14:paraId="36880BEB" w14:textId="574DE2A0" w:rsidR="00547DAA" w:rsidRPr="00B52E9D" w:rsidRDefault="00547DAA"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(1)</w:t>
      </w:r>
      <w:r w:rsidRPr="00B52E9D">
        <w:rPr>
          <w:sz w:val="25"/>
          <w:szCs w:val="25"/>
        </w:rPr>
        <w:tab/>
        <w:t>The Commission is an agency of the state of Washington vested by statute</w:t>
      </w:r>
      <w:r w:rsidR="00E25B10" w:rsidRPr="00B52E9D">
        <w:rPr>
          <w:sz w:val="25"/>
          <w:szCs w:val="25"/>
        </w:rPr>
        <w:t xml:space="preserve"> </w:t>
      </w:r>
      <w:r w:rsidRPr="00B52E9D">
        <w:rPr>
          <w:sz w:val="25"/>
          <w:szCs w:val="25"/>
        </w:rPr>
        <w:t>with the authority to regulate the rates, rules, regulations, and practices of auto transportation companies.</w:t>
      </w:r>
    </w:p>
    <w:p w14:paraId="703D7292" w14:textId="77777777" w:rsidR="00547DAA" w:rsidRPr="00B52E9D" w:rsidRDefault="00547DAA" w:rsidP="00547DAA">
      <w:pPr>
        <w:pStyle w:val="ListParagraph"/>
        <w:tabs>
          <w:tab w:val="left" w:pos="990"/>
        </w:tabs>
        <w:spacing w:line="288" w:lineRule="auto"/>
        <w:ind w:left="360" w:right="720"/>
        <w:rPr>
          <w:sz w:val="25"/>
          <w:szCs w:val="25"/>
        </w:rPr>
      </w:pPr>
    </w:p>
    <w:p w14:paraId="4388C08B" w14:textId="2984DCBF" w:rsidR="00547DAA" w:rsidRPr="00B52E9D" w:rsidRDefault="00547DAA"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(2)</w:t>
      </w:r>
      <w:r w:rsidRPr="00B52E9D">
        <w:rPr>
          <w:sz w:val="25"/>
          <w:szCs w:val="25"/>
        </w:rPr>
        <w:tab/>
        <w:t xml:space="preserve">On September 23, 2013, Waste Control, Inc. filed with the Commission new Tariff No. 15 reflecting a general rate increase of approximately $392,000 (11.4 percent) in additional annual revenue.  </w:t>
      </w:r>
    </w:p>
    <w:p w14:paraId="22260096" w14:textId="3E0F1BD7" w:rsidR="00D321EB" w:rsidRPr="00B52E9D" w:rsidRDefault="00D321EB" w:rsidP="00547DAA">
      <w:pPr>
        <w:pStyle w:val="ListParagraph"/>
        <w:tabs>
          <w:tab w:val="left" w:pos="1080"/>
        </w:tabs>
        <w:spacing w:line="288" w:lineRule="auto"/>
        <w:ind w:left="360" w:right="720"/>
        <w:rPr>
          <w:sz w:val="25"/>
          <w:szCs w:val="25"/>
        </w:rPr>
      </w:pPr>
    </w:p>
    <w:p w14:paraId="2B60DD1B" w14:textId="0B632CF3" w:rsidR="00D321EB" w:rsidRPr="00B52E9D" w:rsidRDefault="00D321EB"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(3)</w:t>
      </w:r>
      <w:r w:rsidR="00E25B10" w:rsidRPr="00B52E9D">
        <w:rPr>
          <w:sz w:val="25"/>
          <w:szCs w:val="25"/>
        </w:rPr>
        <w:tab/>
      </w:r>
      <w:r w:rsidRPr="00B52E9D">
        <w:rPr>
          <w:sz w:val="25"/>
          <w:szCs w:val="25"/>
        </w:rPr>
        <w:t xml:space="preserve">On November 27, 2013, the Commission entered Order 02 suspending Waste Control’s tariff filing and temporarily allowing rates relating to disposal fees, subject to refund. </w:t>
      </w:r>
    </w:p>
    <w:p w14:paraId="3CE15D2B" w14:textId="77777777" w:rsidR="00547DAA" w:rsidRPr="00B52E9D" w:rsidRDefault="00547DAA" w:rsidP="00547DAA">
      <w:pPr>
        <w:tabs>
          <w:tab w:val="left" w:pos="1080"/>
        </w:tabs>
        <w:spacing w:line="288" w:lineRule="auto"/>
        <w:ind w:right="720"/>
        <w:rPr>
          <w:sz w:val="25"/>
          <w:szCs w:val="25"/>
        </w:rPr>
      </w:pPr>
    </w:p>
    <w:p w14:paraId="7E39AA18" w14:textId="29BF20D4" w:rsidR="00AB74A9" w:rsidRPr="00B52E9D" w:rsidRDefault="00D321EB"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(4</w:t>
      </w:r>
      <w:r w:rsidR="00547DAA" w:rsidRPr="00B52E9D">
        <w:rPr>
          <w:sz w:val="25"/>
          <w:szCs w:val="25"/>
        </w:rPr>
        <w:t>)</w:t>
      </w:r>
      <w:r w:rsidR="00547DAA" w:rsidRPr="00B52E9D">
        <w:rPr>
          <w:sz w:val="25"/>
          <w:szCs w:val="25"/>
        </w:rPr>
        <w:tab/>
        <w:t>On February 18, 2014, Waste Control filed the direct testimony and exhibits of Joseph Willis, president of the Company, and Jacqueline G. Davis, owner/shareholder of G.L. Booth/J.G. Davis &amp; Associates, PLLC, in support of its rate request.</w:t>
      </w:r>
    </w:p>
    <w:p w14:paraId="62C94807" w14:textId="77777777" w:rsidR="00AB74A9" w:rsidRPr="00B52E9D" w:rsidRDefault="00AB74A9" w:rsidP="00AB74A9">
      <w:pPr>
        <w:tabs>
          <w:tab w:val="left" w:pos="1080"/>
        </w:tabs>
        <w:spacing w:line="288" w:lineRule="auto"/>
        <w:ind w:right="720"/>
        <w:rPr>
          <w:sz w:val="25"/>
          <w:szCs w:val="25"/>
        </w:rPr>
      </w:pPr>
    </w:p>
    <w:p w14:paraId="2C86EDA5" w14:textId="1C3E220D" w:rsidR="00AB74A9" w:rsidRPr="00B52E9D" w:rsidRDefault="00D321EB"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(5</w:t>
      </w:r>
      <w:r w:rsidR="00AB74A9" w:rsidRPr="00B52E9D">
        <w:rPr>
          <w:sz w:val="25"/>
          <w:szCs w:val="25"/>
        </w:rPr>
        <w:t>)</w:t>
      </w:r>
      <w:r w:rsidR="00AB74A9" w:rsidRPr="00B52E9D">
        <w:rPr>
          <w:sz w:val="25"/>
          <w:szCs w:val="25"/>
        </w:rPr>
        <w:tab/>
        <w:t>The Commission’s regulatory staff filed a Motion to Dismiss Waste Control’s Tariff Filing, alleging that the Company’s direct prefiled testimony and exhibits failed to support the requested rate increase.</w:t>
      </w:r>
    </w:p>
    <w:p w14:paraId="68F89EFB" w14:textId="77777777" w:rsidR="00E25B10" w:rsidRPr="00B52E9D" w:rsidRDefault="00E25B10" w:rsidP="00E25B10">
      <w:pPr>
        <w:spacing w:line="288" w:lineRule="auto"/>
        <w:ind w:left="-360" w:right="720"/>
        <w:rPr>
          <w:sz w:val="25"/>
          <w:szCs w:val="25"/>
        </w:rPr>
      </w:pPr>
    </w:p>
    <w:p w14:paraId="03A3F731" w14:textId="2D499460" w:rsidR="00547DAA" w:rsidRPr="00B52E9D" w:rsidRDefault="00D321EB"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(6</w:t>
      </w:r>
      <w:r w:rsidR="00AB74A9" w:rsidRPr="00B52E9D">
        <w:rPr>
          <w:sz w:val="25"/>
          <w:szCs w:val="25"/>
        </w:rPr>
        <w:t>)</w:t>
      </w:r>
      <w:r w:rsidR="00AB74A9" w:rsidRPr="00B52E9D">
        <w:rPr>
          <w:sz w:val="25"/>
          <w:szCs w:val="25"/>
        </w:rPr>
        <w:tab/>
        <w:t xml:space="preserve">Pursuant to WAC 480-07-380 and WAC 480-07-540, </w:t>
      </w:r>
      <w:r w:rsidR="00F819AF" w:rsidRPr="00B52E9D">
        <w:rPr>
          <w:sz w:val="25"/>
          <w:szCs w:val="25"/>
        </w:rPr>
        <w:t>the Commission</w:t>
      </w:r>
      <w:r w:rsidR="00AB74A9" w:rsidRPr="00B52E9D">
        <w:rPr>
          <w:sz w:val="25"/>
          <w:szCs w:val="25"/>
        </w:rPr>
        <w:t xml:space="preserve"> find</w:t>
      </w:r>
      <w:r w:rsidR="00F819AF" w:rsidRPr="00B52E9D">
        <w:rPr>
          <w:sz w:val="25"/>
          <w:szCs w:val="25"/>
        </w:rPr>
        <w:t>s</w:t>
      </w:r>
      <w:r w:rsidR="00AB74A9" w:rsidRPr="00B52E9D">
        <w:rPr>
          <w:sz w:val="25"/>
          <w:szCs w:val="25"/>
        </w:rPr>
        <w:t xml:space="preserve"> that Waste Control has failed to meet its burden of proof by </w:t>
      </w:r>
      <w:r w:rsidR="00F819AF" w:rsidRPr="00B52E9D">
        <w:rPr>
          <w:sz w:val="25"/>
          <w:szCs w:val="25"/>
        </w:rPr>
        <w:t>p</w:t>
      </w:r>
      <w:r w:rsidR="00AB74A9" w:rsidRPr="00B52E9D">
        <w:rPr>
          <w:sz w:val="25"/>
          <w:szCs w:val="25"/>
        </w:rPr>
        <w:t>roducing insufficient evidence to support its rate request</w:t>
      </w:r>
      <w:r w:rsidR="00EA2755" w:rsidRPr="00B52E9D">
        <w:rPr>
          <w:sz w:val="25"/>
          <w:szCs w:val="25"/>
        </w:rPr>
        <w:t xml:space="preserve"> and Staff’s Motion to Dismiss should be granted</w:t>
      </w:r>
      <w:r w:rsidR="00AB74A9" w:rsidRPr="00B52E9D">
        <w:rPr>
          <w:sz w:val="25"/>
          <w:szCs w:val="25"/>
        </w:rPr>
        <w:t xml:space="preserve">. </w:t>
      </w:r>
    </w:p>
    <w:p w14:paraId="6672DAE8" w14:textId="77777777" w:rsidR="00E25B10" w:rsidRPr="00B52E9D" w:rsidRDefault="00E25B10" w:rsidP="00AB74A9">
      <w:pPr>
        <w:pStyle w:val="ListParagraph"/>
        <w:tabs>
          <w:tab w:val="left" w:pos="1080"/>
        </w:tabs>
        <w:spacing w:line="288" w:lineRule="auto"/>
        <w:ind w:left="360" w:right="720"/>
        <w:rPr>
          <w:sz w:val="25"/>
          <w:szCs w:val="25"/>
        </w:rPr>
      </w:pPr>
    </w:p>
    <w:p w14:paraId="684D96FB" w14:textId="41E417D3" w:rsidR="00EE258A" w:rsidRPr="00B52E9D" w:rsidRDefault="00EE258A"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(7)</w:t>
      </w:r>
      <w:r w:rsidR="00E25B10" w:rsidRPr="00B52E9D">
        <w:rPr>
          <w:sz w:val="25"/>
          <w:szCs w:val="25"/>
        </w:rPr>
        <w:tab/>
      </w:r>
      <w:r w:rsidRPr="00B52E9D">
        <w:rPr>
          <w:sz w:val="25"/>
          <w:szCs w:val="25"/>
        </w:rPr>
        <w:t xml:space="preserve">The temporary rates derived from increased disposal fees, effective on December 1, 2013, and subject to refund, shall remain in effect if, within ten business days of the effective date of this Order, Waste Control re-files its rate request containing the same disposal fee increase. </w:t>
      </w:r>
    </w:p>
    <w:p w14:paraId="355235D3" w14:textId="77777777" w:rsidR="00A73296" w:rsidRPr="00B52E9D" w:rsidRDefault="00A73296" w:rsidP="00AB74A9">
      <w:pPr>
        <w:pStyle w:val="ListParagraph"/>
        <w:tabs>
          <w:tab w:val="left" w:pos="1080"/>
        </w:tabs>
        <w:spacing w:line="288" w:lineRule="auto"/>
        <w:ind w:left="360" w:right="720"/>
        <w:rPr>
          <w:sz w:val="25"/>
          <w:szCs w:val="25"/>
        </w:rPr>
      </w:pPr>
    </w:p>
    <w:p w14:paraId="11148A03" w14:textId="67560280" w:rsidR="00591DA9" w:rsidRPr="00B52E9D" w:rsidRDefault="00547DAA" w:rsidP="00FF3265">
      <w:pPr>
        <w:pStyle w:val="ListParagraph"/>
        <w:spacing w:line="288" w:lineRule="auto"/>
        <w:ind w:left="360" w:right="720"/>
        <w:jc w:val="center"/>
        <w:rPr>
          <w:b/>
          <w:sz w:val="25"/>
          <w:szCs w:val="25"/>
        </w:rPr>
      </w:pPr>
      <w:r w:rsidRPr="00B52E9D">
        <w:rPr>
          <w:b/>
          <w:sz w:val="25"/>
          <w:szCs w:val="25"/>
        </w:rPr>
        <w:lastRenderedPageBreak/>
        <w:t>ORDER</w:t>
      </w:r>
    </w:p>
    <w:p w14:paraId="262B5484" w14:textId="77777777" w:rsidR="00547DAA" w:rsidRPr="00B52E9D" w:rsidRDefault="00547DAA" w:rsidP="00FF3265">
      <w:pPr>
        <w:pStyle w:val="ListParagraph"/>
        <w:spacing w:line="288" w:lineRule="auto"/>
        <w:ind w:left="360" w:right="720"/>
        <w:rPr>
          <w:sz w:val="25"/>
          <w:szCs w:val="25"/>
        </w:rPr>
      </w:pPr>
    </w:p>
    <w:p w14:paraId="2441AE98" w14:textId="77777777" w:rsidR="00AB74A9" w:rsidRPr="00B52E9D" w:rsidRDefault="00AB74A9" w:rsidP="00B52E9D">
      <w:pPr>
        <w:spacing w:line="288" w:lineRule="auto"/>
        <w:ind w:right="720"/>
        <w:rPr>
          <w:sz w:val="25"/>
          <w:szCs w:val="25"/>
        </w:rPr>
      </w:pPr>
      <w:r w:rsidRPr="00B52E9D">
        <w:rPr>
          <w:sz w:val="25"/>
          <w:szCs w:val="25"/>
        </w:rPr>
        <w:t>THE COMMISSION ORDERS That:</w:t>
      </w:r>
    </w:p>
    <w:p w14:paraId="5C71D966" w14:textId="77777777" w:rsidR="00AB74A9" w:rsidRPr="00B52E9D" w:rsidRDefault="00AB74A9" w:rsidP="00FF3265">
      <w:pPr>
        <w:spacing w:line="288" w:lineRule="auto"/>
        <w:ind w:left="-360" w:right="720"/>
        <w:rPr>
          <w:sz w:val="25"/>
          <w:szCs w:val="25"/>
        </w:rPr>
      </w:pPr>
    </w:p>
    <w:p w14:paraId="6CC3DB15" w14:textId="5CBFA8F8" w:rsidR="00485D9C" w:rsidRPr="00B52E9D" w:rsidRDefault="00AB74A9" w:rsidP="00FF3265">
      <w:pPr>
        <w:pStyle w:val="ListParagraph"/>
        <w:numPr>
          <w:ilvl w:val="0"/>
          <w:numId w:val="2"/>
        </w:numPr>
        <w:tabs>
          <w:tab w:val="left" w:pos="0"/>
          <w:tab w:val="left" w:pos="1080"/>
        </w:tabs>
        <w:spacing w:line="288" w:lineRule="auto"/>
        <w:ind w:left="720" w:right="720" w:hanging="1440"/>
        <w:rPr>
          <w:sz w:val="25"/>
          <w:szCs w:val="25"/>
        </w:rPr>
      </w:pPr>
      <w:r w:rsidRPr="00B52E9D">
        <w:rPr>
          <w:sz w:val="25"/>
          <w:szCs w:val="25"/>
        </w:rPr>
        <w:t>(1)</w:t>
      </w:r>
      <w:r w:rsidRPr="00B52E9D">
        <w:rPr>
          <w:sz w:val="25"/>
          <w:szCs w:val="25"/>
        </w:rPr>
        <w:tab/>
        <w:t>The Motion to Dismiss Waste Control, Inc.’s Tariff Filing, filed by the Commission’s regulatory staff, is GRANTED.</w:t>
      </w:r>
    </w:p>
    <w:p w14:paraId="1EE5FF3F" w14:textId="77777777" w:rsidR="00AB74A9" w:rsidRPr="00B52E9D" w:rsidRDefault="00AB74A9" w:rsidP="00FF3265">
      <w:pPr>
        <w:pStyle w:val="ListParagraph"/>
        <w:spacing w:line="288" w:lineRule="auto"/>
        <w:rPr>
          <w:sz w:val="25"/>
          <w:szCs w:val="25"/>
        </w:rPr>
      </w:pPr>
    </w:p>
    <w:p w14:paraId="778FC42D" w14:textId="491A44A2" w:rsidR="00AB74A9" w:rsidRPr="00B52E9D" w:rsidRDefault="00AB74A9"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(2)</w:t>
      </w:r>
      <w:r w:rsidR="00E25B10" w:rsidRPr="00B52E9D">
        <w:rPr>
          <w:sz w:val="25"/>
          <w:szCs w:val="25"/>
        </w:rPr>
        <w:tab/>
      </w:r>
      <w:r w:rsidR="00FF3265" w:rsidRPr="00B52E9D">
        <w:rPr>
          <w:sz w:val="25"/>
          <w:szCs w:val="25"/>
        </w:rPr>
        <w:t xml:space="preserve">The Tariff Filing of Waste Control, Inc. is </w:t>
      </w:r>
      <w:r w:rsidR="007434ED" w:rsidRPr="00B52E9D">
        <w:rPr>
          <w:sz w:val="25"/>
          <w:szCs w:val="25"/>
        </w:rPr>
        <w:t>REJECTED for failure to demonstrate that the proposed revised rates are fair, just, reasonable, and sufficient</w:t>
      </w:r>
      <w:r w:rsidR="00FF3265" w:rsidRPr="00B52E9D">
        <w:rPr>
          <w:sz w:val="25"/>
          <w:szCs w:val="25"/>
        </w:rPr>
        <w:t>.</w:t>
      </w:r>
    </w:p>
    <w:p w14:paraId="013567DA" w14:textId="77777777" w:rsidR="00EE258A" w:rsidRPr="00B52E9D" w:rsidRDefault="00EE258A" w:rsidP="00434168">
      <w:pPr>
        <w:pStyle w:val="ListParagraph"/>
        <w:tabs>
          <w:tab w:val="left" w:pos="1080"/>
        </w:tabs>
        <w:spacing w:line="288" w:lineRule="auto"/>
        <w:ind w:left="360" w:right="720"/>
        <w:rPr>
          <w:sz w:val="25"/>
          <w:szCs w:val="25"/>
        </w:rPr>
      </w:pPr>
    </w:p>
    <w:p w14:paraId="37D7CC34" w14:textId="4F8AD1D7" w:rsidR="00F36E78" w:rsidRPr="00B52E9D" w:rsidRDefault="00EE258A" w:rsidP="00E25B10">
      <w:pPr>
        <w:pStyle w:val="ListParagraph"/>
        <w:numPr>
          <w:ilvl w:val="0"/>
          <w:numId w:val="2"/>
        </w:numPr>
        <w:tabs>
          <w:tab w:val="left" w:pos="0"/>
        </w:tabs>
        <w:spacing w:line="288" w:lineRule="auto"/>
        <w:ind w:left="720" w:right="720" w:hanging="1440"/>
        <w:rPr>
          <w:sz w:val="25"/>
          <w:szCs w:val="25"/>
        </w:rPr>
      </w:pPr>
      <w:r w:rsidRPr="00B52E9D">
        <w:rPr>
          <w:sz w:val="25"/>
          <w:szCs w:val="25"/>
        </w:rPr>
        <w:t>(3)</w:t>
      </w:r>
      <w:r w:rsidRPr="00B52E9D">
        <w:rPr>
          <w:sz w:val="25"/>
          <w:szCs w:val="25"/>
        </w:rPr>
        <w:tab/>
        <w:t xml:space="preserve">The temporary rates derived from </w:t>
      </w:r>
      <w:r w:rsidR="00F36E78" w:rsidRPr="00B52E9D">
        <w:rPr>
          <w:sz w:val="25"/>
          <w:szCs w:val="25"/>
        </w:rPr>
        <w:t>increased disposal fees will remain in effect, subject to refund, pending further action from the Commission in this or a subsequent docket.</w:t>
      </w:r>
    </w:p>
    <w:p w14:paraId="30EBF9B1" w14:textId="77777777" w:rsidR="00FF3265" w:rsidRPr="00B52E9D" w:rsidRDefault="00FF3265" w:rsidP="00FF3265">
      <w:pPr>
        <w:tabs>
          <w:tab w:val="left" w:pos="1080"/>
        </w:tabs>
        <w:spacing w:line="288" w:lineRule="auto"/>
        <w:ind w:right="720"/>
        <w:rPr>
          <w:sz w:val="25"/>
          <w:szCs w:val="25"/>
        </w:rPr>
      </w:pPr>
    </w:p>
    <w:p w14:paraId="345A5EAE" w14:textId="12123BC2" w:rsidR="00FF3265" w:rsidRPr="00B52E9D" w:rsidRDefault="00FF3265" w:rsidP="00FF3265">
      <w:pPr>
        <w:spacing w:line="264" w:lineRule="auto"/>
        <w:rPr>
          <w:sz w:val="25"/>
          <w:szCs w:val="25"/>
        </w:rPr>
      </w:pPr>
      <w:r w:rsidRPr="00B52E9D">
        <w:rPr>
          <w:sz w:val="25"/>
          <w:szCs w:val="25"/>
        </w:rPr>
        <w:t>Dated at Olympia, Washington, and effective March 25, 2014.</w:t>
      </w:r>
    </w:p>
    <w:p w14:paraId="09EEF90E" w14:textId="77777777" w:rsidR="00FF3265" w:rsidRPr="00B52E9D" w:rsidRDefault="00FF3265" w:rsidP="00FF3265">
      <w:pPr>
        <w:pStyle w:val="Header"/>
        <w:tabs>
          <w:tab w:val="clear" w:pos="4320"/>
          <w:tab w:val="clear" w:pos="8640"/>
        </w:tabs>
        <w:spacing w:line="264" w:lineRule="auto"/>
        <w:rPr>
          <w:sz w:val="25"/>
          <w:szCs w:val="25"/>
        </w:rPr>
      </w:pPr>
    </w:p>
    <w:p w14:paraId="2FD53846" w14:textId="77777777" w:rsidR="00FF3265" w:rsidRPr="00B52E9D" w:rsidRDefault="00FF3265" w:rsidP="00FF3265">
      <w:pPr>
        <w:spacing w:line="264" w:lineRule="auto"/>
        <w:jc w:val="center"/>
        <w:rPr>
          <w:sz w:val="25"/>
          <w:szCs w:val="25"/>
        </w:rPr>
      </w:pPr>
      <w:r w:rsidRPr="00B52E9D">
        <w:rPr>
          <w:sz w:val="25"/>
          <w:szCs w:val="25"/>
        </w:rPr>
        <w:t>WASHINGTON UTILITIES AND TRANSPORTATION COMMISSION</w:t>
      </w:r>
    </w:p>
    <w:p w14:paraId="21DC9306" w14:textId="77777777" w:rsidR="00FF3265" w:rsidRPr="00B52E9D" w:rsidRDefault="00FF3265" w:rsidP="00FF3265">
      <w:pPr>
        <w:pStyle w:val="Header"/>
        <w:tabs>
          <w:tab w:val="clear" w:pos="4320"/>
          <w:tab w:val="clear" w:pos="8640"/>
        </w:tabs>
        <w:spacing w:line="264" w:lineRule="auto"/>
        <w:rPr>
          <w:sz w:val="25"/>
          <w:szCs w:val="25"/>
        </w:rPr>
      </w:pPr>
    </w:p>
    <w:p w14:paraId="26010C7F" w14:textId="77777777" w:rsidR="00FF3265" w:rsidRDefault="00FF3265" w:rsidP="00FF3265">
      <w:pPr>
        <w:spacing w:line="264" w:lineRule="auto"/>
        <w:rPr>
          <w:sz w:val="25"/>
          <w:szCs w:val="25"/>
        </w:rPr>
      </w:pPr>
    </w:p>
    <w:p w14:paraId="4EC45EAD" w14:textId="77777777" w:rsidR="00B52E9D" w:rsidRPr="00B52E9D" w:rsidRDefault="00B52E9D" w:rsidP="00FF3265">
      <w:pPr>
        <w:spacing w:line="264" w:lineRule="auto"/>
        <w:rPr>
          <w:sz w:val="25"/>
          <w:szCs w:val="25"/>
        </w:rPr>
      </w:pPr>
    </w:p>
    <w:p w14:paraId="11492A46" w14:textId="77777777" w:rsidR="00FF3265" w:rsidRPr="00B52E9D" w:rsidRDefault="00FF3265" w:rsidP="00FF3265">
      <w:pPr>
        <w:spacing w:line="264" w:lineRule="auto"/>
        <w:rPr>
          <w:sz w:val="25"/>
          <w:szCs w:val="25"/>
        </w:rPr>
      </w:pPr>
    </w:p>
    <w:p w14:paraId="3EE77381" w14:textId="56E5CD09" w:rsidR="00FF3265" w:rsidRPr="00B52E9D" w:rsidRDefault="00FF3265" w:rsidP="00FF3265">
      <w:pPr>
        <w:spacing w:line="264" w:lineRule="auto"/>
        <w:rPr>
          <w:sz w:val="25"/>
          <w:szCs w:val="25"/>
        </w:rPr>
      </w:pPr>
      <w:r w:rsidRPr="00B52E9D">
        <w:rPr>
          <w:sz w:val="25"/>
          <w:szCs w:val="25"/>
        </w:rPr>
        <w:tab/>
      </w:r>
      <w:r w:rsidRPr="00B52E9D">
        <w:rPr>
          <w:sz w:val="25"/>
          <w:szCs w:val="25"/>
        </w:rPr>
        <w:tab/>
      </w:r>
      <w:r w:rsidRPr="00B52E9D">
        <w:rPr>
          <w:sz w:val="25"/>
          <w:szCs w:val="25"/>
        </w:rPr>
        <w:tab/>
      </w:r>
      <w:r w:rsidRPr="00B52E9D">
        <w:rPr>
          <w:sz w:val="25"/>
          <w:szCs w:val="25"/>
        </w:rPr>
        <w:tab/>
      </w:r>
      <w:r w:rsidRPr="00B52E9D">
        <w:rPr>
          <w:sz w:val="25"/>
          <w:szCs w:val="25"/>
        </w:rPr>
        <w:tab/>
      </w:r>
      <w:r w:rsidRPr="00B52E9D">
        <w:rPr>
          <w:sz w:val="25"/>
          <w:szCs w:val="25"/>
        </w:rPr>
        <w:tab/>
        <w:t>MARGUERITE E. FRIEDLANDER</w:t>
      </w:r>
    </w:p>
    <w:p w14:paraId="5046FEEB" w14:textId="77777777" w:rsidR="00FF3265" w:rsidRPr="00B52E9D" w:rsidRDefault="00FF3265" w:rsidP="00FF3265">
      <w:pPr>
        <w:tabs>
          <w:tab w:val="left" w:pos="4320"/>
        </w:tabs>
        <w:spacing w:line="264" w:lineRule="auto"/>
        <w:ind w:firstLine="4320"/>
        <w:rPr>
          <w:sz w:val="25"/>
          <w:szCs w:val="25"/>
        </w:rPr>
      </w:pPr>
      <w:r w:rsidRPr="00B52E9D">
        <w:rPr>
          <w:sz w:val="25"/>
          <w:szCs w:val="25"/>
        </w:rPr>
        <w:t>Administrative Law Judge</w:t>
      </w:r>
    </w:p>
    <w:p w14:paraId="67D6BE96" w14:textId="77777777" w:rsidR="00FF3265" w:rsidRPr="00B52E9D" w:rsidRDefault="00FF3265" w:rsidP="00FF3265">
      <w:pPr>
        <w:tabs>
          <w:tab w:val="left" w:pos="1080"/>
        </w:tabs>
        <w:spacing w:line="288" w:lineRule="auto"/>
        <w:ind w:right="720"/>
        <w:rPr>
          <w:sz w:val="25"/>
          <w:szCs w:val="25"/>
        </w:rPr>
      </w:pPr>
    </w:p>
    <w:p w14:paraId="5C2A865B" w14:textId="77777777" w:rsidR="00EA2755" w:rsidRPr="00B52E9D" w:rsidRDefault="00EA2755" w:rsidP="00FF3265">
      <w:pPr>
        <w:tabs>
          <w:tab w:val="left" w:pos="1080"/>
        </w:tabs>
        <w:spacing w:line="288" w:lineRule="auto"/>
        <w:ind w:right="720"/>
        <w:rPr>
          <w:sz w:val="25"/>
          <w:szCs w:val="25"/>
        </w:rPr>
      </w:pPr>
    </w:p>
    <w:p w14:paraId="66714366" w14:textId="77777777" w:rsidR="00EA2755" w:rsidRPr="00B52E9D" w:rsidRDefault="00EA2755" w:rsidP="00FF3265">
      <w:pPr>
        <w:tabs>
          <w:tab w:val="left" w:pos="1080"/>
        </w:tabs>
        <w:spacing w:line="288" w:lineRule="auto"/>
        <w:ind w:right="720"/>
        <w:rPr>
          <w:sz w:val="25"/>
          <w:szCs w:val="25"/>
        </w:rPr>
      </w:pPr>
    </w:p>
    <w:p w14:paraId="223380F0" w14:textId="77777777" w:rsidR="00EA2755" w:rsidRPr="00B52E9D" w:rsidRDefault="00EA2755" w:rsidP="00FF3265">
      <w:pPr>
        <w:tabs>
          <w:tab w:val="left" w:pos="1080"/>
        </w:tabs>
        <w:spacing w:line="288" w:lineRule="auto"/>
        <w:ind w:right="720"/>
        <w:rPr>
          <w:sz w:val="25"/>
          <w:szCs w:val="25"/>
        </w:rPr>
      </w:pPr>
    </w:p>
    <w:p w14:paraId="2CE64BB5" w14:textId="77777777" w:rsidR="00EA2755" w:rsidRPr="00B52E9D" w:rsidRDefault="00EA2755" w:rsidP="00FF3265">
      <w:pPr>
        <w:tabs>
          <w:tab w:val="left" w:pos="1080"/>
        </w:tabs>
        <w:spacing w:line="288" w:lineRule="auto"/>
        <w:ind w:right="720"/>
        <w:rPr>
          <w:sz w:val="25"/>
          <w:szCs w:val="25"/>
        </w:rPr>
      </w:pPr>
    </w:p>
    <w:p w14:paraId="19F33466" w14:textId="77777777" w:rsidR="00EA2755" w:rsidRPr="00B52E9D" w:rsidRDefault="00EA2755" w:rsidP="00FF3265">
      <w:pPr>
        <w:tabs>
          <w:tab w:val="left" w:pos="1080"/>
        </w:tabs>
        <w:spacing w:line="288" w:lineRule="auto"/>
        <w:ind w:right="720"/>
        <w:rPr>
          <w:sz w:val="25"/>
          <w:szCs w:val="25"/>
        </w:rPr>
      </w:pPr>
    </w:p>
    <w:p w14:paraId="222DF823" w14:textId="77777777" w:rsidR="00EA2755" w:rsidRPr="00B52E9D" w:rsidRDefault="00EA2755" w:rsidP="00FF3265">
      <w:pPr>
        <w:tabs>
          <w:tab w:val="left" w:pos="1080"/>
        </w:tabs>
        <w:spacing w:line="288" w:lineRule="auto"/>
        <w:ind w:right="720"/>
        <w:rPr>
          <w:sz w:val="25"/>
          <w:szCs w:val="25"/>
        </w:rPr>
      </w:pPr>
    </w:p>
    <w:p w14:paraId="4D3350A5" w14:textId="77777777" w:rsidR="00F36E78" w:rsidRPr="00B52E9D" w:rsidRDefault="00F36E78" w:rsidP="00EA2755">
      <w:pPr>
        <w:spacing w:line="288" w:lineRule="auto"/>
        <w:rPr>
          <w:b/>
          <w:sz w:val="25"/>
          <w:szCs w:val="25"/>
        </w:rPr>
      </w:pPr>
    </w:p>
    <w:p w14:paraId="5F7994FA" w14:textId="08249D90" w:rsidR="00B52E9D" w:rsidRDefault="00B52E9D">
      <w:pPr>
        <w:spacing w:after="160" w:line="259" w:lineRule="auto"/>
        <w:rPr>
          <w:b/>
          <w:sz w:val="25"/>
          <w:szCs w:val="25"/>
        </w:rPr>
      </w:pPr>
      <w:r>
        <w:rPr>
          <w:b/>
          <w:sz w:val="25"/>
          <w:szCs w:val="25"/>
        </w:rPr>
        <w:br w:type="page"/>
      </w:r>
    </w:p>
    <w:p w14:paraId="7FBD4792" w14:textId="77777777" w:rsidR="00F36E78" w:rsidRPr="00B52E9D" w:rsidRDefault="00F36E78" w:rsidP="00EA2755">
      <w:pPr>
        <w:spacing w:line="288" w:lineRule="auto"/>
        <w:rPr>
          <w:b/>
          <w:sz w:val="25"/>
          <w:szCs w:val="25"/>
        </w:rPr>
      </w:pPr>
    </w:p>
    <w:p w14:paraId="68BA8B36" w14:textId="77777777" w:rsidR="00EA2755" w:rsidRPr="00B52E9D" w:rsidRDefault="00EA2755" w:rsidP="00EA2755">
      <w:pPr>
        <w:spacing w:line="288" w:lineRule="auto"/>
        <w:rPr>
          <w:sz w:val="25"/>
          <w:szCs w:val="25"/>
        </w:rPr>
      </w:pPr>
      <w:r w:rsidRPr="00B52E9D">
        <w:rPr>
          <w:b/>
          <w:sz w:val="25"/>
          <w:szCs w:val="25"/>
        </w:rPr>
        <w:t>NOTICE TO THE PARTIES</w:t>
      </w:r>
    </w:p>
    <w:p w14:paraId="577B8E20" w14:textId="77777777" w:rsidR="00EA2755" w:rsidRPr="00B52E9D" w:rsidRDefault="00EA2755" w:rsidP="00EA2755">
      <w:pPr>
        <w:spacing w:line="288" w:lineRule="auto"/>
        <w:rPr>
          <w:sz w:val="25"/>
          <w:szCs w:val="25"/>
        </w:rPr>
      </w:pPr>
    </w:p>
    <w:p w14:paraId="3A0856F7" w14:textId="77777777" w:rsidR="00EA2755" w:rsidRPr="00B52E9D" w:rsidRDefault="00EA2755" w:rsidP="00EA2755">
      <w:pPr>
        <w:spacing w:line="288" w:lineRule="auto"/>
        <w:rPr>
          <w:sz w:val="25"/>
          <w:szCs w:val="25"/>
        </w:rPr>
      </w:pPr>
      <w:r w:rsidRPr="00B52E9D">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CFD0670" w14:textId="77777777" w:rsidR="00EA2755" w:rsidRPr="00B52E9D" w:rsidRDefault="00EA2755" w:rsidP="00EA2755">
      <w:pPr>
        <w:spacing w:line="288" w:lineRule="auto"/>
        <w:rPr>
          <w:sz w:val="25"/>
          <w:szCs w:val="25"/>
        </w:rPr>
      </w:pPr>
    </w:p>
    <w:p w14:paraId="41ECE62E" w14:textId="77777777" w:rsidR="00EA2755" w:rsidRPr="00B52E9D" w:rsidRDefault="00EA2755" w:rsidP="00EA2755">
      <w:pPr>
        <w:spacing w:line="288" w:lineRule="auto"/>
        <w:rPr>
          <w:sz w:val="25"/>
          <w:szCs w:val="25"/>
        </w:rPr>
      </w:pPr>
      <w:r w:rsidRPr="00B52E9D">
        <w:rPr>
          <w:sz w:val="25"/>
          <w:szCs w:val="25"/>
        </w:rPr>
        <w:t xml:space="preserve">WAC 480-07-825(2) provides that any party to this proceeding has twenty (20) days after the entry of this Initial Order to file a </w:t>
      </w:r>
      <w:r w:rsidRPr="00B52E9D">
        <w:rPr>
          <w:i/>
          <w:sz w:val="25"/>
          <w:szCs w:val="25"/>
        </w:rPr>
        <w:t>Petition for Administrative Review</w:t>
      </w:r>
      <w:r w:rsidRPr="00B52E9D">
        <w:rPr>
          <w:sz w:val="25"/>
          <w:szCs w:val="25"/>
        </w:rPr>
        <w:t xml:space="preserve">.  What must be included in any Petition and other requirements for a Petition are stated in WAC 480-07-825(3).  WAC 480-07-825(4) states that any party may file an </w:t>
      </w:r>
      <w:r w:rsidRPr="00B52E9D">
        <w:rPr>
          <w:i/>
          <w:sz w:val="25"/>
          <w:szCs w:val="25"/>
        </w:rPr>
        <w:t>Answer</w:t>
      </w:r>
      <w:r w:rsidRPr="00B52E9D">
        <w:rPr>
          <w:sz w:val="25"/>
          <w:szCs w:val="25"/>
        </w:rPr>
        <w:t xml:space="preserve"> to a Petition for review within (10) days after service of the Petition.</w:t>
      </w:r>
    </w:p>
    <w:p w14:paraId="38475757" w14:textId="77777777" w:rsidR="00EA2755" w:rsidRPr="00B52E9D" w:rsidRDefault="00EA2755" w:rsidP="00EA2755">
      <w:pPr>
        <w:spacing w:line="288" w:lineRule="auto"/>
        <w:rPr>
          <w:sz w:val="25"/>
          <w:szCs w:val="25"/>
        </w:rPr>
      </w:pPr>
    </w:p>
    <w:p w14:paraId="23EE7C46" w14:textId="77777777" w:rsidR="00EA2755" w:rsidRPr="00B52E9D" w:rsidRDefault="00EA2755" w:rsidP="00EA2755">
      <w:pPr>
        <w:spacing w:line="288" w:lineRule="auto"/>
        <w:rPr>
          <w:sz w:val="25"/>
          <w:szCs w:val="25"/>
        </w:rPr>
      </w:pPr>
      <w:r w:rsidRPr="00B52E9D">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F2250D7" w14:textId="77777777" w:rsidR="00EA2755" w:rsidRPr="00B52E9D" w:rsidRDefault="00EA2755" w:rsidP="00EA2755">
      <w:pPr>
        <w:spacing w:line="288" w:lineRule="auto"/>
        <w:rPr>
          <w:sz w:val="25"/>
          <w:szCs w:val="25"/>
        </w:rPr>
      </w:pPr>
    </w:p>
    <w:p w14:paraId="3283FF8E" w14:textId="77777777" w:rsidR="00EA2755" w:rsidRPr="00B52E9D" w:rsidRDefault="00EA2755" w:rsidP="00EA2755">
      <w:pPr>
        <w:spacing w:line="288" w:lineRule="auto"/>
        <w:rPr>
          <w:sz w:val="25"/>
          <w:szCs w:val="25"/>
        </w:rPr>
      </w:pPr>
      <w:r w:rsidRPr="00B52E9D">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0CEFADF3" w14:textId="77777777" w:rsidR="00EA2755" w:rsidRPr="00B52E9D" w:rsidRDefault="00EA2755" w:rsidP="00EA2755">
      <w:pPr>
        <w:spacing w:line="288" w:lineRule="auto"/>
        <w:rPr>
          <w:sz w:val="25"/>
          <w:szCs w:val="25"/>
        </w:rPr>
      </w:pPr>
    </w:p>
    <w:p w14:paraId="61F10211" w14:textId="58AE6A2D" w:rsidR="00EA2755" w:rsidRPr="00B52E9D" w:rsidRDefault="00EA2755" w:rsidP="00EA2755">
      <w:pPr>
        <w:spacing w:line="288" w:lineRule="auto"/>
        <w:rPr>
          <w:sz w:val="25"/>
          <w:szCs w:val="25"/>
        </w:rPr>
      </w:pPr>
      <w:r w:rsidRPr="00B52E9D">
        <w:rPr>
          <w:sz w:val="25"/>
          <w:szCs w:val="25"/>
        </w:rPr>
        <w:t xml:space="preserve">One copy of any Petition or Answer filed must be served on each party of record with proof of service as required by WAC 480-07-150(8) and (9).  An Original and </w:t>
      </w:r>
      <w:r w:rsidR="00584EA0">
        <w:rPr>
          <w:sz w:val="25"/>
          <w:szCs w:val="25"/>
        </w:rPr>
        <w:t>three</w:t>
      </w:r>
      <w:r w:rsidRPr="00B52E9D">
        <w:rPr>
          <w:b/>
          <w:sz w:val="25"/>
          <w:szCs w:val="25"/>
        </w:rPr>
        <w:t xml:space="preserve"> </w:t>
      </w:r>
      <w:r w:rsidRPr="00B52E9D">
        <w:rPr>
          <w:sz w:val="25"/>
          <w:szCs w:val="25"/>
        </w:rPr>
        <w:t>copies of any Petition or Answer must be filed by mail delivery to:</w:t>
      </w:r>
    </w:p>
    <w:p w14:paraId="75E92841" w14:textId="77777777" w:rsidR="00EA2755" w:rsidRPr="00B52E9D" w:rsidRDefault="00EA2755" w:rsidP="00EA2755">
      <w:pPr>
        <w:spacing w:line="288" w:lineRule="auto"/>
        <w:rPr>
          <w:sz w:val="25"/>
          <w:szCs w:val="25"/>
        </w:rPr>
      </w:pPr>
    </w:p>
    <w:p w14:paraId="0CBA3CE7" w14:textId="77777777" w:rsidR="00EA2755" w:rsidRPr="00B52E9D" w:rsidRDefault="00EA2755" w:rsidP="00EA2755">
      <w:pPr>
        <w:spacing w:line="288" w:lineRule="auto"/>
        <w:rPr>
          <w:sz w:val="25"/>
          <w:szCs w:val="25"/>
        </w:rPr>
      </w:pPr>
      <w:r w:rsidRPr="00B52E9D">
        <w:rPr>
          <w:sz w:val="25"/>
          <w:szCs w:val="25"/>
        </w:rPr>
        <w:t>Attn:  Steven V. King, Executive Director and Secretary</w:t>
      </w:r>
    </w:p>
    <w:p w14:paraId="5FBF23FC" w14:textId="77777777" w:rsidR="00EA2755" w:rsidRPr="00B52E9D" w:rsidRDefault="00EA2755" w:rsidP="00EA2755">
      <w:pPr>
        <w:spacing w:line="288" w:lineRule="auto"/>
        <w:rPr>
          <w:sz w:val="25"/>
          <w:szCs w:val="25"/>
        </w:rPr>
      </w:pPr>
      <w:r w:rsidRPr="00B52E9D">
        <w:rPr>
          <w:sz w:val="25"/>
          <w:szCs w:val="25"/>
        </w:rPr>
        <w:t xml:space="preserve">Washington Utilities and Transportation Commission </w:t>
      </w:r>
    </w:p>
    <w:p w14:paraId="42D471FC" w14:textId="77777777" w:rsidR="00EA2755" w:rsidRPr="00B52E9D" w:rsidRDefault="00EA2755" w:rsidP="00EA2755">
      <w:pPr>
        <w:spacing w:line="288" w:lineRule="auto"/>
        <w:rPr>
          <w:sz w:val="25"/>
          <w:szCs w:val="25"/>
        </w:rPr>
      </w:pPr>
      <w:r w:rsidRPr="00B52E9D">
        <w:rPr>
          <w:sz w:val="25"/>
          <w:szCs w:val="25"/>
        </w:rPr>
        <w:t>P.O. Box 47250</w:t>
      </w:r>
    </w:p>
    <w:p w14:paraId="6B25988D" w14:textId="77777777" w:rsidR="00EA2755" w:rsidRPr="00B52E9D" w:rsidRDefault="00EA2755" w:rsidP="00EA2755">
      <w:pPr>
        <w:spacing w:line="288" w:lineRule="auto"/>
        <w:rPr>
          <w:sz w:val="25"/>
          <w:szCs w:val="25"/>
        </w:rPr>
      </w:pPr>
      <w:r w:rsidRPr="00B52E9D">
        <w:rPr>
          <w:sz w:val="25"/>
          <w:szCs w:val="25"/>
        </w:rPr>
        <w:t>Olympia, Washington  98504-7250</w:t>
      </w:r>
    </w:p>
    <w:sectPr w:rsidR="00EA2755" w:rsidRPr="00B52E9D" w:rsidSect="00B52E9D">
      <w:headerReference w:type="default" r:id="rId14"/>
      <w:headerReference w:type="first" r:id="rId15"/>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7CBE" w14:textId="77777777" w:rsidR="00E25B10" w:rsidRDefault="00E25B10" w:rsidP="00EB4016">
      <w:r>
        <w:separator/>
      </w:r>
    </w:p>
  </w:endnote>
  <w:endnote w:type="continuationSeparator" w:id="0">
    <w:p w14:paraId="121CD3EC" w14:textId="77777777" w:rsidR="00E25B10" w:rsidRDefault="00E25B10" w:rsidP="00E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E63B7" w14:textId="77777777" w:rsidR="00E25B10" w:rsidRDefault="00E25B10" w:rsidP="00EB4016">
      <w:r>
        <w:separator/>
      </w:r>
    </w:p>
  </w:footnote>
  <w:footnote w:type="continuationSeparator" w:id="0">
    <w:p w14:paraId="0B66C643" w14:textId="77777777" w:rsidR="00E25B10" w:rsidRDefault="00E25B10" w:rsidP="00EB4016">
      <w:r>
        <w:continuationSeparator/>
      </w:r>
    </w:p>
  </w:footnote>
  <w:footnote w:id="1">
    <w:p w14:paraId="26DE074E" w14:textId="119839E1" w:rsidR="00E25B10" w:rsidRDefault="00E25B10" w:rsidP="00E25B10">
      <w:pPr>
        <w:pStyle w:val="FootnoteText"/>
        <w:spacing w:after="120"/>
      </w:pPr>
      <w:r w:rsidRPr="00B542FE">
        <w:rPr>
          <w:rStyle w:val="FootnoteReference"/>
          <w:sz w:val="22"/>
        </w:rPr>
        <w:footnoteRef/>
      </w:r>
      <w:r w:rsidRPr="00B542FE">
        <w:rPr>
          <w:sz w:val="22"/>
        </w:rPr>
        <w:t xml:space="preserve"> </w:t>
      </w:r>
      <w:r>
        <w:rPr>
          <w:sz w:val="22"/>
        </w:rPr>
        <w:t>Due to a clerical error, Order 02 was erroneously designated as Order 01.  We will refer to the November 27, 2013, order as Order 02.</w:t>
      </w:r>
    </w:p>
  </w:footnote>
  <w:footnote w:id="2">
    <w:p w14:paraId="0CD7AB41" w14:textId="5DEE331E" w:rsidR="00E25B10" w:rsidRPr="00582A11" w:rsidRDefault="00E25B10" w:rsidP="00E25B10">
      <w:pPr>
        <w:pStyle w:val="FootnoteText"/>
        <w:spacing w:after="120"/>
        <w:rPr>
          <w:sz w:val="22"/>
          <w:szCs w:val="22"/>
        </w:rPr>
      </w:pPr>
      <w:r w:rsidRPr="00582A11">
        <w:rPr>
          <w:rStyle w:val="FootnoteReference"/>
          <w:sz w:val="22"/>
          <w:szCs w:val="22"/>
        </w:rPr>
        <w:footnoteRef/>
      </w:r>
      <w:r w:rsidRPr="00582A11">
        <w:rPr>
          <w:sz w:val="22"/>
          <w:szCs w:val="22"/>
        </w:rPr>
        <w:t xml:space="preserve"> In a </w:t>
      </w:r>
      <w:r w:rsidRPr="00582A11">
        <w:rPr>
          <w:iCs/>
          <w:sz w:val="22"/>
          <w:szCs w:val="22"/>
        </w:rPr>
        <w:t xml:space="preserve">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82A11">
        <w:rPr>
          <w:i/>
          <w:iCs/>
          <w:sz w:val="22"/>
          <w:szCs w:val="22"/>
        </w:rPr>
        <w:t>See</w:t>
      </w:r>
      <w:r w:rsidRPr="00582A11">
        <w:rPr>
          <w:iCs/>
          <w:sz w:val="22"/>
          <w:szCs w:val="22"/>
        </w:rPr>
        <w:t xml:space="preserve"> RCW 34.05.455.</w:t>
      </w:r>
    </w:p>
  </w:footnote>
  <w:footnote w:id="3">
    <w:p w14:paraId="74DCF3C1" w14:textId="005C616B" w:rsidR="00E25B10" w:rsidRDefault="00E25B10" w:rsidP="00E25B10">
      <w:pPr>
        <w:pStyle w:val="FootnoteText"/>
        <w:spacing w:after="120"/>
      </w:pPr>
      <w:r w:rsidRPr="00C95CC2">
        <w:rPr>
          <w:rStyle w:val="FootnoteReference"/>
          <w:sz w:val="22"/>
        </w:rPr>
        <w:footnoteRef/>
      </w:r>
      <w:r w:rsidRPr="00C95CC2">
        <w:rPr>
          <w:sz w:val="22"/>
        </w:rPr>
        <w:t xml:space="preserve"> </w:t>
      </w:r>
      <w:r>
        <w:rPr>
          <w:sz w:val="22"/>
        </w:rPr>
        <w:t>Staff’s Motion to Dismiss ¶ 7.</w:t>
      </w:r>
    </w:p>
  </w:footnote>
  <w:footnote w:id="4">
    <w:p w14:paraId="4FFD50C4" w14:textId="7AF77661" w:rsidR="00E25B10" w:rsidRPr="00C15870" w:rsidRDefault="00E25B10" w:rsidP="00E25B10">
      <w:pPr>
        <w:pStyle w:val="FootnoteText"/>
        <w:spacing w:after="120"/>
      </w:pPr>
      <w:r w:rsidRPr="00C15870">
        <w:rPr>
          <w:rStyle w:val="FootnoteReference"/>
          <w:sz w:val="22"/>
        </w:rPr>
        <w:footnoteRef/>
      </w:r>
      <w:r w:rsidRPr="00C15870">
        <w:rPr>
          <w:sz w:val="22"/>
        </w:rPr>
        <w:t xml:space="preserve"> </w:t>
      </w:r>
      <w:r>
        <w:rPr>
          <w:i/>
          <w:sz w:val="22"/>
        </w:rPr>
        <w:t>Id.</w:t>
      </w:r>
      <w:r>
        <w:rPr>
          <w:sz w:val="22"/>
        </w:rPr>
        <w:t xml:space="preserve"> ¶ 2.</w:t>
      </w:r>
    </w:p>
  </w:footnote>
  <w:footnote w:id="5">
    <w:p w14:paraId="708DD3CD" w14:textId="569EC2F8" w:rsidR="00E25B10" w:rsidRPr="0057548B" w:rsidRDefault="00E25B10" w:rsidP="00E25B10">
      <w:pPr>
        <w:pStyle w:val="FootnoteText"/>
        <w:spacing w:after="120"/>
      </w:pPr>
      <w:r w:rsidRPr="0057548B">
        <w:rPr>
          <w:rStyle w:val="FootnoteReference"/>
          <w:sz w:val="22"/>
        </w:rPr>
        <w:footnoteRef/>
      </w:r>
      <w:r w:rsidRPr="0057548B">
        <w:rPr>
          <w:sz w:val="22"/>
        </w:rPr>
        <w:t xml:space="preserve"> </w:t>
      </w:r>
      <w:r>
        <w:rPr>
          <w:i/>
          <w:sz w:val="22"/>
        </w:rPr>
        <w:t>Id.</w:t>
      </w:r>
      <w:r>
        <w:rPr>
          <w:sz w:val="22"/>
        </w:rPr>
        <w:t xml:space="preserve"> (</w:t>
      </w:r>
      <w:r w:rsidRPr="00E25B10">
        <w:rPr>
          <w:i/>
          <w:sz w:val="22"/>
        </w:rPr>
        <w:t>Internal</w:t>
      </w:r>
      <w:r>
        <w:rPr>
          <w:sz w:val="22"/>
        </w:rPr>
        <w:t xml:space="preserve"> citation omitted.)</w:t>
      </w:r>
    </w:p>
  </w:footnote>
  <w:footnote w:id="6">
    <w:p w14:paraId="50E29214" w14:textId="2F1B51CC" w:rsidR="00E25B10" w:rsidRPr="000036CA" w:rsidRDefault="00E25B10" w:rsidP="00E25B10">
      <w:pPr>
        <w:pStyle w:val="FootnoteText"/>
        <w:spacing w:after="120"/>
      </w:pPr>
      <w:r w:rsidRPr="000036CA">
        <w:rPr>
          <w:rStyle w:val="FootnoteReference"/>
          <w:sz w:val="22"/>
        </w:rPr>
        <w:footnoteRef/>
      </w:r>
      <w:r w:rsidRPr="000036CA">
        <w:rPr>
          <w:sz w:val="22"/>
        </w:rPr>
        <w:t xml:space="preserve"> </w:t>
      </w:r>
      <w:r>
        <w:rPr>
          <w:i/>
          <w:sz w:val="22"/>
        </w:rPr>
        <w:t>Id.</w:t>
      </w:r>
      <w:r>
        <w:rPr>
          <w:sz w:val="22"/>
        </w:rPr>
        <w:t xml:space="preserve"> ¶ 4 (</w:t>
      </w:r>
      <w:r w:rsidRPr="00E25B10">
        <w:rPr>
          <w:i/>
          <w:sz w:val="22"/>
        </w:rPr>
        <w:t>citing</w:t>
      </w:r>
      <w:r>
        <w:rPr>
          <w:sz w:val="22"/>
        </w:rPr>
        <w:t xml:space="preserve"> to Davis, Exh. No. JD-1T at 25:6-8.)</w:t>
      </w:r>
    </w:p>
  </w:footnote>
  <w:footnote w:id="7">
    <w:p w14:paraId="7AE902C3" w14:textId="2FE635B5" w:rsidR="00E25B10" w:rsidRPr="00747B0D" w:rsidRDefault="00E25B10" w:rsidP="00E25B10">
      <w:pPr>
        <w:pStyle w:val="FootnoteText"/>
        <w:spacing w:after="120"/>
      </w:pPr>
      <w:r w:rsidRPr="00747B0D">
        <w:rPr>
          <w:rStyle w:val="FootnoteReference"/>
          <w:sz w:val="22"/>
        </w:rPr>
        <w:footnoteRef/>
      </w:r>
      <w:r w:rsidRPr="00747B0D">
        <w:rPr>
          <w:sz w:val="22"/>
        </w:rPr>
        <w:t xml:space="preserve"> </w:t>
      </w:r>
      <w:r>
        <w:rPr>
          <w:i/>
          <w:sz w:val="22"/>
        </w:rPr>
        <w:t>Id.</w:t>
      </w:r>
      <w:r>
        <w:rPr>
          <w:sz w:val="22"/>
        </w:rPr>
        <w:t xml:space="preserve"> ¶ 6.</w:t>
      </w:r>
    </w:p>
  </w:footnote>
  <w:footnote w:id="8">
    <w:p w14:paraId="05E79301" w14:textId="55C4AEED" w:rsidR="00E25B10" w:rsidRPr="00770D2B" w:rsidRDefault="00E25B10" w:rsidP="00E25B10">
      <w:pPr>
        <w:pStyle w:val="FootnoteText"/>
        <w:spacing w:after="120"/>
        <w:rPr>
          <w:i/>
          <w:sz w:val="22"/>
          <w:szCs w:val="22"/>
        </w:rPr>
      </w:pPr>
      <w:r w:rsidRPr="00770D2B">
        <w:rPr>
          <w:rStyle w:val="FootnoteReference"/>
          <w:sz w:val="22"/>
          <w:szCs w:val="22"/>
        </w:rPr>
        <w:footnoteRef/>
      </w:r>
      <w:r w:rsidRPr="00770D2B">
        <w:rPr>
          <w:sz w:val="22"/>
          <w:szCs w:val="22"/>
        </w:rPr>
        <w:t xml:space="preserve"> </w:t>
      </w:r>
      <w:r w:rsidRPr="00E25B10">
        <w:rPr>
          <w:i/>
          <w:sz w:val="22"/>
        </w:rPr>
        <w:t>Id</w:t>
      </w:r>
      <w:r w:rsidRPr="00770D2B">
        <w:rPr>
          <w:i/>
          <w:sz w:val="22"/>
          <w:szCs w:val="22"/>
        </w:rPr>
        <w:t>.</w:t>
      </w:r>
    </w:p>
  </w:footnote>
  <w:footnote w:id="9">
    <w:p w14:paraId="153AE996" w14:textId="69D6A4FC" w:rsidR="00E25B10" w:rsidRPr="00770D2B" w:rsidRDefault="00E25B10" w:rsidP="00E25B10">
      <w:pPr>
        <w:pStyle w:val="FootnoteText"/>
        <w:spacing w:after="120"/>
      </w:pPr>
      <w:r w:rsidRPr="00770D2B">
        <w:rPr>
          <w:rStyle w:val="FootnoteReference"/>
          <w:sz w:val="22"/>
          <w:szCs w:val="22"/>
        </w:rPr>
        <w:footnoteRef/>
      </w:r>
      <w:r w:rsidRPr="00770D2B">
        <w:rPr>
          <w:sz w:val="22"/>
          <w:szCs w:val="22"/>
        </w:rPr>
        <w:t xml:space="preserve"> </w:t>
      </w:r>
      <w:r w:rsidRPr="00E25B10">
        <w:rPr>
          <w:i/>
          <w:sz w:val="22"/>
        </w:rPr>
        <w:t>Id</w:t>
      </w:r>
      <w:r w:rsidRPr="00770D2B">
        <w:rPr>
          <w:i/>
          <w:sz w:val="22"/>
          <w:szCs w:val="22"/>
        </w:rPr>
        <w:t>.</w:t>
      </w:r>
      <w:r w:rsidRPr="00770D2B">
        <w:rPr>
          <w:sz w:val="22"/>
          <w:szCs w:val="22"/>
        </w:rPr>
        <w:t xml:space="preserve"> ¶ 8.</w:t>
      </w:r>
    </w:p>
  </w:footnote>
  <w:footnote w:id="10">
    <w:p w14:paraId="77A2E649" w14:textId="62E213E8" w:rsidR="00E25B10" w:rsidRPr="00770D2B" w:rsidRDefault="00E25B10" w:rsidP="00E25B10">
      <w:pPr>
        <w:pStyle w:val="FootnoteText"/>
        <w:spacing w:after="120"/>
      </w:pPr>
      <w:r w:rsidRPr="00770D2B">
        <w:rPr>
          <w:rStyle w:val="FootnoteReference"/>
          <w:sz w:val="22"/>
        </w:rPr>
        <w:footnoteRef/>
      </w:r>
      <w:r w:rsidRPr="00770D2B">
        <w:rPr>
          <w:sz w:val="22"/>
        </w:rPr>
        <w:t xml:space="preserve"> </w:t>
      </w:r>
      <w:r w:rsidRPr="00E25B10">
        <w:rPr>
          <w:i/>
          <w:sz w:val="22"/>
        </w:rPr>
        <w:t>Id</w:t>
      </w:r>
      <w:r>
        <w:rPr>
          <w:i/>
          <w:sz w:val="22"/>
        </w:rPr>
        <w:t>.</w:t>
      </w:r>
      <w:r>
        <w:rPr>
          <w:sz w:val="22"/>
        </w:rPr>
        <w:t xml:space="preserve"> ¶ 9.</w:t>
      </w:r>
    </w:p>
  </w:footnote>
  <w:footnote w:id="11">
    <w:p w14:paraId="3C67B8E4" w14:textId="6AE9146A" w:rsidR="00E25B10" w:rsidRPr="00485D9C" w:rsidRDefault="00E25B10" w:rsidP="00E25B10">
      <w:pPr>
        <w:pStyle w:val="FootnoteText"/>
        <w:spacing w:after="120"/>
        <w:rPr>
          <w:sz w:val="22"/>
          <w:szCs w:val="22"/>
        </w:rPr>
      </w:pPr>
      <w:r w:rsidRPr="00770D2B">
        <w:rPr>
          <w:rStyle w:val="FootnoteReference"/>
          <w:sz w:val="22"/>
        </w:rPr>
        <w:footnoteRef/>
      </w:r>
      <w:r w:rsidRPr="00770D2B">
        <w:rPr>
          <w:sz w:val="22"/>
        </w:rPr>
        <w:t xml:space="preserve"> </w:t>
      </w:r>
      <w:r>
        <w:rPr>
          <w:i/>
          <w:sz w:val="22"/>
        </w:rPr>
        <w:t>Id.</w:t>
      </w:r>
      <w:r>
        <w:rPr>
          <w:sz w:val="22"/>
        </w:rPr>
        <w:t xml:space="preserve"> ¶ 10 (citing </w:t>
      </w:r>
      <w:r>
        <w:rPr>
          <w:i/>
          <w:sz w:val="22"/>
        </w:rPr>
        <w:t xml:space="preserve">Washington Utilities and Transportation Commission v. Puget Sound Energy, Inc., </w:t>
      </w:r>
      <w:r>
        <w:rPr>
          <w:sz w:val="22"/>
        </w:rPr>
        <w:t xml:space="preserve">Dockets UE-011163 and UG-011170, Sixth Supplemental Order at 5 (October 4, 2001)).  (Emphasis </w:t>
      </w:r>
      <w:r w:rsidRPr="00485D9C">
        <w:rPr>
          <w:sz w:val="22"/>
          <w:szCs w:val="22"/>
        </w:rPr>
        <w:t>added).</w:t>
      </w:r>
    </w:p>
  </w:footnote>
  <w:footnote w:id="12">
    <w:p w14:paraId="552B667C" w14:textId="623A2663" w:rsidR="00E25B10" w:rsidRPr="00485D9C" w:rsidRDefault="00E25B10" w:rsidP="00B52E9D">
      <w:pPr>
        <w:pStyle w:val="FootnoteText"/>
        <w:spacing w:after="120"/>
        <w:rPr>
          <w:sz w:val="22"/>
        </w:rPr>
      </w:pPr>
      <w:r w:rsidRPr="00485D9C">
        <w:rPr>
          <w:rStyle w:val="FootnoteReference"/>
          <w:sz w:val="22"/>
          <w:szCs w:val="22"/>
        </w:rPr>
        <w:footnoteRef/>
      </w:r>
      <w:r>
        <w:t xml:space="preserve"> </w:t>
      </w:r>
      <w:r>
        <w:rPr>
          <w:sz w:val="22"/>
        </w:rPr>
        <w:t>Company’s Response ¶ 4.</w:t>
      </w:r>
    </w:p>
  </w:footnote>
  <w:footnote w:id="13">
    <w:p w14:paraId="22EDFB44" w14:textId="77777777" w:rsidR="00E25B10" w:rsidRPr="00553B87" w:rsidRDefault="00E25B10" w:rsidP="00E25B10">
      <w:pPr>
        <w:pStyle w:val="FootnoteText"/>
        <w:spacing w:after="120"/>
      </w:pPr>
      <w:r w:rsidRPr="00553B87">
        <w:rPr>
          <w:rStyle w:val="FootnoteReference"/>
          <w:sz w:val="22"/>
        </w:rPr>
        <w:footnoteRef/>
      </w:r>
      <w:r w:rsidRPr="00553B87">
        <w:rPr>
          <w:sz w:val="22"/>
        </w:rPr>
        <w:t xml:space="preserve"> </w:t>
      </w:r>
      <w:r>
        <w:rPr>
          <w:i/>
          <w:sz w:val="22"/>
        </w:rPr>
        <w:t>Id.</w:t>
      </w:r>
      <w:r>
        <w:rPr>
          <w:sz w:val="22"/>
        </w:rPr>
        <w:t xml:space="preserve"> ¶ 8.</w:t>
      </w:r>
    </w:p>
  </w:footnote>
  <w:footnote w:id="14">
    <w:p w14:paraId="07530378" w14:textId="6A23AF92" w:rsidR="00E25B10" w:rsidRPr="006131A3" w:rsidRDefault="00E25B10" w:rsidP="00E25B10">
      <w:pPr>
        <w:pStyle w:val="FootnoteText"/>
        <w:spacing w:after="120"/>
        <w:rPr>
          <w:sz w:val="22"/>
          <w:szCs w:val="22"/>
        </w:rPr>
      </w:pPr>
      <w:r w:rsidRPr="006131A3">
        <w:rPr>
          <w:rStyle w:val="FootnoteReference"/>
          <w:sz w:val="22"/>
          <w:szCs w:val="22"/>
        </w:rPr>
        <w:footnoteRef/>
      </w:r>
      <w:r w:rsidRPr="006131A3">
        <w:rPr>
          <w:sz w:val="22"/>
          <w:szCs w:val="22"/>
        </w:rPr>
        <w:t xml:space="preserve"> </w:t>
      </w:r>
      <w:r w:rsidRPr="006131A3">
        <w:rPr>
          <w:i/>
          <w:sz w:val="22"/>
          <w:szCs w:val="22"/>
        </w:rPr>
        <w:t xml:space="preserve">Id. </w:t>
      </w:r>
      <w:r w:rsidRPr="006131A3">
        <w:rPr>
          <w:sz w:val="22"/>
          <w:szCs w:val="22"/>
        </w:rPr>
        <w:t>¶ 14.</w:t>
      </w:r>
    </w:p>
  </w:footnote>
  <w:footnote w:id="15">
    <w:p w14:paraId="6630AA92" w14:textId="77777777" w:rsidR="00E25B10" w:rsidRPr="00BE0E64" w:rsidRDefault="00E25B10" w:rsidP="00E25B10">
      <w:pPr>
        <w:pStyle w:val="FootnoteText"/>
        <w:spacing w:after="120"/>
      </w:pPr>
      <w:r w:rsidRPr="00BE0E64">
        <w:rPr>
          <w:rStyle w:val="FootnoteReference"/>
          <w:sz w:val="22"/>
        </w:rPr>
        <w:footnoteRef/>
      </w:r>
      <w:r w:rsidRPr="00BE0E64">
        <w:rPr>
          <w:sz w:val="22"/>
        </w:rPr>
        <w:t xml:space="preserve"> </w:t>
      </w:r>
      <w:r>
        <w:rPr>
          <w:i/>
          <w:sz w:val="22"/>
        </w:rPr>
        <w:t>Id.</w:t>
      </w:r>
      <w:r>
        <w:rPr>
          <w:sz w:val="22"/>
        </w:rPr>
        <w:t xml:space="preserve"> ¶ 16.</w:t>
      </w:r>
    </w:p>
  </w:footnote>
  <w:footnote w:id="16">
    <w:p w14:paraId="63409A17" w14:textId="211E6FCD" w:rsidR="00E25B10" w:rsidRDefault="00E25B10" w:rsidP="00E25B10">
      <w:pPr>
        <w:pStyle w:val="FootnoteText"/>
        <w:spacing w:after="120"/>
      </w:pPr>
      <w:r w:rsidRPr="00EA6D53">
        <w:rPr>
          <w:rStyle w:val="FootnoteReference"/>
          <w:sz w:val="22"/>
        </w:rPr>
        <w:footnoteRef/>
      </w:r>
      <w:r w:rsidRPr="00EA6D53">
        <w:rPr>
          <w:sz w:val="22"/>
        </w:rPr>
        <w:t xml:space="preserve"> </w:t>
      </w:r>
      <w:r>
        <w:rPr>
          <w:sz w:val="22"/>
        </w:rPr>
        <w:t>Company’s Response ¶ 3.</w:t>
      </w:r>
    </w:p>
  </w:footnote>
  <w:footnote w:id="17">
    <w:p w14:paraId="28623C8C" w14:textId="77777777" w:rsidR="00E25B10" w:rsidRPr="00F4279A" w:rsidRDefault="00E25B10" w:rsidP="00E25B10">
      <w:pPr>
        <w:pStyle w:val="FootnoteText"/>
        <w:spacing w:after="120"/>
        <w:rPr>
          <w:sz w:val="22"/>
        </w:rPr>
      </w:pPr>
      <w:r w:rsidRPr="00F4279A">
        <w:rPr>
          <w:rStyle w:val="FootnoteReference"/>
          <w:sz w:val="22"/>
          <w:szCs w:val="22"/>
        </w:rPr>
        <w:footnoteRef/>
      </w:r>
      <w:r>
        <w:t xml:space="preserve"> </w:t>
      </w:r>
      <w:r>
        <w:rPr>
          <w:i/>
          <w:sz w:val="22"/>
        </w:rPr>
        <w:t>Id.</w:t>
      </w:r>
      <w:r>
        <w:rPr>
          <w:sz w:val="22"/>
        </w:rPr>
        <w:t xml:space="preserve"> ¶ 10.</w:t>
      </w:r>
    </w:p>
  </w:footnote>
  <w:footnote w:id="18">
    <w:p w14:paraId="2F634305" w14:textId="0121D915" w:rsidR="00E25B10" w:rsidRPr="00D96F9A" w:rsidRDefault="00E25B10" w:rsidP="00E25B10">
      <w:pPr>
        <w:pStyle w:val="FootnoteText"/>
        <w:spacing w:after="120"/>
      </w:pPr>
      <w:r w:rsidRPr="00D96F9A">
        <w:rPr>
          <w:rStyle w:val="FootnoteReference"/>
          <w:sz w:val="22"/>
        </w:rPr>
        <w:footnoteRef/>
      </w:r>
      <w:r w:rsidRPr="00D96F9A">
        <w:rPr>
          <w:sz w:val="22"/>
        </w:rPr>
        <w:t xml:space="preserve"> </w:t>
      </w:r>
      <w:r>
        <w:rPr>
          <w:i/>
          <w:sz w:val="22"/>
        </w:rPr>
        <w:t>Id.</w:t>
      </w:r>
      <w:r>
        <w:rPr>
          <w:sz w:val="22"/>
        </w:rPr>
        <w:t xml:space="preserve"> ¶ 9.</w:t>
      </w:r>
    </w:p>
  </w:footnote>
  <w:footnote w:id="19">
    <w:p w14:paraId="60EFEEC9" w14:textId="0FBA1238" w:rsidR="00E25B10" w:rsidRDefault="00E25B10" w:rsidP="00E25B10">
      <w:pPr>
        <w:pStyle w:val="FootnoteText"/>
        <w:spacing w:after="120"/>
      </w:pPr>
      <w:r w:rsidRPr="000E7FF3">
        <w:rPr>
          <w:rStyle w:val="FootnoteReference"/>
          <w:sz w:val="22"/>
        </w:rPr>
        <w:footnoteRef/>
      </w:r>
      <w:r w:rsidRPr="000E7FF3">
        <w:rPr>
          <w:sz w:val="22"/>
        </w:rPr>
        <w:t xml:space="preserve"> </w:t>
      </w:r>
      <w:r>
        <w:rPr>
          <w:sz w:val="22"/>
        </w:rPr>
        <w:t>WRRA’s Response at 3.</w:t>
      </w:r>
    </w:p>
  </w:footnote>
  <w:footnote w:id="20">
    <w:p w14:paraId="3EC20382" w14:textId="6C31A456" w:rsidR="00E25B10" w:rsidRPr="004F418E" w:rsidRDefault="00E25B10" w:rsidP="00E25B10">
      <w:pPr>
        <w:pStyle w:val="FootnoteText"/>
        <w:spacing w:after="120"/>
      </w:pPr>
      <w:r w:rsidRPr="004F418E">
        <w:rPr>
          <w:rStyle w:val="FootnoteReference"/>
          <w:sz w:val="22"/>
        </w:rPr>
        <w:footnoteRef/>
      </w:r>
      <w:r w:rsidRPr="004F418E">
        <w:rPr>
          <w:sz w:val="22"/>
        </w:rPr>
        <w:t xml:space="preserve"> </w:t>
      </w:r>
      <w:r>
        <w:rPr>
          <w:i/>
          <w:sz w:val="22"/>
        </w:rPr>
        <w:t>Id.</w:t>
      </w:r>
      <w:r>
        <w:rPr>
          <w:sz w:val="22"/>
        </w:rPr>
        <w:t xml:space="preserve"> at 2.</w:t>
      </w:r>
    </w:p>
  </w:footnote>
  <w:footnote w:id="21">
    <w:p w14:paraId="2231CEA0" w14:textId="5E9991AD" w:rsidR="00E25B10" w:rsidRPr="008B6CD5" w:rsidRDefault="00E25B10" w:rsidP="00E25B10">
      <w:pPr>
        <w:pStyle w:val="FootnoteText"/>
        <w:spacing w:after="120"/>
        <w:rPr>
          <w:i/>
          <w:sz w:val="22"/>
          <w:szCs w:val="22"/>
        </w:rPr>
      </w:pPr>
      <w:r w:rsidRPr="008B6CD5">
        <w:rPr>
          <w:rStyle w:val="FootnoteReference"/>
          <w:sz w:val="22"/>
          <w:szCs w:val="22"/>
        </w:rPr>
        <w:footnoteRef/>
      </w:r>
      <w:r w:rsidRPr="008B6CD5">
        <w:rPr>
          <w:sz w:val="22"/>
          <w:szCs w:val="22"/>
        </w:rPr>
        <w:t xml:space="preserve"> </w:t>
      </w:r>
      <w:r w:rsidRPr="00E25B10">
        <w:rPr>
          <w:i/>
          <w:sz w:val="22"/>
        </w:rPr>
        <w:t>Id</w:t>
      </w:r>
      <w:r w:rsidRPr="008B6CD5">
        <w:rPr>
          <w:i/>
          <w:sz w:val="22"/>
          <w:szCs w:val="22"/>
        </w:rPr>
        <w:t>.</w:t>
      </w:r>
    </w:p>
  </w:footnote>
  <w:footnote w:id="22">
    <w:p w14:paraId="7383C25B" w14:textId="10F9E02E" w:rsidR="00E25B10" w:rsidRPr="008B6CD5" w:rsidRDefault="00E25B10" w:rsidP="00E25B10">
      <w:pPr>
        <w:pStyle w:val="FootnoteText"/>
        <w:spacing w:after="120"/>
        <w:rPr>
          <w:sz w:val="22"/>
        </w:rPr>
      </w:pPr>
      <w:r w:rsidRPr="008B6CD5">
        <w:rPr>
          <w:rStyle w:val="FootnoteReference"/>
          <w:sz w:val="22"/>
          <w:szCs w:val="22"/>
        </w:rPr>
        <w:footnoteRef/>
      </w:r>
      <w:r>
        <w:t xml:space="preserve"> </w:t>
      </w:r>
      <w:r>
        <w:rPr>
          <w:sz w:val="22"/>
        </w:rPr>
        <w:t>WAC 480-07-380(1).</w:t>
      </w:r>
    </w:p>
  </w:footnote>
  <w:footnote w:id="23">
    <w:p w14:paraId="7ABB3DE6" w14:textId="64C37874" w:rsidR="00E25B10" w:rsidRPr="005D32E5" w:rsidRDefault="00E25B10" w:rsidP="00E25B10">
      <w:pPr>
        <w:pStyle w:val="FootnoteText"/>
        <w:spacing w:after="120"/>
      </w:pPr>
      <w:r w:rsidRPr="005D32E5">
        <w:rPr>
          <w:rStyle w:val="FootnoteReference"/>
          <w:sz w:val="22"/>
          <w:szCs w:val="22"/>
        </w:rPr>
        <w:footnoteRef/>
      </w:r>
      <w:r>
        <w:t xml:space="preserve"> </w:t>
      </w:r>
      <w:r w:rsidRPr="005D32E5">
        <w:rPr>
          <w:i/>
          <w:sz w:val="22"/>
        </w:rPr>
        <w:t>P.E. Systems, LLC, v. CPI, Corp.,</w:t>
      </w:r>
      <w:r w:rsidRPr="005D32E5">
        <w:rPr>
          <w:sz w:val="22"/>
        </w:rPr>
        <w:t xml:space="preserve"> 176 Wash.</w:t>
      </w:r>
      <w:r w:rsidR="00B52E9D">
        <w:rPr>
          <w:sz w:val="22"/>
        </w:rPr>
        <w:t xml:space="preserve"> </w:t>
      </w:r>
      <w:r w:rsidRPr="005D32E5">
        <w:rPr>
          <w:sz w:val="22"/>
        </w:rPr>
        <w:t>2d 198, 203, 289 P.3d 638 (2012)</w:t>
      </w:r>
      <w:r>
        <w:rPr>
          <w:sz w:val="22"/>
        </w:rPr>
        <w:t xml:space="preserve"> (citing </w:t>
      </w:r>
      <w:r>
        <w:rPr>
          <w:i/>
          <w:sz w:val="22"/>
        </w:rPr>
        <w:t>Suleiman v. Lasher,</w:t>
      </w:r>
      <w:r>
        <w:rPr>
          <w:sz w:val="22"/>
        </w:rPr>
        <w:t xml:space="preserve"> 48 Wash.</w:t>
      </w:r>
      <w:r w:rsidR="00B52E9D">
        <w:rPr>
          <w:sz w:val="22"/>
        </w:rPr>
        <w:t xml:space="preserve"> </w:t>
      </w:r>
      <w:r>
        <w:rPr>
          <w:sz w:val="22"/>
        </w:rPr>
        <w:t>App. 373, 376, 739 P.2d 712 (1989))</w:t>
      </w:r>
      <w:r w:rsidRPr="005D32E5">
        <w:rPr>
          <w:sz w:val="22"/>
        </w:rPr>
        <w:t>.</w:t>
      </w:r>
    </w:p>
  </w:footnote>
  <w:footnote w:id="24">
    <w:p w14:paraId="202273BC" w14:textId="66D71813" w:rsidR="00E25B10" w:rsidRPr="005D32E5" w:rsidRDefault="00E25B10" w:rsidP="00E25B10">
      <w:pPr>
        <w:pStyle w:val="FootnoteText"/>
        <w:spacing w:after="120"/>
      </w:pPr>
      <w:r w:rsidRPr="005D32E5">
        <w:rPr>
          <w:rStyle w:val="FootnoteReference"/>
          <w:sz w:val="22"/>
        </w:rPr>
        <w:footnoteRef/>
      </w:r>
      <w:r w:rsidRPr="005D32E5">
        <w:rPr>
          <w:sz w:val="22"/>
        </w:rPr>
        <w:t xml:space="preserve"> </w:t>
      </w:r>
      <w:r>
        <w:rPr>
          <w:i/>
          <w:sz w:val="22"/>
        </w:rPr>
        <w:t>P.E. Systems,</w:t>
      </w:r>
      <w:r>
        <w:rPr>
          <w:sz w:val="22"/>
        </w:rPr>
        <w:t xml:space="preserve"> 176 Wash.</w:t>
      </w:r>
      <w:r w:rsidR="00B52E9D">
        <w:rPr>
          <w:sz w:val="22"/>
        </w:rPr>
        <w:t xml:space="preserve"> </w:t>
      </w:r>
      <w:r>
        <w:rPr>
          <w:sz w:val="22"/>
        </w:rPr>
        <w:t>2d at 203.</w:t>
      </w:r>
    </w:p>
  </w:footnote>
  <w:footnote w:id="25">
    <w:p w14:paraId="1A2E62E5" w14:textId="6729540B" w:rsidR="00E25B10" w:rsidRPr="009508DE" w:rsidRDefault="00E25B10" w:rsidP="00434168">
      <w:pPr>
        <w:pStyle w:val="FootnoteText"/>
        <w:spacing w:after="120"/>
      </w:pPr>
      <w:r w:rsidRPr="009508DE">
        <w:rPr>
          <w:rStyle w:val="FootnoteReference"/>
          <w:sz w:val="22"/>
        </w:rPr>
        <w:footnoteRef/>
      </w:r>
      <w:r w:rsidRPr="009508DE">
        <w:rPr>
          <w:sz w:val="22"/>
        </w:rPr>
        <w:t xml:space="preserve"> </w:t>
      </w:r>
      <w:r>
        <w:rPr>
          <w:i/>
          <w:sz w:val="22"/>
        </w:rPr>
        <w:t>M.H. v. Corporation of Catholic Archbishop of Seattle,</w:t>
      </w:r>
      <w:r w:rsidR="00B52E9D">
        <w:rPr>
          <w:i/>
          <w:sz w:val="22"/>
        </w:rPr>
        <w:t xml:space="preserve"> </w:t>
      </w:r>
      <w:r>
        <w:rPr>
          <w:sz w:val="22"/>
        </w:rPr>
        <w:t>162 Wash.</w:t>
      </w:r>
      <w:r w:rsidR="00B52E9D">
        <w:rPr>
          <w:sz w:val="22"/>
        </w:rPr>
        <w:t xml:space="preserve"> </w:t>
      </w:r>
      <w:r>
        <w:rPr>
          <w:sz w:val="22"/>
        </w:rPr>
        <w:t>App. 183, 189, 252 P.3d 914 (2011).</w:t>
      </w:r>
    </w:p>
  </w:footnote>
  <w:footnote w:id="26">
    <w:p w14:paraId="20717389" w14:textId="378BAEFD" w:rsidR="00E25B10" w:rsidRDefault="00E25B10" w:rsidP="00E25B10">
      <w:pPr>
        <w:pStyle w:val="FootnoteText"/>
        <w:spacing w:after="120"/>
      </w:pPr>
      <w:r w:rsidRPr="008B6CD5">
        <w:rPr>
          <w:rStyle w:val="FootnoteReference"/>
          <w:sz w:val="22"/>
        </w:rPr>
        <w:footnoteRef/>
      </w:r>
      <w:r w:rsidRPr="008B6CD5">
        <w:rPr>
          <w:sz w:val="22"/>
        </w:rPr>
        <w:t xml:space="preserve"> </w:t>
      </w:r>
      <w:r>
        <w:rPr>
          <w:sz w:val="22"/>
        </w:rPr>
        <w:t>WAC 480-07-540 (emphasis added).</w:t>
      </w:r>
    </w:p>
  </w:footnote>
  <w:footnote w:id="27">
    <w:p w14:paraId="04EA428D" w14:textId="2E94156A" w:rsidR="00E25B10" w:rsidRPr="00D84FE8" w:rsidRDefault="00E25B10" w:rsidP="00434168">
      <w:pPr>
        <w:pStyle w:val="FootnoteText"/>
        <w:spacing w:after="120"/>
      </w:pPr>
      <w:r w:rsidRPr="00D84FE8">
        <w:rPr>
          <w:rStyle w:val="FootnoteReference"/>
          <w:sz w:val="22"/>
        </w:rPr>
        <w:footnoteRef/>
      </w:r>
      <w:r w:rsidRPr="00D84FE8">
        <w:rPr>
          <w:sz w:val="22"/>
        </w:rPr>
        <w:t xml:space="preserve"> </w:t>
      </w:r>
      <w:r>
        <w:rPr>
          <w:i/>
          <w:sz w:val="22"/>
        </w:rPr>
        <w:t>WUTC v. PSE,</w:t>
      </w:r>
      <w:r>
        <w:rPr>
          <w:sz w:val="22"/>
        </w:rPr>
        <w:t xml:space="preserve"> Dockets UE-011163 and UE-011170, Sixth Supplemental Order – Order Granting Motions; Dismissing Dockets, ¶ 15 (October 4, 2001).  (Emphasis in original).</w:t>
      </w:r>
    </w:p>
  </w:footnote>
  <w:footnote w:id="28">
    <w:p w14:paraId="0F334E32" w14:textId="389C0BE8" w:rsidR="00E25B10" w:rsidRPr="00577239" w:rsidRDefault="00E25B10" w:rsidP="00E25B10">
      <w:pPr>
        <w:pStyle w:val="FootnoteText"/>
        <w:spacing w:after="120"/>
        <w:rPr>
          <w:sz w:val="22"/>
          <w:szCs w:val="22"/>
        </w:rPr>
      </w:pPr>
      <w:r w:rsidRPr="0005482F">
        <w:rPr>
          <w:rStyle w:val="FootnoteReference"/>
          <w:sz w:val="22"/>
        </w:rPr>
        <w:footnoteRef/>
      </w:r>
      <w:r>
        <w:rPr>
          <w:sz w:val="22"/>
        </w:rPr>
        <w:t xml:space="preserve"> Waste Control references </w:t>
      </w:r>
      <w:r w:rsidRPr="0005482F">
        <w:rPr>
          <w:i/>
          <w:sz w:val="22"/>
          <w:szCs w:val="25"/>
        </w:rPr>
        <w:t>Berge v. Gorton</w:t>
      </w:r>
      <w:r>
        <w:rPr>
          <w:sz w:val="22"/>
          <w:szCs w:val="25"/>
        </w:rPr>
        <w:t xml:space="preserve">, a case in which the Supreme Court of Washington noted that a court may take judicial notice of a public record.  88 Wn.2d 756, 763, 567 P.2d 187 (1977).  While the Company notes that </w:t>
      </w:r>
      <w:r>
        <w:rPr>
          <w:sz w:val="22"/>
        </w:rPr>
        <w:t xml:space="preserve">the Commission could consider its data request responses and workpapers “in weighing the sufficiency of the Company’s necessary showing at this stage of the case,” Waste Control has neither asked us to do so, nor provided us with the documents in question.   As a result, we decline to </w:t>
      </w:r>
      <w:r w:rsidRPr="00577239">
        <w:rPr>
          <w:sz w:val="22"/>
          <w:szCs w:val="22"/>
        </w:rPr>
        <w:t>take judicial notice of the workpapers and data request responses in question.</w:t>
      </w:r>
    </w:p>
  </w:footnote>
  <w:footnote w:id="29">
    <w:p w14:paraId="5D146D96" w14:textId="32F821D8" w:rsidR="00E25B10" w:rsidRDefault="00E25B10" w:rsidP="00E25B10">
      <w:pPr>
        <w:pStyle w:val="FootnoteText"/>
        <w:spacing w:after="120"/>
      </w:pPr>
      <w:r w:rsidRPr="00577239">
        <w:rPr>
          <w:rStyle w:val="FootnoteReference"/>
          <w:sz w:val="22"/>
          <w:szCs w:val="22"/>
        </w:rPr>
        <w:footnoteRef/>
      </w:r>
      <w:r w:rsidRPr="00577239">
        <w:rPr>
          <w:sz w:val="22"/>
        </w:rPr>
        <w:t xml:space="preserve"> </w:t>
      </w:r>
      <w:r>
        <w:rPr>
          <w:sz w:val="22"/>
        </w:rPr>
        <w:t>Dockets UE-011163 and UE-011170, Sixth Supplemental Order – Order Granting Motions; Dismissing Dockets (October 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EAB3" w14:textId="1747361C" w:rsidR="00B52E9D" w:rsidRPr="00B52E9D" w:rsidRDefault="00B52E9D">
    <w:pPr>
      <w:pStyle w:val="Header"/>
      <w:rPr>
        <w:b/>
        <w:noProof/>
        <w:sz w:val="20"/>
        <w:szCs w:val="20"/>
      </w:rPr>
    </w:pPr>
    <w:r w:rsidRPr="00B52E9D">
      <w:rPr>
        <w:b/>
        <w:sz w:val="20"/>
        <w:szCs w:val="20"/>
      </w:rPr>
      <w:t>DOCKET TG-131794</w:t>
    </w:r>
    <w:r w:rsidRPr="00B52E9D">
      <w:rPr>
        <w:b/>
        <w:sz w:val="20"/>
        <w:szCs w:val="20"/>
      </w:rPr>
      <w:tab/>
    </w:r>
    <w:r w:rsidRPr="00B52E9D">
      <w:rPr>
        <w:b/>
        <w:sz w:val="20"/>
        <w:szCs w:val="20"/>
      </w:rPr>
      <w:tab/>
      <w:t xml:space="preserve">PAGE </w:t>
    </w:r>
    <w:r w:rsidRPr="00B52E9D">
      <w:rPr>
        <w:b/>
        <w:sz w:val="20"/>
        <w:szCs w:val="20"/>
      </w:rPr>
      <w:fldChar w:fldCharType="begin"/>
    </w:r>
    <w:r w:rsidRPr="00B52E9D">
      <w:rPr>
        <w:b/>
        <w:sz w:val="20"/>
        <w:szCs w:val="20"/>
      </w:rPr>
      <w:instrText xml:space="preserve"> PAGE   \* MERGEFORMAT </w:instrText>
    </w:r>
    <w:r w:rsidRPr="00B52E9D">
      <w:rPr>
        <w:b/>
        <w:sz w:val="20"/>
        <w:szCs w:val="20"/>
      </w:rPr>
      <w:fldChar w:fldCharType="separate"/>
    </w:r>
    <w:r w:rsidR="003C1047">
      <w:rPr>
        <w:b/>
        <w:noProof/>
        <w:sz w:val="20"/>
        <w:szCs w:val="20"/>
      </w:rPr>
      <w:t>11</w:t>
    </w:r>
    <w:r w:rsidRPr="00B52E9D">
      <w:rPr>
        <w:b/>
        <w:noProof/>
        <w:sz w:val="20"/>
        <w:szCs w:val="20"/>
      </w:rPr>
      <w:fldChar w:fldCharType="end"/>
    </w:r>
  </w:p>
  <w:p w14:paraId="21F39DA6" w14:textId="432009D2" w:rsidR="00B52E9D" w:rsidRPr="00B52E9D" w:rsidRDefault="00B52E9D">
    <w:pPr>
      <w:pStyle w:val="Header"/>
      <w:rPr>
        <w:b/>
        <w:noProof/>
        <w:sz w:val="20"/>
        <w:szCs w:val="20"/>
      </w:rPr>
    </w:pPr>
    <w:r w:rsidRPr="00B52E9D">
      <w:rPr>
        <w:b/>
        <w:noProof/>
        <w:sz w:val="20"/>
        <w:szCs w:val="20"/>
      </w:rPr>
      <w:t>ORDER 05</w:t>
    </w:r>
  </w:p>
  <w:p w14:paraId="3F25A1C5" w14:textId="77777777" w:rsidR="00B52E9D" w:rsidRPr="00B52E9D" w:rsidRDefault="00B52E9D">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57716" w14:textId="57CFC203" w:rsidR="00F61BBB" w:rsidRPr="00F61BBB" w:rsidRDefault="00F61BBB" w:rsidP="00F61BBB">
    <w:pPr>
      <w:pStyle w:val="Header"/>
      <w:tabs>
        <w:tab w:val="clear" w:pos="4320"/>
      </w:tabs>
      <w:rPr>
        <w:b/>
        <w:sz w:val="20"/>
        <w:szCs w:val="20"/>
      </w:rPr>
    </w:pPr>
    <w:r>
      <w:tab/>
    </w:r>
    <w:r w:rsidRPr="00F61BBB">
      <w:rPr>
        <w:b/>
        <w:sz w:val="20"/>
        <w:szCs w:val="20"/>
      </w:rPr>
      <w:t>[Service Date March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E5E59"/>
    <w:multiLevelType w:val="hybridMultilevel"/>
    <w:tmpl w:val="41B072FC"/>
    <w:lvl w:ilvl="0" w:tplc="9E2EBFFE">
      <w:start w:val="1"/>
      <w:numFmt w:val="decimal"/>
      <w:lvlText w:val="%1"/>
      <w:lvlJc w:val="left"/>
      <w:pPr>
        <w:ind w:left="360" w:hanging="360"/>
      </w:pPr>
      <w:rPr>
        <w:rFonts w:hint="default"/>
        <w:b w:val="0"/>
        <w:i/>
        <w:sz w:val="20"/>
        <w:szCs w:val="25"/>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A77F10"/>
    <w:multiLevelType w:val="hybridMultilevel"/>
    <w:tmpl w:val="CBFC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F86"/>
    <w:multiLevelType w:val="hybridMultilevel"/>
    <w:tmpl w:val="11B22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EE"/>
    <w:rsid w:val="000036CA"/>
    <w:rsid w:val="000132ED"/>
    <w:rsid w:val="000526FC"/>
    <w:rsid w:val="0005482F"/>
    <w:rsid w:val="000E7FF3"/>
    <w:rsid w:val="001C4063"/>
    <w:rsid w:val="001D56CD"/>
    <w:rsid w:val="002F3A41"/>
    <w:rsid w:val="002F6DE8"/>
    <w:rsid w:val="00310908"/>
    <w:rsid w:val="00336A1D"/>
    <w:rsid w:val="003603AB"/>
    <w:rsid w:val="00390977"/>
    <w:rsid w:val="003A42B7"/>
    <w:rsid w:val="003C1047"/>
    <w:rsid w:val="003E025E"/>
    <w:rsid w:val="0040388B"/>
    <w:rsid w:val="00434168"/>
    <w:rsid w:val="00465EF7"/>
    <w:rsid w:val="00485D9C"/>
    <w:rsid w:val="004D2A6E"/>
    <w:rsid w:val="004F418E"/>
    <w:rsid w:val="00532BC2"/>
    <w:rsid w:val="00547DAA"/>
    <w:rsid w:val="00553B87"/>
    <w:rsid w:val="00567264"/>
    <w:rsid w:val="0057548B"/>
    <w:rsid w:val="00577239"/>
    <w:rsid w:val="00584EA0"/>
    <w:rsid w:val="00591DA9"/>
    <w:rsid w:val="005D32E5"/>
    <w:rsid w:val="006131A3"/>
    <w:rsid w:val="006269F5"/>
    <w:rsid w:val="006754C3"/>
    <w:rsid w:val="00675CCC"/>
    <w:rsid w:val="0068186A"/>
    <w:rsid w:val="006B0F95"/>
    <w:rsid w:val="006C0810"/>
    <w:rsid w:val="006E04C7"/>
    <w:rsid w:val="006F6D4C"/>
    <w:rsid w:val="007434ED"/>
    <w:rsid w:val="00747B0D"/>
    <w:rsid w:val="00770D2B"/>
    <w:rsid w:val="00793BA1"/>
    <w:rsid w:val="007B46E9"/>
    <w:rsid w:val="007F3C06"/>
    <w:rsid w:val="008B6CD5"/>
    <w:rsid w:val="008C62FC"/>
    <w:rsid w:val="008F169A"/>
    <w:rsid w:val="0091023D"/>
    <w:rsid w:val="009508DE"/>
    <w:rsid w:val="009901C0"/>
    <w:rsid w:val="009D36AE"/>
    <w:rsid w:val="009E5048"/>
    <w:rsid w:val="00A206F9"/>
    <w:rsid w:val="00A6201D"/>
    <w:rsid w:val="00A73296"/>
    <w:rsid w:val="00A96C1B"/>
    <w:rsid w:val="00AB74A9"/>
    <w:rsid w:val="00AD00EE"/>
    <w:rsid w:val="00B124E6"/>
    <w:rsid w:val="00B249BE"/>
    <w:rsid w:val="00B52E9D"/>
    <w:rsid w:val="00B542FE"/>
    <w:rsid w:val="00B6228D"/>
    <w:rsid w:val="00B639E7"/>
    <w:rsid w:val="00BD664A"/>
    <w:rsid w:val="00BE0E64"/>
    <w:rsid w:val="00C15870"/>
    <w:rsid w:val="00C95CC2"/>
    <w:rsid w:val="00CA7D48"/>
    <w:rsid w:val="00D321EB"/>
    <w:rsid w:val="00D84FE8"/>
    <w:rsid w:val="00D96F9A"/>
    <w:rsid w:val="00DE0A29"/>
    <w:rsid w:val="00DE4FCD"/>
    <w:rsid w:val="00E13C8D"/>
    <w:rsid w:val="00E14468"/>
    <w:rsid w:val="00E21D9C"/>
    <w:rsid w:val="00E25B10"/>
    <w:rsid w:val="00E512B8"/>
    <w:rsid w:val="00E61BF9"/>
    <w:rsid w:val="00EA2755"/>
    <w:rsid w:val="00EA6D53"/>
    <w:rsid w:val="00EB4016"/>
    <w:rsid w:val="00EE258A"/>
    <w:rsid w:val="00F36E78"/>
    <w:rsid w:val="00F4279A"/>
    <w:rsid w:val="00F52784"/>
    <w:rsid w:val="00F61BBB"/>
    <w:rsid w:val="00F819AF"/>
    <w:rsid w:val="00F8385E"/>
    <w:rsid w:val="00F954D7"/>
    <w:rsid w:val="00FE64BA"/>
    <w:rsid w:val="00FF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4016"/>
    <w:pPr>
      <w:jc w:val="center"/>
    </w:pPr>
  </w:style>
  <w:style w:type="character" w:customStyle="1" w:styleId="BodyTextChar">
    <w:name w:val="Body Text Char"/>
    <w:basedOn w:val="DefaultParagraphFont"/>
    <w:link w:val="BodyText"/>
    <w:semiHidden/>
    <w:rsid w:val="00EB4016"/>
    <w:rPr>
      <w:rFonts w:ascii="Times New Roman" w:eastAsia="Times New Roman" w:hAnsi="Times New Roman" w:cs="Times New Roman"/>
      <w:sz w:val="24"/>
      <w:szCs w:val="24"/>
    </w:rPr>
  </w:style>
  <w:style w:type="table" w:styleId="TableGrid">
    <w:name w:val="Table Grid"/>
    <w:basedOn w:val="TableNormal"/>
    <w:uiPriority w:val="59"/>
    <w:rsid w:val="00EB40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EB4016"/>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EB401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EB4016"/>
    <w:rPr>
      <w:vertAlign w:val="superscript"/>
    </w:rPr>
  </w:style>
  <w:style w:type="paragraph" w:styleId="ListParagraph">
    <w:name w:val="List Paragraph"/>
    <w:basedOn w:val="Normal"/>
    <w:uiPriority w:val="34"/>
    <w:qFormat/>
    <w:rsid w:val="000132ED"/>
    <w:pPr>
      <w:ind w:left="720"/>
      <w:contextualSpacing/>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132ED"/>
  </w:style>
  <w:style w:type="paragraph" w:styleId="NoSpacing">
    <w:name w:val="No Spacing"/>
    <w:uiPriority w:val="1"/>
    <w:qFormat/>
    <w:rsid w:val="00547DA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F3265"/>
    <w:pPr>
      <w:tabs>
        <w:tab w:val="center" w:pos="4320"/>
        <w:tab w:val="right" w:pos="8640"/>
      </w:tabs>
    </w:pPr>
  </w:style>
  <w:style w:type="character" w:customStyle="1" w:styleId="HeaderChar">
    <w:name w:val="Header Char"/>
    <w:basedOn w:val="DefaultParagraphFont"/>
    <w:link w:val="Header"/>
    <w:uiPriority w:val="99"/>
    <w:rsid w:val="00FF326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CD5"/>
    <w:rPr>
      <w:color w:val="2B674D"/>
      <w:u w:val="single"/>
    </w:rPr>
  </w:style>
  <w:style w:type="paragraph" w:styleId="BalloonText">
    <w:name w:val="Balloon Text"/>
    <w:basedOn w:val="Normal"/>
    <w:link w:val="BalloonTextChar"/>
    <w:uiPriority w:val="99"/>
    <w:semiHidden/>
    <w:unhideWhenUsed/>
    <w:rsid w:val="00B6228D"/>
    <w:rPr>
      <w:rFonts w:ascii="Tahoma" w:hAnsi="Tahoma" w:cs="Tahoma"/>
      <w:sz w:val="16"/>
      <w:szCs w:val="16"/>
    </w:rPr>
  </w:style>
  <w:style w:type="character" w:customStyle="1" w:styleId="BalloonTextChar">
    <w:name w:val="Balloon Text Char"/>
    <w:basedOn w:val="DefaultParagraphFont"/>
    <w:link w:val="BalloonText"/>
    <w:uiPriority w:val="99"/>
    <w:semiHidden/>
    <w:rsid w:val="00B6228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434ED"/>
    <w:rPr>
      <w:sz w:val="16"/>
      <w:szCs w:val="16"/>
    </w:rPr>
  </w:style>
  <w:style w:type="paragraph" w:styleId="CommentText">
    <w:name w:val="annotation text"/>
    <w:basedOn w:val="Normal"/>
    <w:link w:val="CommentTextChar"/>
    <w:uiPriority w:val="99"/>
    <w:semiHidden/>
    <w:unhideWhenUsed/>
    <w:rsid w:val="007434ED"/>
    <w:rPr>
      <w:sz w:val="20"/>
      <w:szCs w:val="20"/>
    </w:rPr>
  </w:style>
  <w:style w:type="character" w:customStyle="1" w:styleId="CommentTextChar">
    <w:name w:val="Comment Text Char"/>
    <w:basedOn w:val="DefaultParagraphFont"/>
    <w:link w:val="CommentText"/>
    <w:uiPriority w:val="99"/>
    <w:semiHidden/>
    <w:rsid w:val="007434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4ED"/>
    <w:rPr>
      <w:b/>
      <w:bCs/>
    </w:rPr>
  </w:style>
  <w:style w:type="character" w:customStyle="1" w:styleId="CommentSubjectChar">
    <w:name w:val="Comment Subject Char"/>
    <w:basedOn w:val="CommentTextChar"/>
    <w:link w:val="CommentSubject"/>
    <w:uiPriority w:val="99"/>
    <w:semiHidden/>
    <w:rsid w:val="007434ED"/>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52E9D"/>
    <w:pPr>
      <w:tabs>
        <w:tab w:val="center" w:pos="4680"/>
        <w:tab w:val="right" w:pos="9360"/>
      </w:tabs>
    </w:pPr>
  </w:style>
  <w:style w:type="character" w:customStyle="1" w:styleId="FooterChar">
    <w:name w:val="Footer Char"/>
    <w:basedOn w:val="DefaultParagraphFont"/>
    <w:link w:val="Footer"/>
    <w:uiPriority w:val="99"/>
    <w:rsid w:val="00B52E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4016"/>
    <w:pPr>
      <w:jc w:val="center"/>
    </w:pPr>
  </w:style>
  <w:style w:type="character" w:customStyle="1" w:styleId="BodyTextChar">
    <w:name w:val="Body Text Char"/>
    <w:basedOn w:val="DefaultParagraphFont"/>
    <w:link w:val="BodyText"/>
    <w:semiHidden/>
    <w:rsid w:val="00EB4016"/>
    <w:rPr>
      <w:rFonts w:ascii="Times New Roman" w:eastAsia="Times New Roman" w:hAnsi="Times New Roman" w:cs="Times New Roman"/>
      <w:sz w:val="24"/>
      <w:szCs w:val="24"/>
    </w:rPr>
  </w:style>
  <w:style w:type="table" w:styleId="TableGrid">
    <w:name w:val="Table Grid"/>
    <w:basedOn w:val="TableNormal"/>
    <w:uiPriority w:val="59"/>
    <w:rsid w:val="00EB40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EB4016"/>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EB401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EB4016"/>
    <w:rPr>
      <w:vertAlign w:val="superscript"/>
    </w:rPr>
  </w:style>
  <w:style w:type="paragraph" w:styleId="ListParagraph">
    <w:name w:val="List Paragraph"/>
    <w:basedOn w:val="Normal"/>
    <w:uiPriority w:val="34"/>
    <w:qFormat/>
    <w:rsid w:val="000132ED"/>
    <w:pPr>
      <w:ind w:left="720"/>
      <w:contextualSpacing/>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132ED"/>
  </w:style>
  <w:style w:type="paragraph" w:styleId="NoSpacing">
    <w:name w:val="No Spacing"/>
    <w:uiPriority w:val="1"/>
    <w:qFormat/>
    <w:rsid w:val="00547DA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F3265"/>
    <w:pPr>
      <w:tabs>
        <w:tab w:val="center" w:pos="4320"/>
        <w:tab w:val="right" w:pos="8640"/>
      </w:tabs>
    </w:pPr>
  </w:style>
  <w:style w:type="character" w:customStyle="1" w:styleId="HeaderChar">
    <w:name w:val="Header Char"/>
    <w:basedOn w:val="DefaultParagraphFont"/>
    <w:link w:val="Header"/>
    <w:uiPriority w:val="99"/>
    <w:rsid w:val="00FF326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CD5"/>
    <w:rPr>
      <w:color w:val="2B674D"/>
      <w:u w:val="single"/>
    </w:rPr>
  </w:style>
  <w:style w:type="paragraph" w:styleId="BalloonText">
    <w:name w:val="Balloon Text"/>
    <w:basedOn w:val="Normal"/>
    <w:link w:val="BalloonTextChar"/>
    <w:uiPriority w:val="99"/>
    <w:semiHidden/>
    <w:unhideWhenUsed/>
    <w:rsid w:val="00B6228D"/>
    <w:rPr>
      <w:rFonts w:ascii="Tahoma" w:hAnsi="Tahoma" w:cs="Tahoma"/>
      <w:sz w:val="16"/>
      <w:szCs w:val="16"/>
    </w:rPr>
  </w:style>
  <w:style w:type="character" w:customStyle="1" w:styleId="BalloonTextChar">
    <w:name w:val="Balloon Text Char"/>
    <w:basedOn w:val="DefaultParagraphFont"/>
    <w:link w:val="BalloonText"/>
    <w:uiPriority w:val="99"/>
    <w:semiHidden/>
    <w:rsid w:val="00B6228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434ED"/>
    <w:rPr>
      <w:sz w:val="16"/>
      <w:szCs w:val="16"/>
    </w:rPr>
  </w:style>
  <w:style w:type="paragraph" w:styleId="CommentText">
    <w:name w:val="annotation text"/>
    <w:basedOn w:val="Normal"/>
    <w:link w:val="CommentTextChar"/>
    <w:uiPriority w:val="99"/>
    <w:semiHidden/>
    <w:unhideWhenUsed/>
    <w:rsid w:val="007434ED"/>
    <w:rPr>
      <w:sz w:val="20"/>
      <w:szCs w:val="20"/>
    </w:rPr>
  </w:style>
  <w:style w:type="character" w:customStyle="1" w:styleId="CommentTextChar">
    <w:name w:val="Comment Text Char"/>
    <w:basedOn w:val="DefaultParagraphFont"/>
    <w:link w:val="CommentText"/>
    <w:uiPriority w:val="99"/>
    <w:semiHidden/>
    <w:rsid w:val="007434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4ED"/>
    <w:rPr>
      <w:b/>
      <w:bCs/>
    </w:rPr>
  </w:style>
  <w:style w:type="character" w:customStyle="1" w:styleId="CommentSubjectChar">
    <w:name w:val="Comment Subject Char"/>
    <w:basedOn w:val="CommentTextChar"/>
    <w:link w:val="CommentSubject"/>
    <w:uiPriority w:val="99"/>
    <w:semiHidden/>
    <w:rsid w:val="007434ED"/>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52E9D"/>
    <w:pPr>
      <w:tabs>
        <w:tab w:val="center" w:pos="4680"/>
        <w:tab w:val="right" w:pos="9360"/>
      </w:tabs>
    </w:pPr>
  </w:style>
  <w:style w:type="character" w:customStyle="1" w:styleId="FooterChar">
    <w:name w:val="Footer Char"/>
    <w:basedOn w:val="DefaultParagraphFont"/>
    <w:link w:val="Footer"/>
    <w:uiPriority w:val="99"/>
    <w:rsid w:val="00B52E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480-07-380"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80.04.1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2014-03-25T07:00:00+00:00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61777-4E01-49CB-883E-818D0CF479E9}"/>
</file>

<file path=customXml/itemProps2.xml><?xml version="1.0" encoding="utf-8"?>
<ds:datastoreItem xmlns:ds="http://schemas.openxmlformats.org/officeDocument/2006/customXml" ds:itemID="{98758CDD-EF6A-4E8F-8403-EE60941C1607}"/>
</file>

<file path=customXml/itemProps3.xml><?xml version="1.0" encoding="utf-8"?>
<ds:datastoreItem xmlns:ds="http://schemas.openxmlformats.org/officeDocument/2006/customXml" ds:itemID="{9142B9C1-CFEC-4F7A-BC24-929EB4194EDC}"/>
</file>

<file path=customXml/itemProps4.xml><?xml version="1.0" encoding="utf-8"?>
<ds:datastoreItem xmlns:ds="http://schemas.openxmlformats.org/officeDocument/2006/customXml" ds:itemID="{F7D9F61F-192F-4FF0-A11A-121C2FC10A70}"/>
</file>

<file path=customXml/itemProps5.xml><?xml version="1.0" encoding="utf-8"?>
<ds:datastoreItem xmlns:ds="http://schemas.openxmlformats.org/officeDocument/2006/customXml" ds:itemID="{0180E646-E043-4DCB-A30C-4DEB9AC629A2}"/>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2014-03-25T20:49:00Z</dcterms:created>
  <dcterms:modified xsi:type="dcterms:W3CDTF">2014-03-25T20:49:00Z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