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362" w:rsidRPr="006D3362" w:rsidRDefault="006D3362" w:rsidP="006D3362">
      <w:pPr>
        <w:jc w:val="center"/>
        <w:rPr>
          <w:rFonts w:ascii="Times New Roman" w:hAnsi="Times New Roman" w:cs="Times New Roman"/>
          <w:b/>
          <w:bCs/>
          <w:sz w:val="24"/>
          <w:szCs w:val="24"/>
        </w:rPr>
      </w:pPr>
      <w:r w:rsidRPr="006D3362">
        <w:rPr>
          <w:rFonts w:ascii="Times New Roman" w:hAnsi="Times New Roman" w:cs="Times New Roman"/>
          <w:b/>
          <w:bCs/>
          <w:sz w:val="24"/>
          <w:szCs w:val="24"/>
        </w:rPr>
        <w:t xml:space="preserve">BEFORE THE WASHINGTON </w:t>
      </w:r>
    </w:p>
    <w:p w:rsidR="006D3362" w:rsidRPr="006D3362" w:rsidRDefault="006D3362" w:rsidP="006D3362">
      <w:pPr>
        <w:jc w:val="center"/>
        <w:rPr>
          <w:rFonts w:ascii="Times New Roman" w:hAnsi="Times New Roman" w:cs="Times New Roman"/>
          <w:sz w:val="24"/>
          <w:szCs w:val="24"/>
        </w:rPr>
      </w:pPr>
      <w:r w:rsidRPr="006D3362">
        <w:rPr>
          <w:rFonts w:ascii="Times New Roman" w:hAnsi="Times New Roman" w:cs="Times New Roman"/>
          <w:b/>
          <w:bCs/>
          <w:sz w:val="24"/>
          <w:szCs w:val="24"/>
        </w:rPr>
        <w:t>UTILITIES AND TRANSPORTATION COMMISSION</w:t>
      </w:r>
    </w:p>
    <w:p w:rsidR="006D3362" w:rsidRPr="006D3362" w:rsidRDefault="006D3362" w:rsidP="006D3362">
      <w:pPr>
        <w:jc w:val="center"/>
        <w:rPr>
          <w:rFonts w:ascii="Times New Roman" w:hAnsi="Times New Roman" w:cs="Times New Roman"/>
          <w:sz w:val="24"/>
          <w:szCs w:val="24"/>
        </w:rPr>
      </w:pPr>
    </w:p>
    <w:p w:rsidR="006D3362" w:rsidRPr="006D3362" w:rsidRDefault="006D3362" w:rsidP="006D3362">
      <w:pPr>
        <w:jc w:val="center"/>
        <w:rPr>
          <w:rFonts w:ascii="Times New Roman" w:hAnsi="Times New Roman" w:cs="Times New Roman"/>
          <w:sz w:val="24"/>
          <w:szCs w:val="24"/>
        </w:rPr>
      </w:pPr>
    </w:p>
    <w:tbl>
      <w:tblPr>
        <w:tblW w:w="0" w:type="auto"/>
        <w:tblLook w:val="0000"/>
      </w:tblPr>
      <w:tblGrid>
        <w:gridCol w:w="4218"/>
        <w:gridCol w:w="296"/>
        <w:gridCol w:w="4342"/>
      </w:tblGrid>
      <w:tr w:rsidR="006D3362" w:rsidRPr="006D3362" w:rsidTr="006D3362">
        <w:tc>
          <w:tcPr>
            <w:tcW w:w="4218" w:type="dxa"/>
          </w:tcPr>
          <w:p w:rsidR="006D3362" w:rsidRPr="006D3362" w:rsidRDefault="006D3362" w:rsidP="006D3362">
            <w:pPr>
              <w:spacing w:after="0" w:line="240" w:lineRule="auto"/>
              <w:rPr>
                <w:rFonts w:ascii="Times New Roman" w:hAnsi="Times New Roman" w:cs="Times New Roman"/>
                <w:sz w:val="24"/>
                <w:szCs w:val="24"/>
              </w:rPr>
            </w:pPr>
          </w:p>
          <w:p w:rsidR="006D3362" w:rsidRPr="006D3362" w:rsidRDefault="006D3362" w:rsidP="006D3362">
            <w:pPr>
              <w:spacing w:after="0" w:line="240" w:lineRule="auto"/>
              <w:rPr>
                <w:rFonts w:ascii="Times New Roman" w:hAnsi="Times New Roman" w:cs="Times New Roman"/>
                <w:sz w:val="24"/>
                <w:szCs w:val="24"/>
              </w:rPr>
            </w:pPr>
            <w:r w:rsidRPr="006D3362">
              <w:rPr>
                <w:rFonts w:ascii="Times New Roman" w:hAnsi="Times New Roman" w:cs="Times New Roman"/>
                <w:sz w:val="24"/>
                <w:szCs w:val="24"/>
              </w:rPr>
              <w:t>Policy Statement to Review State Universal Service Policies</w:t>
            </w:r>
          </w:p>
        </w:tc>
        <w:tc>
          <w:tcPr>
            <w:tcW w:w="296" w:type="dxa"/>
          </w:tcPr>
          <w:p w:rsidR="006D3362" w:rsidRPr="006D3362" w:rsidRDefault="006D3362" w:rsidP="006D3362">
            <w:pPr>
              <w:spacing w:after="0" w:line="240" w:lineRule="auto"/>
              <w:jc w:val="center"/>
              <w:rPr>
                <w:rFonts w:ascii="Times New Roman" w:hAnsi="Times New Roman" w:cs="Times New Roman"/>
                <w:sz w:val="24"/>
                <w:szCs w:val="24"/>
              </w:rPr>
            </w:pPr>
            <w:r w:rsidRPr="006D3362">
              <w:rPr>
                <w:rFonts w:ascii="Times New Roman" w:hAnsi="Times New Roman" w:cs="Times New Roman"/>
                <w:sz w:val="24"/>
                <w:szCs w:val="24"/>
              </w:rPr>
              <w:t>)</w:t>
            </w:r>
            <w:r w:rsidRPr="006D3362">
              <w:rPr>
                <w:rFonts w:ascii="Times New Roman" w:hAnsi="Times New Roman" w:cs="Times New Roman"/>
                <w:sz w:val="24"/>
                <w:szCs w:val="24"/>
              </w:rPr>
              <w:br/>
              <w:t>)</w:t>
            </w:r>
          </w:p>
          <w:p w:rsidR="006D3362" w:rsidRPr="006D3362" w:rsidRDefault="006D3362" w:rsidP="006D3362">
            <w:pPr>
              <w:spacing w:after="0" w:line="240" w:lineRule="auto"/>
              <w:jc w:val="center"/>
              <w:rPr>
                <w:rFonts w:ascii="Times New Roman" w:hAnsi="Times New Roman" w:cs="Times New Roman"/>
                <w:sz w:val="24"/>
                <w:szCs w:val="24"/>
              </w:rPr>
            </w:pPr>
            <w:r w:rsidRPr="006D3362">
              <w:rPr>
                <w:rFonts w:ascii="Times New Roman" w:hAnsi="Times New Roman" w:cs="Times New Roman"/>
                <w:sz w:val="24"/>
                <w:szCs w:val="24"/>
              </w:rPr>
              <w:t>)</w:t>
            </w:r>
          </w:p>
        </w:tc>
        <w:tc>
          <w:tcPr>
            <w:tcW w:w="4342" w:type="dxa"/>
          </w:tcPr>
          <w:p w:rsidR="006D3362" w:rsidRPr="006D3362" w:rsidRDefault="006D3362" w:rsidP="006D3362">
            <w:pPr>
              <w:spacing w:after="0" w:line="240" w:lineRule="auto"/>
              <w:rPr>
                <w:rFonts w:ascii="Times New Roman" w:hAnsi="Times New Roman" w:cs="Times New Roman"/>
                <w:b/>
                <w:bCs/>
                <w:sz w:val="24"/>
                <w:szCs w:val="24"/>
              </w:rPr>
            </w:pPr>
            <w:r w:rsidRPr="006D3362">
              <w:rPr>
                <w:rFonts w:ascii="Times New Roman" w:hAnsi="Times New Roman" w:cs="Times New Roman"/>
                <w:sz w:val="24"/>
                <w:szCs w:val="24"/>
              </w:rPr>
              <w:t>DOCKET UT-100562</w:t>
            </w:r>
          </w:p>
          <w:p w:rsidR="006D3362" w:rsidRPr="006D3362" w:rsidRDefault="006D3362" w:rsidP="006D3362">
            <w:pPr>
              <w:spacing w:after="0" w:line="240" w:lineRule="auto"/>
              <w:rPr>
                <w:rFonts w:ascii="Times New Roman" w:hAnsi="Times New Roman" w:cs="Times New Roman"/>
                <w:b/>
                <w:bCs/>
                <w:sz w:val="24"/>
                <w:szCs w:val="24"/>
              </w:rPr>
            </w:pPr>
          </w:p>
        </w:tc>
      </w:tr>
    </w:tbl>
    <w:p w:rsidR="006D3362" w:rsidRPr="006D3362" w:rsidRDefault="006D3362" w:rsidP="006D3362">
      <w:pPr>
        <w:tabs>
          <w:tab w:val="left" w:pos="4230"/>
          <w:tab w:val="left" w:pos="4500"/>
        </w:tabs>
        <w:spacing w:after="0" w:line="240" w:lineRule="auto"/>
        <w:ind w:left="4500" w:hanging="900"/>
        <w:rPr>
          <w:rFonts w:ascii="Times New Roman" w:hAnsi="Times New Roman" w:cs="Times New Roman"/>
          <w:b/>
          <w:sz w:val="24"/>
          <w:szCs w:val="24"/>
        </w:rPr>
      </w:pPr>
      <w:r w:rsidRPr="006D3362">
        <w:rPr>
          <w:rFonts w:ascii="Times New Roman" w:hAnsi="Times New Roman" w:cs="Times New Roman"/>
          <w:sz w:val="24"/>
          <w:szCs w:val="24"/>
        </w:rPr>
        <w:tab/>
        <w:t>)</w:t>
      </w:r>
      <w:r w:rsidRPr="006D3362">
        <w:rPr>
          <w:rFonts w:ascii="Times New Roman" w:hAnsi="Times New Roman" w:cs="Times New Roman"/>
          <w:sz w:val="24"/>
          <w:szCs w:val="24"/>
        </w:rPr>
        <w:tab/>
        <w:t xml:space="preserve"> </w:t>
      </w:r>
      <w:r w:rsidRPr="006D3362">
        <w:rPr>
          <w:rFonts w:ascii="Times New Roman" w:hAnsi="Times New Roman" w:cs="Times New Roman"/>
          <w:b/>
          <w:bCs/>
          <w:sz w:val="24"/>
          <w:szCs w:val="24"/>
        </w:rPr>
        <w:t xml:space="preserve">AT&amp;T  </w:t>
      </w:r>
    </w:p>
    <w:p w:rsidR="006D3362" w:rsidRPr="006D3362" w:rsidRDefault="006D3362" w:rsidP="006D3362">
      <w:pPr>
        <w:rPr>
          <w:rFonts w:ascii="Times New Roman" w:hAnsi="Times New Roman" w:cs="Times New Roman"/>
          <w:sz w:val="24"/>
          <w:szCs w:val="24"/>
        </w:rPr>
      </w:pPr>
    </w:p>
    <w:p w:rsidR="006D3362" w:rsidRPr="006D3362" w:rsidRDefault="006D3362" w:rsidP="006D3362">
      <w:pPr>
        <w:rPr>
          <w:rFonts w:ascii="Times New Roman" w:hAnsi="Times New Roman" w:cs="Times New Roman"/>
          <w:sz w:val="24"/>
          <w:szCs w:val="24"/>
        </w:rPr>
      </w:pPr>
    </w:p>
    <w:p w:rsidR="0064390C" w:rsidRPr="0064390C" w:rsidRDefault="0064390C" w:rsidP="0064390C">
      <w:pPr>
        <w:spacing w:after="0" w:line="240" w:lineRule="auto"/>
        <w:jc w:val="center"/>
        <w:rPr>
          <w:rFonts w:ascii="Times New Roman" w:hAnsi="Times New Roman" w:cs="Times New Roman"/>
          <w:b/>
          <w:sz w:val="24"/>
          <w:szCs w:val="24"/>
          <w:u w:val="single"/>
        </w:rPr>
      </w:pPr>
      <w:r w:rsidRPr="0064390C">
        <w:rPr>
          <w:rFonts w:ascii="Times New Roman" w:hAnsi="Times New Roman" w:cs="Times New Roman"/>
          <w:b/>
          <w:sz w:val="24"/>
          <w:szCs w:val="24"/>
          <w:u w:val="single"/>
        </w:rPr>
        <w:t xml:space="preserve">COMMENTS ON </w:t>
      </w:r>
    </w:p>
    <w:p w:rsidR="0064390C" w:rsidRPr="0064390C" w:rsidRDefault="0064390C" w:rsidP="0064390C">
      <w:pPr>
        <w:spacing w:after="0" w:line="240" w:lineRule="auto"/>
        <w:jc w:val="center"/>
        <w:rPr>
          <w:rFonts w:ascii="Times New Roman" w:hAnsi="Times New Roman" w:cs="Times New Roman"/>
          <w:b/>
          <w:sz w:val="24"/>
          <w:szCs w:val="24"/>
          <w:u w:val="single"/>
        </w:rPr>
      </w:pPr>
      <w:r w:rsidRPr="0064390C">
        <w:rPr>
          <w:rFonts w:ascii="Times New Roman" w:hAnsi="Times New Roman" w:cs="Times New Roman"/>
          <w:b/>
          <w:sz w:val="24"/>
          <w:szCs w:val="24"/>
          <w:u w:val="single"/>
        </w:rPr>
        <w:t xml:space="preserve">WASHINGTON INDEPENDENT TELECOMMUNICATIONS ASSOCIATION </w:t>
      </w:r>
    </w:p>
    <w:p w:rsidR="0064390C" w:rsidRDefault="0064390C" w:rsidP="0064390C">
      <w:pPr>
        <w:spacing w:after="0" w:line="240" w:lineRule="auto"/>
        <w:jc w:val="center"/>
        <w:rPr>
          <w:rFonts w:ascii="Times New Roman" w:hAnsi="Times New Roman" w:cs="Times New Roman"/>
          <w:b/>
          <w:sz w:val="24"/>
          <w:szCs w:val="24"/>
          <w:u w:val="single"/>
        </w:rPr>
      </w:pPr>
      <w:r w:rsidRPr="0064390C">
        <w:rPr>
          <w:rFonts w:ascii="Times New Roman" w:hAnsi="Times New Roman" w:cs="Times New Roman"/>
          <w:b/>
          <w:sz w:val="24"/>
          <w:szCs w:val="24"/>
          <w:u w:val="single"/>
        </w:rPr>
        <w:t xml:space="preserve">USF CONCEPT PAPER </w:t>
      </w:r>
    </w:p>
    <w:p w:rsidR="006D3362" w:rsidRPr="006D3362" w:rsidRDefault="0064390C" w:rsidP="0064390C">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BY</w:t>
      </w:r>
      <w:r w:rsidR="00092016">
        <w:rPr>
          <w:rFonts w:ascii="Times New Roman" w:hAnsi="Times New Roman" w:cs="Times New Roman"/>
          <w:b/>
          <w:sz w:val="24"/>
          <w:szCs w:val="24"/>
          <w:u w:val="single"/>
        </w:rPr>
        <w:t xml:space="preserve"> </w:t>
      </w:r>
      <w:r w:rsidR="006D3362" w:rsidRPr="006D3362">
        <w:rPr>
          <w:rFonts w:ascii="Times New Roman" w:hAnsi="Times New Roman" w:cs="Times New Roman"/>
          <w:b/>
          <w:sz w:val="24"/>
          <w:szCs w:val="24"/>
          <w:u w:val="single"/>
        </w:rPr>
        <w:t>AT&amp;T COMMUNICATION</w:t>
      </w:r>
      <w:r w:rsidR="00092016">
        <w:rPr>
          <w:rFonts w:ascii="Times New Roman" w:hAnsi="Times New Roman" w:cs="Times New Roman"/>
          <w:b/>
          <w:sz w:val="24"/>
          <w:szCs w:val="24"/>
          <w:u w:val="single"/>
        </w:rPr>
        <w:t>S</w:t>
      </w:r>
      <w:r w:rsidR="006D3362" w:rsidRPr="006D3362">
        <w:rPr>
          <w:rFonts w:ascii="Times New Roman" w:hAnsi="Times New Roman" w:cs="Times New Roman"/>
          <w:b/>
          <w:sz w:val="24"/>
          <w:szCs w:val="24"/>
          <w:u w:val="single"/>
        </w:rPr>
        <w:t xml:space="preserve"> OF THE PACIFIC NORTHWEST, INC., NEW CINGULAR WIRELESS PCS, LLC, AND TCG SEATTLE</w:t>
      </w:r>
    </w:p>
    <w:p w:rsidR="006D3362" w:rsidRDefault="006D3362" w:rsidP="006D3362">
      <w:pPr>
        <w:rPr>
          <w:rFonts w:ascii="Times New Roman" w:hAnsi="Times New Roman" w:cs="Times New Roman"/>
          <w:sz w:val="24"/>
          <w:szCs w:val="24"/>
        </w:rPr>
      </w:pPr>
    </w:p>
    <w:p w:rsidR="0064390C" w:rsidRDefault="0064390C" w:rsidP="006D3362">
      <w:pPr>
        <w:rPr>
          <w:rFonts w:ascii="Times New Roman" w:hAnsi="Times New Roman" w:cs="Times New Roman"/>
          <w:sz w:val="24"/>
          <w:szCs w:val="24"/>
        </w:rPr>
      </w:pPr>
    </w:p>
    <w:p w:rsidR="0064390C" w:rsidRPr="006D3362" w:rsidRDefault="0064390C" w:rsidP="006D3362">
      <w:pPr>
        <w:rPr>
          <w:rFonts w:ascii="Times New Roman" w:hAnsi="Times New Roman" w:cs="Times New Roman"/>
          <w:sz w:val="24"/>
          <w:szCs w:val="24"/>
        </w:rPr>
      </w:pPr>
    </w:p>
    <w:p w:rsidR="006D3362" w:rsidRDefault="006D3362" w:rsidP="006D3362">
      <w:pPr>
        <w:autoSpaceDE w:val="0"/>
        <w:autoSpaceDN w:val="0"/>
        <w:adjustRightInd w:val="0"/>
        <w:spacing w:line="480" w:lineRule="auto"/>
        <w:ind w:left="3600"/>
        <w:outlineLvl w:val="0"/>
        <w:rPr>
          <w:rFonts w:ascii="Times New Roman" w:hAnsi="Times New Roman" w:cs="Times New Roman"/>
          <w:sz w:val="24"/>
          <w:szCs w:val="24"/>
        </w:rPr>
      </w:pPr>
    </w:p>
    <w:p w:rsidR="006D3362" w:rsidRPr="006D3362" w:rsidRDefault="006D3362" w:rsidP="006D3362">
      <w:pPr>
        <w:autoSpaceDE w:val="0"/>
        <w:autoSpaceDN w:val="0"/>
        <w:adjustRightInd w:val="0"/>
        <w:spacing w:line="480" w:lineRule="auto"/>
        <w:ind w:left="3600"/>
        <w:outlineLvl w:val="0"/>
        <w:rPr>
          <w:rFonts w:ascii="Times New Roman" w:hAnsi="Times New Roman" w:cs="Times New Roman"/>
          <w:sz w:val="24"/>
          <w:szCs w:val="24"/>
        </w:rPr>
      </w:pPr>
      <w:r w:rsidRPr="006D3362">
        <w:rPr>
          <w:rFonts w:ascii="Times New Roman" w:hAnsi="Times New Roman" w:cs="Times New Roman"/>
          <w:sz w:val="24"/>
          <w:szCs w:val="24"/>
        </w:rPr>
        <w:t xml:space="preserve">Submitted this </w:t>
      </w:r>
      <w:r w:rsidR="00640578">
        <w:rPr>
          <w:rFonts w:ascii="Times New Roman" w:hAnsi="Times New Roman" w:cs="Times New Roman"/>
          <w:sz w:val="24"/>
          <w:szCs w:val="24"/>
        </w:rPr>
        <w:t>17</w:t>
      </w:r>
      <w:r w:rsidRPr="006D3362">
        <w:rPr>
          <w:rFonts w:ascii="Times New Roman" w:hAnsi="Times New Roman" w:cs="Times New Roman"/>
          <w:sz w:val="24"/>
          <w:szCs w:val="24"/>
        </w:rPr>
        <w:t xml:space="preserve">th day of </w:t>
      </w:r>
      <w:r w:rsidR="00640578">
        <w:rPr>
          <w:rFonts w:ascii="Times New Roman" w:hAnsi="Times New Roman" w:cs="Times New Roman"/>
          <w:sz w:val="24"/>
          <w:szCs w:val="24"/>
        </w:rPr>
        <w:t>September</w:t>
      </w:r>
      <w:r w:rsidRPr="006D3362">
        <w:rPr>
          <w:rFonts w:ascii="Times New Roman" w:hAnsi="Times New Roman" w:cs="Times New Roman"/>
          <w:sz w:val="24"/>
          <w:szCs w:val="24"/>
        </w:rPr>
        <w:t>, 2010</w:t>
      </w:r>
      <w:r w:rsidRPr="006D3362">
        <w:rPr>
          <w:rFonts w:ascii="Times New Roman" w:hAnsi="Times New Roman" w:cs="Times New Roman"/>
          <w:sz w:val="24"/>
          <w:szCs w:val="24"/>
        </w:rPr>
        <w:tab/>
      </w:r>
      <w:r w:rsidRPr="006D3362">
        <w:rPr>
          <w:rFonts w:ascii="Times New Roman" w:hAnsi="Times New Roman" w:cs="Times New Roman"/>
          <w:sz w:val="24"/>
          <w:szCs w:val="24"/>
        </w:rPr>
        <w:tab/>
      </w:r>
    </w:p>
    <w:p w:rsidR="006D3362" w:rsidRPr="006D3362" w:rsidRDefault="009F3F6B" w:rsidP="006D3362">
      <w:pPr>
        <w:ind w:left="3600"/>
        <w:rPr>
          <w:rFonts w:ascii="Times New Roman" w:hAnsi="Times New Roman" w:cs="Times New Roman"/>
          <w:sz w:val="24"/>
          <w:szCs w:val="24"/>
        </w:rPr>
      </w:pPr>
      <w:r w:rsidRPr="009F3F6B">
        <w:rPr>
          <w:rFonts w:ascii="Times New Roman" w:hAnsi="Times New Roman" w:cs="Times New Roman"/>
          <w:sz w:val="24"/>
          <w:szCs w:val="24"/>
          <w:u w:val="single"/>
        </w:rPr>
        <w:t>/s/</w:t>
      </w:r>
      <w:r w:rsidR="006D3362" w:rsidRPr="006D3362">
        <w:rPr>
          <w:rFonts w:ascii="Times New Roman" w:hAnsi="Times New Roman" w:cs="Times New Roman"/>
          <w:sz w:val="24"/>
          <w:szCs w:val="24"/>
        </w:rPr>
        <w:t>____________________________</w:t>
      </w:r>
    </w:p>
    <w:p w:rsidR="006D3362" w:rsidRPr="006D3362" w:rsidRDefault="006D3362" w:rsidP="006D3362">
      <w:pPr>
        <w:ind w:left="3600"/>
        <w:rPr>
          <w:rFonts w:ascii="Times New Roman" w:hAnsi="Times New Roman" w:cs="Times New Roman"/>
          <w:sz w:val="24"/>
          <w:szCs w:val="24"/>
        </w:rPr>
      </w:pPr>
      <w:r w:rsidRPr="006D3362">
        <w:rPr>
          <w:rFonts w:ascii="Times New Roman" w:hAnsi="Times New Roman" w:cs="Times New Roman"/>
          <w:sz w:val="24"/>
          <w:szCs w:val="24"/>
        </w:rPr>
        <w:t>By:  Cynthia Manheim, Esq., General Attorney</w:t>
      </w:r>
    </w:p>
    <w:p w:rsidR="006D3362" w:rsidRPr="006D3362" w:rsidRDefault="006D3362" w:rsidP="006D3362">
      <w:pPr>
        <w:ind w:left="3600"/>
        <w:rPr>
          <w:rFonts w:ascii="Times New Roman" w:hAnsi="Times New Roman" w:cs="Times New Roman"/>
          <w:sz w:val="24"/>
          <w:szCs w:val="24"/>
        </w:rPr>
      </w:pPr>
      <w:r w:rsidRPr="006D3362">
        <w:rPr>
          <w:rFonts w:ascii="Times New Roman" w:hAnsi="Times New Roman" w:cs="Times New Roman"/>
          <w:sz w:val="24"/>
          <w:szCs w:val="24"/>
        </w:rPr>
        <w:t xml:space="preserve">Representing AT&amp;T Communications of the Pacific Northwest Inc., New Cingular Wireless PCS, LLC, and TCG Seattle </w:t>
      </w:r>
    </w:p>
    <w:p w:rsidR="006D3362" w:rsidRPr="006D3362" w:rsidRDefault="006D3362" w:rsidP="006D3362">
      <w:pPr>
        <w:spacing w:after="0" w:line="240" w:lineRule="auto"/>
        <w:ind w:left="3600"/>
        <w:rPr>
          <w:rFonts w:ascii="Times New Roman" w:hAnsi="Times New Roman" w:cs="Times New Roman"/>
          <w:sz w:val="24"/>
          <w:szCs w:val="24"/>
        </w:rPr>
      </w:pPr>
      <w:r w:rsidRPr="006D3362">
        <w:rPr>
          <w:rFonts w:ascii="Times New Roman" w:hAnsi="Times New Roman" w:cs="Times New Roman"/>
          <w:sz w:val="24"/>
          <w:szCs w:val="24"/>
        </w:rPr>
        <w:t>PO Box 97061</w:t>
      </w:r>
    </w:p>
    <w:p w:rsidR="006D3362" w:rsidRPr="006D3362" w:rsidRDefault="006D3362" w:rsidP="006D3362">
      <w:pPr>
        <w:spacing w:after="0" w:line="240" w:lineRule="auto"/>
        <w:ind w:left="3600"/>
        <w:rPr>
          <w:rFonts w:ascii="Times New Roman" w:hAnsi="Times New Roman" w:cs="Times New Roman"/>
          <w:sz w:val="24"/>
          <w:szCs w:val="24"/>
        </w:rPr>
      </w:pPr>
      <w:r w:rsidRPr="006D3362">
        <w:rPr>
          <w:rFonts w:ascii="Times New Roman" w:hAnsi="Times New Roman" w:cs="Times New Roman"/>
          <w:sz w:val="24"/>
          <w:szCs w:val="24"/>
        </w:rPr>
        <w:t>16331 NE 72nd Way</w:t>
      </w:r>
    </w:p>
    <w:p w:rsidR="006D3362" w:rsidRPr="006D3362" w:rsidRDefault="006D3362" w:rsidP="006D3362">
      <w:pPr>
        <w:spacing w:after="0" w:line="240" w:lineRule="auto"/>
        <w:ind w:left="3600"/>
        <w:rPr>
          <w:rFonts w:ascii="Times New Roman" w:hAnsi="Times New Roman" w:cs="Times New Roman"/>
          <w:sz w:val="24"/>
          <w:szCs w:val="24"/>
        </w:rPr>
      </w:pPr>
      <w:r w:rsidRPr="006D3362">
        <w:rPr>
          <w:rFonts w:ascii="Times New Roman" w:hAnsi="Times New Roman" w:cs="Times New Roman"/>
          <w:sz w:val="24"/>
          <w:szCs w:val="24"/>
        </w:rPr>
        <w:t>Redmond, WA  98073-9761</w:t>
      </w:r>
    </w:p>
    <w:p w:rsidR="006D3362" w:rsidRPr="006D3362" w:rsidRDefault="006D3362" w:rsidP="006D3362">
      <w:pPr>
        <w:spacing w:after="0" w:line="240" w:lineRule="auto"/>
        <w:ind w:left="3600"/>
        <w:rPr>
          <w:rFonts w:ascii="Times New Roman" w:hAnsi="Times New Roman" w:cs="Times New Roman"/>
          <w:sz w:val="24"/>
          <w:szCs w:val="24"/>
        </w:rPr>
      </w:pPr>
      <w:r w:rsidRPr="006D3362">
        <w:rPr>
          <w:rFonts w:ascii="Times New Roman" w:hAnsi="Times New Roman" w:cs="Times New Roman"/>
          <w:sz w:val="24"/>
          <w:szCs w:val="24"/>
        </w:rPr>
        <w:t>Telephone:  (425) 580-8112</w:t>
      </w:r>
    </w:p>
    <w:p w:rsidR="006D3362" w:rsidRPr="006D3362" w:rsidRDefault="006D3362" w:rsidP="006D3362">
      <w:pPr>
        <w:spacing w:after="0" w:line="240" w:lineRule="auto"/>
        <w:ind w:left="3600"/>
        <w:rPr>
          <w:rFonts w:ascii="Times New Roman" w:hAnsi="Times New Roman" w:cs="Times New Roman"/>
          <w:sz w:val="24"/>
          <w:szCs w:val="24"/>
        </w:rPr>
      </w:pPr>
      <w:r w:rsidRPr="006D3362">
        <w:rPr>
          <w:rFonts w:ascii="Times New Roman" w:hAnsi="Times New Roman" w:cs="Times New Roman"/>
          <w:sz w:val="24"/>
          <w:szCs w:val="24"/>
        </w:rPr>
        <w:t>Facsimile: (425) 580-8333</w:t>
      </w:r>
    </w:p>
    <w:p w:rsidR="006D3362" w:rsidRPr="006D3362" w:rsidRDefault="006D3362" w:rsidP="006D3362">
      <w:pPr>
        <w:spacing w:after="0" w:line="240" w:lineRule="auto"/>
        <w:ind w:left="3600"/>
        <w:rPr>
          <w:rFonts w:ascii="Times New Roman" w:hAnsi="Times New Roman" w:cs="Times New Roman"/>
          <w:sz w:val="24"/>
          <w:szCs w:val="24"/>
        </w:rPr>
      </w:pPr>
      <w:r w:rsidRPr="006D3362">
        <w:rPr>
          <w:rFonts w:ascii="Times New Roman" w:hAnsi="Times New Roman" w:cs="Times New Roman"/>
          <w:sz w:val="24"/>
          <w:szCs w:val="24"/>
        </w:rPr>
        <w:t xml:space="preserve">Email: </w:t>
      </w:r>
      <w:hyperlink r:id="rId8" w:history="1">
        <w:r w:rsidRPr="006D3362">
          <w:rPr>
            <w:rStyle w:val="Hyperlink"/>
            <w:rFonts w:ascii="Times New Roman" w:hAnsi="Times New Roman" w:cs="Times New Roman"/>
            <w:sz w:val="24"/>
            <w:szCs w:val="24"/>
          </w:rPr>
          <w:t>cindy.manheim@att.com</w:t>
        </w:r>
      </w:hyperlink>
    </w:p>
    <w:p w:rsidR="00640578" w:rsidRDefault="00640578">
      <w:pPr>
        <w:rPr>
          <w:rFonts w:ascii="Times New Roman" w:hAnsi="Times New Roman" w:cs="Times New Roman"/>
          <w:sz w:val="24"/>
          <w:szCs w:val="24"/>
        </w:rPr>
      </w:pPr>
      <w:r>
        <w:rPr>
          <w:rFonts w:ascii="Times New Roman" w:hAnsi="Times New Roman" w:cs="Times New Roman"/>
          <w:sz w:val="24"/>
          <w:szCs w:val="24"/>
        </w:rPr>
        <w:br w:type="page"/>
      </w:r>
    </w:p>
    <w:p w:rsidR="002354E3" w:rsidRPr="00B142D2" w:rsidRDefault="002354E3" w:rsidP="002354E3">
      <w:pPr>
        <w:pStyle w:val="ListParagraph"/>
        <w:numPr>
          <w:ilvl w:val="0"/>
          <w:numId w:val="10"/>
        </w:numPr>
        <w:spacing w:after="0" w:line="360" w:lineRule="auto"/>
        <w:rPr>
          <w:rFonts w:ascii="Times New Roman" w:hAnsi="Times New Roman"/>
          <w:b/>
          <w:sz w:val="24"/>
          <w:szCs w:val="24"/>
        </w:rPr>
      </w:pPr>
      <w:r>
        <w:rPr>
          <w:rFonts w:ascii="Times New Roman" w:hAnsi="Times New Roman"/>
          <w:b/>
          <w:sz w:val="24"/>
          <w:szCs w:val="24"/>
        </w:rPr>
        <w:lastRenderedPageBreak/>
        <w:t>INTRODUCTION</w:t>
      </w:r>
    </w:p>
    <w:p w:rsidR="002354E3" w:rsidRPr="00B142D2" w:rsidRDefault="002354E3" w:rsidP="002354E3">
      <w:pPr>
        <w:pStyle w:val="ListParagraph"/>
        <w:spacing w:after="0" w:line="360" w:lineRule="auto"/>
        <w:ind w:left="1080"/>
        <w:rPr>
          <w:rFonts w:ascii="Times New Roman" w:hAnsi="Times New Roman"/>
          <w:sz w:val="24"/>
          <w:szCs w:val="24"/>
        </w:rPr>
      </w:pPr>
    </w:p>
    <w:p w:rsidR="002354E3" w:rsidRDefault="002354E3" w:rsidP="002354E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As the Commission articulated in its first workshop notice in this docket, “[u]</w:t>
      </w:r>
      <w:proofErr w:type="spellStart"/>
      <w:r>
        <w:rPr>
          <w:rFonts w:ascii="Times New Roman" w:hAnsi="Times New Roman" w:cs="Times New Roman"/>
          <w:sz w:val="24"/>
          <w:szCs w:val="24"/>
        </w:rPr>
        <w:t>niversal</w:t>
      </w:r>
      <w:proofErr w:type="spellEnd"/>
      <w:r>
        <w:rPr>
          <w:rFonts w:ascii="Times New Roman" w:hAnsi="Times New Roman" w:cs="Times New Roman"/>
          <w:sz w:val="24"/>
          <w:szCs w:val="24"/>
        </w:rPr>
        <w:t xml:space="preserve"> service – the widespread availability of telecommunications services at reasonable rates – is a long-standing policy of the State of Washington.”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 widespread availability of telecommunications service or in this new era, broadband service, is essential for “One Washington”.  </w:t>
      </w:r>
      <w:r w:rsidRPr="00C45DFF">
        <w:rPr>
          <w:rFonts w:ascii="Times New Roman" w:hAnsi="Times New Roman" w:cs="Times New Roman"/>
          <w:sz w:val="24"/>
          <w:szCs w:val="24"/>
        </w:rPr>
        <w:t>As Washington moves toward an all broadband world, elements of the PSTN will continue to serve a valuable role. As such, investment in the network in rural areas of the state is critical to ensuring continued universal service.</w:t>
      </w:r>
      <w:r>
        <w:rPr>
          <w:rFonts w:ascii="Times New Roman" w:hAnsi="Times New Roman" w:cs="Times New Roman"/>
          <w:sz w:val="24"/>
          <w:szCs w:val="24"/>
        </w:rPr>
        <w:t xml:space="preserve"> </w:t>
      </w:r>
    </w:p>
    <w:p w:rsidR="002354E3" w:rsidRDefault="002354E3" w:rsidP="002354E3">
      <w:pPr>
        <w:spacing w:after="0" w:line="360" w:lineRule="auto"/>
        <w:ind w:firstLine="720"/>
        <w:rPr>
          <w:rFonts w:ascii="Times New Roman" w:hAnsi="Times New Roman" w:cs="Times New Roman"/>
          <w:sz w:val="24"/>
          <w:szCs w:val="24"/>
        </w:rPr>
      </w:pPr>
    </w:p>
    <w:p w:rsidR="002354E3" w:rsidRDefault="002354E3" w:rsidP="002354E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AT&amp;T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appreciates the time the Commission has invested in conducting a much needed examination of universal service in the state of Washington.  Reform is long overdue in the state.  Washingtonians and the state economy will benefit from access reform with reduced long distance rates, facilities that are available for broadband, and a smooth transition to an all-broadband world.  The Commission should take a leadership role and provide public policy guidance to the legislature on this critical issue.  </w:t>
      </w:r>
    </w:p>
    <w:p w:rsidR="002354E3" w:rsidRDefault="002354E3" w:rsidP="002354E3">
      <w:pPr>
        <w:spacing w:after="0" w:line="360" w:lineRule="auto"/>
        <w:rPr>
          <w:rFonts w:ascii="Times New Roman" w:hAnsi="Times New Roman" w:cs="Times New Roman"/>
          <w:sz w:val="24"/>
          <w:szCs w:val="24"/>
        </w:rPr>
      </w:pPr>
    </w:p>
    <w:p w:rsidR="002354E3" w:rsidRPr="00B142D2" w:rsidRDefault="002354E3" w:rsidP="002354E3">
      <w:pPr>
        <w:pStyle w:val="ListParagraph"/>
        <w:numPr>
          <w:ilvl w:val="0"/>
          <w:numId w:val="10"/>
        </w:numPr>
        <w:spacing w:after="0" w:line="360" w:lineRule="auto"/>
        <w:rPr>
          <w:rFonts w:ascii="Times New Roman" w:hAnsi="Times New Roman"/>
          <w:b/>
          <w:sz w:val="24"/>
          <w:szCs w:val="24"/>
        </w:rPr>
      </w:pPr>
      <w:r w:rsidRPr="00B142D2">
        <w:rPr>
          <w:rFonts w:ascii="Times New Roman" w:hAnsi="Times New Roman"/>
          <w:b/>
          <w:sz w:val="24"/>
          <w:szCs w:val="24"/>
        </w:rPr>
        <w:t xml:space="preserve"> DISCUSSION</w:t>
      </w:r>
    </w:p>
    <w:p w:rsidR="002354E3" w:rsidRPr="00B142D2" w:rsidRDefault="002354E3" w:rsidP="002354E3">
      <w:pPr>
        <w:pStyle w:val="ListParagraph"/>
        <w:spacing w:after="0" w:line="360" w:lineRule="auto"/>
        <w:ind w:left="1080"/>
        <w:rPr>
          <w:rFonts w:ascii="Times New Roman" w:hAnsi="Times New Roman"/>
          <w:sz w:val="24"/>
          <w:szCs w:val="24"/>
        </w:rPr>
      </w:pPr>
    </w:p>
    <w:p w:rsidR="002354E3" w:rsidRDefault="002354E3" w:rsidP="00A96226">
      <w:pPr>
        <w:pStyle w:val="ListParagraph"/>
        <w:numPr>
          <w:ilvl w:val="0"/>
          <w:numId w:val="9"/>
        </w:numPr>
        <w:spacing w:after="0" w:line="240" w:lineRule="auto"/>
        <w:ind w:left="1170" w:hanging="540"/>
        <w:rPr>
          <w:rFonts w:ascii="Times New Roman" w:hAnsi="Times New Roman"/>
          <w:b/>
          <w:sz w:val="24"/>
          <w:szCs w:val="24"/>
        </w:rPr>
      </w:pPr>
      <w:r w:rsidRPr="006A6CED">
        <w:rPr>
          <w:rFonts w:ascii="Times New Roman" w:hAnsi="Times New Roman"/>
          <w:b/>
          <w:sz w:val="24"/>
          <w:szCs w:val="24"/>
        </w:rPr>
        <w:t>WITA’s Proposal Contains Many Important Elements</w:t>
      </w:r>
      <w:r>
        <w:rPr>
          <w:rFonts w:ascii="Times New Roman" w:hAnsi="Times New Roman"/>
          <w:b/>
          <w:sz w:val="24"/>
          <w:szCs w:val="24"/>
        </w:rPr>
        <w:t xml:space="preserve"> for Universal Service in    Washington</w:t>
      </w:r>
    </w:p>
    <w:p w:rsidR="002354E3" w:rsidRPr="006A6CED" w:rsidRDefault="002354E3" w:rsidP="002354E3">
      <w:pPr>
        <w:pStyle w:val="ListParagraph"/>
        <w:spacing w:after="0" w:line="240" w:lineRule="auto"/>
        <w:rPr>
          <w:rFonts w:ascii="Times New Roman" w:hAnsi="Times New Roman"/>
          <w:b/>
          <w:sz w:val="24"/>
          <w:szCs w:val="24"/>
        </w:rPr>
      </w:pPr>
    </w:p>
    <w:p w:rsidR="002354E3" w:rsidRDefault="002354E3" w:rsidP="002354E3">
      <w:pPr>
        <w:spacing w:after="0" w:line="360" w:lineRule="auto"/>
        <w:ind w:firstLine="720"/>
        <w:rPr>
          <w:rFonts w:ascii="Times New Roman" w:hAnsi="Times New Roman"/>
          <w:sz w:val="24"/>
          <w:szCs w:val="24"/>
        </w:rPr>
      </w:pPr>
      <w:r>
        <w:rPr>
          <w:rFonts w:ascii="Times New Roman" w:hAnsi="Times New Roman"/>
          <w:sz w:val="24"/>
          <w:szCs w:val="24"/>
        </w:rPr>
        <w:t>There is general consensus among the interested parties that the current access charge system in Washington is broken.</w:t>
      </w:r>
      <w:r>
        <w:rPr>
          <w:rStyle w:val="FootnoteReference"/>
          <w:rFonts w:ascii="Times New Roman" w:hAnsi="Times New Roman"/>
          <w:sz w:val="24"/>
          <w:szCs w:val="24"/>
        </w:rPr>
        <w:footnoteReference w:id="3"/>
      </w:r>
      <w:r>
        <w:rPr>
          <w:rFonts w:ascii="Times New Roman" w:hAnsi="Times New Roman"/>
          <w:sz w:val="24"/>
          <w:szCs w:val="24"/>
        </w:rPr>
        <w:t xml:space="preserve">  The current level of intrastate switched access rates results in overcharges to consumers all across Washington for wireline long distance service to subsidize </w:t>
      </w:r>
      <w:r>
        <w:rPr>
          <w:rFonts w:ascii="Times New Roman" w:hAnsi="Times New Roman"/>
          <w:sz w:val="24"/>
          <w:szCs w:val="24"/>
        </w:rPr>
        <w:lastRenderedPageBreak/>
        <w:t>artificially low local retail rates.  As long distance minutes decline the access revenues of the ILECs decline and cannot provide the same level of support for universal service.</w:t>
      </w:r>
      <w:r>
        <w:rPr>
          <w:rStyle w:val="FootnoteReference"/>
          <w:rFonts w:ascii="Times New Roman" w:hAnsi="Times New Roman"/>
          <w:sz w:val="24"/>
          <w:szCs w:val="24"/>
        </w:rPr>
        <w:footnoteReference w:id="4"/>
      </w:r>
      <w:r>
        <w:rPr>
          <w:rFonts w:ascii="Times New Roman" w:hAnsi="Times New Roman"/>
          <w:sz w:val="24"/>
          <w:szCs w:val="24"/>
        </w:rPr>
        <w:t xml:space="preserve">  The current access regime is a hold-over from a monopoly era and is unsustainable in this new era of fierce competition, different modes of communication and transition to an all-broadband world. Comprehensive reform is needed today in the state of Washington; however, there are a number of different views on how this should be accomplished.      </w:t>
      </w:r>
    </w:p>
    <w:p w:rsidR="002354E3" w:rsidRDefault="002354E3" w:rsidP="002354E3">
      <w:pPr>
        <w:spacing w:after="0" w:line="360" w:lineRule="auto"/>
        <w:ind w:firstLine="720"/>
        <w:rPr>
          <w:rFonts w:ascii="Times New Roman" w:hAnsi="Times New Roman"/>
          <w:sz w:val="24"/>
          <w:szCs w:val="24"/>
        </w:rPr>
      </w:pPr>
    </w:p>
    <w:p w:rsidR="002354E3" w:rsidRDefault="002354E3" w:rsidP="002354E3">
      <w:pPr>
        <w:spacing w:after="0" w:line="360" w:lineRule="auto"/>
        <w:ind w:firstLine="720"/>
        <w:rPr>
          <w:rFonts w:ascii="Times New Roman" w:hAnsi="Times New Roman"/>
          <w:sz w:val="24"/>
          <w:szCs w:val="24"/>
        </w:rPr>
      </w:pPr>
      <w:r>
        <w:rPr>
          <w:rFonts w:ascii="Times New Roman" w:hAnsi="Times New Roman" w:cs="Times New Roman"/>
          <w:sz w:val="24"/>
          <w:szCs w:val="24"/>
        </w:rPr>
        <w:t xml:space="preserve">AT&amp;T </w:t>
      </w:r>
      <w:r w:rsidRPr="00815FEA">
        <w:rPr>
          <w:rFonts w:ascii="Times New Roman" w:hAnsi="Times New Roman" w:cs="Times New Roman"/>
          <w:sz w:val="24"/>
          <w:szCs w:val="24"/>
        </w:rPr>
        <w:t>commends the effort</w:t>
      </w:r>
      <w:r>
        <w:rPr>
          <w:rFonts w:ascii="Times New Roman" w:hAnsi="Times New Roman" w:cs="Times New Roman"/>
          <w:sz w:val="24"/>
          <w:szCs w:val="24"/>
        </w:rPr>
        <w:t xml:space="preserve"> of the WITA companies to put together and present a concept paper.  </w:t>
      </w:r>
      <w:r>
        <w:rPr>
          <w:rFonts w:ascii="Times New Roman" w:hAnsi="Times New Roman"/>
          <w:sz w:val="24"/>
          <w:szCs w:val="24"/>
        </w:rPr>
        <w:t xml:space="preserve">The WITA companies’ concept paper incorporates a number of aspects that have been suggested by various parties in this proceeding.  Specifically, WITA’s paper:   </w:t>
      </w:r>
    </w:p>
    <w:p w:rsidR="002354E3" w:rsidRPr="006B7D37" w:rsidRDefault="002354E3" w:rsidP="002354E3">
      <w:pPr>
        <w:pStyle w:val="ListParagraph"/>
        <w:numPr>
          <w:ilvl w:val="0"/>
          <w:numId w:val="8"/>
        </w:numPr>
        <w:spacing w:after="0" w:line="360" w:lineRule="auto"/>
        <w:rPr>
          <w:rFonts w:ascii="Times New Roman" w:hAnsi="Times New Roman"/>
          <w:sz w:val="24"/>
          <w:szCs w:val="24"/>
        </w:rPr>
      </w:pPr>
      <w:r>
        <w:rPr>
          <w:rFonts w:ascii="Times New Roman" w:hAnsi="Times New Roman"/>
          <w:sz w:val="24"/>
          <w:szCs w:val="24"/>
        </w:rPr>
        <w:t xml:space="preserve">Addresses concerns regarding companies receiving state </w:t>
      </w:r>
      <w:r w:rsidRPr="006B7D37">
        <w:rPr>
          <w:rFonts w:ascii="Times New Roman" w:hAnsi="Times New Roman"/>
          <w:sz w:val="24"/>
          <w:szCs w:val="24"/>
        </w:rPr>
        <w:t xml:space="preserve">universal service support in areas </w:t>
      </w:r>
      <w:r>
        <w:rPr>
          <w:rFonts w:ascii="Times New Roman" w:hAnsi="Times New Roman"/>
          <w:sz w:val="24"/>
          <w:szCs w:val="24"/>
        </w:rPr>
        <w:t xml:space="preserve">with facilities-based </w:t>
      </w:r>
      <w:r w:rsidRPr="006B7D37">
        <w:rPr>
          <w:rFonts w:ascii="Times New Roman" w:hAnsi="Times New Roman"/>
          <w:sz w:val="24"/>
          <w:szCs w:val="24"/>
        </w:rPr>
        <w:t xml:space="preserve">competition by limiting the amount of support available from the </w:t>
      </w:r>
      <w:r>
        <w:rPr>
          <w:rFonts w:ascii="Times New Roman" w:hAnsi="Times New Roman"/>
          <w:sz w:val="24"/>
          <w:szCs w:val="24"/>
        </w:rPr>
        <w:t>Washington Universal Service Fund (“</w:t>
      </w:r>
      <w:r w:rsidRPr="006B7D37">
        <w:rPr>
          <w:rFonts w:ascii="Times New Roman" w:hAnsi="Times New Roman"/>
          <w:sz w:val="24"/>
          <w:szCs w:val="24"/>
        </w:rPr>
        <w:t>WUSF</w:t>
      </w:r>
      <w:r>
        <w:rPr>
          <w:rFonts w:ascii="Times New Roman" w:hAnsi="Times New Roman"/>
          <w:sz w:val="24"/>
          <w:szCs w:val="24"/>
        </w:rPr>
        <w:t>”) to only high cost areas</w:t>
      </w:r>
      <w:r w:rsidRPr="006B7D37">
        <w:rPr>
          <w:rFonts w:ascii="Times New Roman" w:hAnsi="Times New Roman"/>
          <w:sz w:val="24"/>
          <w:szCs w:val="24"/>
        </w:rPr>
        <w:t xml:space="preserve"> for those companies serving more than 2% of the access lines in Washington</w:t>
      </w:r>
      <w:r>
        <w:rPr>
          <w:rFonts w:ascii="Times New Roman" w:hAnsi="Times New Roman"/>
          <w:sz w:val="24"/>
          <w:szCs w:val="24"/>
        </w:rPr>
        <w:t xml:space="preserve">;  </w:t>
      </w:r>
      <w:r w:rsidRPr="006B7D37">
        <w:rPr>
          <w:rFonts w:ascii="Times New Roman" w:hAnsi="Times New Roman"/>
          <w:sz w:val="24"/>
          <w:szCs w:val="24"/>
        </w:rPr>
        <w:t xml:space="preserve">  </w:t>
      </w:r>
    </w:p>
    <w:p w:rsidR="002354E3" w:rsidRDefault="002354E3" w:rsidP="002354E3">
      <w:pPr>
        <w:pStyle w:val="ListParagraph"/>
        <w:numPr>
          <w:ilvl w:val="0"/>
          <w:numId w:val="8"/>
        </w:numPr>
        <w:spacing w:after="0" w:line="360" w:lineRule="auto"/>
        <w:rPr>
          <w:rFonts w:ascii="Times New Roman" w:hAnsi="Times New Roman"/>
          <w:sz w:val="24"/>
          <w:szCs w:val="24"/>
        </w:rPr>
      </w:pPr>
      <w:r>
        <w:rPr>
          <w:rFonts w:ascii="Times New Roman" w:hAnsi="Times New Roman"/>
          <w:sz w:val="24"/>
          <w:szCs w:val="24"/>
        </w:rPr>
        <w:t xml:space="preserve">Incorporates comments that a LEC should first look to its own customers to recover reductions in access charges before receiving any money from a state universal service fund by establishing a statewide local retail rate benchmark to which local retail rates can be raised revenues and revenues will be imputed before the ILEC receives state universal service funds; and, </w:t>
      </w:r>
    </w:p>
    <w:p w:rsidR="002354E3" w:rsidRDefault="002354E3" w:rsidP="002354E3">
      <w:pPr>
        <w:pStyle w:val="ListParagraph"/>
        <w:numPr>
          <w:ilvl w:val="0"/>
          <w:numId w:val="8"/>
        </w:numPr>
        <w:spacing w:after="0" w:line="360" w:lineRule="auto"/>
        <w:rPr>
          <w:rFonts w:ascii="Times New Roman" w:hAnsi="Times New Roman"/>
          <w:sz w:val="24"/>
          <w:szCs w:val="24"/>
        </w:rPr>
      </w:pPr>
      <w:r>
        <w:rPr>
          <w:rFonts w:ascii="Times New Roman" w:hAnsi="Times New Roman"/>
          <w:sz w:val="24"/>
          <w:szCs w:val="24"/>
        </w:rPr>
        <w:t xml:space="preserve">Addresses concerns that some </w:t>
      </w:r>
      <w:r w:rsidRPr="00017A66">
        <w:rPr>
          <w:rFonts w:ascii="Times New Roman" w:hAnsi="Times New Roman"/>
          <w:sz w:val="24"/>
          <w:szCs w:val="24"/>
        </w:rPr>
        <w:t xml:space="preserve">WITA </w:t>
      </w:r>
      <w:r>
        <w:rPr>
          <w:rFonts w:ascii="Times New Roman" w:hAnsi="Times New Roman"/>
          <w:sz w:val="24"/>
          <w:szCs w:val="24"/>
        </w:rPr>
        <w:t xml:space="preserve">companies may not need to receive any state universal service support by requiring a simplified earnings review.  </w:t>
      </w:r>
    </w:p>
    <w:p w:rsidR="002354E3" w:rsidRPr="00017A66" w:rsidRDefault="002354E3" w:rsidP="002354E3">
      <w:pPr>
        <w:spacing w:after="0" w:line="360" w:lineRule="auto"/>
        <w:ind w:left="1185"/>
        <w:rPr>
          <w:rFonts w:ascii="Times New Roman" w:hAnsi="Times New Roman"/>
          <w:sz w:val="24"/>
          <w:szCs w:val="24"/>
        </w:rPr>
      </w:pPr>
    </w:p>
    <w:p w:rsidR="002354E3" w:rsidRPr="00017A66" w:rsidRDefault="002354E3" w:rsidP="002354E3">
      <w:pPr>
        <w:spacing w:after="0" w:line="360" w:lineRule="auto"/>
        <w:ind w:firstLine="720"/>
        <w:rPr>
          <w:rFonts w:ascii="Times New Roman" w:hAnsi="Times New Roman"/>
          <w:sz w:val="24"/>
          <w:szCs w:val="24"/>
        </w:rPr>
      </w:pPr>
      <w:r w:rsidRPr="00017A66">
        <w:rPr>
          <w:rFonts w:ascii="Times New Roman" w:hAnsi="Times New Roman"/>
          <w:sz w:val="24"/>
          <w:szCs w:val="24"/>
        </w:rPr>
        <w:t>While AT&amp;T does not necessarily support all aspects of WITA’s proposal, AT&amp;T does support many of the overarching principles, such as:</w:t>
      </w:r>
    </w:p>
    <w:p w:rsidR="002354E3" w:rsidRDefault="002354E3" w:rsidP="002354E3">
      <w:pPr>
        <w:pStyle w:val="ListParagraph"/>
        <w:numPr>
          <w:ilvl w:val="0"/>
          <w:numId w:val="7"/>
        </w:numPr>
        <w:spacing w:after="0" w:line="360" w:lineRule="auto"/>
        <w:rPr>
          <w:rFonts w:ascii="Times New Roman" w:hAnsi="Times New Roman"/>
          <w:sz w:val="24"/>
          <w:szCs w:val="24"/>
        </w:rPr>
      </w:pPr>
      <w:r>
        <w:rPr>
          <w:rFonts w:ascii="Times New Roman" w:hAnsi="Times New Roman"/>
          <w:sz w:val="24"/>
          <w:szCs w:val="24"/>
        </w:rPr>
        <w:t>Reducing ILEC intrastate switched access rates to mirror interstate rates;</w:t>
      </w:r>
    </w:p>
    <w:p w:rsidR="002354E3" w:rsidRDefault="002354E3" w:rsidP="002354E3">
      <w:pPr>
        <w:pStyle w:val="ListParagraph"/>
        <w:numPr>
          <w:ilvl w:val="0"/>
          <w:numId w:val="7"/>
        </w:numPr>
        <w:spacing w:after="0" w:line="240" w:lineRule="auto"/>
        <w:ind w:left="1541"/>
        <w:rPr>
          <w:rFonts w:ascii="Times New Roman" w:hAnsi="Times New Roman"/>
          <w:sz w:val="24"/>
          <w:szCs w:val="24"/>
        </w:rPr>
      </w:pPr>
      <w:r>
        <w:rPr>
          <w:rFonts w:ascii="Times New Roman" w:hAnsi="Times New Roman"/>
          <w:sz w:val="24"/>
          <w:szCs w:val="24"/>
        </w:rPr>
        <w:t xml:space="preserve">Capping CLEC intrastate switched access rates at the rate charged by the ILEC area in which the CLEC competes; </w:t>
      </w:r>
    </w:p>
    <w:p w:rsidR="002354E3" w:rsidRDefault="002354E3" w:rsidP="002354E3">
      <w:pPr>
        <w:pStyle w:val="ListParagraph"/>
        <w:spacing w:after="0" w:line="240" w:lineRule="auto"/>
        <w:ind w:left="1541"/>
        <w:rPr>
          <w:rFonts w:ascii="Times New Roman" w:hAnsi="Times New Roman"/>
          <w:sz w:val="24"/>
          <w:szCs w:val="24"/>
        </w:rPr>
      </w:pPr>
    </w:p>
    <w:p w:rsidR="002354E3" w:rsidRDefault="002354E3" w:rsidP="002354E3">
      <w:pPr>
        <w:pStyle w:val="ListParagraph"/>
        <w:numPr>
          <w:ilvl w:val="0"/>
          <w:numId w:val="7"/>
        </w:numPr>
        <w:spacing w:after="0" w:line="240" w:lineRule="auto"/>
        <w:ind w:left="1541"/>
        <w:rPr>
          <w:rFonts w:ascii="Times New Roman" w:hAnsi="Times New Roman"/>
          <w:sz w:val="24"/>
          <w:szCs w:val="24"/>
        </w:rPr>
      </w:pPr>
      <w:r>
        <w:rPr>
          <w:rFonts w:ascii="Times New Roman" w:hAnsi="Times New Roman"/>
          <w:sz w:val="24"/>
          <w:szCs w:val="24"/>
        </w:rPr>
        <w:lastRenderedPageBreak/>
        <w:t xml:space="preserve">Setting a single statewide local retail rate benchmark to which ILECs must raise local rates or to which local revenues will be imputed before any money can be taken from a state USF; </w:t>
      </w:r>
    </w:p>
    <w:p w:rsidR="002354E3" w:rsidRPr="00646343" w:rsidRDefault="002354E3" w:rsidP="002354E3">
      <w:pPr>
        <w:pStyle w:val="ListParagraph"/>
        <w:rPr>
          <w:rFonts w:ascii="Times New Roman" w:hAnsi="Times New Roman"/>
          <w:sz w:val="24"/>
          <w:szCs w:val="24"/>
        </w:rPr>
      </w:pPr>
    </w:p>
    <w:p w:rsidR="002354E3" w:rsidRDefault="002354E3" w:rsidP="002354E3">
      <w:pPr>
        <w:pStyle w:val="ListParagraph"/>
        <w:numPr>
          <w:ilvl w:val="0"/>
          <w:numId w:val="7"/>
        </w:numPr>
        <w:spacing w:after="0" w:line="240" w:lineRule="auto"/>
        <w:ind w:left="1541"/>
        <w:rPr>
          <w:rFonts w:ascii="Times New Roman" w:hAnsi="Times New Roman"/>
          <w:sz w:val="24"/>
          <w:szCs w:val="24"/>
        </w:rPr>
      </w:pPr>
      <w:r>
        <w:rPr>
          <w:rFonts w:ascii="Times New Roman" w:hAnsi="Times New Roman"/>
          <w:sz w:val="24"/>
          <w:szCs w:val="24"/>
        </w:rPr>
        <w:t>Limiting support from a state universal service fund to a single provider per geographic area;</w:t>
      </w:r>
    </w:p>
    <w:p w:rsidR="002354E3" w:rsidRDefault="002354E3" w:rsidP="002354E3">
      <w:pPr>
        <w:pStyle w:val="ListParagraph"/>
        <w:spacing w:after="0" w:line="240" w:lineRule="auto"/>
        <w:ind w:left="1541"/>
        <w:rPr>
          <w:rFonts w:ascii="Times New Roman" w:hAnsi="Times New Roman"/>
          <w:sz w:val="24"/>
          <w:szCs w:val="24"/>
        </w:rPr>
      </w:pPr>
    </w:p>
    <w:p w:rsidR="002354E3" w:rsidRDefault="002354E3" w:rsidP="002354E3">
      <w:pPr>
        <w:pStyle w:val="ListParagraph"/>
        <w:numPr>
          <w:ilvl w:val="0"/>
          <w:numId w:val="7"/>
        </w:numPr>
        <w:spacing w:after="0" w:line="240" w:lineRule="auto"/>
        <w:ind w:left="1541"/>
        <w:rPr>
          <w:rFonts w:ascii="Times New Roman" w:hAnsi="Times New Roman"/>
          <w:sz w:val="24"/>
          <w:szCs w:val="24"/>
        </w:rPr>
      </w:pPr>
      <w:r>
        <w:rPr>
          <w:rFonts w:ascii="Times New Roman" w:hAnsi="Times New Roman"/>
          <w:sz w:val="24"/>
          <w:szCs w:val="24"/>
        </w:rPr>
        <w:t xml:space="preserve">Recognizing COLR obligations and universal service support are inextricably linked and limiting receipt of state USF support to the provider with COLR obligations; and, </w:t>
      </w:r>
    </w:p>
    <w:p w:rsidR="002354E3" w:rsidRPr="00646343" w:rsidRDefault="002354E3" w:rsidP="002354E3">
      <w:pPr>
        <w:pStyle w:val="ListParagraph"/>
        <w:rPr>
          <w:rFonts w:ascii="Times New Roman" w:hAnsi="Times New Roman"/>
          <w:sz w:val="24"/>
          <w:szCs w:val="24"/>
        </w:rPr>
      </w:pPr>
    </w:p>
    <w:p w:rsidR="002354E3" w:rsidRPr="00BC06F7" w:rsidRDefault="002354E3" w:rsidP="002354E3">
      <w:pPr>
        <w:pStyle w:val="ListParagraph"/>
        <w:numPr>
          <w:ilvl w:val="0"/>
          <w:numId w:val="7"/>
        </w:numPr>
        <w:spacing w:after="0" w:line="240" w:lineRule="auto"/>
        <w:ind w:left="1541"/>
        <w:rPr>
          <w:rFonts w:ascii="Times New Roman" w:hAnsi="Times New Roman"/>
          <w:sz w:val="24"/>
          <w:szCs w:val="24"/>
        </w:rPr>
      </w:pPr>
      <w:r w:rsidRPr="00BC06F7">
        <w:rPr>
          <w:rFonts w:ascii="Times New Roman" w:hAnsi="Times New Roman"/>
          <w:sz w:val="24"/>
          <w:szCs w:val="24"/>
        </w:rPr>
        <w:t>Recogni</w:t>
      </w:r>
      <w:r>
        <w:rPr>
          <w:rFonts w:ascii="Times New Roman" w:hAnsi="Times New Roman"/>
          <w:sz w:val="24"/>
          <w:szCs w:val="24"/>
        </w:rPr>
        <w:t xml:space="preserve">zing </w:t>
      </w:r>
      <w:r w:rsidRPr="00BC06F7">
        <w:rPr>
          <w:rFonts w:ascii="Times New Roman" w:hAnsi="Times New Roman"/>
          <w:sz w:val="24"/>
          <w:szCs w:val="24"/>
        </w:rPr>
        <w:t xml:space="preserve">that </w:t>
      </w:r>
      <w:r>
        <w:rPr>
          <w:rFonts w:ascii="Times New Roman" w:hAnsi="Times New Roman"/>
          <w:sz w:val="24"/>
          <w:szCs w:val="24"/>
        </w:rPr>
        <w:t>plain old telephone service (“</w:t>
      </w:r>
      <w:r w:rsidRPr="00BC06F7">
        <w:rPr>
          <w:rFonts w:ascii="Times New Roman" w:hAnsi="Times New Roman"/>
          <w:sz w:val="24"/>
          <w:szCs w:val="24"/>
        </w:rPr>
        <w:t>POTS</w:t>
      </w:r>
      <w:r>
        <w:rPr>
          <w:rFonts w:ascii="Times New Roman" w:hAnsi="Times New Roman"/>
          <w:sz w:val="24"/>
          <w:szCs w:val="24"/>
        </w:rPr>
        <w:t>”)</w:t>
      </w:r>
      <w:r w:rsidRPr="00BC06F7">
        <w:rPr>
          <w:rFonts w:ascii="Times New Roman" w:hAnsi="Times New Roman"/>
          <w:sz w:val="24"/>
          <w:szCs w:val="24"/>
        </w:rPr>
        <w:t xml:space="preserve"> will become obsolete at some point and </w:t>
      </w:r>
      <w:r>
        <w:rPr>
          <w:rFonts w:ascii="Times New Roman" w:hAnsi="Times New Roman"/>
          <w:sz w:val="24"/>
          <w:szCs w:val="24"/>
        </w:rPr>
        <w:t xml:space="preserve">the </w:t>
      </w:r>
      <w:r w:rsidRPr="00BC06F7">
        <w:rPr>
          <w:rFonts w:ascii="Times New Roman" w:hAnsi="Times New Roman"/>
          <w:sz w:val="24"/>
          <w:szCs w:val="24"/>
        </w:rPr>
        <w:t xml:space="preserve">state </w:t>
      </w:r>
      <w:r>
        <w:rPr>
          <w:rFonts w:ascii="Times New Roman" w:hAnsi="Times New Roman"/>
          <w:sz w:val="24"/>
          <w:szCs w:val="24"/>
        </w:rPr>
        <w:t xml:space="preserve">universal service </w:t>
      </w:r>
      <w:r w:rsidRPr="00BC06F7">
        <w:rPr>
          <w:rFonts w:ascii="Times New Roman" w:hAnsi="Times New Roman"/>
          <w:sz w:val="24"/>
          <w:szCs w:val="24"/>
        </w:rPr>
        <w:t xml:space="preserve">fund will need to change. </w:t>
      </w:r>
    </w:p>
    <w:p w:rsidR="002354E3" w:rsidRDefault="002354E3" w:rsidP="002354E3">
      <w:pPr>
        <w:spacing w:after="0" w:line="360" w:lineRule="auto"/>
        <w:ind w:firstLine="720"/>
        <w:rPr>
          <w:rFonts w:ascii="Times New Roman" w:hAnsi="Times New Roman"/>
          <w:sz w:val="24"/>
          <w:szCs w:val="24"/>
        </w:rPr>
      </w:pPr>
    </w:p>
    <w:p w:rsidR="002354E3" w:rsidRDefault="002354E3" w:rsidP="002354E3">
      <w:pPr>
        <w:spacing w:after="0" w:line="360" w:lineRule="auto"/>
        <w:ind w:firstLine="720"/>
        <w:rPr>
          <w:rFonts w:ascii="Times New Roman" w:hAnsi="Times New Roman"/>
          <w:sz w:val="24"/>
          <w:szCs w:val="24"/>
        </w:rPr>
      </w:pPr>
      <w:r>
        <w:rPr>
          <w:rFonts w:ascii="Times New Roman" w:hAnsi="Times New Roman"/>
          <w:sz w:val="24"/>
          <w:szCs w:val="24"/>
        </w:rPr>
        <w:t xml:space="preserve">AT&amp;T, however, has a concern with the concept in WITA’s paper that a LEC with fewer than 2% of the access lines in the state may also be able to receive high cost support from a state universal service fund.  This would be in addition to any funds that the LEC would receive from a state universal service fund after rebalancing its local retail rates.  AT&amp;T believes that, at a minimum, any fund support above that which is necessary to rebalance access reductions should be subject to a complete earnings review.   </w:t>
      </w:r>
    </w:p>
    <w:p w:rsidR="002354E3" w:rsidRDefault="002354E3" w:rsidP="002354E3">
      <w:pPr>
        <w:spacing w:after="0" w:line="360" w:lineRule="auto"/>
        <w:ind w:firstLine="720"/>
        <w:rPr>
          <w:rFonts w:ascii="Times New Roman" w:hAnsi="Times New Roman" w:cs="Times New Roman"/>
          <w:sz w:val="24"/>
          <w:szCs w:val="24"/>
        </w:rPr>
      </w:pPr>
    </w:p>
    <w:p w:rsidR="002354E3" w:rsidRDefault="002354E3" w:rsidP="002354E3">
      <w:pPr>
        <w:pStyle w:val="ListParagraph"/>
        <w:numPr>
          <w:ilvl w:val="0"/>
          <w:numId w:val="9"/>
        </w:numPr>
        <w:spacing w:after="0" w:line="360" w:lineRule="auto"/>
        <w:rPr>
          <w:rFonts w:ascii="Times New Roman" w:hAnsi="Times New Roman"/>
          <w:b/>
          <w:sz w:val="24"/>
          <w:szCs w:val="24"/>
        </w:rPr>
      </w:pPr>
      <w:r w:rsidRPr="006A6CED">
        <w:rPr>
          <w:rFonts w:ascii="Times New Roman" w:hAnsi="Times New Roman"/>
          <w:b/>
          <w:sz w:val="24"/>
          <w:szCs w:val="24"/>
        </w:rPr>
        <w:t>AT&amp;T’s Principles for Reform Are Similar In Many Respects to WITA’s</w:t>
      </w:r>
    </w:p>
    <w:p w:rsidR="00A96226" w:rsidRPr="006A6CED" w:rsidRDefault="00A96226" w:rsidP="00A96226">
      <w:pPr>
        <w:pStyle w:val="ListParagraph"/>
        <w:spacing w:after="0" w:line="360" w:lineRule="auto"/>
        <w:ind w:left="1080"/>
        <w:rPr>
          <w:rFonts w:ascii="Times New Roman" w:hAnsi="Times New Roman"/>
          <w:b/>
          <w:sz w:val="24"/>
          <w:szCs w:val="24"/>
        </w:rPr>
      </w:pPr>
    </w:p>
    <w:p w:rsidR="002354E3" w:rsidRDefault="002354E3" w:rsidP="002354E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not nearly as detailed as WITA’s proposal, Joel </w:t>
      </w:r>
      <w:proofErr w:type="spellStart"/>
      <w:r>
        <w:rPr>
          <w:rFonts w:ascii="Times New Roman" w:hAnsi="Times New Roman" w:cs="Times New Roman"/>
          <w:sz w:val="24"/>
          <w:szCs w:val="24"/>
        </w:rPr>
        <w:t>Lubin</w:t>
      </w:r>
      <w:proofErr w:type="spellEnd"/>
      <w:r>
        <w:rPr>
          <w:rFonts w:ascii="Times New Roman" w:hAnsi="Times New Roman" w:cs="Times New Roman"/>
          <w:sz w:val="24"/>
          <w:szCs w:val="24"/>
        </w:rPr>
        <w:t xml:space="preserve"> in his presentation at the workshop on May 5, 2010, discussed the main components needed for reform in the state of Washington.  AT&amp;T also included these principles in its opening comments.  AT&amp;T has modified these principles slightly to take into account comments raised in this proceeding and has provided these principles below.      </w:t>
      </w:r>
    </w:p>
    <w:p w:rsidR="002354E3" w:rsidRPr="007D2411" w:rsidRDefault="002354E3" w:rsidP="002354E3">
      <w:pPr>
        <w:pStyle w:val="ListParagraph"/>
        <w:numPr>
          <w:ilvl w:val="0"/>
          <w:numId w:val="6"/>
        </w:numPr>
        <w:spacing w:after="0" w:line="240" w:lineRule="auto"/>
        <w:rPr>
          <w:rFonts w:ascii="Times New Roman" w:hAnsi="Times New Roman"/>
          <w:sz w:val="24"/>
          <w:szCs w:val="24"/>
        </w:rPr>
      </w:pPr>
      <w:r w:rsidRPr="00C00D61">
        <w:rPr>
          <w:rFonts w:ascii="Times New Roman" w:hAnsi="Times New Roman"/>
          <w:sz w:val="24"/>
          <w:szCs w:val="24"/>
          <w:u w:val="single"/>
        </w:rPr>
        <w:t>Reduce Access Rates:</w:t>
      </w:r>
      <w:r>
        <w:rPr>
          <w:rFonts w:ascii="Times New Roman" w:hAnsi="Times New Roman"/>
          <w:sz w:val="24"/>
          <w:szCs w:val="24"/>
        </w:rPr>
        <w:t xml:space="preserve">  </w:t>
      </w:r>
      <w:r w:rsidRPr="007D2411">
        <w:rPr>
          <w:rFonts w:ascii="Times New Roman" w:hAnsi="Times New Roman"/>
          <w:sz w:val="24"/>
          <w:szCs w:val="24"/>
        </w:rPr>
        <w:t xml:space="preserve">All Washington LECs should be required to reduce and maintain intrastate switched access rates to mirror that company’s corresponding interstate switched access rate level and rate structure; CLECs should be required to cap their intrastate access rates at the intrastate access rates of the ILECs with which they compete.  </w:t>
      </w:r>
    </w:p>
    <w:p w:rsidR="002354E3" w:rsidRPr="007D2411" w:rsidRDefault="002354E3" w:rsidP="002354E3">
      <w:pPr>
        <w:numPr>
          <w:ilvl w:val="1"/>
          <w:numId w:val="5"/>
        </w:numPr>
        <w:tabs>
          <w:tab w:val="clear"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includes elimination of Traditional USF, ITAC, and CCLC rate elements; </w:t>
      </w:r>
      <w:r w:rsidRPr="007D2411">
        <w:rPr>
          <w:rFonts w:ascii="Times New Roman" w:hAnsi="Times New Roman" w:cs="Times New Roman"/>
          <w:sz w:val="24"/>
          <w:szCs w:val="24"/>
        </w:rPr>
        <w:t xml:space="preserve">funding will be made up from retail rates (imputed up to benchmark) and/or state universal service fund (where necessary). </w:t>
      </w:r>
    </w:p>
    <w:p w:rsidR="002354E3" w:rsidRPr="007D2411" w:rsidRDefault="002354E3" w:rsidP="002354E3">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u w:val="single"/>
        </w:rPr>
        <w:t>Recovery of Lost Access Revenues:</w:t>
      </w:r>
      <w:r>
        <w:rPr>
          <w:rFonts w:ascii="Times New Roman" w:hAnsi="Times New Roman"/>
          <w:sz w:val="24"/>
          <w:szCs w:val="24"/>
        </w:rPr>
        <w:t xml:space="preserve"> </w:t>
      </w:r>
      <w:r w:rsidRPr="007D2411">
        <w:rPr>
          <w:rFonts w:ascii="Times New Roman" w:hAnsi="Times New Roman"/>
          <w:sz w:val="24"/>
          <w:szCs w:val="24"/>
        </w:rPr>
        <w:t xml:space="preserve">A statewide uniform retail rate benchmark for local rates should be established to determine how much of the ILEC access revenue reduction would be recovered </w:t>
      </w:r>
      <w:r>
        <w:rPr>
          <w:rFonts w:ascii="Times New Roman" w:hAnsi="Times New Roman"/>
          <w:sz w:val="24"/>
          <w:szCs w:val="24"/>
        </w:rPr>
        <w:t xml:space="preserve">first </w:t>
      </w:r>
      <w:r w:rsidRPr="007D2411">
        <w:rPr>
          <w:rFonts w:ascii="Times New Roman" w:hAnsi="Times New Roman"/>
          <w:sz w:val="24"/>
          <w:szCs w:val="24"/>
        </w:rPr>
        <w:t>from retail rates</w:t>
      </w:r>
      <w:r>
        <w:rPr>
          <w:rFonts w:ascii="Times New Roman" w:hAnsi="Times New Roman"/>
          <w:sz w:val="24"/>
          <w:szCs w:val="24"/>
        </w:rPr>
        <w:t xml:space="preserve">. </w:t>
      </w:r>
      <w:r w:rsidRPr="007D2411">
        <w:rPr>
          <w:rFonts w:ascii="Times New Roman" w:hAnsi="Times New Roman"/>
          <w:sz w:val="24"/>
          <w:szCs w:val="24"/>
        </w:rPr>
        <w:t xml:space="preserve">   </w:t>
      </w:r>
    </w:p>
    <w:p w:rsidR="002354E3" w:rsidRPr="007D2411" w:rsidRDefault="002354E3" w:rsidP="002354E3">
      <w:pPr>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ILECs should be </w:t>
      </w:r>
      <w:r w:rsidRPr="007D2411">
        <w:rPr>
          <w:rFonts w:ascii="Times New Roman" w:hAnsi="Times New Roman" w:cs="Times New Roman"/>
          <w:sz w:val="24"/>
          <w:szCs w:val="24"/>
        </w:rPr>
        <w:t xml:space="preserve">allowed to </w:t>
      </w:r>
      <w:r>
        <w:rPr>
          <w:rFonts w:ascii="Times New Roman" w:hAnsi="Times New Roman" w:cs="Times New Roman"/>
          <w:sz w:val="24"/>
          <w:szCs w:val="24"/>
        </w:rPr>
        <w:t xml:space="preserve">offset </w:t>
      </w:r>
      <w:r w:rsidRPr="007D2411">
        <w:rPr>
          <w:rFonts w:ascii="Times New Roman" w:hAnsi="Times New Roman" w:cs="Times New Roman"/>
          <w:sz w:val="24"/>
          <w:szCs w:val="24"/>
        </w:rPr>
        <w:t xml:space="preserve">access revenue reductions with </w:t>
      </w:r>
      <w:r>
        <w:rPr>
          <w:rFonts w:ascii="Times New Roman" w:hAnsi="Times New Roman" w:cs="Times New Roman"/>
          <w:sz w:val="24"/>
          <w:szCs w:val="24"/>
        </w:rPr>
        <w:t xml:space="preserve">the opportunity (but not the requirement) to increase </w:t>
      </w:r>
      <w:r w:rsidRPr="007D2411">
        <w:rPr>
          <w:rFonts w:ascii="Times New Roman" w:hAnsi="Times New Roman" w:cs="Times New Roman"/>
          <w:sz w:val="24"/>
          <w:szCs w:val="24"/>
        </w:rPr>
        <w:t>retail rate</w:t>
      </w:r>
      <w:r>
        <w:rPr>
          <w:rFonts w:ascii="Times New Roman" w:hAnsi="Times New Roman" w:cs="Times New Roman"/>
          <w:sz w:val="24"/>
          <w:szCs w:val="24"/>
        </w:rPr>
        <w:t xml:space="preserve">s </w:t>
      </w:r>
      <w:r w:rsidRPr="007D2411">
        <w:rPr>
          <w:rFonts w:ascii="Times New Roman" w:hAnsi="Times New Roman" w:cs="Times New Roman"/>
          <w:sz w:val="24"/>
          <w:szCs w:val="24"/>
        </w:rPr>
        <w:t>up to the benchmark. No rate case proceeding would be required</w:t>
      </w:r>
      <w:r>
        <w:rPr>
          <w:rFonts w:ascii="Times New Roman" w:hAnsi="Times New Roman" w:cs="Times New Roman"/>
          <w:sz w:val="24"/>
          <w:szCs w:val="24"/>
        </w:rPr>
        <w:t xml:space="preserve"> as the effect of such a change would be less than or equal to current revenue levels.  Access revenue reductions that exceed the benchmark can be recovered from a state USF.</w:t>
      </w:r>
    </w:p>
    <w:p w:rsidR="002354E3" w:rsidRPr="007D2411" w:rsidRDefault="002354E3" w:rsidP="002354E3">
      <w:pPr>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the retail rate increases up to the benchmark are optional, </w:t>
      </w:r>
      <w:r w:rsidRPr="007D2411">
        <w:rPr>
          <w:rFonts w:ascii="Times New Roman" w:hAnsi="Times New Roman" w:cs="Times New Roman"/>
          <w:sz w:val="24"/>
          <w:szCs w:val="24"/>
        </w:rPr>
        <w:t xml:space="preserve">the benchmark rate would be imputed for calculation of ILEC’s WUSF support.  </w:t>
      </w:r>
    </w:p>
    <w:p w:rsidR="002354E3" w:rsidRDefault="002354E3" w:rsidP="002354E3">
      <w:pPr>
        <w:numPr>
          <w:ilvl w:val="1"/>
          <w:numId w:val="5"/>
        </w:numPr>
        <w:spacing w:after="0" w:line="240" w:lineRule="auto"/>
        <w:rPr>
          <w:rFonts w:ascii="Times New Roman" w:hAnsi="Times New Roman" w:cs="Times New Roman"/>
          <w:sz w:val="24"/>
          <w:szCs w:val="24"/>
        </w:rPr>
      </w:pPr>
      <w:r w:rsidRPr="007D2411">
        <w:rPr>
          <w:rFonts w:ascii="Times New Roman" w:hAnsi="Times New Roman" w:cs="Times New Roman"/>
          <w:sz w:val="24"/>
          <w:szCs w:val="24"/>
        </w:rPr>
        <w:t xml:space="preserve">A transition may be necessary. </w:t>
      </w:r>
    </w:p>
    <w:p w:rsidR="002354E3" w:rsidRPr="007D2411" w:rsidRDefault="002354E3" w:rsidP="002354E3">
      <w:pPr>
        <w:spacing w:after="0" w:line="240" w:lineRule="auto"/>
        <w:ind w:left="1440"/>
        <w:rPr>
          <w:rFonts w:ascii="Times New Roman" w:hAnsi="Times New Roman" w:cs="Times New Roman"/>
          <w:sz w:val="24"/>
          <w:szCs w:val="24"/>
        </w:rPr>
      </w:pPr>
    </w:p>
    <w:p w:rsidR="002354E3" w:rsidRPr="007D2411" w:rsidRDefault="002354E3" w:rsidP="002354E3">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u w:val="single"/>
        </w:rPr>
        <w:t xml:space="preserve">Establish a state USF: </w:t>
      </w:r>
      <w:r>
        <w:rPr>
          <w:rFonts w:ascii="Times New Roman" w:hAnsi="Times New Roman"/>
          <w:sz w:val="24"/>
          <w:szCs w:val="24"/>
        </w:rPr>
        <w:t xml:space="preserve">  </w:t>
      </w:r>
    </w:p>
    <w:p w:rsidR="002354E3" w:rsidRPr="007D2411" w:rsidRDefault="002354E3" w:rsidP="002354E3">
      <w:pPr>
        <w:numPr>
          <w:ilvl w:val="1"/>
          <w:numId w:val="11"/>
        </w:numPr>
        <w:spacing w:after="0" w:line="240" w:lineRule="auto"/>
        <w:rPr>
          <w:rFonts w:ascii="Times New Roman" w:hAnsi="Times New Roman" w:cs="Times New Roman"/>
          <w:sz w:val="24"/>
          <w:szCs w:val="24"/>
        </w:rPr>
      </w:pPr>
      <w:r w:rsidRPr="007D2411">
        <w:rPr>
          <w:rFonts w:ascii="Times New Roman" w:hAnsi="Times New Roman" w:cs="Times New Roman"/>
          <w:sz w:val="24"/>
          <w:szCs w:val="24"/>
        </w:rPr>
        <w:t xml:space="preserve">The contribution methodology should mirror the </w:t>
      </w:r>
      <w:r>
        <w:rPr>
          <w:rFonts w:ascii="Times New Roman" w:hAnsi="Times New Roman" w:cs="Times New Roman"/>
          <w:sz w:val="24"/>
          <w:szCs w:val="24"/>
        </w:rPr>
        <w:t xml:space="preserve">existing </w:t>
      </w:r>
      <w:r w:rsidRPr="007D2411">
        <w:rPr>
          <w:rFonts w:ascii="Times New Roman" w:hAnsi="Times New Roman" w:cs="Times New Roman"/>
          <w:sz w:val="24"/>
          <w:szCs w:val="24"/>
        </w:rPr>
        <w:t xml:space="preserve">federal USF contribution methodology.  If in the future changes </w:t>
      </w:r>
      <w:r>
        <w:rPr>
          <w:rFonts w:ascii="Times New Roman" w:hAnsi="Times New Roman" w:cs="Times New Roman"/>
          <w:sz w:val="24"/>
          <w:szCs w:val="24"/>
        </w:rPr>
        <w:t xml:space="preserve">are made to </w:t>
      </w:r>
      <w:r w:rsidRPr="007D2411">
        <w:rPr>
          <w:rFonts w:ascii="Times New Roman" w:hAnsi="Times New Roman" w:cs="Times New Roman"/>
          <w:sz w:val="24"/>
          <w:szCs w:val="24"/>
        </w:rPr>
        <w:t xml:space="preserve">the federal contribution methodology, changes </w:t>
      </w:r>
      <w:r>
        <w:rPr>
          <w:rFonts w:ascii="Times New Roman" w:hAnsi="Times New Roman" w:cs="Times New Roman"/>
          <w:sz w:val="24"/>
          <w:szCs w:val="24"/>
        </w:rPr>
        <w:t>could be made to the W</w:t>
      </w:r>
      <w:r w:rsidRPr="007D2411">
        <w:rPr>
          <w:rFonts w:ascii="Times New Roman" w:hAnsi="Times New Roman" w:cs="Times New Roman"/>
          <w:sz w:val="24"/>
          <w:szCs w:val="24"/>
        </w:rPr>
        <w:t xml:space="preserve">ashington </w:t>
      </w:r>
      <w:r>
        <w:rPr>
          <w:rFonts w:ascii="Times New Roman" w:hAnsi="Times New Roman" w:cs="Times New Roman"/>
          <w:sz w:val="24"/>
          <w:szCs w:val="24"/>
        </w:rPr>
        <w:t xml:space="preserve">methodology </w:t>
      </w:r>
      <w:r w:rsidRPr="007D2411">
        <w:rPr>
          <w:rFonts w:ascii="Times New Roman" w:hAnsi="Times New Roman" w:cs="Times New Roman"/>
          <w:sz w:val="24"/>
          <w:szCs w:val="24"/>
        </w:rPr>
        <w:t xml:space="preserve">as well.   </w:t>
      </w:r>
    </w:p>
    <w:p w:rsidR="002354E3" w:rsidRPr="007D2411" w:rsidRDefault="002354E3" w:rsidP="002354E3">
      <w:pPr>
        <w:numPr>
          <w:ilvl w:val="1"/>
          <w:numId w:val="11"/>
        </w:numPr>
        <w:spacing w:after="0" w:line="240" w:lineRule="auto"/>
        <w:rPr>
          <w:rFonts w:ascii="Times New Roman" w:hAnsi="Times New Roman" w:cs="Times New Roman"/>
          <w:sz w:val="24"/>
          <w:szCs w:val="24"/>
        </w:rPr>
      </w:pPr>
      <w:r w:rsidRPr="007D2411">
        <w:rPr>
          <w:rFonts w:ascii="Times New Roman" w:hAnsi="Times New Roman" w:cs="Times New Roman"/>
          <w:sz w:val="24"/>
          <w:szCs w:val="24"/>
        </w:rPr>
        <w:t xml:space="preserve">Contributors to the state universal fund should be allowed to recover their contributions from end user customers, such as through a separate line item </w:t>
      </w:r>
      <w:proofErr w:type="gramStart"/>
      <w:r w:rsidRPr="007D2411">
        <w:rPr>
          <w:rFonts w:ascii="Times New Roman" w:hAnsi="Times New Roman" w:cs="Times New Roman"/>
          <w:sz w:val="24"/>
          <w:szCs w:val="24"/>
        </w:rPr>
        <w:t>on  retail</w:t>
      </w:r>
      <w:proofErr w:type="gramEnd"/>
      <w:r w:rsidRPr="007D2411">
        <w:rPr>
          <w:rFonts w:ascii="Times New Roman" w:hAnsi="Times New Roman" w:cs="Times New Roman"/>
          <w:sz w:val="24"/>
          <w:szCs w:val="24"/>
        </w:rPr>
        <w:t xml:space="preserve"> end user customer bills.  </w:t>
      </w:r>
    </w:p>
    <w:p w:rsidR="002354E3" w:rsidRPr="007D2411" w:rsidRDefault="002354E3" w:rsidP="002354E3">
      <w:pPr>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Recipients of WUSF should have </w:t>
      </w:r>
      <w:r w:rsidRPr="007D2411">
        <w:rPr>
          <w:rFonts w:ascii="Times New Roman" w:hAnsi="Times New Roman" w:cs="Times New Roman"/>
          <w:sz w:val="24"/>
          <w:szCs w:val="24"/>
        </w:rPr>
        <w:t>Carrier of Last Resort (COLR) obligations</w:t>
      </w:r>
      <w:r>
        <w:rPr>
          <w:rFonts w:ascii="Times New Roman" w:hAnsi="Times New Roman" w:cs="Times New Roman"/>
          <w:sz w:val="24"/>
          <w:szCs w:val="24"/>
        </w:rPr>
        <w:t xml:space="preserve">. </w:t>
      </w:r>
      <w:r w:rsidRPr="007D2411">
        <w:rPr>
          <w:rFonts w:ascii="Times New Roman" w:hAnsi="Times New Roman" w:cs="Times New Roman"/>
          <w:sz w:val="24"/>
          <w:szCs w:val="24"/>
        </w:rPr>
        <w:t xml:space="preserve"> There should be only one COLR per geographic area.</w:t>
      </w:r>
    </w:p>
    <w:p w:rsidR="002354E3" w:rsidRDefault="002354E3" w:rsidP="002354E3">
      <w:pPr>
        <w:spacing w:after="0" w:line="360" w:lineRule="auto"/>
        <w:ind w:firstLine="720"/>
        <w:rPr>
          <w:rFonts w:ascii="Times New Roman" w:hAnsi="Times New Roman" w:cs="Times New Roman"/>
          <w:sz w:val="24"/>
          <w:szCs w:val="24"/>
        </w:rPr>
      </w:pPr>
    </w:p>
    <w:p w:rsidR="00A96226" w:rsidRDefault="002354E3" w:rsidP="00A96226">
      <w:pPr>
        <w:pStyle w:val="ListParagraph"/>
        <w:numPr>
          <w:ilvl w:val="0"/>
          <w:numId w:val="9"/>
        </w:numPr>
        <w:spacing w:after="0" w:line="360" w:lineRule="auto"/>
        <w:rPr>
          <w:rFonts w:ascii="Times New Roman" w:hAnsi="Times New Roman"/>
          <w:b/>
          <w:sz w:val="24"/>
          <w:szCs w:val="24"/>
        </w:rPr>
      </w:pPr>
      <w:r>
        <w:rPr>
          <w:rFonts w:ascii="Times New Roman" w:hAnsi="Times New Roman"/>
          <w:b/>
          <w:sz w:val="24"/>
          <w:szCs w:val="24"/>
        </w:rPr>
        <w:t xml:space="preserve">Size of a State USF </w:t>
      </w:r>
    </w:p>
    <w:p w:rsidR="00A96226" w:rsidRPr="00A96226" w:rsidRDefault="00A96226" w:rsidP="00A96226">
      <w:pPr>
        <w:pStyle w:val="ListParagraph"/>
        <w:spacing w:after="0" w:line="360" w:lineRule="auto"/>
        <w:ind w:left="1080"/>
        <w:rPr>
          <w:rFonts w:ascii="Times New Roman" w:hAnsi="Times New Roman"/>
          <w:b/>
          <w:sz w:val="24"/>
          <w:szCs w:val="24"/>
        </w:rPr>
      </w:pPr>
    </w:p>
    <w:p w:rsidR="002354E3" w:rsidRDefault="002354E3" w:rsidP="002354E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 number of parties raised concern about the need and the size of a state universal service fund in Washington.  As AT&amp;T stated in its reply comments, it believes that a state universal service fund should be as small as possible.  There are three interrelated components that must be addressed to ensure universal service in the state of Washington:  1) reducing intrastate switched access rates; 2) rebalancing of local rates up to a statewide retail rate benchmark; and, 3) establishing a state universal fund.  These three components can be thought of as three dials that inversely impact each other.  For example, if carriers are required to reduce intrastate access rates to interstate levels and a statewide local retail rate benchmark is set at $22, the state USF will be relatively small.  Conversely, if the statewide local retail rate benchmark is set relatively low, $16, then the state universal service fund will be larger.  </w:t>
      </w:r>
    </w:p>
    <w:p w:rsidR="009F3F6B" w:rsidRDefault="009F3F6B" w:rsidP="009F3F6B">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9F3F6B" w:rsidRDefault="009F3F6B" w:rsidP="009F3F6B">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9F3F6B" w:rsidRDefault="009F3F6B" w:rsidP="009F3F6B">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9F3F6B" w:rsidRDefault="009F3F6B" w:rsidP="009F3F6B">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354E3" w:rsidRDefault="002354E3" w:rsidP="002354E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To highlight this relationship, AT&amp;T has provided the charts below.  These figures are estimates derived from publicly available data and some confidential AT&amp;T data.  More precise figures could be calculated if information was provided by all LECs.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2354E3" w:rsidRDefault="002354E3" w:rsidP="002354E3">
      <w:pPr>
        <w:spacing w:after="0" w:line="360" w:lineRule="auto"/>
        <w:ind w:firstLine="720"/>
        <w:rPr>
          <w:rFonts w:ascii="Times New Roman" w:hAnsi="Times New Roman" w:cs="Times New Roman"/>
          <w:sz w:val="24"/>
          <w:szCs w:val="24"/>
        </w:rPr>
      </w:pPr>
    </w:p>
    <w:p w:rsidR="002354E3" w:rsidRDefault="002354E3" w:rsidP="002354E3">
      <w:pPr>
        <w:spacing w:after="0" w:line="360" w:lineRule="auto"/>
        <w:ind w:firstLine="180"/>
        <w:rPr>
          <w:rFonts w:ascii="Times New Roman" w:hAnsi="Times New Roman" w:cs="Times New Roman"/>
          <w:sz w:val="24"/>
          <w:szCs w:val="24"/>
        </w:rPr>
      </w:pPr>
      <w:r w:rsidRPr="00BC06F7">
        <w:rPr>
          <w:rFonts w:ascii="Times New Roman" w:hAnsi="Times New Roman" w:cs="Times New Roman"/>
          <w:noProof/>
          <w:sz w:val="24"/>
          <w:szCs w:val="24"/>
        </w:rPr>
        <w:drawing>
          <wp:inline distT="0" distB="0" distL="0" distR="0">
            <wp:extent cx="5943600" cy="34290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54E3" w:rsidRDefault="002354E3" w:rsidP="002354E3">
      <w:pPr>
        <w:spacing w:after="0" w:line="360" w:lineRule="auto"/>
        <w:ind w:firstLine="720"/>
        <w:rPr>
          <w:rFonts w:ascii="Times New Roman" w:hAnsi="Times New Roman" w:cs="Times New Roman"/>
          <w:sz w:val="24"/>
          <w:szCs w:val="24"/>
        </w:rPr>
      </w:pPr>
    </w:p>
    <w:p w:rsidR="002354E3" w:rsidRDefault="002354E3" w:rsidP="002354E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the chart below, AT&amp;T provides an estimate of the size of a state universal service fund based on the WITA proposal for ILECs with fewer than 2% of the access lines in the state.  These figures, however, exclude the high cost aspect of the proposal as AT&amp;T does not have any data for this component.  </w:t>
      </w:r>
    </w:p>
    <w:p w:rsidR="002354E3" w:rsidRDefault="009F3F6B" w:rsidP="009F3F6B">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9F3F6B" w:rsidRDefault="009F3F6B" w:rsidP="009F3F6B">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9F3F6B" w:rsidRDefault="009F3F6B" w:rsidP="009F3F6B">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9F3F6B" w:rsidRDefault="009F3F6B" w:rsidP="009F3F6B">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9F3F6B" w:rsidRDefault="009F3F6B" w:rsidP="009F3F6B">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354E3" w:rsidRDefault="002354E3" w:rsidP="002354E3">
      <w:pPr>
        <w:spacing w:after="0" w:line="360" w:lineRule="auto"/>
        <w:ind w:firstLine="180"/>
        <w:rPr>
          <w:rFonts w:ascii="Times New Roman" w:hAnsi="Times New Roman" w:cs="Times New Roman"/>
          <w:sz w:val="24"/>
          <w:szCs w:val="24"/>
        </w:rPr>
      </w:pPr>
      <w:r w:rsidRPr="00BC06F7">
        <w:rPr>
          <w:rFonts w:ascii="Times New Roman" w:hAnsi="Times New Roman" w:cs="Times New Roman"/>
          <w:noProof/>
          <w:sz w:val="24"/>
          <w:szCs w:val="24"/>
        </w:rPr>
        <w:lastRenderedPageBreak/>
        <w:drawing>
          <wp:inline distT="0" distB="0" distL="0" distR="0">
            <wp:extent cx="6057900" cy="364807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6226" w:rsidRDefault="00A96226" w:rsidP="002354E3">
      <w:pPr>
        <w:spacing w:after="0" w:line="360" w:lineRule="auto"/>
        <w:ind w:firstLine="720"/>
        <w:rPr>
          <w:rFonts w:ascii="Times New Roman" w:hAnsi="Times New Roman" w:cs="Times New Roman"/>
          <w:sz w:val="24"/>
          <w:szCs w:val="24"/>
        </w:rPr>
      </w:pPr>
    </w:p>
    <w:p w:rsidR="002354E3" w:rsidRDefault="002354E3" w:rsidP="002354E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AT&amp;T is not able to provide an estimate for the size of the fund based on WITA’s proposal that ILECs with over 2% of access lines in the state would only receive support in high cost areas.  This estimate could only come from the impacted LECs.</w:t>
      </w:r>
    </w:p>
    <w:p w:rsidR="002354E3" w:rsidRDefault="002354E3" w:rsidP="002354E3">
      <w:pPr>
        <w:spacing w:after="0" w:line="360" w:lineRule="auto"/>
        <w:rPr>
          <w:rFonts w:ascii="Times New Roman" w:hAnsi="Times New Roman" w:cs="Times New Roman"/>
          <w:sz w:val="24"/>
          <w:szCs w:val="24"/>
        </w:rPr>
      </w:pPr>
    </w:p>
    <w:p w:rsidR="002354E3" w:rsidRDefault="002354E3" w:rsidP="00A96226">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 xml:space="preserve"> The Commission As the Policy Leader Should Provide Guidance to Ensure that Washington is Not Left Behind in the Preparation for an All Broadband World</w:t>
      </w:r>
    </w:p>
    <w:p w:rsidR="00A96226" w:rsidRPr="00A96226" w:rsidRDefault="00A96226" w:rsidP="00A96226">
      <w:pPr>
        <w:pStyle w:val="ListParagraph"/>
        <w:spacing w:after="0" w:line="240" w:lineRule="auto"/>
        <w:ind w:left="1080"/>
        <w:rPr>
          <w:rFonts w:ascii="Times New Roman" w:hAnsi="Times New Roman"/>
          <w:b/>
          <w:sz w:val="24"/>
          <w:szCs w:val="24"/>
        </w:rPr>
      </w:pPr>
    </w:p>
    <w:p w:rsidR="002354E3" w:rsidRDefault="002354E3" w:rsidP="002354E3">
      <w:pPr>
        <w:spacing w:after="0" w:line="360" w:lineRule="auto"/>
        <w:ind w:firstLine="720"/>
        <w:rPr>
          <w:rFonts w:ascii="Times New Roman" w:hAnsi="Times New Roman"/>
          <w:sz w:val="24"/>
          <w:szCs w:val="24"/>
        </w:rPr>
      </w:pPr>
      <w:r>
        <w:rPr>
          <w:rFonts w:ascii="Times New Roman" w:hAnsi="Times New Roman"/>
          <w:sz w:val="24"/>
          <w:szCs w:val="24"/>
        </w:rPr>
        <w:t>For Washington to have a vibrant broadband network, access reform is needed.  As AT&amp;T discussed in its reply comments access reform is a proposal that will effectively and efficiently extend broadband access in Washington.</w:t>
      </w:r>
      <w:r>
        <w:rPr>
          <w:rStyle w:val="FootnoteReference"/>
          <w:rFonts w:ascii="Times New Roman" w:hAnsi="Times New Roman"/>
          <w:sz w:val="24"/>
          <w:szCs w:val="24"/>
        </w:rPr>
        <w:footnoteReference w:id="7"/>
      </w:r>
      <w:r>
        <w:rPr>
          <w:rFonts w:ascii="Times New Roman" w:hAnsi="Times New Roman"/>
          <w:sz w:val="24"/>
          <w:szCs w:val="24"/>
        </w:rPr>
        <w:t xml:space="preserve">  The Governor’s Broadband Advisory Council released a report which succinctly sets forth the goal for Washington state and broadband:</w:t>
      </w:r>
    </w:p>
    <w:p w:rsidR="002354E3" w:rsidRDefault="002354E3" w:rsidP="002354E3">
      <w:pPr>
        <w:spacing w:after="0" w:line="240" w:lineRule="auto"/>
        <w:ind w:left="720"/>
        <w:rPr>
          <w:rFonts w:ascii="Times New Roman" w:hAnsi="Times New Roman"/>
          <w:sz w:val="24"/>
          <w:szCs w:val="24"/>
        </w:rPr>
      </w:pPr>
      <w:r>
        <w:rPr>
          <w:rFonts w:ascii="Times New Roman" w:hAnsi="Times New Roman"/>
          <w:sz w:val="24"/>
          <w:szCs w:val="24"/>
        </w:rPr>
        <w:t>Washington’s primary goal should be to support proposals that effectively and efficiently extend broadband access to every Washington resident and facilitate broadband adoption in ways that stimulate its economy and create sustainable jobs.</w:t>
      </w:r>
      <w:r>
        <w:rPr>
          <w:rStyle w:val="FootnoteReference"/>
          <w:rFonts w:ascii="Times New Roman" w:hAnsi="Times New Roman"/>
          <w:sz w:val="24"/>
          <w:szCs w:val="24"/>
        </w:rPr>
        <w:footnoteReference w:id="8"/>
      </w:r>
      <w:r>
        <w:rPr>
          <w:rFonts w:ascii="Times New Roman" w:hAnsi="Times New Roman"/>
          <w:sz w:val="24"/>
          <w:szCs w:val="24"/>
        </w:rPr>
        <w:t xml:space="preserve">  </w:t>
      </w:r>
    </w:p>
    <w:p w:rsidR="002354E3" w:rsidRDefault="002354E3" w:rsidP="002354E3">
      <w:pPr>
        <w:spacing w:after="0" w:line="360" w:lineRule="auto"/>
        <w:ind w:firstLine="720"/>
        <w:rPr>
          <w:rFonts w:ascii="Times New Roman" w:hAnsi="Times New Roman"/>
          <w:sz w:val="24"/>
          <w:szCs w:val="24"/>
        </w:rPr>
      </w:pPr>
      <w:r>
        <w:rPr>
          <w:rFonts w:ascii="Times New Roman" w:hAnsi="Times New Roman"/>
          <w:sz w:val="24"/>
          <w:szCs w:val="24"/>
        </w:rPr>
        <w:lastRenderedPageBreak/>
        <w:t>A number of participants at the May 5, 2010 workshop discussed the need for reform to set the foundation for a vibrant broadband network in the state.  This should be a priority for the Commission.</w:t>
      </w:r>
    </w:p>
    <w:p w:rsidR="002354E3" w:rsidRDefault="002354E3" w:rsidP="002354E3">
      <w:pPr>
        <w:spacing w:after="0" w:line="240" w:lineRule="auto"/>
        <w:ind w:left="720"/>
        <w:rPr>
          <w:rFonts w:ascii="Times New Roman" w:hAnsi="Times New Roman"/>
          <w:sz w:val="24"/>
          <w:szCs w:val="24"/>
        </w:rPr>
      </w:pPr>
    </w:p>
    <w:p w:rsidR="00A96226" w:rsidRDefault="002354E3" w:rsidP="00A96226">
      <w:pPr>
        <w:pStyle w:val="ListParagraph"/>
        <w:numPr>
          <w:ilvl w:val="0"/>
          <w:numId w:val="9"/>
        </w:numPr>
        <w:spacing w:after="0" w:line="360" w:lineRule="auto"/>
        <w:rPr>
          <w:rFonts w:ascii="Times New Roman" w:hAnsi="Times New Roman"/>
          <w:b/>
          <w:sz w:val="24"/>
          <w:szCs w:val="24"/>
        </w:rPr>
      </w:pPr>
      <w:r w:rsidRPr="00596F2A">
        <w:rPr>
          <w:rFonts w:ascii="Times New Roman" w:hAnsi="Times New Roman"/>
          <w:b/>
          <w:sz w:val="24"/>
          <w:szCs w:val="24"/>
        </w:rPr>
        <w:t xml:space="preserve"> The Commission </w:t>
      </w:r>
      <w:r>
        <w:rPr>
          <w:rFonts w:ascii="Times New Roman" w:hAnsi="Times New Roman"/>
          <w:b/>
          <w:sz w:val="24"/>
          <w:szCs w:val="24"/>
        </w:rPr>
        <w:t xml:space="preserve">Should Not Wait for the FCC to Resolve The Issue </w:t>
      </w:r>
    </w:p>
    <w:p w:rsidR="00A96226" w:rsidRPr="00A96226" w:rsidRDefault="00A96226" w:rsidP="00A96226">
      <w:pPr>
        <w:pStyle w:val="ListParagraph"/>
        <w:spacing w:after="0" w:line="360" w:lineRule="auto"/>
        <w:ind w:left="1080"/>
        <w:rPr>
          <w:rFonts w:ascii="Times New Roman" w:hAnsi="Times New Roman"/>
          <w:b/>
          <w:sz w:val="24"/>
          <w:szCs w:val="24"/>
        </w:rPr>
      </w:pPr>
    </w:p>
    <w:p w:rsidR="002354E3" w:rsidRDefault="002354E3" w:rsidP="002354E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no need for Washington to wait for FCC action to reduce intrastate switched access rates to interstate rates as this simply tracks reforms that the FCC undertook years ago.  </w:t>
      </w:r>
    </w:p>
    <w:p w:rsidR="00A96226" w:rsidRDefault="00A96226" w:rsidP="002354E3">
      <w:pPr>
        <w:spacing w:after="0" w:line="360" w:lineRule="auto"/>
        <w:ind w:firstLine="720"/>
        <w:rPr>
          <w:rFonts w:ascii="Times New Roman" w:hAnsi="Times New Roman" w:cs="Times New Roman"/>
          <w:sz w:val="24"/>
          <w:szCs w:val="24"/>
        </w:rPr>
      </w:pPr>
    </w:p>
    <w:p w:rsidR="002354E3" w:rsidRDefault="002354E3" w:rsidP="002354E3">
      <w:pPr>
        <w:spacing w:after="0" w:line="360" w:lineRule="auto"/>
        <w:ind w:firstLine="720"/>
        <w:rPr>
          <w:rFonts w:ascii="Times New Roman" w:hAnsi="Times New Roman"/>
          <w:sz w:val="24"/>
          <w:szCs w:val="24"/>
        </w:rPr>
      </w:pPr>
      <w:r>
        <w:rPr>
          <w:rFonts w:ascii="Times New Roman" w:hAnsi="Times New Roman"/>
          <w:sz w:val="24"/>
          <w:szCs w:val="24"/>
        </w:rPr>
        <w:t>Implementing access reform and the rebalancing local rates is consistent with the recommendations in the NBP which encourage states to complete rebalancing of local rates to offset the impact of lost access revenues, and move from local service rates set at levels that reflect old implicit subsidies to levels that are more consistent with cost.  Not only will this action provide consumers the benefit of lower long distance rates, it will also prepare consumers for the all broadband world which is approaching rapidly and lacks a comparable subsidy mechanism.</w:t>
      </w:r>
    </w:p>
    <w:p w:rsidR="00A96226" w:rsidRDefault="00A96226" w:rsidP="002354E3">
      <w:pPr>
        <w:spacing w:after="0" w:line="360" w:lineRule="auto"/>
        <w:ind w:firstLine="720"/>
        <w:rPr>
          <w:rFonts w:ascii="Times New Roman" w:hAnsi="Times New Roman"/>
          <w:sz w:val="24"/>
          <w:szCs w:val="24"/>
        </w:rPr>
      </w:pPr>
    </w:p>
    <w:p w:rsidR="002354E3" w:rsidRDefault="002354E3" w:rsidP="002354E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In the first workshop, Carol Mattey of the FCC expressed her personal view that states should establish universal service funds.</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This will prepare states for the transition to an all-broadband world. </w:t>
      </w:r>
    </w:p>
    <w:p w:rsidR="00A96226" w:rsidRDefault="00A96226" w:rsidP="002354E3">
      <w:pPr>
        <w:spacing w:after="0" w:line="360" w:lineRule="auto"/>
        <w:ind w:firstLine="720"/>
        <w:rPr>
          <w:rFonts w:ascii="Times New Roman" w:hAnsi="Times New Roman" w:cs="Times New Roman"/>
          <w:sz w:val="24"/>
          <w:szCs w:val="24"/>
        </w:rPr>
      </w:pPr>
    </w:p>
    <w:p w:rsidR="002354E3" w:rsidRDefault="002354E3" w:rsidP="002354E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Further, reducing intrastate switched access rates to interstate levels now will make it easier to conform to the additional access reductions contemplated in the NBP.  Indeed the NBP recommends that “the FCC should continue reducing ICC [intercarrier compensation] rates by phasing out per-minute rates for the origination and termination of telecommunications traffic.</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rsidR="00A96226" w:rsidRDefault="00A96226" w:rsidP="002354E3">
      <w:pPr>
        <w:spacing w:after="0" w:line="360" w:lineRule="auto"/>
        <w:ind w:firstLine="720"/>
        <w:rPr>
          <w:rFonts w:ascii="Times New Roman" w:hAnsi="Times New Roman" w:cs="Times New Roman"/>
          <w:sz w:val="24"/>
          <w:szCs w:val="24"/>
        </w:rPr>
      </w:pPr>
    </w:p>
    <w:p w:rsidR="002354E3" w:rsidRDefault="002354E3" w:rsidP="002354E3">
      <w:pPr>
        <w:spacing w:after="0" w:line="360" w:lineRule="auto"/>
        <w:ind w:firstLine="720"/>
        <w:rPr>
          <w:rFonts w:ascii="Times New Roman" w:hAnsi="Times New Roman"/>
          <w:sz w:val="24"/>
          <w:szCs w:val="24"/>
        </w:rPr>
      </w:pPr>
      <w:r>
        <w:rPr>
          <w:rFonts w:ascii="Times New Roman" w:hAnsi="Times New Roman"/>
          <w:sz w:val="24"/>
          <w:szCs w:val="24"/>
        </w:rPr>
        <w:t xml:space="preserve">  A number of other states have recognized the benefits of access reform and have already acted on such reform.  Georgia, Michigan and New Mexico are just a few of these states. </w:t>
      </w:r>
    </w:p>
    <w:p w:rsidR="00A96226" w:rsidRDefault="00A96226" w:rsidP="002354E3">
      <w:pPr>
        <w:spacing w:after="0" w:line="360" w:lineRule="auto"/>
        <w:ind w:firstLine="720"/>
        <w:rPr>
          <w:rFonts w:ascii="Times New Roman" w:hAnsi="Times New Roman"/>
          <w:sz w:val="24"/>
          <w:szCs w:val="24"/>
        </w:rPr>
      </w:pPr>
    </w:p>
    <w:p w:rsidR="002354E3" w:rsidRDefault="002354E3" w:rsidP="002354E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At the Commission’s first workshop staff and others presented compelling information about the significant decrease in the access minutes in Washington.  To continue to provide for universal service in Washington, the state must act to provide stability for the rural LECs.   </w:t>
      </w:r>
    </w:p>
    <w:p w:rsidR="00A96226" w:rsidRDefault="00A96226" w:rsidP="002354E3">
      <w:pPr>
        <w:spacing w:after="0" w:line="360" w:lineRule="auto"/>
        <w:ind w:firstLine="720"/>
        <w:rPr>
          <w:rFonts w:ascii="Times New Roman" w:hAnsi="Times New Roman" w:cs="Times New Roman"/>
          <w:sz w:val="24"/>
          <w:szCs w:val="24"/>
        </w:rPr>
      </w:pPr>
    </w:p>
    <w:p w:rsidR="002354E3" w:rsidRDefault="002354E3" w:rsidP="002354E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Last, not only will comprehensive reform of intrastate switched access rates benefit consumers, it will conserve Commission resources instead of forcing the Commission to deal with access reform in an ad hoc manner through individual complaint or rate cases. </w:t>
      </w:r>
    </w:p>
    <w:p w:rsidR="002354E3" w:rsidRDefault="002354E3" w:rsidP="002354E3">
      <w:pPr>
        <w:spacing w:after="0" w:line="360" w:lineRule="auto"/>
        <w:ind w:firstLine="720"/>
        <w:rPr>
          <w:rFonts w:ascii="Times New Roman" w:hAnsi="Times New Roman" w:cs="Times New Roman"/>
          <w:sz w:val="24"/>
          <w:szCs w:val="24"/>
        </w:rPr>
      </w:pPr>
    </w:p>
    <w:p w:rsidR="002354E3" w:rsidRDefault="002354E3" w:rsidP="002354E3">
      <w:pPr>
        <w:pStyle w:val="ListParagraph"/>
        <w:numPr>
          <w:ilvl w:val="0"/>
          <w:numId w:val="9"/>
        </w:numPr>
        <w:spacing w:after="0" w:line="360" w:lineRule="auto"/>
        <w:rPr>
          <w:rFonts w:ascii="Times New Roman" w:hAnsi="Times New Roman"/>
          <w:b/>
          <w:sz w:val="24"/>
          <w:szCs w:val="24"/>
        </w:rPr>
      </w:pPr>
      <w:r w:rsidRPr="00596F2A">
        <w:rPr>
          <w:rFonts w:ascii="Times New Roman" w:hAnsi="Times New Roman"/>
          <w:b/>
          <w:sz w:val="24"/>
          <w:szCs w:val="24"/>
        </w:rPr>
        <w:t xml:space="preserve"> Washington Consumers Will Benefit From Reform</w:t>
      </w:r>
    </w:p>
    <w:p w:rsidR="00A96226" w:rsidRPr="00596F2A" w:rsidRDefault="00A96226" w:rsidP="00A96226">
      <w:pPr>
        <w:pStyle w:val="ListParagraph"/>
        <w:spacing w:after="0" w:line="360" w:lineRule="auto"/>
        <w:ind w:left="1080"/>
        <w:rPr>
          <w:rFonts w:ascii="Times New Roman" w:hAnsi="Times New Roman"/>
          <w:b/>
          <w:sz w:val="24"/>
          <w:szCs w:val="24"/>
        </w:rPr>
      </w:pPr>
    </w:p>
    <w:p w:rsidR="002354E3" w:rsidRDefault="002354E3" w:rsidP="002354E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Washington consumers will directly benefit when intrastate access rates are lowered in the form of reduced long distance prices.  The savings that are experienced by interexchange companies such as AT&amp;T are flowed through to consumers in the form of lower costs for long distance service.  It is a simple economic principle that is proven true time and time again that when input costs are lowered in a competitive environment prices to consumers are lowered as well.  The long distance market is clearly competitive. High access charges in Washington are therefore keeping the price for in-state wireline long-distance calls higher than they should be.  As a result, consumers who place traditional long-distance calls from their home or office phone are paying much more than they should for long distance service.  Dr. Debra J. </w:t>
      </w:r>
      <w:proofErr w:type="spellStart"/>
      <w:r>
        <w:rPr>
          <w:rFonts w:ascii="Times New Roman" w:hAnsi="Times New Roman" w:cs="Times New Roman"/>
          <w:sz w:val="24"/>
          <w:szCs w:val="24"/>
        </w:rPr>
        <w:t>Aron</w:t>
      </w:r>
      <w:proofErr w:type="spellEnd"/>
      <w:r>
        <w:rPr>
          <w:rFonts w:ascii="Times New Roman" w:hAnsi="Times New Roman" w:cs="Times New Roman"/>
          <w:sz w:val="24"/>
          <w:szCs w:val="24"/>
        </w:rPr>
        <w:t>, a telecommunications economist, has shown that reducing access charge costs to the long distance provider reduces long-distance prices to consumers.</w:t>
      </w:r>
    </w:p>
    <w:p w:rsidR="002354E3" w:rsidRPr="007D5D44" w:rsidRDefault="002354E3" w:rsidP="002354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Specifically, statistical analysis of AT&amp;T’s data shows that on average in states that have undergone access reform, approximately 100% of the decreased access expenses are passed through to consumers.  This means that on average, if a reform state’s intrastate access cost is lower by one cent per toll </w:t>
      </w:r>
      <w:proofErr w:type="gramStart"/>
      <w:r>
        <w:rPr>
          <w:rFonts w:ascii="Times New Roman" w:hAnsi="Times New Roman" w:cs="Times New Roman"/>
          <w:sz w:val="24"/>
          <w:szCs w:val="24"/>
        </w:rPr>
        <w:t>minute,</w:t>
      </w:r>
      <w:proofErr w:type="gramEnd"/>
      <w:r>
        <w:rPr>
          <w:rFonts w:ascii="Times New Roman" w:hAnsi="Times New Roman" w:cs="Times New Roman"/>
          <w:sz w:val="24"/>
          <w:szCs w:val="24"/>
        </w:rPr>
        <w:t xml:space="preserve"> its retail intrastate long distance prices are lower by one cent per toll minute.</w:t>
      </w:r>
      <w:r>
        <w:rPr>
          <w:rStyle w:val="FootnoteReference"/>
          <w:rFonts w:ascii="Times New Roman" w:hAnsi="Times New Roman" w:cs="Times New Roman"/>
          <w:sz w:val="24"/>
          <w:szCs w:val="24"/>
        </w:rPr>
        <w:footnoteReference w:id="11"/>
      </w:r>
    </w:p>
    <w:p w:rsidR="002354E3" w:rsidRDefault="002354E3" w:rsidP="002354E3">
      <w:pPr>
        <w:spacing w:after="0" w:line="360" w:lineRule="auto"/>
        <w:rPr>
          <w:rFonts w:ascii="Times New Roman" w:hAnsi="Times New Roman" w:cs="Times New Roman"/>
          <w:sz w:val="24"/>
          <w:szCs w:val="24"/>
        </w:rPr>
      </w:pPr>
    </w:p>
    <w:p w:rsidR="002354E3" w:rsidRDefault="002354E3" w:rsidP="002354E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Further, as stated in the NBP, “[t]he continued decline in revenues and free cash flows at unpredictable levels could hamper carriers’ ability to implement network upgrade investment or </w:t>
      </w:r>
      <w:r>
        <w:rPr>
          <w:rFonts w:ascii="Times New Roman" w:hAnsi="Times New Roman" w:cs="Times New Roman"/>
          <w:sz w:val="24"/>
          <w:szCs w:val="24"/>
        </w:rPr>
        <w:lastRenderedPageBreak/>
        <w:t>other capital improvements.”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Also, if companies do not have sufficient cash flows they will not be able to maintain networks that have already been upgraded. </w:t>
      </w:r>
    </w:p>
    <w:p w:rsidR="002354E3" w:rsidRDefault="002354E3" w:rsidP="002354E3">
      <w:pPr>
        <w:spacing w:after="0" w:line="360" w:lineRule="auto"/>
        <w:rPr>
          <w:rFonts w:ascii="Times New Roman" w:hAnsi="Times New Roman" w:cs="Times New Roman"/>
          <w:sz w:val="24"/>
          <w:szCs w:val="24"/>
        </w:rPr>
      </w:pPr>
    </w:p>
    <w:p w:rsidR="002354E3" w:rsidRPr="008A423B" w:rsidRDefault="002354E3" w:rsidP="002354E3">
      <w:pPr>
        <w:pStyle w:val="ListParagraph"/>
        <w:numPr>
          <w:ilvl w:val="0"/>
          <w:numId w:val="9"/>
        </w:numPr>
        <w:spacing w:after="0" w:line="240" w:lineRule="auto"/>
        <w:rPr>
          <w:rFonts w:ascii="Times New Roman" w:hAnsi="Times New Roman"/>
          <w:b/>
          <w:sz w:val="24"/>
          <w:szCs w:val="24"/>
        </w:rPr>
      </w:pPr>
      <w:r w:rsidRPr="008A423B">
        <w:rPr>
          <w:rFonts w:ascii="Times New Roman" w:hAnsi="Times New Roman"/>
          <w:b/>
          <w:sz w:val="24"/>
          <w:szCs w:val="24"/>
        </w:rPr>
        <w:t xml:space="preserve">The Commission Does Not Need To Solve All the Details of Universal Service Reform Today to Move Forward with a Recommendation to the Legislature </w:t>
      </w:r>
    </w:p>
    <w:p w:rsidR="002354E3" w:rsidRPr="00E15386" w:rsidRDefault="002354E3" w:rsidP="002354E3">
      <w:pPr>
        <w:spacing w:after="0" w:line="360" w:lineRule="auto"/>
        <w:ind w:firstLine="720"/>
        <w:rPr>
          <w:rFonts w:ascii="Times New Roman" w:hAnsi="Times New Roman" w:cs="Times New Roman"/>
          <w:sz w:val="24"/>
          <w:szCs w:val="24"/>
          <w:highlight w:val="yellow"/>
        </w:rPr>
      </w:pPr>
    </w:p>
    <w:p w:rsidR="002354E3" w:rsidRDefault="002354E3" w:rsidP="002354E3">
      <w:pPr>
        <w:spacing w:after="0" w:line="360" w:lineRule="auto"/>
        <w:ind w:firstLine="720"/>
        <w:rPr>
          <w:rFonts w:ascii="Times New Roman" w:hAnsi="Times New Roman" w:cs="Times New Roman"/>
          <w:sz w:val="24"/>
          <w:szCs w:val="24"/>
        </w:rPr>
      </w:pPr>
      <w:r w:rsidRPr="00397EC5">
        <w:rPr>
          <w:rFonts w:ascii="Times New Roman" w:hAnsi="Times New Roman" w:cs="Times New Roman"/>
          <w:sz w:val="24"/>
          <w:szCs w:val="24"/>
        </w:rPr>
        <w:t>T</w:t>
      </w:r>
      <w:r>
        <w:rPr>
          <w:rFonts w:ascii="Times New Roman" w:hAnsi="Times New Roman" w:cs="Times New Roman"/>
          <w:sz w:val="24"/>
          <w:szCs w:val="24"/>
        </w:rPr>
        <w:t xml:space="preserve">o </w:t>
      </w:r>
      <w:r w:rsidRPr="00397EC5">
        <w:rPr>
          <w:rFonts w:ascii="Times New Roman" w:hAnsi="Times New Roman" w:cs="Times New Roman"/>
          <w:sz w:val="24"/>
          <w:szCs w:val="24"/>
        </w:rPr>
        <w:t>preserve and enhance telecommunications service in the state</w:t>
      </w:r>
      <w:r>
        <w:rPr>
          <w:rFonts w:ascii="Times New Roman" w:hAnsi="Times New Roman" w:cs="Times New Roman"/>
          <w:sz w:val="24"/>
          <w:szCs w:val="24"/>
        </w:rPr>
        <w:t xml:space="preserve">, the Commission must issue policy direction and a recommendation to the legislature to ensure universal service continues in the state.  </w:t>
      </w:r>
      <w:r w:rsidRPr="00397EC5">
        <w:rPr>
          <w:rFonts w:ascii="Times New Roman" w:hAnsi="Times New Roman" w:cs="Times New Roman"/>
          <w:sz w:val="24"/>
          <w:szCs w:val="24"/>
        </w:rPr>
        <w:t xml:space="preserve">  </w:t>
      </w:r>
    </w:p>
    <w:p w:rsidR="00A96226" w:rsidRPr="00397EC5" w:rsidRDefault="00A96226" w:rsidP="002354E3">
      <w:pPr>
        <w:spacing w:after="0" w:line="360" w:lineRule="auto"/>
        <w:ind w:firstLine="720"/>
        <w:rPr>
          <w:rFonts w:ascii="Times New Roman" w:hAnsi="Times New Roman" w:cs="Times New Roman"/>
          <w:sz w:val="24"/>
          <w:szCs w:val="24"/>
        </w:rPr>
      </w:pPr>
    </w:p>
    <w:p w:rsidR="002354E3" w:rsidRDefault="002354E3" w:rsidP="002354E3">
      <w:pPr>
        <w:spacing w:after="0" w:line="360" w:lineRule="auto"/>
        <w:rPr>
          <w:rFonts w:ascii="Times New Roman" w:hAnsi="Times New Roman" w:cs="Times New Roman"/>
          <w:sz w:val="24"/>
          <w:szCs w:val="24"/>
        </w:rPr>
      </w:pPr>
      <w:r w:rsidRPr="00397EC5">
        <w:rPr>
          <w:rFonts w:ascii="Times New Roman" w:hAnsi="Times New Roman" w:cs="Times New Roman"/>
          <w:sz w:val="24"/>
          <w:szCs w:val="24"/>
        </w:rPr>
        <w:tab/>
        <w:t>As the body in this state that is charged with developing telecommunications policy, AT&amp;T respectfully submits that it</w:t>
      </w:r>
      <w:r>
        <w:rPr>
          <w:rFonts w:ascii="Times New Roman" w:hAnsi="Times New Roman" w:cs="Times New Roman"/>
          <w:sz w:val="24"/>
          <w:szCs w:val="24"/>
        </w:rPr>
        <w:t xml:space="preserve"> is the responsibility of this C</w:t>
      </w:r>
      <w:r w:rsidRPr="00397EC5">
        <w:rPr>
          <w:rFonts w:ascii="Times New Roman" w:hAnsi="Times New Roman" w:cs="Times New Roman"/>
          <w:sz w:val="24"/>
          <w:szCs w:val="24"/>
        </w:rPr>
        <w:t>ommission to further the universal service policies of this state and develop policies and recommendations in that regard.  This Commission advocated that the FCC should not take jurisdiction away from state commissions in the area of intercarrier compensation stating that, “[d]</w:t>
      </w:r>
      <w:proofErr w:type="spellStart"/>
      <w:r w:rsidRPr="00397EC5">
        <w:rPr>
          <w:rFonts w:ascii="Times New Roman" w:hAnsi="Times New Roman" w:cs="Times New Roman"/>
          <w:sz w:val="24"/>
          <w:szCs w:val="24"/>
        </w:rPr>
        <w:t>espite</w:t>
      </w:r>
      <w:proofErr w:type="spellEnd"/>
      <w:r w:rsidRPr="00397EC5">
        <w:rPr>
          <w:rFonts w:ascii="Times New Roman" w:hAnsi="Times New Roman" w:cs="Times New Roman"/>
          <w:sz w:val="24"/>
          <w:szCs w:val="24"/>
        </w:rPr>
        <w:t xml:space="preserve"> the [FCC’s] efforts to effectively ‘federalize’ all aspects of intercarrier compensation, the fact remains that state commissions are closest to consumers and the specific aspects of the provision of telecommunications service in their markets…”</w:t>
      </w:r>
      <w:r w:rsidRPr="00397EC5">
        <w:rPr>
          <w:rStyle w:val="FootnoteReference"/>
          <w:rFonts w:ascii="Times New Roman" w:hAnsi="Times New Roman" w:cs="Times New Roman"/>
          <w:sz w:val="24"/>
          <w:szCs w:val="24"/>
        </w:rPr>
        <w:footnoteReference w:id="13"/>
      </w:r>
      <w:r w:rsidRPr="00397EC5">
        <w:rPr>
          <w:rFonts w:ascii="Times New Roman" w:hAnsi="Times New Roman" w:cs="Times New Roman"/>
          <w:sz w:val="24"/>
          <w:szCs w:val="24"/>
        </w:rPr>
        <w:t xml:space="preserve">  The Commission must take a leadership role and provide policy direction in the state of Washington. </w:t>
      </w:r>
    </w:p>
    <w:p w:rsidR="00A96226" w:rsidRPr="00397EC5" w:rsidRDefault="00A96226" w:rsidP="002354E3">
      <w:pPr>
        <w:spacing w:after="0" w:line="360" w:lineRule="auto"/>
        <w:rPr>
          <w:rFonts w:ascii="Times New Roman" w:hAnsi="Times New Roman" w:cs="Times New Roman"/>
          <w:sz w:val="24"/>
          <w:szCs w:val="24"/>
        </w:rPr>
      </w:pPr>
    </w:p>
    <w:p w:rsidR="002354E3" w:rsidRDefault="002354E3" w:rsidP="002354E3">
      <w:pPr>
        <w:spacing w:after="0" w:line="360" w:lineRule="auto"/>
        <w:rPr>
          <w:rFonts w:ascii="Times New Roman" w:hAnsi="Times New Roman" w:cs="Times New Roman"/>
          <w:sz w:val="24"/>
          <w:szCs w:val="24"/>
        </w:rPr>
      </w:pPr>
      <w:r w:rsidRPr="00397EC5">
        <w:rPr>
          <w:rFonts w:ascii="Times New Roman" w:hAnsi="Times New Roman" w:cs="Times New Roman"/>
          <w:sz w:val="24"/>
          <w:szCs w:val="24"/>
        </w:rPr>
        <w:tab/>
      </w:r>
      <w:r>
        <w:rPr>
          <w:rFonts w:ascii="Times New Roman" w:hAnsi="Times New Roman" w:cs="Times New Roman"/>
          <w:sz w:val="24"/>
          <w:szCs w:val="24"/>
        </w:rPr>
        <w:t>T</w:t>
      </w:r>
      <w:r w:rsidRPr="00776723">
        <w:rPr>
          <w:rFonts w:ascii="Times New Roman" w:hAnsi="Times New Roman" w:cs="Times New Roman"/>
          <w:sz w:val="24"/>
          <w:szCs w:val="24"/>
        </w:rPr>
        <w:t xml:space="preserve">he filed comments and discussion at the workshops provide the needed basis for </w:t>
      </w:r>
      <w:r>
        <w:rPr>
          <w:rFonts w:ascii="Times New Roman" w:hAnsi="Times New Roman" w:cs="Times New Roman"/>
          <w:sz w:val="24"/>
          <w:szCs w:val="24"/>
        </w:rPr>
        <w:t xml:space="preserve">the Commission to move forward at this time with a policy statement and recommendations to the legislature.  Indeed, </w:t>
      </w:r>
      <w:r w:rsidRPr="00776723">
        <w:rPr>
          <w:rFonts w:ascii="Times New Roman" w:hAnsi="Times New Roman" w:cs="Times New Roman"/>
          <w:sz w:val="24"/>
          <w:szCs w:val="24"/>
        </w:rPr>
        <w:t xml:space="preserve">AT&amp;T submits that a policy statement and a recommendation </w:t>
      </w:r>
      <w:r>
        <w:rPr>
          <w:rFonts w:ascii="Times New Roman" w:hAnsi="Times New Roman" w:cs="Times New Roman"/>
          <w:sz w:val="24"/>
          <w:szCs w:val="24"/>
        </w:rPr>
        <w:t xml:space="preserve">to the </w:t>
      </w:r>
      <w:r w:rsidRPr="00776723">
        <w:rPr>
          <w:rFonts w:ascii="Times New Roman" w:hAnsi="Times New Roman" w:cs="Times New Roman"/>
          <w:sz w:val="24"/>
          <w:szCs w:val="24"/>
        </w:rPr>
        <w:t>legisl</w:t>
      </w:r>
      <w:r>
        <w:rPr>
          <w:rFonts w:ascii="Times New Roman" w:hAnsi="Times New Roman" w:cs="Times New Roman"/>
          <w:sz w:val="24"/>
          <w:szCs w:val="24"/>
        </w:rPr>
        <w:t xml:space="preserve">ature </w:t>
      </w:r>
      <w:r w:rsidRPr="00776723">
        <w:rPr>
          <w:rFonts w:ascii="Times New Roman" w:hAnsi="Times New Roman" w:cs="Times New Roman"/>
          <w:sz w:val="24"/>
          <w:szCs w:val="24"/>
        </w:rPr>
        <w:t xml:space="preserve">can be accomplished by adopting the broad concepts set forth in AT&amp;T’s overarching principles.  </w:t>
      </w:r>
      <w:r>
        <w:rPr>
          <w:rFonts w:ascii="Times New Roman" w:hAnsi="Times New Roman" w:cs="Times New Roman"/>
          <w:sz w:val="24"/>
          <w:szCs w:val="24"/>
        </w:rPr>
        <w:t>T</w:t>
      </w:r>
      <w:r w:rsidRPr="00776723">
        <w:rPr>
          <w:rFonts w:ascii="Times New Roman" w:hAnsi="Times New Roman" w:cs="Times New Roman"/>
          <w:sz w:val="24"/>
          <w:szCs w:val="24"/>
        </w:rPr>
        <w:t xml:space="preserve">he WITA concept paper has a lot of specifics that do not need to be resolved </w:t>
      </w:r>
      <w:r>
        <w:rPr>
          <w:rFonts w:ascii="Times New Roman" w:hAnsi="Times New Roman" w:cs="Times New Roman"/>
          <w:sz w:val="24"/>
          <w:szCs w:val="24"/>
        </w:rPr>
        <w:t>today and could instead be resolved in future rulemakings.  T</w:t>
      </w:r>
      <w:r w:rsidRPr="00776723">
        <w:rPr>
          <w:rFonts w:ascii="Times New Roman" w:hAnsi="Times New Roman" w:cs="Times New Roman"/>
          <w:sz w:val="24"/>
          <w:szCs w:val="24"/>
        </w:rPr>
        <w:t xml:space="preserve">his </w:t>
      </w:r>
      <w:r>
        <w:rPr>
          <w:rFonts w:ascii="Times New Roman" w:hAnsi="Times New Roman" w:cs="Times New Roman"/>
          <w:sz w:val="24"/>
          <w:szCs w:val="24"/>
        </w:rPr>
        <w:t xml:space="preserve">would </w:t>
      </w:r>
      <w:r w:rsidRPr="00776723">
        <w:rPr>
          <w:rFonts w:ascii="Times New Roman" w:hAnsi="Times New Roman" w:cs="Times New Roman"/>
          <w:sz w:val="24"/>
          <w:szCs w:val="24"/>
        </w:rPr>
        <w:t>allow the state to continue to move forward with this important issue</w:t>
      </w:r>
      <w:r>
        <w:rPr>
          <w:rFonts w:ascii="Times New Roman" w:hAnsi="Times New Roman" w:cs="Times New Roman"/>
          <w:sz w:val="24"/>
          <w:szCs w:val="24"/>
        </w:rPr>
        <w:t xml:space="preserve"> so that Washington is not left behind.</w:t>
      </w:r>
    </w:p>
    <w:p w:rsidR="002354E3" w:rsidRDefault="002354E3" w:rsidP="002354E3">
      <w:pPr>
        <w:spacing w:after="0" w:line="360" w:lineRule="auto"/>
        <w:rPr>
          <w:rFonts w:ascii="Times New Roman" w:hAnsi="Times New Roman" w:cs="Times New Roman"/>
          <w:sz w:val="24"/>
          <w:szCs w:val="24"/>
        </w:rPr>
      </w:pPr>
    </w:p>
    <w:p w:rsidR="002354E3" w:rsidRPr="00B142D2" w:rsidRDefault="002354E3" w:rsidP="002354E3">
      <w:pPr>
        <w:pStyle w:val="ListParagraph"/>
        <w:numPr>
          <w:ilvl w:val="0"/>
          <w:numId w:val="10"/>
        </w:numPr>
        <w:spacing w:after="0" w:line="360" w:lineRule="auto"/>
        <w:rPr>
          <w:rFonts w:ascii="Times New Roman" w:hAnsi="Times New Roman"/>
          <w:b/>
          <w:sz w:val="24"/>
          <w:szCs w:val="24"/>
        </w:rPr>
      </w:pPr>
      <w:r w:rsidRPr="00B142D2">
        <w:rPr>
          <w:rFonts w:ascii="Times New Roman" w:hAnsi="Times New Roman"/>
          <w:b/>
          <w:sz w:val="24"/>
          <w:szCs w:val="24"/>
        </w:rPr>
        <w:t xml:space="preserve"> CONCLUSION</w:t>
      </w:r>
    </w:p>
    <w:p w:rsidR="002354E3" w:rsidRDefault="002354E3" w:rsidP="002354E3">
      <w:pPr>
        <w:spacing w:after="0" w:line="360" w:lineRule="auto"/>
        <w:rPr>
          <w:rFonts w:ascii="Times New Roman" w:hAnsi="Times New Roman"/>
          <w:b/>
          <w:sz w:val="24"/>
          <w:szCs w:val="24"/>
        </w:rPr>
      </w:pPr>
    </w:p>
    <w:p w:rsidR="002354E3" w:rsidRPr="00CF311F" w:rsidRDefault="002354E3" w:rsidP="002354E3">
      <w:pPr>
        <w:pStyle w:val="BodyTextFirstIndent"/>
        <w:spacing w:line="360" w:lineRule="auto"/>
        <w:ind w:firstLine="360"/>
        <w:rPr>
          <w:szCs w:val="24"/>
        </w:rPr>
      </w:pPr>
      <w:r>
        <w:rPr>
          <w:szCs w:val="24"/>
        </w:rPr>
        <w:t>Access reform is long overdue in the state of Washington.  Washingtonians and the state economy will benefit from access reform and will ensure that the facilities are available in Washington for a broadband future.  Intrastate switched a</w:t>
      </w:r>
      <w:r w:rsidRPr="00CF311F">
        <w:rPr>
          <w:szCs w:val="24"/>
        </w:rPr>
        <w:t xml:space="preserve">ccess </w:t>
      </w:r>
      <w:r>
        <w:rPr>
          <w:szCs w:val="24"/>
        </w:rPr>
        <w:t xml:space="preserve">rates </w:t>
      </w:r>
      <w:r w:rsidRPr="00CF311F">
        <w:rPr>
          <w:szCs w:val="24"/>
        </w:rPr>
        <w:t xml:space="preserve">should be reduced to interstate levels </w:t>
      </w:r>
      <w:r>
        <w:rPr>
          <w:szCs w:val="24"/>
        </w:rPr>
        <w:t xml:space="preserve">as </w:t>
      </w:r>
      <w:r w:rsidRPr="00CF311F">
        <w:rPr>
          <w:szCs w:val="24"/>
        </w:rPr>
        <w:t xml:space="preserve">the old access charge regime simply cannot and should not be sustained, and because consumers should not be made to wait for the benefits of those reductions any longer.  At the same time, the offsetting local price increases can be implemented gradually – using the WUSF as a transitional tool – so that consumers do not see sharp increases in local service rates, </w:t>
      </w:r>
      <w:r>
        <w:rPr>
          <w:szCs w:val="24"/>
        </w:rPr>
        <w:t xml:space="preserve">and a state fund can be very small thus allowing rural </w:t>
      </w:r>
      <w:r w:rsidRPr="00CF311F">
        <w:rPr>
          <w:szCs w:val="24"/>
        </w:rPr>
        <w:t>LECs a fair opportunity to make up for the reduction in access revenue</w:t>
      </w:r>
      <w:r>
        <w:rPr>
          <w:szCs w:val="24"/>
        </w:rPr>
        <w:t xml:space="preserve">s.  </w:t>
      </w:r>
    </w:p>
    <w:p w:rsidR="0064390C" w:rsidRPr="00B142D2" w:rsidRDefault="0064390C" w:rsidP="0064390C">
      <w:pPr>
        <w:spacing w:after="0" w:line="360" w:lineRule="auto"/>
        <w:rPr>
          <w:rFonts w:ascii="Times New Roman" w:hAnsi="Times New Roman"/>
          <w:b/>
          <w:sz w:val="24"/>
          <w:szCs w:val="24"/>
        </w:rPr>
      </w:pPr>
    </w:p>
    <w:p w:rsidR="006D3362" w:rsidRDefault="006D3362" w:rsidP="006D3362">
      <w:pPr>
        <w:pStyle w:val="ListParagraph"/>
        <w:ind w:left="1080"/>
        <w:rPr>
          <w:rFonts w:ascii="Times New Roman" w:hAnsi="Times New Roman" w:cs="Times New Roman"/>
          <w:sz w:val="24"/>
          <w:szCs w:val="24"/>
        </w:rPr>
      </w:pPr>
    </w:p>
    <w:sectPr w:rsidR="006D3362" w:rsidSect="00640578">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226" w:rsidRDefault="00A96226" w:rsidP="005408D7">
      <w:pPr>
        <w:spacing w:after="0" w:line="240" w:lineRule="auto"/>
      </w:pPr>
      <w:r>
        <w:separator/>
      </w:r>
    </w:p>
  </w:endnote>
  <w:endnote w:type="continuationSeparator" w:id="0">
    <w:p w:rsidR="00A96226" w:rsidRDefault="00A96226" w:rsidP="00540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23172"/>
      <w:docPartObj>
        <w:docPartGallery w:val="Page Numbers (Bottom of Page)"/>
        <w:docPartUnique/>
      </w:docPartObj>
    </w:sdtPr>
    <w:sdtContent>
      <w:p w:rsidR="00A96226" w:rsidRDefault="00A96226">
        <w:pPr>
          <w:pStyle w:val="Footer"/>
          <w:jc w:val="center"/>
        </w:pPr>
        <w:fldSimple w:instr=" PAGE   \* MERGEFORMAT ">
          <w:r w:rsidR="009F3F6B">
            <w:rPr>
              <w:noProof/>
            </w:rPr>
            <w:t>2</w:t>
          </w:r>
        </w:fldSimple>
      </w:p>
    </w:sdtContent>
  </w:sdt>
  <w:p w:rsidR="00A96226" w:rsidRDefault="00A96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226" w:rsidRDefault="00A96226" w:rsidP="005408D7">
      <w:pPr>
        <w:spacing w:after="0" w:line="240" w:lineRule="auto"/>
      </w:pPr>
      <w:r>
        <w:separator/>
      </w:r>
    </w:p>
  </w:footnote>
  <w:footnote w:type="continuationSeparator" w:id="0">
    <w:p w:rsidR="00A96226" w:rsidRDefault="00A96226" w:rsidP="005408D7">
      <w:pPr>
        <w:spacing w:after="0" w:line="240" w:lineRule="auto"/>
      </w:pPr>
      <w:r>
        <w:continuationSeparator/>
      </w:r>
    </w:p>
  </w:footnote>
  <w:footnote w:id="1">
    <w:p w:rsidR="00A96226" w:rsidRPr="00E15386" w:rsidRDefault="00A96226" w:rsidP="002354E3">
      <w:pPr>
        <w:pStyle w:val="FootnoteText"/>
        <w:rPr>
          <w:rFonts w:ascii="Times New Roman" w:hAnsi="Times New Roman" w:cs="Times New Roman"/>
        </w:rPr>
      </w:pPr>
      <w:r w:rsidRPr="00E15386">
        <w:rPr>
          <w:rStyle w:val="FootnoteReference"/>
          <w:rFonts w:ascii="Times New Roman" w:hAnsi="Times New Roman" w:cs="Times New Roman"/>
        </w:rPr>
        <w:footnoteRef/>
      </w:r>
      <w:r w:rsidRPr="00E15386">
        <w:rPr>
          <w:rFonts w:ascii="Times New Roman" w:hAnsi="Times New Roman" w:cs="Times New Roman"/>
        </w:rPr>
        <w:t xml:space="preserve"> </w:t>
      </w:r>
      <w:proofErr w:type="gramStart"/>
      <w:r w:rsidRPr="00E15386">
        <w:rPr>
          <w:rFonts w:ascii="Times New Roman" w:hAnsi="Times New Roman" w:cs="Times New Roman"/>
        </w:rPr>
        <w:t>Notice of Workshop (Scheduled for Wednesday, May 5, 2010, beginning at 9:30 a.m.); service date, April 14, 2010.</w:t>
      </w:r>
      <w:proofErr w:type="gramEnd"/>
      <w:r w:rsidRPr="00E15386">
        <w:rPr>
          <w:rFonts w:ascii="Times New Roman" w:hAnsi="Times New Roman" w:cs="Times New Roman"/>
        </w:rPr>
        <w:t xml:space="preserve"> </w:t>
      </w:r>
    </w:p>
    <w:p w:rsidR="00A96226" w:rsidRPr="00E15386" w:rsidRDefault="00A96226" w:rsidP="002354E3">
      <w:pPr>
        <w:pStyle w:val="FootnoteText"/>
        <w:rPr>
          <w:rFonts w:ascii="Times New Roman" w:hAnsi="Times New Roman" w:cs="Times New Roman"/>
        </w:rPr>
      </w:pPr>
    </w:p>
  </w:footnote>
  <w:footnote w:id="2">
    <w:p w:rsidR="00A96226" w:rsidRPr="00E15386" w:rsidRDefault="00A96226" w:rsidP="002354E3">
      <w:pPr>
        <w:pStyle w:val="FootnoteText"/>
        <w:rPr>
          <w:rFonts w:ascii="Times New Roman" w:hAnsi="Times New Roman" w:cs="Times New Roman"/>
        </w:rPr>
      </w:pPr>
      <w:r w:rsidRPr="00E15386">
        <w:rPr>
          <w:rStyle w:val="FootnoteReference"/>
          <w:rFonts w:ascii="Times New Roman" w:hAnsi="Times New Roman" w:cs="Times New Roman"/>
        </w:rPr>
        <w:footnoteRef/>
      </w:r>
      <w:r w:rsidRPr="00E15386">
        <w:rPr>
          <w:rFonts w:ascii="Times New Roman" w:hAnsi="Times New Roman" w:cs="Times New Roman"/>
        </w:rPr>
        <w:t xml:space="preserve"> AT&amp;T Communications of the Pacific Northwest, Inc., TCG Seattle, and New Cingular Wireless PCS, LLC (collectively “AT&amp;T”).</w:t>
      </w:r>
    </w:p>
    <w:p w:rsidR="00A96226" w:rsidRPr="00E15386" w:rsidRDefault="00A96226" w:rsidP="002354E3">
      <w:pPr>
        <w:pStyle w:val="FootnoteText"/>
        <w:rPr>
          <w:rFonts w:ascii="Times New Roman" w:hAnsi="Times New Roman" w:cs="Times New Roman"/>
        </w:rPr>
      </w:pPr>
    </w:p>
  </w:footnote>
  <w:footnote w:id="3">
    <w:p w:rsidR="00A96226" w:rsidRDefault="00A96226" w:rsidP="002354E3">
      <w:pPr>
        <w:pStyle w:val="FootnoteText"/>
      </w:pPr>
      <w:r w:rsidRPr="00E15386">
        <w:rPr>
          <w:rStyle w:val="FootnoteReference"/>
          <w:rFonts w:ascii="Times New Roman" w:hAnsi="Times New Roman" w:cs="Times New Roman"/>
        </w:rPr>
        <w:footnoteRef/>
      </w:r>
      <w:r w:rsidRPr="00E15386">
        <w:rPr>
          <w:rFonts w:ascii="Times New Roman" w:hAnsi="Times New Roman" w:cs="Times New Roman"/>
        </w:rPr>
        <w:t xml:space="preserve"> See AT&amp;T Reply comments, page 1.</w:t>
      </w:r>
      <w:r>
        <w:t xml:space="preserve"> </w:t>
      </w:r>
    </w:p>
    <w:p w:rsidR="00A96226" w:rsidRDefault="00A96226" w:rsidP="002354E3">
      <w:pPr>
        <w:pStyle w:val="FootnoteText"/>
      </w:pPr>
    </w:p>
  </w:footnote>
  <w:footnote w:id="4">
    <w:p w:rsidR="00A96226" w:rsidRDefault="00A96226" w:rsidP="002354E3">
      <w:pPr>
        <w:pStyle w:val="FootnoteText"/>
      </w:pPr>
      <w:r w:rsidRPr="00E15386">
        <w:rPr>
          <w:rStyle w:val="FootnoteReference"/>
          <w:rFonts w:ascii="Times New Roman" w:hAnsi="Times New Roman" w:cs="Times New Roman"/>
        </w:rPr>
        <w:footnoteRef/>
      </w:r>
      <w:r w:rsidRPr="00E15386">
        <w:rPr>
          <w:rFonts w:ascii="Times New Roman" w:hAnsi="Times New Roman" w:cs="Times New Roman"/>
        </w:rPr>
        <w:t xml:space="preserve"> From 2000 to 2009, total access lines in Washington have decreased by 36% and total access minutes of use have decreased by 50%.  See presentation of Joel </w:t>
      </w:r>
      <w:proofErr w:type="spellStart"/>
      <w:r w:rsidRPr="00E15386">
        <w:rPr>
          <w:rFonts w:ascii="Times New Roman" w:hAnsi="Times New Roman" w:cs="Times New Roman"/>
        </w:rPr>
        <w:t>Lubin</w:t>
      </w:r>
      <w:proofErr w:type="spellEnd"/>
      <w:r w:rsidRPr="00E15386">
        <w:rPr>
          <w:rFonts w:ascii="Times New Roman" w:hAnsi="Times New Roman" w:cs="Times New Roman"/>
        </w:rPr>
        <w:t xml:space="preserve">, AT&amp;T, </w:t>
      </w:r>
      <w:proofErr w:type="gramStart"/>
      <w:r w:rsidRPr="00E15386">
        <w:rPr>
          <w:rFonts w:ascii="Times New Roman" w:hAnsi="Times New Roman" w:cs="Times New Roman"/>
        </w:rPr>
        <w:t>May</w:t>
      </w:r>
      <w:proofErr w:type="gramEnd"/>
      <w:r w:rsidRPr="00E15386">
        <w:rPr>
          <w:rFonts w:ascii="Times New Roman" w:hAnsi="Times New Roman" w:cs="Times New Roman"/>
        </w:rPr>
        <w:t xml:space="preserve"> 5, 2010</w:t>
      </w:r>
      <w:r>
        <w:t xml:space="preserve">. </w:t>
      </w:r>
    </w:p>
  </w:footnote>
  <w:footnote w:id="5">
    <w:p w:rsidR="00A96226" w:rsidRPr="00E03D71" w:rsidRDefault="00A96226" w:rsidP="002354E3">
      <w:pPr>
        <w:pStyle w:val="FootnoteText"/>
        <w:rPr>
          <w:rFonts w:ascii="Times New Roman" w:hAnsi="Times New Roman" w:cs="Times New Roman"/>
        </w:rPr>
      </w:pPr>
      <w:r w:rsidRPr="00E03D71">
        <w:rPr>
          <w:rStyle w:val="FootnoteReference"/>
          <w:rFonts w:ascii="Times New Roman" w:hAnsi="Times New Roman" w:cs="Times New Roman"/>
        </w:rPr>
        <w:footnoteRef/>
      </w:r>
      <w:r w:rsidRPr="00E03D71">
        <w:rPr>
          <w:rFonts w:ascii="Times New Roman" w:hAnsi="Times New Roman" w:cs="Times New Roman"/>
        </w:rPr>
        <w:t xml:space="preserve">In its </w:t>
      </w:r>
      <w:r>
        <w:rPr>
          <w:rFonts w:ascii="Times New Roman" w:hAnsi="Times New Roman" w:cs="Times New Roman"/>
        </w:rPr>
        <w:t>o</w:t>
      </w:r>
      <w:r w:rsidRPr="00E03D71">
        <w:rPr>
          <w:rFonts w:ascii="Times New Roman" w:hAnsi="Times New Roman" w:cs="Times New Roman"/>
        </w:rPr>
        <w:t xml:space="preserve">pening </w:t>
      </w:r>
      <w:r>
        <w:rPr>
          <w:rFonts w:ascii="Times New Roman" w:hAnsi="Times New Roman" w:cs="Times New Roman"/>
        </w:rPr>
        <w:t>c</w:t>
      </w:r>
      <w:r w:rsidRPr="00E03D71">
        <w:rPr>
          <w:rFonts w:ascii="Times New Roman" w:hAnsi="Times New Roman" w:cs="Times New Roman"/>
        </w:rPr>
        <w:t xml:space="preserve">omments, AT&amp;T suggested that the Commission </w:t>
      </w:r>
      <w:r>
        <w:rPr>
          <w:rFonts w:ascii="Times New Roman" w:hAnsi="Times New Roman" w:cs="Times New Roman"/>
        </w:rPr>
        <w:t xml:space="preserve">should </w:t>
      </w:r>
      <w:r w:rsidRPr="00E03D71">
        <w:rPr>
          <w:rFonts w:ascii="Times New Roman" w:hAnsi="Times New Roman" w:cs="Times New Roman"/>
        </w:rPr>
        <w:t xml:space="preserve">issue </w:t>
      </w:r>
      <w:r>
        <w:rPr>
          <w:rFonts w:ascii="Times New Roman" w:hAnsi="Times New Roman" w:cs="Times New Roman"/>
        </w:rPr>
        <w:t xml:space="preserve">a </w:t>
      </w:r>
      <w:r w:rsidRPr="00E03D71">
        <w:rPr>
          <w:rFonts w:ascii="Times New Roman" w:hAnsi="Times New Roman" w:cs="Times New Roman"/>
        </w:rPr>
        <w:t xml:space="preserve">data request to all LECs to obtain the </w:t>
      </w:r>
      <w:r>
        <w:rPr>
          <w:rFonts w:ascii="Times New Roman" w:hAnsi="Times New Roman" w:cs="Times New Roman"/>
        </w:rPr>
        <w:t xml:space="preserve">information </w:t>
      </w:r>
      <w:r w:rsidRPr="00E03D71">
        <w:rPr>
          <w:rFonts w:ascii="Times New Roman" w:hAnsi="Times New Roman" w:cs="Times New Roman"/>
        </w:rPr>
        <w:t xml:space="preserve">necessary to arrive at precise figures.  While AT&amp;T still believes that this method </w:t>
      </w:r>
      <w:r>
        <w:rPr>
          <w:rFonts w:ascii="Times New Roman" w:hAnsi="Times New Roman" w:cs="Times New Roman"/>
        </w:rPr>
        <w:t xml:space="preserve">would ensure the most </w:t>
      </w:r>
      <w:r w:rsidRPr="00E03D71">
        <w:rPr>
          <w:rFonts w:ascii="Times New Roman" w:hAnsi="Times New Roman" w:cs="Times New Roman"/>
        </w:rPr>
        <w:t xml:space="preserve">accurate </w:t>
      </w:r>
      <w:r>
        <w:rPr>
          <w:rFonts w:ascii="Times New Roman" w:hAnsi="Times New Roman" w:cs="Times New Roman"/>
        </w:rPr>
        <w:t>result</w:t>
      </w:r>
      <w:r w:rsidRPr="00E03D71">
        <w:rPr>
          <w:rFonts w:ascii="Times New Roman" w:hAnsi="Times New Roman" w:cs="Times New Roman"/>
        </w:rPr>
        <w:t xml:space="preserve">, AT&amp;T, nevertheless, has provided </w:t>
      </w:r>
      <w:r>
        <w:rPr>
          <w:rFonts w:ascii="Times New Roman" w:hAnsi="Times New Roman" w:cs="Times New Roman"/>
        </w:rPr>
        <w:t xml:space="preserve">its </w:t>
      </w:r>
      <w:r w:rsidRPr="00E03D71">
        <w:rPr>
          <w:rFonts w:ascii="Times New Roman" w:hAnsi="Times New Roman" w:cs="Times New Roman"/>
        </w:rPr>
        <w:t xml:space="preserve">estimates to assist the Commission. </w:t>
      </w:r>
    </w:p>
    <w:p w:rsidR="00A96226" w:rsidRPr="00E03D71" w:rsidRDefault="00A96226" w:rsidP="002354E3">
      <w:pPr>
        <w:pStyle w:val="FootnoteText"/>
        <w:rPr>
          <w:rFonts w:ascii="Times New Roman" w:hAnsi="Times New Roman" w:cs="Times New Roman"/>
        </w:rPr>
      </w:pPr>
    </w:p>
  </w:footnote>
  <w:footnote w:id="6">
    <w:p w:rsidR="00A96226" w:rsidRDefault="00A96226" w:rsidP="002354E3">
      <w:pPr>
        <w:pStyle w:val="FootnoteText"/>
      </w:pPr>
      <w:r w:rsidRPr="00E03D71">
        <w:rPr>
          <w:rStyle w:val="FootnoteReference"/>
          <w:rFonts w:ascii="Times New Roman" w:hAnsi="Times New Roman" w:cs="Times New Roman"/>
        </w:rPr>
        <w:footnoteRef/>
      </w:r>
      <w:r w:rsidRPr="00E03D71">
        <w:rPr>
          <w:rFonts w:ascii="Times New Roman" w:hAnsi="Times New Roman" w:cs="Times New Roman"/>
        </w:rPr>
        <w:t xml:space="preserve"> The local rate benchmark does not include the subscriber line charge or any other taxes or fees.</w:t>
      </w:r>
      <w:r>
        <w:t xml:space="preserve"> </w:t>
      </w:r>
    </w:p>
  </w:footnote>
  <w:footnote w:id="7">
    <w:p w:rsidR="00A96226" w:rsidRPr="00D61917" w:rsidRDefault="00A96226" w:rsidP="002354E3">
      <w:pPr>
        <w:pStyle w:val="FootnoteText"/>
        <w:rPr>
          <w:rFonts w:ascii="Times New Roman" w:hAnsi="Times New Roman" w:cs="Times New Roman"/>
        </w:rPr>
      </w:pPr>
      <w:r w:rsidRPr="00D61917">
        <w:rPr>
          <w:rStyle w:val="FootnoteReference"/>
          <w:rFonts w:ascii="Times New Roman" w:hAnsi="Times New Roman" w:cs="Times New Roman"/>
        </w:rPr>
        <w:footnoteRef/>
      </w:r>
      <w:r w:rsidRPr="00D61917">
        <w:rPr>
          <w:rFonts w:ascii="Times New Roman" w:hAnsi="Times New Roman" w:cs="Times New Roman"/>
        </w:rPr>
        <w:t xml:space="preserve"> See AT&amp;T Reply Comments, page 6.</w:t>
      </w:r>
    </w:p>
    <w:p w:rsidR="00A96226" w:rsidRPr="00D61917" w:rsidRDefault="00A96226" w:rsidP="002354E3">
      <w:pPr>
        <w:pStyle w:val="FootnoteText"/>
        <w:rPr>
          <w:rFonts w:ascii="Times New Roman" w:hAnsi="Times New Roman" w:cs="Times New Roman"/>
        </w:rPr>
      </w:pPr>
    </w:p>
  </w:footnote>
  <w:footnote w:id="8">
    <w:p w:rsidR="00A96226" w:rsidRPr="00D61917" w:rsidRDefault="00A96226" w:rsidP="002354E3">
      <w:pPr>
        <w:pStyle w:val="FootnoteText"/>
        <w:rPr>
          <w:rFonts w:ascii="Times New Roman" w:hAnsi="Times New Roman" w:cs="Times New Roman"/>
        </w:rPr>
      </w:pPr>
      <w:r w:rsidRPr="00D61917">
        <w:rPr>
          <w:rStyle w:val="FootnoteReference"/>
          <w:rFonts w:ascii="Times New Roman" w:hAnsi="Times New Roman" w:cs="Times New Roman"/>
        </w:rPr>
        <w:footnoteRef/>
      </w:r>
      <w:r w:rsidRPr="00D61917">
        <w:rPr>
          <w:rFonts w:ascii="Times New Roman" w:hAnsi="Times New Roman" w:cs="Times New Roman"/>
        </w:rPr>
        <w:t xml:space="preserve"> </w:t>
      </w:r>
      <w:proofErr w:type="gramStart"/>
      <w:r w:rsidRPr="00D61917">
        <w:rPr>
          <w:rFonts w:ascii="Times New Roman" w:hAnsi="Times New Roman" w:cs="Times New Roman"/>
        </w:rPr>
        <w:t xml:space="preserve">Enhancing Broadband in Washington:  Effective Means to Improve Connectivity and Awareness, released July 17, 2009, </w:t>
      </w:r>
      <w:hyperlink r:id="rId1" w:history="1">
        <w:r w:rsidRPr="00D61917">
          <w:rPr>
            <w:rStyle w:val="Hyperlink"/>
          </w:rPr>
          <w:t>http://broadband.dis.wa.gov/docs/Broadband%20Report_FINAL071709.pdf</w:t>
        </w:r>
      </w:hyperlink>
      <w:r w:rsidRPr="00D61917">
        <w:rPr>
          <w:rFonts w:ascii="Times New Roman" w:hAnsi="Times New Roman" w:cs="Times New Roman"/>
        </w:rPr>
        <w:t>, page 4.</w:t>
      </w:r>
      <w:proofErr w:type="gramEnd"/>
      <w:r w:rsidRPr="00D61917">
        <w:rPr>
          <w:rFonts w:ascii="Times New Roman" w:hAnsi="Times New Roman" w:cs="Times New Roman"/>
        </w:rPr>
        <w:t xml:space="preserve"> </w:t>
      </w:r>
    </w:p>
    <w:p w:rsidR="00A96226" w:rsidRDefault="00A96226" w:rsidP="002354E3">
      <w:pPr>
        <w:pStyle w:val="FootnoteText"/>
      </w:pPr>
    </w:p>
  </w:footnote>
  <w:footnote w:id="9">
    <w:p w:rsidR="00A96226" w:rsidRPr="00E460CA" w:rsidRDefault="00A96226" w:rsidP="002354E3">
      <w:pPr>
        <w:pStyle w:val="FootnoteText"/>
        <w:rPr>
          <w:rFonts w:ascii="Times New Roman" w:hAnsi="Times New Roman" w:cs="Times New Roman"/>
        </w:rPr>
      </w:pPr>
      <w:r w:rsidRPr="00E460CA">
        <w:rPr>
          <w:rStyle w:val="FootnoteReference"/>
          <w:rFonts w:ascii="Times New Roman" w:hAnsi="Times New Roman" w:cs="Times New Roman"/>
        </w:rPr>
        <w:footnoteRef/>
      </w:r>
      <w:r w:rsidRPr="00E460CA">
        <w:rPr>
          <w:rFonts w:ascii="Times New Roman" w:hAnsi="Times New Roman" w:cs="Times New Roman"/>
        </w:rPr>
        <w:t xml:space="preserve"> Audio tape of WUTC Workshop held on May 5, 2010, comments of Carol Mattey, FCC, starting at 3:01. </w:t>
      </w:r>
    </w:p>
    <w:p w:rsidR="00A96226" w:rsidRPr="00E460CA" w:rsidRDefault="00A96226" w:rsidP="002354E3">
      <w:pPr>
        <w:pStyle w:val="FootnoteText"/>
        <w:rPr>
          <w:rFonts w:ascii="Times New Roman" w:hAnsi="Times New Roman" w:cs="Times New Roman"/>
        </w:rPr>
      </w:pPr>
    </w:p>
  </w:footnote>
  <w:footnote w:id="10">
    <w:p w:rsidR="00A96226" w:rsidRPr="00E460CA" w:rsidRDefault="00A96226" w:rsidP="002354E3">
      <w:pPr>
        <w:pStyle w:val="FootnoteText"/>
        <w:rPr>
          <w:rFonts w:ascii="Times New Roman" w:hAnsi="Times New Roman" w:cs="Times New Roman"/>
        </w:rPr>
      </w:pPr>
      <w:r w:rsidRPr="00E460CA">
        <w:rPr>
          <w:rStyle w:val="FootnoteReference"/>
          <w:rFonts w:ascii="Times New Roman" w:hAnsi="Times New Roman" w:cs="Times New Roman"/>
        </w:rPr>
        <w:footnoteRef/>
      </w:r>
      <w:r w:rsidRPr="00E460CA">
        <w:rPr>
          <w:rFonts w:ascii="Times New Roman" w:hAnsi="Times New Roman" w:cs="Times New Roman"/>
        </w:rPr>
        <w:t xml:space="preserve"> NBP, p. 150</w:t>
      </w:r>
    </w:p>
    <w:p w:rsidR="00A96226" w:rsidRDefault="00A96226" w:rsidP="002354E3">
      <w:pPr>
        <w:pStyle w:val="FootnoteText"/>
      </w:pPr>
    </w:p>
  </w:footnote>
  <w:footnote w:id="11">
    <w:p w:rsidR="00A96226" w:rsidRPr="00E460CA" w:rsidRDefault="00A96226" w:rsidP="002354E3">
      <w:pPr>
        <w:pStyle w:val="FootnoteText"/>
        <w:rPr>
          <w:rFonts w:ascii="Times New Roman" w:hAnsi="Times New Roman" w:cs="Times New Roman"/>
        </w:rPr>
      </w:pPr>
      <w:r w:rsidRPr="00E460CA">
        <w:rPr>
          <w:rStyle w:val="FootnoteReference"/>
          <w:rFonts w:ascii="Times New Roman" w:hAnsi="Times New Roman" w:cs="Times New Roman"/>
        </w:rPr>
        <w:footnoteRef/>
      </w:r>
      <w:r w:rsidRPr="00E460CA">
        <w:rPr>
          <w:rFonts w:ascii="Times New Roman" w:hAnsi="Times New Roman" w:cs="Times New Roman"/>
        </w:rPr>
        <w:t xml:space="preserve"> Dr. Debra Aron’s paper, “</w:t>
      </w:r>
      <w:r w:rsidRPr="00E460CA">
        <w:rPr>
          <w:rFonts w:ascii="Times New Roman" w:hAnsi="Times New Roman" w:cs="Times New Roman"/>
          <w:i/>
        </w:rPr>
        <w:t>The Consumer Benefit of Regulatory Access Reform in Washington</w:t>
      </w:r>
      <w:r w:rsidRPr="00E460CA">
        <w:rPr>
          <w:rFonts w:ascii="Times New Roman" w:hAnsi="Times New Roman" w:cs="Times New Roman"/>
        </w:rPr>
        <w:t xml:space="preserve">” attached to AT&amp;T’s opening comments. </w:t>
      </w:r>
    </w:p>
    <w:p w:rsidR="00A96226" w:rsidRPr="00E460CA" w:rsidRDefault="00A96226" w:rsidP="002354E3">
      <w:pPr>
        <w:pStyle w:val="FootnoteText"/>
        <w:rPr>
          <w:rFonts w:ascii="Times New Roman" w:hAnsi="Times New Roman" w:cs="Times New Roman"/>
        </w:rPr>
      </w:pPr>
    </w:p>
  </w:footnote>
  <w:footnote w:id="12">
    <w:p w:rsidR="00A96226" w:rsidRDefault="00A96226" w:rsidP="002354E3">
      <w:pPr>
        <w:pStyle w:val="FootnoteText"/>
      </w:pPr>
      <w:r w:rsidRPr="00E460CA">
        <w:rPr>
          <w:rStyle w:val="FootnoteReference"/>
          <w:rFonts w:ascii="Times New Roman" w:hAnsi="Times New Roman" w:cs="Times New Roman"/>
        </w:rPr>
        <w:footnoteRef/>
      </w:r>
      <w:r w:rsidRPr="00E460CA">
        <w:rPr>
          <w:rFonts w:ascii="Times New Roman" w:hAnsi="Times New Roman" w:cs="Times New Roman"/>
        </w:rPr>
        <w:t xml:space="preserve"> NBP, p. 142.</w:t>
      </w:r>
      <w:r>
        <w:t xml:space="preserve"> </w:t>
      </w:r>
    </w:p>
    <w:p w:rsidR="00A96226" w:rsidRDefault="00A96226" w:rsidP="002354E3">
      <w:pPr>
        <w:pStyle w:val="FootnoteText"/>
      </w:pPr>
    </w:p>
  </w:footnote>
  <w:footnote w:id="13">
    <w:p w:rsidR="00A96226" w:rsidRDefault="00A96226" w:rsidP="002354E3">
      <w:pPr>
        <w:pStyle w:val="FootnoteText"/>
      </w:pPr>
      <w:r w:rsidRPr="001D249C">
        <w:rPr>
          <w:rStyle w:val="FootnoteReference"/>
        </w:rPr>
        <w:footnoteRef/>
      </w:r>
      <w:r w:rsidRPr="001D249C">
        <w:t xml:space="preserve"> </w:t>
      </w:r>
      <w:r w:rsidRPr="001D249C">
        <w:rPr>
          <w:rFonts w:ascii="Times New Roman" w:hAnsi="Times New Roman" w:cs="Times New Roman"/>
          <w:i/>
        </w:rPr>
        <w:t>High-Cost Universal Service Support</w:t>
      </w:r>
      <w:r w:rsidRPr="001D249C">
        <w:rPr>
          <w:rFonts w:ascii="Times New Roman" w:hAnsi="Times New Roman" w:cs="Times New Roman"/>
        </w:rPr>
        <w:t xml:space="preserve">, WC Docket No. 05-337; </w:t>
      </w:r>
      <w:r w:rsidRPr="001D249C">
        <w:rPr>
          <w:rFonts w:ascii="Times New Roman" w:hAnsi="Times New Roman" w:cs="Times New Roman"/>
          <w:i/>
        </w:rPr>
        <w:t>Federal-State Joint Board on Universal Service,</w:t>
      </w:r>
      <w:r w:rsidRPr="001D249C">
        <w:rPr>
          <w:rFonts w:ascii="Times New Roman" w:hAnsi="Times New Roman" w:cs="Times New Roman"/>
        </w:rPr>
        <w:t xml:space="preserve"> CC Docket</w:t>
      </w:r>
      <w:r w:rsidRPr="00B172EB">
        <w:rPr>
          <w:rFonts w:ascii="Times New Roman" w:hAnsi="Times New Roman" w:cs="Times New Roman"/>
        </w:rPr>
        <w:t xml:space="preserve"> No. 96-45; </w:t>
      </w:r>
      <w:r w:rsidRPr="00B172EB">
        <w:rPr>
          <w:rFonts w:ascii="Times New Roman" w:hAnsi="Times New Roman" w:cs="Times New Roman"/>
          <w:i/>
        </w:rPr>
        <w:t xml:space="preserve">Lifeline and Link Up, </w:t>
      </w:r>
      <w:r w:rsidRPr="00B172EB">
        <w:rPr>
          <w:rFonts w:ascii="Times New Roman" w:hAnsi="Times New Roman" w:cs="Times New Roman"/>
        </w:rPr>
        <w:t xml:space="preserve">WC Docket No. 03-109; </w:t>
      </w:r>
      <w:r w:rsidRPr="00B172EB">
        <w:rPr>
          <w:rFonts w:ascii="Times New Roman" w:hAnsi="Times New Roman" w:cs="Times New Roman"/>
          <w:i/>
        </w:rPr>
        <w:t>Universal Service Contribution Methodology</w:t>
      </w:r>
      <w:r w:rsidRPr="00B172EB">
        <w:rPr>
          <w:rFonts w:ascii="Times New Roman" w:hAnsi="Times New Roman" w:cs="Times New Roman"/>
        </w:rPr>
        <w:t xml:space="preserve">, WC Docket No. 06-122; </w:t>
      </w:r>
      <w:r w:rsidRPr="00B172EB">
        <w:rPr>
          <w:rFonts w:ascii="Times New Roman" w:hAnsi="Times New Roman" w:cs="Times New Roman"/>
          <w:i/>
        </w:rPr>
        <w:t xml:space="preserve">Numbering Resource Optimization, </w:t>
      </w:r>
      <w:r w:rsidRPr="00B172EB">
        <w:rPr>
          <w:rFonts w:ascii="Times New Roman" w:hAnsi="Times New Roman" w:cs="Times New Roman"/>
        </w:rPr>
        <w:t xml:space="preserve">CC Docket No. 99-200; </w:t>
      </w:r>
      <w:r w:rsidRPr="00B172EB">
        <w:rPr>
          <w:rFonts w:ascii="Times New Roman" w:hAnsi="Times New Roman" w:cs="Times New Roman"/>
          <w:i/>
        </w:rPr>
        <w:t xml:space="preserve">Implementation of the Local Competition Provisions in the Telecommunications Act of 1996, </w:t>
      </w:r>
      <w:r w:rsidRPr="00B172EB">
        <w:rPr>
          <w:rFonts w:ascii="Times New Roman" w:hAnsi="Times New Roman" w:cs="Times New Roman"/>
        </w:rPr>
        <w:t xml:space="preserve">CC Docket No. 96-98; </w:t>
      </w:r>
      <w:r w:rsidRPr="00B172EB">
        <w:rPr>
          <w:rFonts w:ascii="Times New Roman" w:hAnsi="Times New Roman" w:cs="Times New Roman"/>
          <w:i/>
        </w:rPr>
        <w:t xml:space="preserve">Developing a Unified Intercarrier Compensation Regime, </w:t>
      </w:r>
      <w:r w:rsidRPr="00B172EB">
        <w:rPr>
          <w:rFonts w:ascii="Times New Roman" w:hAnsi="Times New Roman" w:cs="Times New Roman"/>
        </w:rPr>
        <w:t xml:space="preserve">CC Docket No. 01-92; </w:t>
      </w:r>
      <w:r w:rsidRPr="00B172EB">
        <w:rPr>
          <w:rFonts w:ascii="Times New Roman" w:hAnsi="Times New Roman" w:cs="Times New Roman"/>
          <w:i/>
        </w:rPr>
        <w:t>Intercarrier Compensation for ISP-Bound Traffic</w:t>
      </w:r>
      <w:r w:rsidRPr="00B172EB">
        <w:rPr>
          <w:rFonts w:ascii="Times New Roman" w:hAnsi="Times New Roman" w:cs="Times New Roman"/>
        </w:rPr>
        <w:t xml:space="preserve">, CC Docket No. 99-68; </w:t>
      </w:r>
      <w:r w:rsidRPr="00B172EB">
        <w:rPr>
          <w:rFonts w:ascii="Times New Roman" w:hAnsi="Times New Roman" w:cs="Times New Roman"/>
          <w:i/>
        </w:rPr>
        <w:t xml:space="preserve">IP-Enabled Services, </w:t>
      </w:r>
      <w:r w:rsidRPr="00B172EB">
        <w:rPr>
          <w:rFonts w:ascii="Times New Roman" w:hAnsi="Times New Roman" w:cs="Times New Roman"/>
        </w:rPr>
        <w:t>WC Docket No. 04-36, FCC</w:t>
      </w:r>
      <w:r>
        <w:rPr>
          <w:rFonts w:ascii="Times New Roman" w:hAnsi="Times New Roman" w:cs="Times New Roman"/>
        </w:rPr>
        <w:t xml:space="preserve"> 08-262 (rel. November 5, 2008), page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68C"/>
    <w:multiLevelType w:val="hybridMultilevel"/>
    <w:tmpl w:val="840434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EE03E0E">
      <w:start w:val="2"/>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AD07C7"/>
    <w:multiLevelType w:val="hybridMultilevel"/>
    <w:tmpl w:val="10805C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137084"/>
    <w:multiLevelType w:val="hybridMultilevel"/>
    <w:tmpl w:val="DEEE0F0C"/>
    <w:lvl w:ilvl="0" w:tplc="04090019">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
    <w:nsid w:val="403D17C4"/>
    <w:multiLevelType w:val="hybridMultilevel"/>
    <w:tmpl w:val="B5BECB3E"/>
    <w:lvl w:ilvl="0" w:tplc="1550FA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992406"/>
    <w:multiLevelType w:val="hybridMultilevel"/>
    <w:tmpl w:val="559CDB32"/>
    <w:lvl w:ilvl="0" w:tplc="88FCAB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0F4FB2"/>
    <w:multiLevelType w:val="hybridMultilevel"/>
    <w:tmpl w:val="F14EF918"/>
    <w:lvl w:ilvl="0" w:tplc="04090001">
      <w:start w:val="1"/>
      <w:numFmt w:val="bullet"/>
      <w:lvlText w:val=""/>
      <w:lvlJc w:val="left"/>
      <w:pPr>
        <w:ind w:left="1545" w:hanging="360"/>
      </w:pPr>
      <w:rPr>
        <w:rFonts w:ascii="Symbol" w:hAnsi="Symbol"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6">
    <w:nsid w:val="5F923B02"/>
    <w:multiLevelType w:val="hybridMultilevel"/>
    <w:tmpl w:val="B0CCEF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B3455D"/>
    <w:multiLevelType w:val="hybridMultilevel"/>
    <w:tmpl w:val="90385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F86F2D"/>
    <w:multiLevelType w:val="hybridMultilevel"/>
    <w:tmpl w:val="BE56A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262A92"/>
    <w:multiLevelType w:val="hybridMultilevel"/>
    <w:tmpl w:val="1FDCA1CC"/>
    <w:lvl w:ilvl="0" w:tplc="11126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BB0C68"/>
    <w:multiLevelType w:val="hybridMultilevel"/>
    <w:tmpl w:val="3DAA3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8"/>
  </w:num>
  <w:num w:numId="5">
    <w:abstractNumId w:val="0"/>
  </w:num>
  <w:num w:numId="6">
    <w:abstractNumId w:val="6"/>
  </w:num>
  <w:num w:numId="7">
    <w:abstractNumId w:val="2"/>
  </w:num>
  <w:num w:numId="8">
    <w:abstractNumId w:val="5"/>
  </w:num>
  <w:num w:numId="9">
    <w:abstractNumId w:val="9"/>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4772"/>
    <w:rsid w:val="000026AE"/>
    <w:rsid w:val="00007809"/>
    <w:rsid w:val="00026BE3"/>
    <w:rsid w:val="00041F5A"/>
    <w:rsid w:val="000426E3"/>
    <w:rsid w:val="0004411B"/>
    <w:rsid w:val="00060640"/>
    <w:rsid w:val="00063E98"/>
    <w:rsid w:val="00065132"/>
    <w:rsid w:val="000659C4"/>
    <w:rsid w:val="000769EC"/>
    <w:rsid w:val="00084E36"/>
    <w:rsid w:val="000862E4"/>
    <w:rsid w:val="000909C8"/>
    <w:rsid w:val="00092016"/>
    <w:rsid w:val="000B7FE3"/>
    <w:rsid w:val="000F2DD7"/>
    <w:rsid w:val="000F6E0E"/>
    <w:rsid w:val="00106A1A"/>
    <w:rsid w:val="00106E9F"/>
    <w:rsid w:val="001352CA"/>
    <w:rsid w:val="0014275A"/>
    <w:rsid w:val="00153950"/>
    <w:rsid w:val="00155DBC"/>
    <w:rsid w:val="0017008A"/>
    <w:rsid w:val="001E5613"/>
    <w:rsid w:val="00216B39"/>
    <w:rsid w:val="002354E3"/>
    <w:rsid w:val="00277165"/>
    <w:rsid w:val="0028440E"/>
    <w:rsid w:val="002A0CAF"/>
    <w:rsid w:val="002A17F9"/>
    <w:rsid w:val="002B136D"/>
    <w:rsid w:val="002B7D9A"/>
    <w:rsid w:val="002C7E17"/>
    <w:rsid w:val="002E1C2F"/>
    <w:rsid w:val="00312B6B"/>
    <w:rsid w:val="003130FD"/>
    <w:rsid w:val="00321333"/>
    <w:rsid w:val="00345674"/>
    <w:rsid w:val="00382CAB"/>
    <w:rsid w:val="003A6623"/>
    <w:rsid w:val="003C7094"/>
    <w:rsid w:val="003E2EBA"/>
    <w:rsid w:val="003E64EA"/>
    <w:rsid w:val="003F7C5F"/>
    <w:rsid w:val="004301CD"/>
    <w:rsid w:val="004332D6"/>
    <w:rsid w:val="00434772"/>
    <w:rsid w:val="004449DE"/>
    <w:rsid w:val="00450837"/>
    <w:rsid w:val="00471D45"/>
    <w:rsid w:val="00482EC2"/>
    <w:rsid w:val="004B18BF"/>
    <w:rsid w:val="004B4A13"/>
    <w:rsid w:val="004C0765"/>
    <w:rsid w:val="00502AC2"/>
    <w:rsid w:val="00507085"/>
    <w:rsid w:val="00507859"/>
    <w:rsid w:val="0051146A"/>
    <w:rsid w:val="00511A92"/>
    <w:rsid w:val="00516C2A"/>
    <w:rsid w:val="005408D7"/>
    <w:rsid w:val="00585E9D"/>
    <w:rsid w:val="005A2F17"/>
    <w:rsid w:val="005B7E03"/>
    <w:rsid w:val="005D4C05"/>
    <w:rsid w:val="00615F83"/>
    <w:rsid w:val="00640578"/>
    <w:rsid w:val="0064390C"/>
    <w:rsid w:val="00644B3C"/>
    <w:rsid w:val="00675A62"/>
    <w:rsid w:val="00677851"/>
    <w:rsid w:val="006D3362"/>
    <w:rsid w:val="006F337E"/>
    <w:rsid w:val="006F534B"/>
    <w:rsid w:val="00710F35"/>
    <w:rsid w:val="007C419B"/>
    <w:rsid w:val="007E4449"/>
    <w:rsid w:val="007E6342"/>
    <w:rsid w:val="00801166"/>
    <w:rsid w:val="0082381B"/>
    <w:rsid w:val="0083424A"/>
    <w:rsid w:val="00843DBF"/>
    <w:rsid w:val="00853CD0"/>
    <w:rsid w:val="00890D4F"/>
    <w:rsid w:val="00896F3A"/>
    <w:rsid w:val="0089778A"/>
    <w:rsid w:val="008B41B7"/>
    <w:rsid w:val="009642B2"/>
    <w:rsid w:val="00976D1B"/>
    <w:rsid w:val="009902C1"/>
    <w:rsid w:val="009F3F6B"/>
    <w:rsid w:val="00A10B62"/>
    <w:rsid w:val="00A224F9"/>
    <w:rsid w:val="00A26897"/>
    <w:rsid w:val="00A51348"/>
    <w:rsid w:val="00A96226"/>
    <w:rsid w:val="00A97DDD"/>
    <w:rsid w:val="00AA6613"/>
    <w:rsid w:val="00AB4BA6"/>
    <w:rsid w:val="00AC53ED"/>
    <w:rsid w:val="00B172EB"/>
    <w:rsid w:val="00B239EB"/>
    <w:rsid w:val="00B337CA"/>
    <w:rsid w:val="00B350BA"/>
    <w:rsid w:val="00B36A79"/>
    <w:rsid w:val="00B718BA"/>
    <w:rsid w:val="00B8558C"/>
    <w:rsid w:val="00B951A1"/>
    <w:rsid w:val="00BA6B8A"/>
    <w:rsid w:val="00BC1335"/>
    <w:rsid w:val="00BE70E1"/>
    <w:rsid w:val="00C22FBC"/>
    <w:rsid w:val="00C36863"/>
    <w:rsid w:val="00C660AF"/>
    <w:rsid w:val="00C91362"/>
    <w:rsid w:val="00C96A40"/>
    <w:rsid w:val="00CB04E1"/>
    <w:rsid w:val="00CD36B9"/>
    <w:rsid w:val="00CF311F"/>
    <w:rsid w:val="00CF3501"/>
    <w:rsid w:val="00D45165"/>
    <w:rsid w:val="00D56727"/>
    <w:rsid w:val="00D94A55"/>
    <w:rsid w:val="00DB239A"/>
    <w:rsid w:val="00DB7552"/>
    <w:rsid w:val="00DD18A9"/>
    <w:rsid w:val="00DD6849"/>
    <w:rsid w:val="00DE3583"/>
    <w:rsid w:val="00E25066"/>
    <w:rsid w:val="00E31115"/>
    <w:rsid w:val="00E45A0B"/>
    <w:rsid w:val="00E7230E"/>
    <w:rsid w:val="00E73BBE"/>
    <w:rsid w:val="00E97231"/>
    <w:rsid w:val="00EA4265"/>
    <w:rsid w:val="00EB083D"/>
    <w:rsid w:val="00EC3734"/>
    <w:rsid w:val="00EC69AD"/>
    <w:rsid w:val="00F07FD9"/>
    <w:rsid w:val="00F41AB6"/>
    <w:rsid w:val="00F46DD1"/>
    <w:rsid w:val="00F5069A"/>
    <w:rsid w:val="00F64811"/>
    <w:rsid w:val="00F8346A"/>
    <w:rsid w:val="00FA543A"/>
    <w:rsid w:val="00FA62DA"/>
    <w:rsid w:val="00FB166F"/>
    <w:rsid w:val="00FB3AEB"/>
    <w:rsid w:val="00FB6319"/>
    <w:rsid w:val="00FD4F8C"/>
    <w:rsid w:val="00FD77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08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8D7"/>
    <w:rPr>
      <w:sz w:val="20"/>
      <w:szCs w:val="20"/>
    </w:rPr>
  </w:style>
  <w:style w:type="character" w:styleId="FootnoteReference">
    <w:name w:val="footnote reference"/>
    <w:basedOn w:val="DefaultParagraphFont"/>
    <w:uiPriority w:val="99"/>
    <w:unhideWhenUsed/>
    <w:rsid w:val="005408D7"/>
    <w:rPr>
      <w:vertAlign w:val="superscript"/>
    </w:rPr>
  </w:style>
  <w:style w:type="character" w:styleId="Hyperlink">
    <w:name w:val="Hyperlink"/>
    <w:basedOn w:val="DefaultParagraphFont"/>
    <w:uiPriority w:val="99"/>
    <w:unhideWhenUsed/>
    <w:rsid w:val="00106A1A"/>
    <w:rPr>
      <w:color w:val="0000FF" w:themeColor="hyperlink"/>
      <w:u w:val="single"/>
    </w:rPr>
  </w:style>
  <w:style w:type="paragraph" w:styleId="ListParagraph">
    <w:name w:val="List Paragraph"/>
    <w:basedOn w:val="Normal"/>
    <w:uiPriority w:val="99"/>
    <w:qFormat/>
    <w:rsid w:val="00853CD0"/>
    <w:pPr>
      <w:ind w:left="720"/>
      <w:contextualSpacing/>
    </w:pPr>
  </w:style>
  <w:style w:type="paragraph" w:styleId="BodyText">
    <w:name w:val="Body Text"/>
    <w:basedOn w:val="Normal"/>
    <w:link w:val="BodyTextChar"/>
    <w:uiPriority w:val="99"/>
    <w:semiHidden/>
    <w:unhideWhenUsed/>
    <w:rsid w:val="00A26897"/>
    <w:pPr>
      <w:spacing w:after="120"/>
    </w:pPr>
  </w:style>
  <w:style w:type="character" w:customStyle="1" w:styleId="BodyTextChar">
    <w:name w:val="Body Text Char"/>
    <w:basedOn w:val="DefaultParagraphFont"/>
    <w:link w:val="BodyText"/>
    <w:uiPriority w:val="99"/>
    <w:semiHidden/>
    <w:rsid w:val="00A26897"/>
  </w:style>
  <w:style w:type="paragraph" w:styleId="BodyTextFirstIndent">
    <w:name w:val="Body Text First Indent"/>
    <w:basedOn w:val="BodyText"/>
    <w:link w:val="BodyTextFirstIndentChar"/>
    <w:uiPriority w:val="99"/>
    <w:rsid w:val="00A26897"/>
    <w:pPr>
      <w:autoSpaceDE w:val="0"/>
      <w:autoSpaceDN w:val="0"/>
      <w:adjustRightInd w:val="0"/>
      <w:spacing w:after="0" w:line="480" w:lineRule="auto"/>
      <w:ind w:firstLine="720"/>
      <w:jc w:val="both"/>
    </w:pPr>
    <w:rPr>
      <w:rFonts w:ascii="Times New Roman" w:eastAsia="Times New Roman" w:hAnsi="Times New Roman" w:cs="Times New Roman"/>
      <w:sz w:val="24"/>
      <w:szCs w:val="20"/>
    </w:rPr>
  </w:style>
  <w:style w:type="character" w:customStyle="1" w:styleId="BodyTextFirstIndentChar">
    <w:name w:val="Body Text First Indent Char"/>
    <w:basedOn w:val="BodyTextChar"/>
    <w:link w:val="BodyTextFirstIndent"/>
    <w:uiPriority w:val="99"/>
    <w:rsid w:val="00A26897"/>
    <w:rPr>
      <w:rFonts w:ascii="Times New Roman" w:eastAsia="Times New Roman" w:hAnsi="Times New Roman" w:cs="Times New Roman"/>
      <w:sz w:val="24"/>
      <w:szCs w:val="20"/>
    </w:rPr>
  </w:style>
  <w:style w:type="paragraph" w:customStyle="1" w:styleId="FootnoteText1">
    <w:name w:val="Footnote Text1"/>
    <w:basedOn w:val="Normal"/>
    <w:rsid w:val="00382CAB"/>
    <w:pPr>
      <w:tabs>
        <w:tab w:val="left" w:pos="360"/>
      </w:tabs>
      <w:spacing w:after="240" w:line="240" w:lineRule="auto"/>
      <w:ind w:left="360" w:hanging="360"/>
    </w:pPr>
    <w:rPr>
      <w:rFonts w:ascii="Times New Roman" w:eastAsia="Times New Roman" w:hAnsi="Times New Roman" w:cs="Times New Roman"/>
      <w:sz w:val="20"/>
      <w:szCs w:val="20"/>
    </w:rPr>
  </w:style>
  <w:style w:type="paragraph" w:styleId="Quote">
    <w:name w:val="Quote"/>
    <w:basedOn w:val="Normal"/>
    <w:next w:val="Normal"/>
    <w:link w:val="QuoteChar"/>
    <w:uiPriority w:val="29"/>
    <w:qFormat/>
    <w:rsid w:val="00382CAB"/>
    <w:pPr>
      <w:spacing w:after="120" w:line="240" w:lineRule="auto"/>
      <w:ind w:left="720" w:right="432"/>
    </w:pPr>
    <w:rPr>
      <w:rFonts w:ascii="Times New Roman" w:eastAsia="Times New Roman" w:hAnsi="Times New Roman" w:cs="Times New Roman"/>
      <w:iCs/>
      <w:color w:val="000000" w:themeColor="text1"/>
      <w:sz w:val="24"/>
      <w:szCs w:val="20"/>
    </w:rPr>
  </w:style>
  <w:style w:type="character" w:customStyle="1" w:styleId="QuoteChar">
    <w:name w:val="Quote Char"/>
    <w:basedOn w:val="DefaultParagraphFont"/>
    <w:link w:val="Quote"/>
    <w:uiPriority w:val="29"/>
    <w:rsid w:val="00382CAB"/>
    <w:rPr>
      <w:rFonts w:ascii="Times New Roman" w:eastAsia="Times New Roman" w:hAnsi="Times New Roman" w:cs="Times New Roman"/>
      <w:iCs/>
      <w:color w:val="000000" w:themeColor="text1"/>
      <w:sz w:val="24"/>
      <w:szCs w:val="20"/>
    </w:rPr>
  </w:style>
  <w:style w:type="paragraph" w:styleId="Header">
    <w:name w:val="header"/>
    <w:basedOn w:val="Normal"/>
    <w:link w:val="HeaderChar"/>
    <w:uiPriority w:val="99"/>
    <w:semiHidden/>
    <w:unhideWhenUsed/>
    <w:rsid w:val="001539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3950"/>
  </w:style>
  <w:style w:type="paragraph" w:styleId="Footer">
    <w:name w:val="footer"/>
    <w:basedOn w:val="Normal"/>
    <w:link w:val="FooterChar"/>
    <w:uiPriority w:val="99"/>
    <w:unhideWhenUsed/>
    <w:rsid w:val="00153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950"/>
  </w:style>
  <w:style w:type="character" w:customStyle="1" w:styleId="A3">
    <w:name w:val="A3"/>
    <w:uiPriority w:val="99"/>
    <w:rsid w:val="00CD36B9"/>
    <w:rPr>
      <w:rFonts w:cs="Calibri"/>
      <w:color w:val="000000"/>
      <w:sz w:val="20"/>
      <w:szCs w:val="20"/>
    </w:rPr>
  </w:style>
  <w:style w:type="paragraph" w:styleId="BodyTextIndent2">
    <w:name w:val="Body Text Indent 2"/>
    <w:basedOn w:val="Normal"/>
    <w:link w:val="BodyTextIndent2Char"/>
    <w:uiPriority w:val="99"/>
    <w:semiHidden/>
    <w:unhideWhenUsed/>
    <w:rsid w:val="006D3362"/>
    <w:pPr>
      <w:spacing w:after="120" w:line="480" w:lineRule="auto"/>
      <w:ind w:left="360"/>
    </w:pPr>
  </w:style>
  <w:style w:type="character" w:customStyle="1" w:styleId="BodyTextIndent2Char">
    <w:name w:val="Body Text Indent 2 Char"/>
    <w:basedOn w:val="DefaultParagraphFont"/>
    <w:link w:val="BodyTextIndent2"/>
    <w:uiPriority w:val="99"/>
    <w:semiHidden/>
    <w:rsid w:val="006D3362"/>
  </w:style>
  <w:style w:type="character" w:styleId="FollowedHyperlink">
    <w:name w:val="FollowedHyperlink"/>
    <w:basedOn w:val="DefaultParagraphFont"/>
    <w:uiPriority w:val="99"/>
    <w:semiHidden/>
    <w:unhideWhenUsed/>
    <w:rsid w:val="006D3362"/>
    <w:rPr>
      <w:color w:val="800080" w:themeColor="followedHyperlink"/>
      <w:u w:val="single"/>
    </w:rPr>
  </w:style>
  <w:style w:type="paragraph" w:styleId="BalloonText">
    <w:name w:val="Balloon Text"/>
    <w:basedOn w:val="Normal"/>
    <w:link w:val="BalloonTextChar"/>
    <w:uiPriority w:val="99"/>
    <w:semiHidden/>
    <w:unhideWhenUsed/>
    <w:rsid w:val="00643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9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121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manheim@at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broadband.dis.wa.gov/docs/Broadband%20Report_FINAL071709.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cm9268\Local%20Settings\Temporary%20Internet%20Files\Content.Outlook\J107X0NL\WA%20USF%20Contribution-BM%20Sensitivity%20PC-nonPC%20Companies%20(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cm9268\Local%20Settings\Temporary%20Internet%20Files\Content.Outlook\J107X0NL\WA%20USF%20Contribution-BM%20Sensitivity%20PC-nonPC%20Companies%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sz="1400" b="1" i="0" u="none" strike="noStrike" baseline="0">
                <a:solidFill>
                  <a:srgbClr val="000000"/>
                </a:solidFill>
                <a:latin typeface="Calibri"/>
                <a:ea typeface="Calibri"/>
                <a:cs typeface="Calibri"/>
              </a:defRPr>
            </a:pPr>
            <a:r>
              <a:rPr lang="en-US" sz="1400" b="1" i="0" baseline="0"/>
              <a:t>Allocation of Access Revenue Reduction between</a:t>
            </a:r>
          </a:p>
          <a:p>
            <a:pPr algn="ctr">
              <a:defRPr sz="1400" b="1" i="0" u="none" strike="noStrike" baseline="0">
                <a:solidFill>
                  <a:srgbClr val="000000"/>
                </a:solidFill>
                <a:latin typeface="Calibri"/>
                <a:ea typeface="Calibri"/>
                <a:cs typeface="Calibri"/>
              </a:defRPr>
            </a:pPr>
            <a:r>
              <a:rPr lang="en-US" sz="1400" b="1" i="0" baseline="0"/>
              <a:t>Retail Rate Recovery and WUSF:  All LECs</a:t>
            </a:r>
            <a:r>
              <a:rPr lang="en-US" sz="1400"/>
              <a:t>
</a:t>
            </a:r>
          </a:p>
        </c:rich>
      </c:tx>
      <c:layout>
        <c:manualLayout>
          <c:xMode val="edge"/>
          <c:yMode val="edge"/>
          <c:x val="0.19072649572649603"/>
          <c:y val="2.1186440677966129E-2"/>
        </c:manualLayout>
      </c:layout>
      <c:spPr>
        <a:noFill/>
        <a:ln w="25400">
          <a:noFill/>
        </a:ln>
      </c:spPr>
    </c:title>
    <c:plotArea>
      <c:layout>
        <c:manualLayout>
          <c:layoutTarget val="inner"/>
          <c:xMode val="edge"/>
          <c:yMode val="edge"/>
          <c:x val="0.12028568544316588"/>
          <c:y val="0.17313436985631053"/>
          <c:w val="0.87789799072642971"/>
          <c:h val="0.64179104477612192"/>
        </c:manualLayout>
      </c:layout>
      <c:barChart>
        <c:barDir val="col"/>
        <c:grouping val="stacked"/>
        <c:ser>
          <c:idx val="0"/>
          <c:order val="0"/>
          <c:tx>
            <c:strRef>
              <c:f>'BM Sensitivity - All Co'!$E$3</c:f>
              <c:strCache>
                <c:ptCount val="1"/>
                <c:pt idx="0">
                  <c:v>Fund Size </c:v>
                </c:pt>
              </c:strCache>
            </c:strRef>
          </c:tx>
          <c:spPr>
            <a:solidFill>
              <a:srgbClr val="9999FF"/>
            </a:solidFill>
            <a:ln w="25400">
              <a:noFill/>
            </a:ln>
          </c:spPr>
          <c:dLbls>
            <c:dLbl>
              <c:idx val="0"/>
              <c:layout/>
              <c:tx>
                <c:rich>
                  <a:bodyPr/>
                  <a:lstStyle/>
                  <a:p>
                    <a:r>
                      <a:rPr lang="en-US"/>
                      <a:t>Fund Size
$27,000</a:t>
                    </a:r>
                  </a:p>
                </c:rich>
              </c:tx>
              <c:dLblPos val="ctr"/>
            </c:dLbl>
            <c:dLbl>
              <c:idx val="1"/>
              <c:layout/>
              <c:tx>
                <c:rich>
                  <a:bodyPr/>
                  <a:lstStyle/>
                  <a:p>
                    <a:r>
                      <a:rPr lang="en-US"/>
                      <a:t>Fund Size 
$21,000</a:t>
                    </a:r>
                  </a:p>
                </c:rich>
              </c:tx>
              <c:dLblPos val="ctr"/>
            </c:dLbl>
            <c:dLbl>
              <c:idx val="2"/>
              <c:layout/>
              <c:tx>
                <c:rich>
                  <a:bodyPr/>
                  <a:lstStyle/>
                  <a:p>
                    <a:r>
                      <a:rPr lang="en-US"/>
                      <a:t>Fund Size 
$18,000</a:t>
                    </a:r>
                  </a:p>
                </c:rich>
              </c:tx>
              <c:dLblPos val="ctr"/>
            </c:dLbl>
            <c:dLbl>
              <c:idx val="3"/>
              <c:layout/>
              <c:tx>
                <c:rich>
                  <a:bodyPr/>
                  <a:lstStyle/>
                  <a:p>
                    <a:r>
                      <a:rPr lang="en-US"/>
                      <a:t>Fund Size 
$17,000</a:t>
                    </a:r>
                  </a:p>
                </c:rich>
              </c:tx>
              <c:dLblPos val="ctr"/>
            </c:dLbl>
            <c:dLbl>
              <c:idx val="4"/>
              <c:tx>
                <c:rich>
                  <a:bodyPr/>
                  <a:lstStyle/>
                  <a:p>
                    <a:r>
                      <a:rPr lang="en-US"/>
                      <a:t>Fund Size
$18,236</a:t>
                    </a:r>
                  </a:p>
                </c:rich>
              </c:tx>
              <c:dLblPos val="ctr"/>
            </c:dLbl>
            <c:dLbl>
              <c:idx val="5"/>
              <c:tx>
                <c:rich>
                  <a:bodyPr/>
                  <a:lstStyle/>
                  <a:p>
                    <a:pPr>
                      <a:defRPr sz="1000" b="0" i="0" u="none" strike="noStrike" baseline="0">
                        <a:solidFill>
                          <a:srgbClr val="000000"/>
                        </a:solidFill>
                        <a:latin typeface="Calibri"/>
                        <a:ea typeface="Calibri"/>
                        <a:cs typeface="Calibri"/>
                      </a:defRPr>
                    </a:pPr>
                    <a:r>
                      <a:rPr lang="en-US" sz="700" b="1" i="0" u="none" strike="noStrike" baseline="0">
                        <a:solidFill>
                          <a:srgbClr val="000000"/>
                        </a:solidFill>
                        <a:latin typeface="Arial"/>
                        <a:cs typeface="Arial"/>
                      </a:rPr>
                      <a:t>Fund Size </a:t>
                    </a:r>
                  </a:p>
                  <a:p>
                    <a:pPr>
                      <a:defRPr sz="1000" b="0" i="0" u="none" strike="noStrike" baseline="0">
                        <a:solidFill>
                          <a:srgbClr val="000000"/>
                        </a:solidFill>
                        <a:latin typeface="Calibri"/>
                        <a:ea typeface="Calibri"/>
                        <a:cs typeface="Calibri"/>
                      </a:defRPr>
                    </a:pPr>
                    <a:r>
                      <a:rPr lang="en-US" sz="700" b="1" i="0" u="none" strike="noStrike" baseline="0">
                        <a:solidFill>
                          <a:srgbClr val="000000"/>
                        </a:solidFill>
                        <a:latin typeface="Arial"/>
                        <a:cs typeface="Arial"/>
                      </a:rPr>
                      <a:t>$17,256</a:t>
                    </a:r>
                  </a:p>
                </c:rich>
              </c:tx>
              <c:spPr>
                <a:noFill/>
                <a:ln w="25400">
                  <a:noFill/>
                </a:ln>
              </c:spPr>
              <c:dLblPos val="ctr"/>
            </c:dLbl>
            <c:spPr>
              <a:noFill/>
              <a:ln w="25400">
                <a:noFill/>
              </a:ln>
            </c:spPr>
            <c:txPr>
              <a:bodyPr/>
              <a:lstStyle/>
              <a:p>
                <a:pPr>
                  <a:defRPr sz="700" b="1" i="0" u="none" strike="noStrike" baseline="0">
                    <a:solidFill>
                      <a:srgbClr val="000000"/>
                    </a:solidFill>
                    <a:latin typeface="Arial"/>
                    <a:ea typeface="Arial"/>
                    <a:cs typeface="Arial"/>
                  </a:defRPr>
                </a:pPr>
                <a:endParaRPr lang="en-US"/>
              </a:p>
            </c:txPr>
            <c:dLblPos val="ctr"/>
            <c:showVal val="1"/>
            <c:showSerName val="1"/>
          </c:dLbls>
          <c:cat>
            <c:numRef>
              <c:f>'BM Sensitivity - All Co'!$D$4:$D$7</c:f>
              <c:numCache>
                <c:formatCode>"$"#,##0_);[Red]\("$"#,##0\)</c:formatCode>
                <c:ptCount val="4"/>
                <c:pt idx="0">
                  <c:v>16</c:v>
                </c:pt>
                <c:pt idx="1">
                  <c:v>18</c:v>
                </c:pt>
                <c:pt idx="2">
                  <c:v>20</c:v>
                </c:pt>
                <c:pt idx="3">
                  <c:v>22</c:v>
                </c:pt>
              </c:numCache>
            </c:numRef>
          </c:cat>
          <c:val>
            <c:numRef>
              <c:f>'BM Sensitivity - All Co'!$E$4:$E$7</c:f>
              <c:numCache>
                <c:formatCode>[$$-409]#,##0</c:formatCode>
                <c:ptCount val="4"/>
                <c:pt idx="0">
                  <c:v>26650.624548316919</c:v>
                </c:pt>
                <c:pt idx="1">
                  <c:v>20447.393123510828</c:v>
                </c:pt>
                <c:pt idx="2">
                  <c:v>18236.136537676524</c:v>
                </c:pt>
                <c:pt idx="3">
                  <c:v>17256.138965148257</c:v>
                </c:pt>
              </c:numCache>
            </c:numRef>
          </c:val>
        </c:ser>
        <c:ser>
          <c:idx val="1"/>
          <c:order val="1"/>
          <c:tx>
            <c:strRef>
              <c:f>'BM Sensitivity - All Co'!$F$3</c:f>
              <c:strCache>
                <c:ptCount val="1"/>
                <c:pt idx="0">
                  <c:v>Retail Rate Recovery</c:v>
                </c:pt>
              </c:strCache>
            </c:strRef>
          </c:tx>
          <c:spPr>
            <a:solidFill>
              <a:srgbClr val="C0C0C0"/>
            </a:solidFill>
            <a:ln w="25400">
              <a:noFill/>
            </a:ln>
          </c:spPr>
          <c:dLbls>
            <c:dLbl>
              <c:idx val="0"/>
              <c:layout/>
              <c:tx>
                <c:rich>
                  <a:bodyPr/>
                  <a:lstStyle/>
                  <a:p>
                    <a:r>
                      <a:rPr lang="en-US"/>
                      <a:t>Retail Rate
Recovery
$25,000</a:t>
                    </a:r>
                  </a:p>
                </c:rich>
              </c:tx>
              <c:dLblPos val="ctr"/>
            </c:dLbl>
            <c:dLbl>
              <c:idx val="1"/>
              <c:layout/>
              <c:tx>
                <c:rich>
                  <a:bodyPr/>
                  <a:lstStyle/>
                  <a:p>
                    <a:r>
                      <a:rPr lang="en-US"/>
                      <a:t>Retail Rate
Recovery
$31,000</a:t>
                    </a:r>
                  </a:p>
                </c:rich>
              </c:tx>
              <c:dLblPos val="ctr"/>
            </c:dLbl>
            <c:dLbl>
              <c:idx val="2"/>
              <c:layout/>
              <c:tx>
                <c:rich>
                  <a:bodyPr/>
                  <a:lstStyle/>
                  <a:p>
                    <a:r>
                      <a:rPr lang="en-US"/>
                      <a:t>Retail Rate
Recovery
$34,000</a:t>
                    </a:r>
                  </a:p>
                </c:rich>
              </c:tx>
              <c:dLblPos val="ctr"/>
            </c:dLbl>
            <c:dLbl>
              <c:idx val="3"/>
              <c:layout/>
              <c:tx>
                <c:rich>
                  <a:bodyPr/>
                  <a:lstStyle/>
                  <a:p>
                    <a:r>
                      <a:rPr lang="en-US"/>
                      <a:t>Retail Rate
Recovery
$35,000</a:t>
                    </a:r>
                  </a:p>
                </c:rich>
              </c:tx>
              <c:dLblPos val="ctr"/>
            </c:dLbl>
            <c:dLbl>
              <c:idx val="4"/>
              <c:tx>
                <c:rich>
                  <a:bodyPr/>
                  <a:lstStyle/>
                  <a:p>
                    <a:r>
                      <a:rPr lang="en-US"/>
                      <a:t>Retail Rate
Recovery
$33,541</a:t>
                    </a:r>
                  </a:p>
                </c:rich>
              </c:tx>
              <c:dLblPos val="ctr"/>
            </c:dLbl>
            <c:dLbl>
              <c:idx val="5"/>
              <c:tx>
                <c:rich>
                  <a:bodyPr/>
                  <a:lstStyle/>
                  <a:p>
                    <a:pPr>
                      <a:defRPr sz="1000" b="0" i="0" u="none" strike="noStrike" baseline="0">
                        <a:solidFill>
                          <a:srgbClr val="000000"/>
                        </a:solidFill>
                        <a:latin typeface="Calibri"/>
                        <a:ea typeface="Calibri"/>
                        <a:cs typeface="Calibri"/>
                      </a:defRPr>
                    </a:pPr>
                    <a:r>
                      <a:rPr lang="en-US" sz="700" b="1" i="0" u="none" strike="noStrike" baseline="0">
                        <a:solidFill>
                          <a:srgbClr val="000000"/>
                        </a:solidFill>
                        <a:latin typeface="Arial"/>
                        <a:cs typeface="Arial"/>
                      </a:rPr>
                      <a:t>Retail Rate</a:t>
                    </a:r>
                  </a:p>
                  <a:p>
                    <a:pPr>
                      <a:defRPr sz="1000" b="0" i="0" u="none" strike="noStrike" baseline="0">
                        <a:solidFill>
                          <a:srgbClr val="000000"/>
                        </a:solidFill>
                        <a:latin typeface="Calibri"/>
                        <a:ea typeface="Calibri"/>
                        <a:cs typeface="Calibri"/>
                      </a:defRPr>
                    </a:pPr>
                    <a:r>
                      <a:rPr lang="en-US" sz="700" b="1" i="0" u="none" strike="noStrike" baseline="0">
                        <a:solidFill>
                          <a:srgbClr val="000000"/>
                        </a:solidFill>
                        <a:latin typeface="Arial"/>
                        <a:cs typeface="Arial"/>
                      </a:rPr>
                      <a:t>Recovery</a:t>
                    </a:r>
                  </a:p>
                  <a:p>
                    <a:pPr>
                      <a:defRPr sz="1000" b="0" i="0" u="none" strike="noStrike" baseline="0">
                        <a:solidFill>
                          <a:srgbClr val="000000"/>
                        </a:solidFill>
                        <a:latin typeface="Calibri"/>
                        <a:ea typeface="Calibri"/>
                        <a:cs typeface="Calibri"/>
                      </a:defRPr>
                    </a:pPr>
                    <a:r>
                      <a:rPr lang="en-US" sz="700" b="1" i="0" u="none" strike="noStrike" baseline="0">
                        <a:solidFill>
                          <a:srgbClr val="000000"/>
                        </a:solidFill>
                        <a:latin typeface="Arial"/>
                        <a:cs typeface="Arial"/>
                      </a:rPr>
                      <a:t>$34,521</a:t>
                    </a:r>
                  </a:p>
                </c:rich>
              </c:tx>
              <c:spPr>
                <a:noFill/>
                <a:ln w="25400">
                  <a:noFill/>
                </a:ln>
              </c:spPr>
              <c:dLblPos val="ctr"/>
            </c:dLbl>
            <c:spPr>
              <a:noFill/>
              <a:ln w="25400">
                <a:noFill/>
              </a:ln>
            </c:spPr>
            <c:txPr>
              <a:bodyPr/>
              <a:lstStyle/>
              <a:p>
                <a:pPr>
                  <a:defRPr sz="700" b="1" i="0" u="none" strike="noStrike" baseline="0">
                    <a:solidFill>
                      <a:srgbClr val="000000"/>
                    </a:solidFill>
                    <a:latin typeface="Arial"/>
                    <a:ea typeface="Arial"/>
                    <a:cs typeface="Arial"/>
                  </a:defRPr>
                </a:pPr>
                <a:endParaRPr lang="en-US"/>
              </a:p>
            </c:txPr>
            <c:dLblPos val="ctr"/>
            <c:showVal val="1"/>
            <c:showSerName val="1"/>
          </c:dLbls>
          <c:cat>
            <c:numRef>
              <c:f>'BM Sensitivity - All Co'!$D$4:$D$7</c:f>
              <c:numCache>
                <c:formatCode>"$"#,##0_);[Red]\("$"#,##0\)</c:formatCode>
                <c:ptCount val="4"/>
                <c:pt idx="0">
                  <c:v>16</c:v>
                </c:pt>
                <c:pt idx="1">
                  <c:v>18</c:v>
                </c:pt>
                <c:pt idx="2">
                  <c:v>20</c:v>
                </c:pt>
                <c:pt idx="3">
                  <c:v>22</c:v>
                </c:pt>
              </c:numCache>
            </c:numRef>
          </c:cat>
          <c:val>
            <c:numRef>
              <c:f>'BM Sensitivity - All Co'!$F$4:$F$7</c:f>
              <c:numCache>
                <c:formatCode>[$$-409]#,##0</c:formatCode>
                <c:ptCount val="4"/>
                <c:pt idx="0">
                  <c:v>25126.617746189731</c:v>
                </c:pt>
                <c:pt idx="1">
                  <c:v>31329.849170995883</c:v>
                </c:pt>
                <c:pt idx="2">
                  <c:v>33541.105756830155</c:v>
                </c:pt>
                <c:pt idx="3">
                  <c:v>34521.103329358491</c:v>
                </c:pt>
              </c:numCache>
            </c:numRef>
          </c:val>
        </c:ser>
        <c:dLbls>
          <c:showVal val="1"/>
          <c:showSerName val="1"/>
        </c:dLbls>
        <c:gapWidth val="55"/>
        <c:overlap val="100"/>
        <c:axId val="173139840"/>
        <c:axId val="216141824"/>
      </c:barChart>
      <c:catAx>
        <c:axId val="173139840"/>
        <c:scaling>
          <c:orientation val="minMax"/>
        </c:scaling>
        <c:axPos val="b"/>
        <c:title>
          <c:tx>
            <c:rich>
              <a:bodyPr/>
              <a:lstStyle/>
              <a:p>
                <a:pPr>
                  <a:defRPr b="1">
                    <a:latin typeface="Arial" pitchFamily="34" charset="0"/>
                    <a:cs typeface="Arial" pitchFamily="34" charset="0"/>
                  </a:defRPr>
                </a:pPr>
                <a:r>
                  <a:rPr lang="en-US" sz="1000" b="1" i="0" u="none" strike="noStrike" baseline="0">
                    <a:latin typeface="Arial" pitchFamily="34" charset="0"/>
                    <a:cs typeface="Arial" pitchFamily="34" charset="0"/>
                  </a:rPr>
                  <a:t>Local Rate Benchmark</a:t>
                </a:r>
                <a:endParaRPr lang="en-US" b="1">
                  <a:latin typeface="Arial" pitchFamily="34" charset="0"/>
                  <a:cs typeface="Arial" pitchFamily="34" charset="0"/>
                </a:endParaRPr>
              </a:p>
            </c:rich>
          </c:tx>
          <c:layout>
            <c:manualLayout>
              <c:xMode val="edge"/>
              <c:yMode val="edge"/>
              <c:x val="0.42895231846019249"/>
              <c:y val="0.89126573691000499"/>
            </c:manualLayout>
          </c:layout>
        </c:title>
        <c:numFmt formatCode="&quot;$&quot;#,##0" sourceLinked="0"/>
        <c:majorTickMark val="none"/>
        <c:tickLblPos val="nextTo"/>
        <c:txPr>
          <a:bodyPr rot="0" vert="horz"/>
          <a:lstStyle/>
          <a:p>
            <a:pPr>
              <a:defRPr sz="800" b="1" i="0" u="none" strike="noStrike" baseline="0">
                <a:solidFill>
                  <a:srgbClr val="000000"/>
                </a:solidFill>
                <a:latin typeface="Arial"/>
                <a:ea typeface="Arial"/>
                <a:cs typeface="Arial"/>
              </a:defRPr>
            </a:pPr>
            <a:endParaRPr lang="en-US"/>
          </a:p>
        </c:txPr>
        <c:crossAx val="216141824"/>
        <c:crosses val="autoZero"/>
        <c:auto val="1"/>
        <c:lblAlgn val="ctr"/>
        <c:lblOffset val="100"/>
      </c:catAx>
      <c:valAx>
        <c:axId val="216141824"/>
        <c:scaling>
          <c:orientation val="minMax"/>
          <c:max val="60000"/>
        </c:scaling>
        <c:axPos val="l"/>
        <c:majorGridlines/>
        <c:title>
          <c:tx>
            <c:rich>
              <a:bodyPr rot="-5400000" vert="horz"/>
              <a:lstStyle/>
              <a:p>
                <a:pPr>
                  <a:defRPr b="1">
                    <a:latin typeface="Arial" pitchFamily="34" charset="0"/>
                    <a:cs typeface="Arial" pitchFamily="34" charset="0"/>
                  </a:defRPr>
                </a:pPr>
                <a:r>
                  <a:rPr lang="en-US" b="1">
                    <a:latin typeface="Arial" pitchFamily="34" charset="0"/>
                    <a:cs typeface="Arial" pitchFamily="34" charset="0"/>
                  </a:rPr>
                  <a:t>Access Revenue</a:t>
                </a:r>
                <a:r>
                  <a:rPr lang="en-US" b="1" baseline="0">
                    <a:latin typeface="Arial" pitchFamily="34" charset="0"/>
                    <a:cs typeface="Arial" pitchFamily="34" charset="0"/>
                  </a:rPr>
                  <a:t> Reduction (000)</a:t>
                </a:r>
                <a:endParaRPr lang="en-US" b="1">
                  <a:latin typeface="Arial" pitchFamily="34" charset="0"/>
                  <a:cs typeface="Arial" pitchFamily="34" charset="0"/>
                </a:endParaRPr>
              </a:p>
            </c:rich>
          </c:tx>
          <c:layout/>
        </c:title>
        <c:numFmt formatCode="[$$-409]#,##0" sourceLinked="1"/>
        <c:majorTickMark val="none"/>
        <c:tickLblPos val="nextTo"/>
        <c:txPr>
          <a:bodyPr rot="0" vert="horz"/>
          <a:lstStyle/>
          <a:p>
            <a:pPr>
              <a:defRPr sz="800" b="1" i="0" u="none" strike="noStrike" baseline="0">
                <a:solidFill>
                  <a:srgbClr val="000000"/>
                </a:solidFill>
                <a:latin typeface="Arial"/>
                <a:ea typeface="Arial"/>
                <a:cs typeface="Arial"/>
              </a:defRPr>
            </a:pPr>
            <a:endParaRPr lang="en-US"/>
          </a:p>
        </c:txPr>
        <c:crossAx val="173139840"/>
        <c:crosses val="autoZero"/>
        <c:crossBetween val="between"/>
        <c:majorUnit val="15000"/>
      </c:valAx>
      <c:spPr>
        <a:solidFill>
          <a:srgbClr val="FFFFFF"/>
        </a:solidFill>
        <a:ln w="12700">
          <a:solidFill>
            <a:srgbClr val="808080"/>
          </a:solidFill>
          <a:prstDash val="solid"/>
        </a:ln>
      </c:spPr>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b="1" i="0" u="none" strike="noStrike" baseline="0">
                <a:solidFill>
                  <a:srgbClr val="000000"/>
                </a:solidFill>
                <a:latin typeface="Calibri"/>
                <a:ea typeface="Calibri"/>
                <a:cs typeface="Calibri"/>
              </a:defRPr>
            </a:pPr>
            <a:r>
              <a:rPr lang="en-US"/>
              <a:t>Allocation of Access Revenue Reduction between</a:t>
            </a:r>
          </a:p>
          <a:p>
            <a:pPr>
              <a:defRPr sz="1400" b="1" i="0" u="none" strike="noStrike" baseline="0">
                <a:solidFill>
                  <a:srgbClr val="000000"/>
                </a:solidFill>
                <a:latin typeface="Calibri"/>
                <a:ea typeface="Calibri"/>
                <a:cs typeface="Calibri"/>
              </a:defRPr>
            </a:pPr>
            <a:r>
              <a:rPr lang="en-US"/>
              <a:t>Retail Rate Recovery and WUSF:</a:t>
            </a:r>
          </a:p>
          <a:p>
            <a:pPr>
              <a:defRPr sz="1400" b="1" i="0" u="none" strike="noStrike" baseline="0">
                <a:solidFill>
                  <a:srgbClr val="000000"/>
                </a:solidFill>
                <a:latin typeface="Calibri"/>
                <a:ea typeface="Calibri"/>
                <a:cs typeface="Calibri"/>
              </a:defRPr>
            </a:pPr>
            <a:r>
              <a:rPr lang="en-US"/>
              <a:t>Under</a:t>
            </a:r>
            <a:r>
              <a:rPr lang="en-US" baseline="0"/>
              <a:t> 2% LECs</a:t>
            </a:r>
            <a:r>
              <a:rPr lang="en-US"/>
              <a:t>
</a:t>
            </a:r>
          </a:p>
        </c:rich>
      </c:tx>
      <c:layout>
        <c:manualLayout>
          <c:xMode val="edge"/>
          <c:yMode val="edge"/>
          <c:x val="0.18858974358974359"/>
          <c:y val="0"/>
        </c:manualLayout>
      </c:layout>
      <c:spPr>
        <a:noFill/>
        <a:ln w="25400">
          <a:noFill/>
        </a:ln>
      </c:spPr>
    </c:title>
    <c:plotArea>
      <c:layout>
        <c:manualLayout>
          <c:layoutTarget val="inner"/>
          <c:xMode val="edge"/>
          <c:yMode val="edge"/>
          <c:x val="0.12028568544316588"/>
          <c:y val="0.18498617672790926"/>
          <c:w val="0.87789799072642971"/>
          <c:h val="0.64179104477612259"/>
        </c:manualLayout>
      </c:layout>
      <c:barChart>
        <c:barDir val="col"/>
        <c:grouping val="stacked"/>
        <c:ser>
          <c:idx val="0"/>
          <c:order val="0"/>
          <c:tx>
            <c:strRef>
              <c:f>'BM Sensitivity - Under 2% Co'!$E$3</c:f>
              <c:strCache>
                <c:ptCount val="1"/>
                <c:pt idx="0">
                  <c:v>Fund Size </c:v>
                </c:pt>
              </c:strCache>
            </c:strRef>
          </c:tx>
          <c:spPr>
            <a:solidFill>
              <a:srgbClr val="9999FF"/>
            </a:solidFill>
            <a:ln w="25400">
              <a:noFill/>
            </a:ln>
          </c:spPr>
          <c:dLbls>
            <c:dLbl>
              <c:idx val="0"/>
              <c:layout/>
              <c:tx>
                <c:rich>
                  <a:bodyPr/>
                  <a:lstStyle/>
                  <a:p>
                    <a:r>
                      <a:rPr lang="en-US"/>
                      <a:t>Fund Size
$5,600</a:t>
                    </a:r>
                  </a:p>
                </c:rich>
              </c:tx>
              <c:dLblPos val="ctr"/>
              <c:showCatName val="1"/>
            </c:dLbl>
            <c:dLbl>
              <c:idx val="1"/>
              <c:layout/>
              <c:tx>
                <c:rich>
                  <a:bodyPr/>
                  <a:lstStyle/>
                  <a:p>
                    <a:r>
                      <a:rPr lang="en-US"/>
                      <a:t>Fund Size 
$4,300</a:t>
                    </a:r>
                  </a:p>
                </c:rich>
              </c:tx>
              <c:dLblPos val="ctr"/>
              <c:showCatName val="1"/>
            </c:dLbl>
            <c:dLbl>
              <c:idx val="2"/>
              <c:layout/>
              <c:tx>
                <c:rich>
                  <a:bodyPr/>
                  <a:lstStyle/>
                  <a:p>
                    <a:r>
                      <a:rPr lang="en-US"/>
                      <a:t>Fund Size 
$3,000</a:t>
                    </a:r>
                  </a:p>
                </c:rich>
              </c:tx>
              <c:dLblPos val="ctr"/>
              <c:showCatName val="1"/>
            </c:dLbl>
            <c:dLbl>
              <c:idx val="3"/>
              <c:layout/>
              <c:tx>
                <c:rich>
                  <a:bodyPr/>
                  <a:lstStyle/>
                  <a:p>
                    <a:r>
                      <a:rPr lang="en-US"/>
                      <a:t>Fund Size 
$2,000</a:t>
                    </a:r>
                  </a:p>
                </c:rich>
              </c:tx>
              <c:dLblPos val="ctr"/>
              <c:showCatName val="1"/>
            </c:dLbl>
            <c:dLbl>
              <c:idx val="4"/>
              <c:tx>
                <c:rich>
                  <a:bodyPr/>
                  <a:lstStyle/>
                  <a:p>
                    <a:r>
                      <a:rPr lang="en-US"/>
                      <a:t>Fund Size
$18,236</a:t>
                    </a:r>
                  </a:p>
                </c:rich>
              </c:tx>
              <c:dLblPos val="ctr"/>
              <c:showCatName val="1"/>
            </c:dLbl>
            <c:dLbl>
              <c:idx val="5"/>
              <c:tx>
                <c:rich>
                  <a:bodyPr/>
                  <a:lstStyle/>
                  <a:p>
                    <a:pPr>
                      <a:defRPr sz="1000" b="0" i="0" u="none" strike="noStrike" baseline="0">
                        <a:solidFill>
                          <a:srgbClr val="000000"/>
                        </a:solidFill>
                        <a:latin typeface="Calibri"/>
                        <a:ea typeface="Calibri"/>
                        <a:cs typeface="Calibri"/>
                      </a:defRPr>
                    </a:pPr>
                    <a:r>
                      <a:rPr lang="en-US" sz="700" b="1" i="0" u="none" strike="noStrike" baseline="0">
                        <a:solidFill>
                          <a:srgbClr val="000000"/>
                        </a:solidFill>
                        <a:latin typeface="Arial"/>
                        <a:cs typeface="Arial"/>
                      </a:rPr>
                      <a:t>Fund Size </a:t>
                    </a:r>
                  </a:p>
                  <a:p>
                    <a:pPr>
                      <a:defRPr sz="1000" b="0" i="0" u="none" strike="noStrike" baseline="0">
                        <a:solidFill>
                          <a:srgbClr val="000000"/>
                        </a:solidFill>
                        <a:latin typeface="Calibri"/>
                        <a:ea typeface="Calibri"/>
                        <a:cs typeface="Calibri"/>
                      </a:defRPr>
                    </a:pPr>
                    <a:r>
                      <a:rPr lang="en-US" sz="700" b="1" i="0" u="none" strike="noStrike" baseline="0">
                        <a:solidFill>
                          <a:srgbClr val="000000"/>
                        </a:solidFill>
                        <a:latin typeface="Arial"/>
                        <a:cs typeface="Arial"/>
                      </a:rPr>
                      <a:t>$17,256</a:t>
                    </a:r>
                  </a:p>
                </c:rich>
              </c:tx>
              <c:spPr>
                <a:noFill/>
                <a:ln w="25400">
                  <a:noFill/>
                </a:ln>
              </c:spPr>
              <c:dLblPos val="ctr"/>
              <c:showCatName val="1"/>
            </c:dLbl>
            <c:spPr>
              <a:noFill/>
              <a:ln w="25400">
                <a:noFill/>
              </a:ln>
            </c:spPr>
            <c:txPr>
              <a:bodyPr/>
              <a:lstStyle/>
              <a:p>
                <a:pPr>
                  <a:defRPr sz="700" b="1" i="0" u="none" strike="noStrike" baseline="0">
                    <a:solidFill>
                      <a:srgbClr val="000000"/>
                    </a:solidFill>
                    <a:latin typeface="Arial"/>
                    <a:ea typeface="Arial"/>
                    <a:cs typeface="Arial"/>
                  </a:defRPr>
                </a:pPr>
                <a:endParaRPr lang="en-US"/>
              </a:p>
            </c:txPr>
            <c:dLblPos val="ctr"/>
            <c:showVal val="1"/>
            <c:showCatName val="1"/>
            <c:showSerName val="1"/>
          </c:dLbls>
          <c:cat>
            <c:numRef>
              <c:f>'BM Sensitivity - Under 2% Co'!$D$4:$D$7</c:f>
              <c:numCache>
                <c:formatCode>"$"#,##0_);[Red]\("$"#,##0\)</c:formatCode>
                <c:ptCount val="4"/>
                <c:pt idx="0">
                  <c:v>16</c:v>
                </c:pt>
                <c:pt idx="1">
                  <c:v>18</c:v>
                </c:pt>
                <c:pt idx="2">
                  <c:v>20</c:v>
                </c:pt>
                <c:pt idx="3">
                  <c:v>22</c:v>
                </c:pt>
              </c:numCache>
            </c:numRef>
          </c:cat>
          <c:val>
            <c:numRef>
              <c:f>'BM Sensitivity - Under 2% Co'!$E$4:$E$7</c:f>
              <c:numCache>
                <c:formatCode>[$$-409]#,##0</c:formatCode>
                <c:ptCount val="4"/>
                <c:pt idx="0">
                  <c:v>5573.1682120819423</c:v>
                </c:pt>
                <c:pt idx="1">
                  <c:v>4282.8085855187564</c:v>
                </c:pt>
                <c:pt idx="2">
                  <c:v>3012.649458247276</c:v>
                </c:pt>
                <c:pt idx="3">
                  <c:v>2043.0732453679811</c:v>
                </c:pt>
              </c:numCache>
            </c:numRef>
          </c:val>
        </c:ser>
        <c:ser>
          <c:idx val="1"/>
          <c:order val="1"/>
          <c:tx>
            <c:strRef>
              <c:f>'BM Sensitivity - Under 2% Co'!$F$3</c:f>
              <c:strCache>
                <c:ptCount val="1"/>
                <c:pt idx="0">
                  <c:v>Retail Rate Recovery</c:v>
                </c:pt>
              </c:strCache>
            </c:strRef>
          </c:tx>
          <c:spPr>
            <a:solidFill>
              <a:srgbClr val="C0C0C0"/>
            </a:solidFill>
            <a:ln w="25400">
              <a:noFill/>
            </a:ln>
          </c:spPr>
          <c:dLbls>
            <c:dLbl>
              <c:idx val="0"/>
              <c:layout/>
              <c:tx>
                <c:rich>
                  <a:bodyPr/>
                  <a:lstStyle/>
                  <a:p>
                    <a:r>
                      <a:rPr lang="en-US"/>
                      <a:t>Retail Rate
Recovery
$2,500</a:t>
                    </a:r>
                  </a:p>
                </c:rich>
              </c:tx>
              <c:dLblPos val="ctr"/>
            </c:dLbl>
            <c:dLbl>
              <c:idx val="1"/>
              <c:layout/>
              <c:tx>
                <c:rich>
                  <a:bodyPr/>
                  <a:lstStyle/>
                  <a:p>
                    <a:r>
                      <a:rPr lang="en-US"/>
                      <a:t>Retail Rate
Recovery
$3,800</a:t>
                    </a:r>
                  </a:p>
                </c:rich>
              </c:tx>
              <c:dLblPos val="ctr"/>
            </c:dLbl>
            <c:dLbl>
              <c:idx val="2"/>
              <c:layout/>
              <c:tx>
                <c:rich>
                  <a:bodyPr/>
                  <a:lstStyle/>
                  <a:p>
                    <a:r>
                      <a:rPr lang="en-US"/>
                      <a:t>Retail Rate
Recovery
$5,100</a:t>
                    </a:r>
                  </a:p>
                </c:rich>
              </c:tx>
              <c:dLblPos val="ctr"/>
            </c:dLbl>
            <c:dLbl>
              <c:idx val="3"/>
              <c:layout/>
              <c:tx>
                <c:rich>
                  <a:bodyPr/>
                  <a:lstStyle/>
                  <a:p>
                    <a:r>
                      <a:rPr lang="en-US"/>
                      <a:t>Retail Rate
Recovery
$6,100</a:t>
                    </a:r>
                  </a:p>
                </c:rich>
              </c:tx>
              <c:dLblPos val="ctr"/>
            </c:dLbl>
            <c:dLbl>
              <c:idx val="4"/>
              <c:tx>
                <c:rich>
                  <a:bodyPr/>
                  <a:lstStyle/>
                  <a:p>
                    <a:r>
                      <a:rPr lang="en-US"/>
                      <a:t>Retail Rate
Recovery
$33,541</a:t>
                    </a:r>
                  </a:p>
                </c:rich>
              </c:tx>
              <c:dLblPos val="ctr"/>
            </c:dLbl>
            <c:dLbl>
              <c:idx val="5"/>
              <c:tx>
                <c:rich>
                  <a:bodyPr/>
                  <a:lstStyle/>
                  <a:p>
                    <a:pPr>
                      <a:defRPr sz="1000" b="0" i="0" u="none" strike="noStrike" baseline="0">
                        <a:solidFill>
                          <a:srgbClr val="000000"/>
                        </a:solidFill>
                        <a:latin typeface="Calibri"/>
                        <a:ea typeface="Calibri"/>
                        <a:cs typeface="Calibri"/>
                      </a:defRPr>
                    </a:pPr>
                    <a:r>
                      <a:rPr lang="en-US" sz="700" b="1" i="0" u="none" strike="noStrike" baseline="0">
                        <a:solidFill>
                          <a:srgbClr val="000000"/>
                        </a:solidFill>
                        <a:latin typeface="Arial"/>
                        <a:cs typeface="Arial"/>
                      </a:rPr>
                      <a:t>Retail Rate</a:t>
                    </a:r>
                  </a:p>
                  <a:p>
                    <a:pPr>
                      <a:defRPr sz="1000" b="0" i="0" u="none" strike="noStrike" baseline="0">
                        <a:solidFill>
                          <a:srgbClr val="000000"/>
                        </a:solidFill>
                        <a:latin typeface="Calibri"/>
                        <a:ea typeface="Calibri"/>
                        <a:cs typeface="Calibri"/>
                      </a:defRPr>
                    </a:pPr>
                    <a:r>
                      <a:rPr lang="en-US" sz="700" b="1" i="0" u="none" strike="noStrike" baseline="0">
                        <a:solidFill>
                          <a:srgbClr val="000000"/>
                        </a:solidFill>
                        <a:latin typeface="Arial"/>
                        <a:cs typeface="Arial"/>
                      </a:rPr>
                      <a:t>Recovery</a:t>
                    </a:r>
                  </a:p>
                  <a:p>
                    <a:pPr>
                      <a:defRPr sz="1000" b="0" i="0" u="none" strike="noStrike" baseline="0">
                        <a:solidFill>
                          <a:srgbClr val="000000"/>
                        </a:solidFill>
                        <a:latin typeface="Calibri"/>
                        <a:ea typeface="Calibri"/>
                        <a:cs typeface="Calibri"/>
                      </a:defRPr>
                    </a:pPr>
                    <a:r>
                      <a:rPr lang="en-US" sz="700" b="1" i="0" u="none" strike="noStrike" baseline="0">
                        <a:solidFill>
                          <a:srgbClr val="000000"/>
                        </a:solidFill>
                        <a:latin typeface="Arial"/>
                        <a:cs typeface="Arial"/>
                      </a:rPr>
                      <a:t>$34,521</a:t>
                    </a:r>
                  </a:p>
                </c:rich>
              </c:tx>
              <c:spPr>
                <a:noFill/>
                <a:ln w="25400">
                  <a:noFill/>
                </a:ln>
              </c:spPr>
              <c:dLblPos val="ctr"/>
            </c:dLbl>
            <c:spPr>
              <a:noFill/>
              <a:ln w="25400">
                <a:noFill/>
              </a:ln>
            </c:spPr>
            <c:txPr>
              <a:bodyPr/>
              <a:lstStyle/>
              <a:p>
                <a:pPr>
                  <a:defRPr sz="700" b="1" i="0" u="none" strike="noStrike" baseline="0">
                    <a:solidFill>
                      <a:srgbClr val="000000"/>
                    </a:solidFill>
                    <a:latin typeface="Arial"/>
                    <a:ea typeface="Arial"/>
                    <a:cs typeface="Arial"/>
                  </a:defRPr>
                </a:pPr>
                <a:endParaRPr lang="en-US"/>
              </a:p>
            </c:txPr>
            <c:dLblPos val="ctr"/>
            <c:showVal val="1"/>
            <c:showSerName val="1"/>
          </c:dLbls>
          <c:cat>
            <c:numRef>
              <c:f>'BM Sensitivity - Under 2% Co'!$D$4:$D$7</c:f>
              <c:numCache>
                <c:formatCode>"$"#,##0_);[Red]\("$"#,##0\)</c:formatCode>
                <c:ptCount val="4"/>
                <c:pt idx="0">
                  <c:v>16</c:v>
                </c:pt>
                <c:pt idx="1">
                  <c:v>18</c:v>
                </c:pt>
                <c:pt idx="2">
                  <c:v>20</c:v>
                </c:pt>
                <c:pt idx="3">
                  <c:v>22</c:v>
                </c:pt>
              </c:numCache>
            </c:numRef>
          </c:cat>
          <c:val>
            <c:numRef>
              <c:f>'BM Sensitivity - Under 2% Co'!$F$4:$F$7</c:f>
              <c:numCache>
                <c:formatCode>[$$-409]#,##0</c:formatCode>
                <c:ptCount val="4"/>
                <c:pt idx="0">
                  <c:v>2546.4591502251742</c:v>
                </c:pt>
                <c:pt idx="1">
                  <c:v>3836.8187767883496</c:v>
                </c:pt>
                <c:pt idx="2">
                  <c:v>5106.9779040598251</c:v>
                </c:pt>
                <c:pt idx="3">
                  <c:v>6076.5541169391181</c:v>
                </c:pt>
              </c:numCache>
            </c:numRef>
          </c:val>
        </c:ser>
        <c:dLbls>
          <c:showVal val="1"/>
          <c:showSerName val="1"/>
        </c:dLbls>
        <c:gapWidth val="55"/>
        <c:overlap val="100"/>
        <c:axId val="247138560"/>
        <c:axId val="247628160"/>
      </c:barChart>
      <c:catAx>
        <c:axId val="247138560"/>
        <c:scaling>
          <c:orientation val="minMax"/>
        </c:scaling>
        <c:axPos val="b"/>
        <c:title>
          <c:tx>
            <c:rich>
              <a:bodyPr/>
              <a:lstStyle/>
              <a:p>
                <a:pPr>
                  <a:defRPr sz="1000">
                    <a:latin typeface="Arial" pitchFamily="34" charset="0"/>
                    <a:cs typeface="Arial" pitchFamily="34" charset="0"/>
                  </a:defRPr>
                </a:pPr>
                <a:r>
                  <a:rPr lang="en-US" sz="1000" b="1" i="0" baseline="0">
                    <a:latin typeface="Arial" pitchFamily="34" charset="0"/>
                    <a:cs typeface="Arial" pitchFamily="34" charset="0"/>
                  </a:rPr>
                  <a:t>Local Rate Benchmark</a:t>
                </a:r>
              </a:p>
            </c:rich>
          </c:tx>
          <c:layout>
            <c:manualLayout>
              <c:xMode val="edge"/>
              <c:yMode val="edge"/>
              <c:x val="0.38486842990780001"/>
              <c:y val="0.89188340931067822"/>
            </c:manualLayout>
          </c:layout>
        </c:title>
        <c:numFmt formatCode="_(&quot;$&quot;* #,##0_);_(&quot;$&quot;* \(#,##0\);_(&quot;$&quot;* &quot;-&quot;_);_(@_)" sourceLinked="0"/>
        <c:majorTickMark val="none"/>
        <c:tickLblPos val="nextTo"/>
        <c:txPr>
          <a:bodyPr rot="0" vert="horz"/>
          <a:lstStyle/>
          <a:p>
            <a:pPr>
              <a:defRPr sz="800" b="1" i="0" u="none" strike="noStrike" baseline="0">
                <a:solidFill>
                  <a:srgbClr val="000000"/>
                </a:solidFill>
                <a:latin typeface="Arial"/>
                <a:ea typeface="Arial"/>
                <a:cs typeface="Arial"/>
              </a:defRPr>
            </a:pPr>
            <a:endParaRPr lang="en-US"/>
          </a:p>
        </c:txPr>
        <c:crossAx val="247628160"/>
        <c:crosses val="autoZero"/>
        <c:auto val="1"/>
        <c:lblAlgn val="ctr"/>
        <c:lblOffset val="100"/>
      </c:catAx>
      <c:valAx>
        <c:axId val="247628160"/>
        <c:scaling>
          <c:orientation val="minMax"/>
        </c:scaling>
        <c:axPos val="l"/>
        <c:majorGridlines/>
        <c:title>
          <c:tx>
            <c:rich>
              <a:bodyPr rot="-5400000" vert="horz"/>
              <a:lstStyle/>
              <a:p>
                <a:pPr>
                  <a:defRPr sz="1000">
                    <a:latin typeface="Arial" pitchFamily="34" charset="0"/>
                    <a:cs typeface="Arial" pitchFamily="34" charset="0"/>
                  </a:defRPr>
                </a:pPr>
                <a:r>
                  <a:rPr lang="en-US" sz="1000" b="1" i="0" baseline="0">
                    <a:latin typeface="Arial" pitchFamily="34" charset="0"/>
                    <a:cs typeface="Arial" pitchFamily="34" charset="0"/>
                  </a:rPr>
                  <a:t>Access Revenue Reduction (000)</a:t>
                </a:r>
              </a:p>
            </c:rich>
          </c:tx>
          <c:layout/>
        </c:title>
        <c:numFmt formatCode="[$$-409]#,##0" sourceLinked="1"/>
        <c:majorTickMark val="none"/>
        <c:tickLblPos val="nextTo"/>
        <c:txPr>
          <a:bodyPr rot="0" vert="horz"/>
          <a:lstStyle/>
          <a:p>
            <a:pPr>
              <a:defRPr sz="800" b="1" i="0" u="none" strike="noStrike" baseline="0">
                <a:solidFill>
                  <a:srgbClr val="000000"/>
                </a:solidFill>
                <a:latin typeface="Arial"/>
                <a:ea typeface="Arial"/>
                <a:cs typeface="Arial"/>
              </a:defRPr>
            </a:pPr>
            <a:endParaRPr lang="en-US"/>
          </a:p>
        </c:txPr>
        <c:crossAx val="247138560"/>
        <c:crosses val="autoZero"/>
        <c:crossBetween val="between"/>
      </c:valAx>
      <c:spPr>
        <a:solidFill>
          <a:srgbClr val="FFFFFF"/>
        </a:solidFill>
        <a:ln w="12700">
          <a:solidFill>
            <a:srgbClr val="808080"/>
          </a:solidFill>
          <a:prstDash val="solid"/>
        </a:ln>
      </c:spPr>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0.00886</cdr:x>
      <cdr:y>0.90811</cdr:y>
    </cdr:from>
    <cdr:to>
      <cdr:x>0.98916</cdr:x>
      <cdr:y>1</cdr:y>
    </cdr:to>
    <cdr:sp macro="" textlink="">
      <cdr:nvSpPr>
        <cdr:cNvPr id="9" name="TextBox 8"/>
        <cdr:cNvSpPr txBox="1"/>
      </cdr:nvSpPr>
      <cdr:spPr>
        <a:xfrm xmlns:a="http://schemas.openxmlformats.org/drawingml/2006/main">
          <a:off x="52660" y="3266144"/>
          <a:ext cx="5826511" cy="3304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b="1">
            <a:latin typeface="Arial" pitchFamily="34" charset="0"/>
            <a:cs typeface="Arial" pitchFamily="34" charset="0"/>
          </a:endParaRPr>
        </a:p>
      </cdr:txBody>
    </cdr:sp>
  </cdr:relSizeAnchor>
  <cdr:relSizeAnchor xmlns:cdr="http://schemas.openxmlformats.org/drawingml/2006/chartDrawing">
    <cdr:from>
      <cdr:x>0.0343</cdr:x>
      <cdr:y>0.09541</cdr:y>
    </cdr:from>
    <cdr:to>
      <cdr:x>0.0343</cdr:x>
      <cdr:y>0.09541</cdr:y>
    </cdr:to>
    <cdr:sp macro="" textlink="">
      <cdr:nvSpPr>
        <cdr:cNvPr id="9217"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9218"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0.0343</cdr:x>
      <cdr:y>0.09541</cdr:y>
    </cdr:from>
    <cdr:to>
      <cdr:x>0.0343</cdr:x>
      <cdr:y>0.09541</cdr:y>
    </cdr:to>
    <cdr:sp macro="" textlink="">
      <cdr:nvSpPr>
        <cdr:cNvPr id="2"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3"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0.0343</cdr:x>
      <cdr:y>0.09541</cdr:y>
    </cdr:from>
    <cdr:to>
      <cdr:x>0.0343</cdr:x>
      <cdr:y>0.09541</cdr:y>
    </cdr:to>
    <cdr:sp macro="" textlink="">
      <cdr:nvSpPr>
        <cdr:cNvPr id="4"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5"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userShapes>
</file>

<file path=word/drawings/drawing2.xml><?xml version="1.0" encoding="utf-8"?>
<c:userShapes xmlns:c="http://schemas.openxmlformats.org/drawingml/2006/chart">
  <cdr:relSizeAnchor xmlns:cdr="http://schemas.openxmlformats.org/drawingml/2006/chartDrawing">
    <cdr:from>
      <cdr:x>0.0343</cdr:x>
      <cdr:y>0.09541</cdr:y>
    </cdr:from>
    <cdr:to>
      <cdr:x>0.0343</cdr:x>
      <cdr:y>0.09541</cdr:y>
    </cdr:to>
    <cdr:sp macro="" textlink="">
      <cdr:nvSpPr>
        <cdr:cNvPr id="9217"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9218"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0.20994</cdr:x>
      <cdr:y>0.94103</cdr:y>
    </cdr:from>
    <cdr:to>
      <cdr:x>0.82489</cdr:x>
      <cdr:y>0.97464</cdr:y>
    </cdr:to>
    <cdr:sp macro="" textlink="">
      <cdr:nvSpPr>
        <cdr:cNvPr id="5" name="TextBox 2"/>
        <cdr:cNvSpPr txBox="1"/>
      </cdr:nvSpPr>
      <cdr:spPr>
        <a:xfrm xmlns:a="http://schemas.openxmlformats.org/drawingml/2006/main">
          <a:off x="1247781" y="3406069"/>
          <a:ext cx="3655017" cy="121650"/>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800">
              <a:solidFill>
                <a:sysClr val="windowText" lastClr="000000"/>
              </a:solidFill>
              <a:latin typeface="Arial" pitchFamily="34" charset="0"/>
              <a:cs typeface="Arial" pitchFamily="34" charset="0"/>
            </a:rPr>
            <a:t>The amounts shown are estimates and may vary from actual amounts.</a:t>
          </a:r>
          <a:endParaRPr lang="en-US" sz="800">
            <a:latin typeface="Arial" pitchFamily="34" charset="0"/>
            <a:cs typeface="Arial" pitchFamily="34" charset="0"/>
          </a:endParaRPr>
        </a:p>
      </cdr:txBody>
    </cdr:sp>
  </cdr:relSizeAnchor>
  <cdr:relSizeAnchor xmlns:cdr="http://schemas.openxmlformats.org/drawingml/2006/chartDrawing">
    <cdr:from>
      <cdr:x>0.0343</cdr:x>
      <cdr:y>0.09541</cdr:y>
    </cdr:from>
    <cdr:to>
      <cdr:x>0.0343</cdr:x>
      <cdr:y>0.09541</cdr:y>
    </cdr:to>
    <cdr:sp macro="" textlink="">
      <cdr:nvSpPr>
        <cdr:cNvPr id="2"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3"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0.0343</cdr:x>
      <cdr:y>0.09541</cdr:y>
    </cdr:from>
    <cdr:to>
      <cdr:x>0.0343</cdr:x>
      <cdr:y>0.09541</cdr:y>
    </cdr:to>
    <cdr:sp macro="" textlink="">
      <cdr:nvSpPr>
        <cdr:cNvPr id="6"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7"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0.0343</cdr:x>
      <cdr:y>0.09541</cdr:y>
    </cdr:from>
    <cdr:to>
      <cdr:x>0.0343</cdr:x>
      <cdr:y>0.09541</cdr:y>
    </cdr:to>
    <cdr:sp macro="" textlink="">
      <cdr:nvSpPr>
        <cdr:cNvPr id="8"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9"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0.0343</cdr:x>
      <cdr:y>0.09541</cdr:y>
    </cdr:from>
    <cdr:to>
      <cdr:x>0.0343</cdr:x>
      <cdr:y>0.09541</cdr:y>
    </cdr:to>
    <cdr:sp macro="" textlink="">
      <cdr:nvSpPr>
        <cdr:cNvPr id="11"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12"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0.0343</cdr:x>
      <cdr:y>0.09541</cdr:y>
    </cdr:from>
    <cdr:to>
      <cdr:x>0.0343</cdr:x>
      <cdr:y>0.09541</cdr:y>
    </cdr:to>
    <cdr:sp macro="" textlink="">
      <cdr:nvSpPr>
        <cdr:cNvPr id="13"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14"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0.0343</cdr:x>
      <cdr:y>0.09541</cdr:y>
    </cdr:from>
    <cdr:to>
      <cdr:x>0.0343</cdr:x>
      <cdr:y>0.09541</cdr:y>
    </cdr:to>
    <cdr:sp macro="" textlink="">
      <cdr:nvSpPr>
        <cdr:cNvPr id="15"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16"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0.0343</cdr:x>
      <cdr:y>0.09541</cdr:y>
    </cdr:from>
    <cdr:to>
      <cdr:x>0.0343</cdr:x>
      <cdr:y>0.09541</cdr:y>
    </cdr:to>
    <cdr:sp macro="" textlink="">
      <cdr:nvSpPr>
        <cdr:cNvPr id="18"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19"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0.0343</cdr:x>
      <cdr:y>0.09541</cdr:y>
    </cdr:from>
    <cdr:to>
      <cdr:x>0.0343</cdr:x>
      <cdr:y>0.09541</cdr:y>
    </cdr:to>
    <cdr:sp macro="" textlink="">
      <cdr:nvSpPr>
        <cdr:cNvPr id="20"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21"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0.0343</cdr:x>
      <cdr:y>0.09541</cdr:y>
    </cdr:from>
    <cdr:to>
      <cdr:x>0.0343</cdr:x>
      <cdr:y>0.09541</cdr:y>
    </cdr:to>
    <cdr:sp macro="" textlink="">
      <cdr:nvSpPr>
        <cdr:cNvPr id="22"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23"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0.0343</cdr:x>
      <cdr:y>0.09541</cdr:y>
    </cdr:from>
    <cdr:to>
      <cdr:x>0.0343</cdr:x>
      <cdr:y>0.09541</cdr:y>
    </cdr:to>
    <cdr:sp macro="" textlink="">
      <cdr:nvSpPr>
        <cdr:cNvPr id="4"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10"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0.0343</cdr:x>
      <cdr:y>0.09541</cdr:y>
    </cdr:from>
    <cdr:to>
      <cdr:x>0.0343</cdr:x>
      <cdr:y>0.09541</cdr:y>
    </cdr:to>
    <cdr:sp macro="" textlink="">
      <cdr:nvSpPr>
        <cdr:cNvPr id="17"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24"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0.0343</cdr:x>
      <cdr:y>0.09541</cdr:y>
    </cdr:from>
    <cdr:to>
      <cdr:x>0.0343</cdr:x>
      <cdr:y>0.09541</cdr:y>
    </cdr:to>
    <cdr:sp macro="" textlink="">
      <cdr:nvSpPr>
        <cdr:cNvPr id="25"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26"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0.0343</cdr:x>
      <cdr:y>0.09541</cdr:y>
    </cdr:from>
    <cdr:to>
      <cdr:x>0.0343</cdr:x>
      <cdr:y>0.09541</cdr:y>
    </cdr:to>
    <cdr:sp macro="" textlink="">
      <cdr:nvSpPr>
        <cdr:cNvPr id="28"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29"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0.0343</cdr:x>
      <cdr:y>0.09541</cdr:y>
    </cdr:from>
    <cdr:to>
      <cdr:x>0.0343</cdr:x>
      <cdr:y>0.09541</cdr:y>
    </cdr:to>
    <cdr:sp macro="" textlink="">
      <cdr:nvSpPr>
        <cdr:cNvPr id="30"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31"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0.0343</cdr:x>
      <cdr:y>0.09541</cdr:y>
    </cdr:from>
    <cdr:to>
      <cdr:x>0.0343</cdr:x>
      <cdr:y>0.09541</cdr:y>
    </cdr:to>
    <cdr:sp macro="" textlink="">
      <cdr:nvSpPr>
        <cdr:cNvPr id="9216" name="Text Box 1"/>
        <cdr:cNvSpPr txBox="1">
          <a:spLocks xmlns:a="http://schemas.openxmlformats.org/drawingml/2006/main" noChangeArrowheads="1"/>
        </cdr:cNvSpPr>
      </cdr:nvSpPr>
      <cdr:spPr bwMode="auto">
        <a:xfrm xmlns:a="http://schemas.openxmlformats.org/drawingml/2006/main">
          <a:off x="214878" y="308527"/>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25" b="1" i="0" u="none" strike="noStrike" baseline="0">
              <a:solidFill>
                <a:srgbClr val="000000"/>
              </a:solidFill>
              <a:latin typeface="Arial"/>
              <a:cs typeface="Arial"/>
            </a:rPr>
            <a:t>($000)</a:t>
          </a:r>
        </a:p>
      </cdr:txBody>
    </cdr:sp>
  </cdr:relSizeAnchor>
  <cdr:relSizeAnchor xmlns:cdr="http://schemas.openxmlformats.org/drawingml/2006/chartDrawing">
    <cdr:from>
      <cdr:x>0.03528</cdr:x>
      <cdr:y>0.09517</cdr:y>
    </cdr:from>
    <cdr:to>
      <cdr:x>0.03528</cdr:x>
      <cdr:y>0.09517</cdr:y>
    </cdr:to>
    <cdr:sp macro="" textlink="">
      <cdr:nvSpPr>
        <cdr:cNvPr id="9219" name="Text Box 2"/>
        <cdr:cNvSpPr txBox="1">
          <a:spLocks xmlns:a="http://schemas.openxmlformats.org/drawingml/2006/main" noChangeArrowheads="1"/>
        </cdr:cNvSpPr>
      </cdr:nvSpPr>
      <cdr:spPr bwMode="auto">
        <a:xfrm xmlns:a="http://schemas.openxmlformats.org/drawingml/2006/main">
          <a:off x="220955" y="307751"/>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($000)</a:t>
          </a:r>
        </a:p>
      </cdr:txBody>
    </cdr:sp>
  </cdr:relSizeAnchor>
  <cdr:relSizeAnchor xmlns:cdr="http://schemas.openxmlformats.org/drawingml/2006/chartDrawing">
    <cdr:from>
      <cdr:x>0</cdr:x>
      <cdr:y>0.87563</cdr:y>
    </cdr:from>
    <cdr:to>
      <cdr:x>1</cdr:x>
      <cdr:y>0.98151</cdr:y>
    </cdr:to>
    <cdr:sp macro="" textlink="">
      <cdr:nvSpPr>
        <cdr:cNvPr id="35" name="TextBox 1"/>
        <cdr:cNvSpPr txBox="1"/>
      </cdr:nvSpPr>
      <cdr:spPr>
        <a:xfrm xmlns:a="http://schemas.openxmlformats.org/drawingml/2006/main">
          <a:off x="0" y="4962525"/>
          <a:ext cx="10534650" cy="600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en-US" sz="800" b="1">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CFB75134C8974E85C00FB4D29BB1AC" ma:contentTypeVersion="131" ma:contentTypeDescription="" ma:contentTypeScope="" ma:versionID="b7b9907a3537b18e4795b786a84ba1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2010-04-07T07:00:00+00:00</OpenedDate>
    <Date1 xmlns="dc463f71-b30c-4ab2-9473-d307f9d35888">2010-09-17T07:00:00+00:00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1AA53AB-D809-4DDC-A385-5C626A998775}"/>
</file>

<file path=customXml/itemProps2.xml><?xml version="1.0" encoding="utf-8"?>
<ds:datastoreItem xmlns:ds="http://schemas.openxmlformats.org/officeDocument/2006/customXml" ds:itemID="{B3E5DF12-1692-4368-82C3-779525872AD0}"/>
</file>

<file path=customXml/itemProps3.xml><?xml version="1.0" encoding="utf-8"?>
<ds:datastoreItem xmlns:ds="http://schemas.openxmlformats.org/officeDocument/2006/customXml" ds:itemID="{BF698969-A3A2-4668-928F-A0882CE3FAB3}"/>
</file>

<file path=customXml/itemProps4.xml><?xml version="1.0" encoding="utf-8"?>
<ds:datastoreItem xmlns:ds="http://schemas.openxmlformats.org/officeDocument/2006/customXml" ds:itemID="{CE6DF5CA-4742-46DE-8F3A-90B09AC28926}"/>
</file>

<file path=customXml/itemProps5.xml><?xml version="1.0" encoding="utf-8"?>
<ds:datastoreItem xmlns:ds="http://schemas.openxmlformats.org/officeDocument/2006/customXml" ds:itemID="{8CD9653D-CB3E-4154-AADB-A8C082FFAE1A}"/>
</file>

<file path=docProps/app.xml><?xml version="1.0" encoding="utf-8"?>
<Properties xmlns="http://schemas.openxmlformats.org/officeDocument/2006/extended-properties" xmlns:vt="http://schemas.openxmlformats.org/officeDocument/2006/docPropsVTypes">
  <Template>Normal.dotm</Template>
  <TotalTime>132</TotalTime>
  <Pages>11</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 User</dc:creator>
  <cp:keywords/>
  <dc:description/>
  <cp:lastModifiedBy>David Collier</cp:lastModifiedBy>
  <cp:revision>4</cp:revision>
  <cp:lastPrinted>2010-09-17T23:27:00Z</cp:lastPrinted>
  <dcterms:created xsi:type="dcterms:W3CDTF">2010-09-17T20:54:00Z</dcterms:created>
  <dcterms:modified xsi:type="dcterms:W3CDTF">2010-09-17T23:31:00Z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0x0101006E56B4D1795A2E4DB2F0B01679ED314A00BACFB75134C8974E85C00FB4D29BB1AC</vt:lpwstr>
  </property>
  <property fmtid="{D5CDD505-2E9C-101B-9397-08002B2CF9AE}" pid="3" name="_docset_NoMedatataSyncRequired">
    <vt:lpwstr>False</vt:lpwstr>
  </property>
</Properties>
</file>