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2E" w:rsidRPr="003A2606" w:rsidRDefault="00883A2E" w:rsidP="00883A2E">
      <w:pPr>
        <w:tabs>
          <w:tab w:val="center" w:pos="4680"/>
        </w:tabs>
        <w:ind w:right="-252" w:hanging="360"/>
        <w:jc w:val="both"/>
        <w:rPr>
          <w:b/>
          <w:bCs/>
        </w:rPr>
      </w:pPr>
      <w:r w:rsidRPr="003A2606">
        <w:rPr>
          <w:b/>
          <w:bCs/>
        </w:rPr>
        <w:tab/>
      </w:r>
      <w:r w:rsidRPr="003A2606">
        <w:rPr>
          <w:b/>
          <w:bCs/>
        </w:rPr>
        <w:tab/>
      </w:r>
      <w:r w:rsidRPr="003A2606">
        <w:rPr>
          <w:b/>
          <w:bCs/>
        </w:rPr>
        <w:tab/>
      </w:r>
      <w:r w:rsidRPr="003A2606">
        <w:rPr>
          <w:b/>
          <w:bCs/>
        </w:rPr>
        <w:tab/>
        <w:t xml:space="preserve">Exhibit No. ___ </w:t>
      </w:r>
      <w:r w:rsidR="00B63CCF">
        <w:rPr>
          <w:b/>
          <w:bCs/>
        </w:rPr>
        <w:t xml:space="preserve">T </w:t>
      </w:r>
      <w:r w:rsidRPr="003A2606">
        <w:rPr>
          <w:b/>
          <w:bCs/>
        </w:rPr>
        <w:t xml:space="preserve">(TES-1T) </w:t>
      </w:r>
    </w:p>
    <w:p w:rsidR="00883A2E" w:rsidRPr="003A2606" w:rsidRDefault="00883A2E" w:rsidP="00883A2E">
      <w:pPr>
        <w:tabs>
          <w:tab w:val="center" w:pos="4680"/>
        </w:tabs>
        <w:ind w:right="-252" w:hanging="360"/>
        <w:jc w:val="both"/>
        <w:rPr>
          <w:b/>
          <w:bCs/>
        </w:rPr>
      </w:pPr>
      <w:r w:rsidRPr="003A2606">
        <w:rPr>
          <w:b/>
          <w:bCs/>
        </w:rPr>
        <w:tab/>
      </w:r>
      <w:r w:rsidRPr="003A2606">
        <w:rPr>
          <w:b/>
          <w:bCs/>
        </w:rPr>
        <w:tab/>
      </w:r>
      <w:r w:rsidRPr="003A2606">
        <w:rPr>
          <w:b/>
          <w:bCs/>
        </w:rPr>
        <w:tab/>
      </w:r>
      <w:r w:rsidRPr="003A2606">
        <w:rPr>
          <w:b/>
          <w:bCs/>
        </w:rPr>
        <w:tab/>
        <w:t>Dockets UE-111048/UG-111049</w:t>
      </w:r>
    </w:p>
    <w:p w:rsidR="00883A2E" w:rsidRPr="003A2606" w:rsidRDefault="00883A2E" w:rsidP="00883A2E">
      <w:pPr>
        <w:tabs>
          <w:tab w:val="center" w:pos="4680"/>
        </w:tabs>
        <w:ind w:right="-252" w:hanging="360"/>
        <w:jc w:val="both"/>
        <w:rPr>
          <w:b/>
          <w:bCs/>
        </w:rPr>
      </w:pPr>
      <w:r w:rsidRPr="003A2606">
        <w:rPr>
          <w:b/>
          <w:bCs/>
        </w:rPr>
        <w:tab/>
      </w:r>
      <w:r w:rsidRPr="003A2606">
        <w:rPr>
          <w:b/>
          <w:bCs/>
        </w:rPr>
        <w:tab/>
      </w:r>
      <w:r w:rsidRPr="003A2606">
        <w:rPr>
          <w:b/>
          <w:bCs/>
        </w:rPr>
        <w:tab/>
      </w:r>
      <w:r w:rsidRPr="003A2606">
        <w:rPr>
          <w:b/>
          <w:bCs/>
        </w:rPr>
        <w:tab/>
        <w:t xml:space="preserve">Witness: Thomas E. Schooley </w:t>
      </w: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883A2E" w:rsidP="00883A2E">
      <w:pPr>
        <w:tabs>
          <w:tab w:val="center" w:pos="4680"/>
        </w:tabs>
        <w:ind w:right="-252" w:hanging="360"/>
        <w:jc w:val="both"/>
        <w:rPr>
          <w:b/>
          <w:bCs/>
        </w:rPr>
      </w:pPr>
    </w:p>
    <w:p w:rsidR="00883A2E" w:rsidRPr="003A2606" w:rsidRDefault="002B2F2E" w:rsidP="002B2F2E">
      <w:pPr>
        <w:ind w:right="-612" w:hanging="540"/>
        <w:jc w:val="center"/>
        <w:rPr>
          <w:b/>
        </w:rPr>
      </w:pPr>
      <w:r w:rsidRPr="003A2606">
        <w:rPr>
          <w:b/>
        </w:rPr>
        <w:t>BEFORE THE WASHINGTON STATE</w:t>
      </w:r>
      <w:r>
        <w:rPr>
          <w:b/>
        </w:rPr>
        <w:t xml:space="preserve"> </w:t>
      </w:r>
      <w:r w:rsidRPr="003A2606">
        <w:rPr>
          <w:b/>
        </w:rPr>
        <w:t>UTILITIES AND TRANSPORTATION COMMISSION</w:t>
      </w:r>
    </w:p>
    <w:p w:rsidR="00883A2E" w:rsidRPr="003A2606" w:rsidRDefault="00883A2E" w:rsidP="00883A2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83A2E" w:rsidRPr="003A2606" w:rsidTr="002F0348">
        <w:tc>
          <w:tcPr>
            <w:tcW w:w="4590" w:type="dxa"/>
            <w:tcBorders>
              <w:top w:val="single" w:sz="6" w:space="0" w:color="FFFFFF"/>
              <w:left w:val="single" w:sz="6" w:space="0" w:color="FFFFFF"/>
              <w:bottom w:val="single" w:sz="7" w:space="0" w:color="000000"/>
              <w:right w:val="single" w:sz="6" w:space="0" w:color="FFFFFF"/>
            </w:tcBorders>
          </w:tcPr>
          <w:p w:rsidR="00883A2E" w:rsidRPr="003A2606" w:rsidRDefault="00883A2E" w:rsidP="002F0348">
            <w:pPr>
              <w:rPr>
                <w:b/>
              </w:rPr>
            </w:pPr>
            <w:r w:rsidRPr="003A2606">
              <w:rPr>
                <w:b/>
              </w:rPr>
              <w:t xml:space="preserve">WASHINGTON UTILITIES AND TRANSPORTATION COMMISSION, </w:t>
            </w:r>
          </w:p>
          <w:p w:rsidR="00883A2E" w:rsidRPr="003A2606" w:rsidRDefault="00883A2E" w:rsidP="002F0348">
            <w:pPr>
              <w:rPr>
                <w:b/>
              </w:rPr>
            </w:pPr>
          </w:p>
          <w:p w:rsidR="00883A2E" w:rsidRPr="003A2606" w:rsidRDefault="00883A2E" w:rsidP="002F0348">
            <w:pPr>
              <w:rPr>
                <w:b/>
              </w:rPr>
            </w:pPr>
            <w:r w:rsidRPr="003A2606">
              <w:rPr>
                <w:b/>
              </w:rPr>
              <w:tab/>
            </w:r>
            <w:r w:rsidRPr="003A2606">
              <w:rPr>
                <w:b/>
              </w:rPr>
              <w:tab/>
              <w:t>Complainant,</w:t>
            </w:r>
          </w:p>
          <w:p w:rsidR="00883A2E" w:rsidRPr="003A2606" w:rsidRDefault="00883A2E" w:rsidP="002F0348">
            <w:pPr>
              <w:rPr>
                <w:b/>
              </w:rPr>
            </w:pPr>
          </w:p>
          <w:p w:rsidR="00883A2E" w:rsidRPr="003A2606" w:rsidRDefault="00883A2E" w:rsidP="002F0348">
            <w:pPr>
              <w:rPr>
                <w:b/>
              </w:rPr>
            </w:pPr>
            <w:r w:rsidRPr="003A2606">
              <w:rPr>
                <w:b/>
              </w:rPr>
              <w:tab/>
              <w:t>v.</w:t>
            </w:r>
          </w:p>
          <w:p w:rsidR="00883A2E" w:rsidRPr="003A2606" w:rsidRDefault="00883A2E" w:rsidP="002F0348">
            <w:pPr>
              <w:rPr>
                <w:b/>
              </w:rPr>
            </w:pPr>
          </w:p>
          <w:p w:rsidR="00883A2E" w:rsidRPr="003A2606" w:rsidRDefault="00883A2E" w:rsidP="002F0348">
            <w:pPr>
              <w:rPr>
                <w:b/>
              </w:rPr>
            </w:pPr>
            <w:r w:rsidRPr="003A2606">
              <w:rPr>
                <w:b/>
              </w:rPr>
              <w:t xml:space="preserve">PUGET SOUND ENERGY, </w:t>
            </w:r>
          </w:p>
          <w:p w:rsidR="00883A2E" w:rsidRPr="003A2606" w:rsidRDefault="00883A2E" w:rsidP="002F0348">
            <w:pPr>
              <w:rPr>
                <w:b/>
              </w:rPr>
            </w:pPr>
          </w:p>
          <w:p w:rsidR="00883A2E" w:rsidRPr="003A2606" w:rsidRDefault="00883A2E" w:rsidP="002F0348">
            <w:pPr>
              <w:spacing w:after="19"/>
              <w:rPr>
                <w:b/>
              </w:rPr>
            </w:pPr>
            <w:r w:rsidRPr="003A2606">
              <w:rPr>
                <w:b/>
              </w:rPr>
              <w:tab/>
            </w:r>
            <w:r w:rsidRPr="003A2606">
              <w:rPr>
                <w:b/>
              </w:rPr>
              <w:tab/>
              <w:t>Respondent.</w:t>
            </w:r>
          </w:p>
          <w:p w:rsidR="00883A2E" w:rsidRPr="003A2606" w:rsidRDefault="00883A2E" w:rsidP="002F03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rsidR="00883A2E" w:rsidRPr="003A2606" w:rsidRDefault="00883A2E" w:rsidP="002F0348">
            <w:pPr>
              <w:ind w:firstLine="720"/>
              <w:rPr>
                <w:b/>
              </w:rPr>
            </w:pPr>
            <w:r w:rsidRPr="003A2606">
              <w:rPr>
                <w:b/>
              </w:rPr>
              <w:t xml:space="preserve">DOCKET UE-111048 </w:t>
            </w:r>
          </w:p>
          <w:p w:rsidR="00883A2E" w:rsidRDefault="00883A2E" w:rsidP="00883A2E">
            <w:pPr>
              <w:spacing w:after="19"/>
              <w:ind w:left="720"/>
              <w:rPr>
                <w:b/>
              </w:rPr>
            </w:pPr>
            <w:r w:rsidRPr="003A2606">
              <w:rPr>
                <w:b/>
              </w:rPr>
              <w:t>DOCKET UG-111049</w:t>
            </w:r>
          </w:p>
          <w:p w:rsidR="002B2F2E" w:rsidRPr="002B2F2E" w:rsidRDefault="002B2F2E" w:rsidP="00883A2E">
            <w:pPr>
              <w:spacing w:after="19"/>
              <w:ind w:left="720"/>
              <w:rPr>
                <w:b/>
              </w:rPr>
            </w:pPr>
            <w:r>
              <w:rPr>
                <w:b/>
              </w:rPr>
              <w:t>(</w:t>
            </w:r>
            <w:r>
              <w:rPr>
                <w:b/>
                <w:i/>
              </w:rPr>
              <w:t>Consolidated)</w:t>
            </w:r>
            <w:r>
              <w:rPr>
                <w:b/>
              </w:rPr>
              <w:t xml:space="preserve">  </w:t>
            </w:r>
          </w:p>
        </w:tc>
      </w:tr>
    </w:tbl>
    <w:p w:rsidR="00883A2E" w:rsidRPr="003A2606" w:rsidRDefault="00883A2E" w:rsidP="00883A2E">
      <w:pPr>
        <w:rPr>
          <w:b/>
          <w:bCs/>
        </w:rPr>
      </w:pPr>
    </w:p>
    <w:p w:rsidR="00883A2E" w:rsidRPr="003A2606" w:rsidRDefault="00883A2E" w:rsidP="00883A2E">
      <w:pPr>
        <w:rPr>
          <w:b/>
          <w:bCs/>
        </w:rPr>
      </w:pPr>
    </w:p>
    <w:p w:rsidR="00883A2E" w:rsidRPr="003A2606" w:rsidRDefault="00883A2E" w:rsidP="00883A2E">
      <w:pPr>
        <w:tabs>
          <w:tab w:val="center" w:pos="4680"/>
        </w:tabs>
        <w:jc w:val="center"/>
        <w:rPr>
          <w:b/>
          <w:bCs/>
        </w:rPr>
      </w:pPr>
      <w:r w:rsidRPr="003A2606">
        <w:rPr>
          <w:b/>
          <w:bCs/>
        </w:rPr>
        <w:t>TESTIMONY OF</w:t>
      </w:r>
    </w:p>
    <w:p w:rsidR="00883A2E" w:rsidRPr="003A2606" w:rsidRDefault="00883A2E" w:rsidP="00883A2E">
      <w:pPr>
        <w:jc w:val="center"/>
        <w:rPr>
          <w:b/>
          <w:bCs/>
        </w:rPr>
      </w:pPr>
    </w:p>
    <w:p w:rsidR="00883A2E" w:rsidRPr="003A2606" w:rsidRDefault="002B2F2E" w:rsidP="00883A2E">
      <w:pPr>
        <w:tabs>
          <w:tab w:val="center" w:pos="4680"/>
        </w:tabs>
        <w:jc w:val="center"/>
        <w:rPr>
          <w:b/>
          <w:bCs/>
        </w:rPr>
      </w:pPr>
      <w:r w:rsidRPr="003A2606">
        <w:rPr>
          <w:b/>
          <w:bCs/>
        </w:rPr>
        <w:t>THOMAS E. SCHOOLEY</w:t>
      </w:r>
    </w:p>
    <w:p w:rsidR="00883A2E" w:rsidRPr="003A2606" w:rsidRDefault="00883A2E" w:rsidP="00883A2E">
      <w:pPr>
        <w:tabs>
          <w:tab w:val="center" w:pos="4680"/>
        </w:tabs>
        <w:jc w:val="center"/>
        <w:rPr>
          <w:b/>
          <w:bCs/>
        </w:rPr>
      </w:pPr>
    </w:p>
    <w:p w:rsidR="00883A2E" w:rsidRPr="003A2606" w:rsidRDefault="00883A2E" w:rsidP="00883A2E">
      <w:pPr>
        <w:tabs>
          <w:tab w:val="center" w:pos="4680"/>
        </w:tabs>
        <w:jc w:val="center"/>
        <w:rPr>
          <w:b/>
          <w:bCs/>
        </w:rPr>
      </w:pPr>
      <w:r w:rsidRPr="003A2606">
        <w:rPr>
          <w:b/>
          <w:bCs/>
        </w:rPr>
        <w:t>STAFF OF</w:t>
      </w:r>
    </w:p>
    <w:p w:rsidR="00883A2E" w:rsidRPr="003A2606" w:rsidRDefault="00883A2E" w:rsidP="00883A2E">
      <w:pPr>
        <w:tabs>
          <w:tab w:val="center" w:pos="4680"/>
        </w:tabs>
        <w:jc w:val="center"/>
        <w:rPr>
          <w:b/>
          <w:bCs/>
        </w:rPr>
      </w:pPr>
      <w:r w:rsidRPr="003A2606">
        <w:rPr>
          <w:b/>
          <w:bCs/>
        </w:rPr>
        <w:t>WASHINGTON UTILITIES AND</w:t>
      </w:r>
    </w:p>
    <w:p w:rsidR="00883A2E" w:rsidRPr="003A2606" w:rsidRDefault="00883A2E" w:rsidP="00883A2E">
      <w:pPr>
        <w:tabs>
          <w:tab w:val="center" w:pos="4680"/>
        </w:tabs>
        <w:jc w:val="center"/>
        <w:rPr>
          <w:b/>
          <w:bCs/>
        </w:rPr>
      </w:pPr>
      <w:r w:rsidRPr="003A2606">
        <w:rPr>
          <w:b/>
          <w:bCs/>
        </w:rPr>
        <w:t>TRANSPORTATION COMMISSION</w:t>
      </w:r>
    </w:p>
    <w:p w:rsidR="00883A2E" w:rsidRPr="003A2606" w:rsidRDefault="00883A2E" w:rsidP="00883A2E">
      <w:pPr>
        <w:jc w:val="center"/>
        <w:rPr>
          <w:b/>
          <w:bCs/>
        </w:rPr>
      </w:pPr>
    </w:p>
    <w:p w:rsidR="00883A2E" w:rsidRPr="003A2606" w:rsidRDefault="00883A2E" w:rsidP="00883A2E">
      <w:pPr>
        <w:rPr>
          <w:b/>
          <w:bCs/>
        </w:rPr>
      </w:pPr>
    </w:p>
    <w:p w:rsidR="00883A2E" w:rsidRPr="003A2606" w:rsidRDefault="00883A2E" w:rsidP="00883A2E">
      <w:pPr>
        <w:jc w:val="center"/>
        <w:rPr>
          <w:b/>
          <w:bCs/>
          <w:i/>
        </w:rPr>
      </w:pPr>
      <w:r w:rsidRPr="003A2606">
        <w:rPr>
          <w:b/>
          <w:bCs/>
          <w:i/>
        </w:rPr>
        <w:t>Introduction and General Policy</w:t>
      </w:r>
    </w:p>
    <w:p w:rsidR="00883A2E" w:rsidRPr="003A2606" w:rsidRDefault="00883A2E" w:rsidP="00883A2E">
      <w:pPr>
        <w:rPr>
          <w:b/>
          <w:bCs/>
        </w:rPr>
      </w:pPr>
    </w:p>
    <w:p w:rsidR="00883A2E" w:rsidRPr="003A2606" w:rsidRDefault="00883A2E" w:rsidP="00883A2E">
      <w:pPr>
        <w:rPr>
          <w:b/>
          <w:bCs/>
        </w:rPr>
      </w:pPr>
    </w:p>
    <w:p w:rsidR="00883A2E" w:rsidRPr="003A2606" w:rsidRDefault="00883A2E" w:rsidP="00883A2E">
      <w:pPr>
        <w:tabs>
          <w:tab w:val="center" w:pos="4680"/>
        </w:tabs>
        <w:jc w:val="center"/>
        <w:rPr>
          <w:b/>
          <w:bCs/>
        </w:rPr>
      </w:pPr>
      <w:r w:rsidRPr="003A2606">
        <w:rPr>
          <w:b/>
          <w:bCs/>
        </w:rPr>
        <w:t>December 7, 2011</w:t>
      </w:r>
    </w:p>
    <w:p w:rsidR="00883A2E" w:rsidRPr="003A2606" w:rsidRDefault="00883A2E" w:rsidP="00883A2E">
      <w:pPr>
        <w:tabs>
          <w:tab w:val="center" w:pos="4680"/>
        </w:tabs>
        <w:jc w:val="center"/>
        <w:rPr>
          <w:b/>
          <w:bCs/>
        </w:rPr>
      </w:pPr>
    </w:p>
    <w:p w:rsidR="00883A2E" w:rsidRPr="003A2606" w:rsidRDefault="00883A2E" w:rsidP="00883A2E">
      <w:pPr>
        <w:tabs>
          <w:tab w:val="center" w:pos="4680"/>
        </w:tabs>
        <w:rPr>
          <w:b/>
          <w:bCs/>
        </w:rPr>
      </w:pPr>
    </w:p>
    <w:p w:rsidR="00883A2E" w:rsidRPr="003A2606" w:rsidRDefault="00883A2E" w:rsidP="00883A2E">
      <w:pPr>
        <w:tabs>
          <w:tab w:val="center" w:pos="4680"/>
        </w:tabs>
        <w:sectPr w:rsidR="00883A2E" w:rsidRPr="003A2606" w:rsidSect="00D96440">
          <w:footerReference w:type="default" r:id="rId9"/>
          <w:pgSz w:w="12240" w:h="15840" w:code="1"/>
          <w:pgMar w:top="1440" w:right="1440" w:bottom="1440" w:left="1872" w:header="720" w:footer="720" w:gutter="0"/>
          <w:cols w:space="720"/>
          <w:titlePg/>
          <w:docGrid w:linePitch="360"/>
        </w:sectPr>
      </w:pPr>
    </w:p>
    <w:p w:rsidR="00883A2E" w:rsidRPr="003A2606" w:rsidRDefault="00883A2E" w:rsidP="00883A2E">
      <w:pPr>
        <w:pStyle w:val="Heading3"/>
        <w:keepNext w:val="0"/>
        <w:widowControl w:val="0"/>
      </w:pPr>
      <w:r w:rsidRPr="003A2606">
        <w:lastRenderedPageBreak/>
        <w:t>TABLE OF CONTENTS</w:t>
      </w:r>
    </w:p>
    <w:p w:rsidR="00883A2E" w:rsidRPr="003A2606" w:rsidRDefault="00883A2E" w:rsidP="00883A2E"/>
    <w:p w:rsidR="00883A2E" w:rsidRPr="003A2606" w:rsidRDefault="00883A2E" w:rsidP="00883A2E">
      <w:pPr>
        <w:tabs>
          <w:tab w:val="left" w:pos="720"/>
          <w:tab w:val="left" w:pos="1440"/>
          <w:tab w:val="left" w:pos="2160"/>
          <w:tab w:val="right" w:leader="dot" w:pos="9000"/>
        </w:tabs>
      </w:pPr>
      <w:r w:rsidRPr="003A2606">
        <w:t>I.</w:t>
      </w:r>
      <w:r w:rsidRPr="003A2606">
        <w:tab/>
        <w:t xml:space="preserve">INTRODUCTION </w:t>
      </w:r>
      <w:r w:rsidRPr="003A2606">
        <w:tab/>
        <w:t>1</w:t>
      </w:r>
    </w:p>
    <w:p w:rsidR="00883A2E" w:rsidRPr="003A2606" w:rsidRDefault="00883A2E" w:rsidP="00883A2E">
      <w:pPr>
        <w:tabs>
          <w:tab w:val="left" w:pos="720"/>
          <w:tab w:val="left" w:pos="1440"/>
          <w:tab w:val="left" w:pos="2160"/>
          <w:tab w:val="right" w:leader="dot" w:pos="9000"/>
        </w:tabs>
      </w:pPr>
    </w:p>
    <w:p w:rsidR="00883A2E" w:rsidRPr="003A2606" w:rsidRDefault="00883A2E" w:rsidP="00883A2E">
      <w:pPr>
        <w:tabs>
          <w:tab w:val="left" w:pos="720"/>
          <w:tab w:val="left" w:pos="1440"/>
          <w:tab w:val="left" w:pos="2160"/>
          <w:tab w:val="right" w:leader="dot" w:pos="9000"/>
        </w:tabs>
      </w:pPr>
      <w:r w:rsidRPr="003A2606">
        <w:t>II.</w:t>
      </w:r>
      <w:r w:rsidRPr="003A2606">
        <w:tab/>
        <w:t>S</w:t>
      </w:r>
      <w:r w:rsidR="00E44B28">
        <w:t xml:space="preserve">COPE AND SUMMARY OF TESTIMONY </w:t>
      </w:r>
      <w:r w:rsidR="00E44B28">
        <w:tab/>
        <w:t>3</w:t>
      </w:r>
    </w:p>
    <w:p w:rsidR="00883A2E" w:rsidRPr="003A2606" w:rsidRDefault="00883A2E" w:rsidP="00883A2E"/>
    <w:p w:rsidR="00883A2E" w:rsidRPr="003A2606" w:rsidRDefault="00883A2E" w:rsidP="00E44B28">
      <w:pPr>
        <w:tabs>
          <w:tab w:val="left" w:pos="720"/>
          <w:tab w:val="left" w:pos="1440"/>
          <w:tab w:val="left" w:pos="2160"/>
          <w:tab w:val="right" w:leader="dot" w:pos="9000"/>
        </w:tabs>
      </w:pPr>
      <w:r w:rsidRPr="003A2606">
        <w:t>III.</w:t>
      </w:r>
      <w:r w:rsidRPr="003A2606">
        <w:tab/>
      </w:r>
      <w:r w:rsidR="00E44B28">
        <w:t xml:space="preserve">DISCUSSION </w:t>
      </w:r>
      <w:r w:rsidR="00E44B28">
        <w:tab/>
        <w:t>3</w:t>
      </w:r>
    </w:p>
    <w:p w:rsidR="00883A2E" w:rsidRPr="003A2606" w:rsidRDefault="00883A2E" w:rsidP="00883A2E"/>
    <w:p w:rsidR="00883A2E" w:rsidRPr="003A2606" w:rsidRDefault="00883A2E" w:rsidP="00883A2E"/>
    <w:p w:rsidR="00883A2E" w:rsidRPr="003A2606" w:rsidRDefault="00883A2E" w:rsidP="00883A2E">
      <w:pPr>
        <w:jc w:val="center"/>
      </w:pPr>
      <w:r w:rsidRPr="003A2606">
        <w:rPr>
          <w:b/>
        </w:rPr>
        <w:t>LIST OF EXHIBITS</w:t>
      </w:r>
    </w:p>
    <w:p w:rsidR="00883A2E" w:rsidRPr="003A2606" w:rsidRDefault="00883A2E" w:rsidP="00883A2E"/>
    <w:p w:rsidR="00A74ABD" w:rsidRDefault="00883A2E" w:rsidP="00A70BAE">
      <w:r w:rsidRPr="003A2606">
        <w:t>Exhibit No. ___ (TES-2)</w:t>
      </w:r>
      <w:r w:rsidR="00A74ABD">
        <w:t xml:space="preserve"> </w:t>
      </w:r>
      <w:r w:rsidR="00B850D6">
        <w:t>Company</w:t>
      </w:r>
      <w:r w:rsidR="00A74ABD">
        <w:t xml:space="preserve"> Response to Staff Data Request 11, Docket UG-110723</w:t>
      </w:r>
      <w:r w:rsidR="00A74ABD" w:rsidDel="00746F62">
        <w:t xml:space="preserve"> </w:t>
      </w:r>
    </w:p>
    <w:p w:rsidR="00883A2E" w:rsidRPr="003A2606" w:rsidRDefault="00883A2E" w:rsidP="00883A2E">
      <w:r w:rsidRPr="003A2606">
        <w:t xml:space="preserve"> </w:t>
      </w:r>
    </w:p>
    <w:p w:rsidR="00883A2E" w:rsidRPr="003A2606" w:rsidRDefault="00883A2E" w:rsidP="00883A2E">
      <w:pPr>
        <w:ind w:left="2880" w:hanging="2880"/>
      </w:pPr>
    </w:p>
    <w:p w:rsidR="00883A2E" w:rsidRPr="003A2606" w:rsidRDefault="00883A2E" w:rsidP="00883A2E"/>
    <w:p w:rsidR="00883A2E" w:rsidRPr="003A2606" w:rsidRDefault="00883A2E" w:rsidP="00883A2E"/>
    <w:p w:rsidR="00883A2E" w:rsidRPr="003A2606" w:rsidRDefault="00883A2E" w:rsidP="00883A2E">
      <w:pPr>
        <w:pStyle w:val="Heading3"/>
        <w:keepNext w:val="0"/>
        <w:widowControl w:val="0"/>
        <w:jc w:val="left"/>
      </w:pPr>
    </w:p>
    <w:p w:rsidR="00883A2E" w:rsidRPr="003A2606" w:rsidRDefault="00883A2E" w:rsidP="00883A2E">
      <w:pPr>
        <w:pStyle w:val="Heading3"/>
        <w:jc w:val="left"/>
        <w:sectPr w:rsidR="00883A2E" w:rsidRPr="003A2606" w:rsidSect="00D96440">
          <w:footerReference w:type="default" r:id="rId10"/>
          <w:pgSz w:w="12240" w:h="15840" w:code="1"/>
          <w:pgMar w:top="1440" w:right="1440" w:bottom="1440" w:left="1872" w:header="720" w:footer="720" w:gutter="0"/>
          <w:pgNumType w:fmt="lowerRoman" w:start="1"/>
          <w:cols w:space="720"/>
          <w:docGrid w:linePitch="360"/>
        </w:sectPr>
      </w:pPr>
    </w:p>
    <w:p w:rsidR="00883A2E" w:rsidRPr="003A2606" w:rsidRDefault="00883A2E" w:rsidP="00D96440">
      <w:pPr>
        <w:pStyle w:val="Heading3"/>
      </w:pPr>
      <w:r w:rsidRPr="003A2606">
        <w:lastRenderedPageBreak/>
        <w:t>I.</w:t>
      </w:r>
      <w:r w:rsidRPr="003A2606">
        <w:tab/>
        <w:t>INTRODUCTION</w:t>
      </w:r>
    </w:p>
    <w:p w:rsidR="00883A2E" w:rsidRPr="003A2606" w:rsidRDefault="00883A2E" w:rsidP="00D96440">
      <w:pPr>
        <w:pStyle w:val="Heading3"/>
        <w:jc w:val="left"/>
      </w:pPr>
    </w:p>
    <w:p w:rsidR="00883A2E" w:rsidRPr="003A2606" w:rsidRDefault="00883A2E" w:rsidP="00D96440">
      <w:pPr>
        <w:pStyle w:val="Heading3"/>
        <w:jc w:val="left"/>
        <w:rPr>
          <w:b w:val="0"/>
          <w:bCs w:val="0"/>
        </w:rPr>
      </w:pPr>
      <w:r w:rsidRPr="003A2606">
        <w:t>Q.</w:t>
      </w:r>
      <w:r w:rsidRPr="003A2606">
        <w:tab/>
        <w:t>Please state your name and business address.</w:t>
      </w:r>
      <w:r w:rsidRPr="003A2606">
        <w:rPr>
          <w:b w:val="0"/>
          <w:bCs w:val="0"/>
        </w:rPr>
        <w:t xml:space="preserve">  </w:t>
      </w:r>
    </w:p>
    <w:p w:rsidR="00883A2E" w:rsidRPr="003A2606" w:rsidRDefault="00883A2E" w:rsidP="00D96440">
      <w:pPr>
        <w:pStyle w:val="BodyTextIndent"/>
      </w:pPr>
      <w:r w:rsidRPr="003A2606">
        <w:t>A.</w:t>
      </w:r>
      <w:r w:rsidRPr="003A2606">
        <w:tab/>
        <w:t>My name is Thomas E. Schooley.  My business address is The Richard Hemstad Building, 1300 S. Evergreen Park Drive S.W., P.O. Box 47250, Olympia, WA  98504.  My email address is tschoole@utc.wa.gov.</w:t>
      </w:r>
    </w:p>
    <w:p w:rsidR="00883A2E" w:rsidRPr="003A2606" w:rsidRDefault="00883A2E" w:rsidP="00D96440">
      <w:pPr>
        <w:spacing w:line="480" w:lineRule="auto"/>
        <w:ind w:left="720" w:hanging="720"/>
      </w:pPr>
    </w:p>
    <w:p w:rsidR="00883A2E" w:rsidRDefault="00883A2E" w:rsidP="00D96440">
      <w:pPr>
        <w:pStyle w:val="Heading1"/>
        <w:tabs>
          <w:tab w:val="left" w:pos="720"/>
          <w:tab w:val="left" w:pos="1440"/>
          <w:tab w:val="left" w:pos="2160"/>
          <w:tab w:val="left" w:pos="2880"/>
          <w:tab w:val="left" w:pos="3600"/>
          <w:tab w:val="left" w:pos="4320"/>
          <w:tab w:val="left" w:pos="5040"/>
          <w:tab w:val="left" w:pos="5760"/>
          <w:tab w:val="left" w:pos="6540"/>
        </w:tabs>
        <w:spacing w:before="0" w:line="480" w:lineRule="auto"/>
        <w:rPr>
          <w:rFonts w:ascii="Times New Roman" w:hAnsi="Times New Roman" w:cs="Times New Roman"/>
          <w:color w:val="auto"/>
          <w:sz w:val="24"/>
          <w:szCs w:val="24"/>
        </w:rPr>
      </w:pPr>
      <w:r w:rsidRPr="003A2606">
        <w:rPr>
          <w:rFonts w:ascii="Times New Roman" w:hAnsi="Times New Roman" w:cs="Times New Roman"/>
          <w:color w:val="auto"/>
          <w:sz w:val="24"/>
          <w:szCs w:val="24"/>
        </w:rPr>
        <w:t>Q.</w:t>
      </w:r>
      <w:r w:rsidRPr="003A2606">
        <w:rPr>
          <w:rFonts w:ascii="Times New Roman" w:hAnsi="Times New Roman" w:cs="Times New Roman"/>
          <w:color w:val="auto"/>
          <w:sz w:val="24"/>
          <w:szCs w:val="24"/>
        </w:rPr>
        <w:tab/>
        <w:t xml:space="preserve">By whom are you employed and in what capacity?  </w:t>
      </w:r>
    </w:p>
    <w:p w:rsidR="00883A2E" w:rsidRPr="003A2606" w:rsidRDefault="00883A2E" w:rsidP="00D96440">
      <w:pPr>
        <w:spacing w:line="480" w:lineRule="auto"/>
        <w:ind w:left="720" w:hanging="720"/>
      </w:pPr>
      <w:r w:rsidRPr="003A2606">
        <w:t>A.</w:t>
      </w:r>
      <w:r w:rsidRPr="003A2606">
        <w:tab/>
        <w:t xml:space="preserve">I am employed by the Washington Utilities and Transportation Commission (“Commission”) as the </w:t>
      </w:r>
      <w:r w:rsidR="007F5895">
        <w:t>Interim Assistant Director</w:t>
      </w:r>
      <w:r w:rsidRPr="003A2606">
        <w:t xml:space="preserve"> in the Energy Section</w:t>
      </w:r>
      <w:r w:rsidR="00E31C9B">
        <w:t xml:space="preserve"> of the Regulatory Services Division</w:t>
      </w:r>
      <w:r w:rsidRPr="003A2606">
        <w:t xml:space="preserve">.  </w:t>
      </w:r>
      <w:r w:rsidR="00E31C9B">
        <w:t>My responsibilities include direct supervision of the Commission’s Regulatory Analysts</w:t>
      </w:r>
      <w:r w:rsidR="00A57C7D">
        <w:t xml:space="preserve"> </w:t>
      </w:r>
      <w:r w:rsidR="0003409F">
        <w:t xml:space="preserve">who review </w:t>
      </w:r>
      <w:r w:rsidR="00E31C9B">
        <w:t>tariff filings and other applications of regulated electric</w:t>
      </w:r>
      <w:r w:rsidR="001D0F6C">
        <w:t>ity</w:t>
      </w:r>
      <w:r w:rsidR="00E31C9B">
        <w:t xml:space="preserve"> and natural gas companies</w:t>
      </w:r>
      <w:r w:rsidR="00A57C7D">
        <w:t>, and make recommendations for Commission decision on those filings and application</w:t>
      </w:r>
      <w:r w:rsidR="007F5895">
        <w:t>s</w:t>
      </w:r>
      <w:r w:rsidR="00E31C9B">
        <w:t xml:space="preserve">.  </w:t>
      </w:r>
    </w:p>
    <w:p w:rsidR="00883A2E" w:rsidRPr="003A2606" w:rsidRDefault="00883A2E" w:rsidP="00D96440">
      <w:pPr>
        <w:spacing w:line="480" w:lineRule="auto"/>
        <w:ind w:left="720" w:hanging="720"/>
      </w:pPr>
    </w:p>
    <w:p w:rsidR="00883A2E" w:rsidRPr="003A2606" w:rsidRDefault="00883A2E" w:rsidP="00D96440">
      <w:pPr>
        <w:tabs>
          <w:tab w:val="left" w:pos="-1440"/>
        </w:tabs>
        <w:spacing w:line="480" w:lineRule="auto"/>
        <w:ind w:left="720" w:hanging="720"/>
      </w:pPr>
      <w:r w:rsidRPr="003A2606">
        <w:rPr>
          <w:b/>
          <w:bCs/>
        </w:rPr>
        <w:t>Q.</w:t>
      </w:r>
      <w:r w:rsidRPr="003A2606">
        <w:rPr>
          <w:b/>
          <w:bCs/>
        </w:rPr>
        <w:tab/>
        <w:t>How long have you been employed by the Commission?</w:t>
      </w:r>
    </w:p>
    <w:p w:rsidR="00883A2E" w:rsidRPr="003A2606" w:rsidRDefault="00883A2E" w:rsidP="00D96440">
      <w:pPr>
        <w:tabs>
          <w:tab w:val="left" w:pos="-1440"/>
        </w:tabs>
        <w:spacing w:line="480" w:lineRule="auto"/>
      </w:pPr>
      <w:r w:rsidRPr="003A2606">
        <w:t>A.</w:t>
      </w:r>
      <w:r w:rsidRPr="003A2606">
        <w:tab/>
        <w:t xml:space="preserve">I have been employed </w:t>
      </w:r>
      <w:r w:rsidR="00E31C9B">
        <w:t>with the Commission</w:t>
      </w:r>
      <w:r w:rsidRPr="003A2606">
        <w:t xml:space="preserve"> since September 1991.</w:t>
      </w:r>
    </w:p>
    <w:p w:rsidR="00883A2E" w:rsidRPr="003A2606" w:rsidRDefault="00883A2E" w:rsidP="00D96440">
      <w:pPr>
        <w:tabs>
          <w:tab w:val="left" w:pos="-1440"/>
        </w:tabs>
        <w:spacing w:line="480" w:lineRule="auto"/>
      </w:pPr>
    </w:p>
    <w:p w:rsidR="00883A2E" w:rsidRPr="003A2606" w:rsidRDefault="00883A2E" w:rsidP="00D96440">
      <w:pPr>
        <w:tabs>
          <w:tab w:val="left" w:pos="-1440"/>
        </w:tabs>
        <w:spacing w:line="480" w:lineRule="auto"/>
        <w:ind w:left="720" w:hanging="720"/>
        <w:rPr>
          <w:b/>
          <w:bCs/>
        </w:rPr>
      </w:pPr>
      <w:r w:rsidRPr="003A2606">
        <w:rPr>
          <w:b/>
          <w:bCs/>
        </w:rPr>
        <w:t>Q.</w:t>
      </w:r>
      <w:r w:rsidRPr="003A2606">
        <w:rPr>
          <w:b/>
          <w:bCs/>
        </w:rPr>
        <w:tab/>
      </w:r>
      <w:r w:rsidR="00B63CCF">
        <w:rPr>
          <w:b/>
          <w:bCs/>
        </w:rPr>
        <w:t>P</w:t>
      </w:r>
      <w:r w:rsidRPr="003A2606">
        <w:rPr>
          <w:b/>
          <w:bCs/>
        </w:rPr>
        <w:t>lease state your educational and professional background</w:t>
      </w:r>
      <w:r w:rsidR="00B63CCF">
        <w:rPr>
          <w:b/>
          <w:bCs/>
        </w:rPr>
        <w:t>.</w:t>
      </w:r>
    </w:p>
    <w:p w:rsidR="00883A2E" w:rsidRDefault="00883A2E" w:rsidP="00D96440">
      <w:pPr>
        <w:pStyle w:val="BodyTextIndent"/>
        <w:tabs>
          <w:tab w:val="left" w:pos="-1440"/>
        </w:tabs>
      </w:pPr>
      <w:r w:rsidRPr="002F647C">
        <w:t>A.</w:t>
      </w:r>
      <w:r w:rsidRPr="002F647C">
        <w:tab/>
        <w:t>I received a Bachelor of Science degree from Central Washington University in 1986.  I met the requirements for a double major in Accounting and Business Administration-Finance.  I also have a Bachelor of Science degree in geology from the University of</w:t>
      </w:r>
      <w:r w:rsidRPr="003A2606">
        <w:t xml:space="preserve"> Michigan.  I passed the Certified Public Accountant exam in May </w:t>
      </w:r>
      <w:r w:rsidRPr="003A2606">
        <w:lastRenderedPageBreak/>
        <w:t>1989.  Since joining the Commission, I have attended several regulatory accounting courses, including the summer session of the Institute of Public Utilities.</w:t>
      </w:r>
    </w:p>
    <w:p w:rsidR="00883A2E" w:rsidRPr="003A2606" w:rsidRDefault="00E31C9B" w:rsidP="00D96440">
      <w:pPr>
        <w:pStyle w:val="BodyTextIndent"/>
        <w:tabs>
          <w:tab w:val="left" w:pos="-1440"/>
        </w:tabs>
      </w:pPr>
      <w:r>
        <w:tab/>
      </w:r>
      <w:r>
        <w:tab/>
        <w:t xml:space="preserve">Before obtaining my current position, I held several </w:t>
      </w:r>
      <w:r w:rsidR="0003409F">
        <w:t xml:space="preserve">other </w:t>
      </w:r>
      <w:r>
        <w:t xml:space="preserve">positions including </w:t>
      </w:r>
      <w:r w:rsidR="007F5895">
        <w:t>Accountin</w:t>
      </w:r>
      <w:r w:rsidR="00CE4474">
        <w:t xml:space="preserve">g Manager of the Energy Section and </w:t>
      </w:r>
      <w:r w:rsidR="007F5895">
        <w:t>Regulatory Analyst</w:t>
      </w:r>
      <w:r>
        <w:t xml:space="preserve">.  </w:t>
      </w:r>
      <w:r w:rsidR="00883A2E" w:rsidRPr="003A2606">
        <w:t>I testified in Docket UE-960195 involving the merger between Washington Natural Gas Company and Puget Sound Power &amp; Light Company</w:t>
      </w:r>
      <w:r>
        <w:t xml:space="preserve"> (“Puget”)</w:t>
      </w:r>
      <w:r w:rsidR="00883A2E" w:rsidRPr="003A2606">
        <w:t xml:space="preserve">.  I was the lead Staff analyst in several applications for accounting treatment, including Puget Sound Energy, Inc. Dockets UE-971619 and UE-991918.  I testified in the Avista general rate case, Docket </w:t>
      </w:r>
      <w:proofErr w:type="spellStart"/>
      <w:r w:rsidR="00883A2E" w:rsidRPr="003A2606">
        <w:t>UE</w:t>
      </w:r>
      <w:proofErr w:type="spellEnd"/>
      <w:r w:rsidR="00883A2E" w:rsidRPr="003A2606">
        <w:t>-991606, and Avista’s energy recovery mechanism, Dockets UE-000972, UE-010395, UE-011595, and UE-030751.</w:t>
      </w:r>
      <w:r w:rsidR="00883A2E" w:rsidRPr="003A2606">
        <w:rPr>
          <w:bCs/>
        </w:rPr>
        <w:t xml:space="preserve"> </w:t>
      </w:r>
      <w:r w:rsidR="00883A2E" w:rsidRPr="003A2606">
        <w:t xml:space="preserve"> I also assisted in the development of Staff testimony in Puget’s “PRAM 2” case, Docket UE-920630, and I presented the Staff recommendation on environmental remediation in Puget Docket UE-911476.  </w:t>
      </w:r>
    </w:p>
    <w:p w:rsidR="00883A2E" w:rsidRPr="003A2606" w:rsidRDefault="00883A2E" w:rsidP="00D96440">
      <w:pPr>
        <w:spacing w:line="480" w:lineRule="auto"/>
        <w:ind w:left="720"/>
      </w:pPr>
      <w:r w:rsidRPr="003A2606">
        <w:tab/>
        <w:t xml:space="preserve">I analyzed PacifiCorp’s proposed accounting treatment of Clean Air Act allowances in Docket UE-940947, and participated in meetings of PacifiCorp’s inter-jurisdictional task force on allocations.  I testified in </w:t>
      </w:r>
      <w:r w:rsidR="00E31C9B">
        <w:t>PSE’s</w:t>
      </w:r>
      <w:r w:rsidRPr="003A2606">
        <w:t xml:space="preserve"> power cost only rate case, Docket UE-031725</w:t>
      </w:r>
      <w:r w:rsidR="00B63CCF">
        <w:t>;</w:t>
      </w:r>
      <w:r w:rsidRPr="003A2606">
        <w:t xml:space="preserve"> </w:t>
      </w:r>
      <w:r w:rsidR="00B63CCF">
        <w:t xml:space="preserve">PSE’s general rate cases, Dockets UE-072300/UG-072301 and UE-090704/UG-090705; </w:t>
      </w:r>
      <w:r w:rsidRPr="003A2606">
        <w:t xml:space="preserve">and PacifiCorp’s general rate cases, Dockets UE-032065, UE-050684, UE-061546, </w:t>
      </w:r>
      <w:r w:rsidRPr="007F5895">
        <w:rPr>
          <w:i/>
        </w:rPr>
        <w:t>et al</w:t>
      </w:r>
      <w:r w:rsidRPr="003A2606">
        <w:t>.</w:t>
      </w:r>
      <w:r w:rsidR="00B63CCF">
        <w:t>, and UE-100749.</w:t>
      </w:r>
    </w:p>
    <w:p w:rsidR="00883A2E" w:rsidRPr="003A2606" w:rsidRDefault="00883A2E" w:rsidP="00D96440">
      <w:pPr>
        <w:spacing w:line="480" w:lineRule="auto"/>
        <w:ind w:left="720"/>
      </w:pPr>
      <w:r w:rsidRPr="003A2606">
        <w:tab/>
        <w:t xml:space="preserve">I have prepared detailed statistical studies for use by </w:t>
      </w:r>
      <w:r w:rsidR="00E31C9B">
        <w:t>c</w:t>
      </w:r>
      <w:r w:rsidRPr="003A2606">
        <w:t xml:space="preserve">ommissioners and other Commission employees, and have interpreted utility company reports to determine </w:t>
      </w:r>
      <w:r w:rsidR="00A74ABD">
        <w:t xml:space="preserve">their </w:t>
      </w:r>
      <w:r w:rsidRPr="003A2606">
        <w:t>compliance with Commission regulations.</w:t>
      </w:r>
      <w:r w:rsidR="00E31C9B">
        <w:t xml:space="preserve">  I have also presented Staff recommendations to the Commission in numerous open public meetings</w:t>
      </w:r>
      <w:r w:rsidR="0003409F">
        <w:t>.</w:t>
      </w:r>
    </w:p>
    <w:p w:rsidR="00883A2E" w:rsidRPr="003A2606" w:rsidRDefault="00883A2E" w:rsidP="00D96440">
      <w:pPr>
        <w:pStyle w:val="BodyTextIndent"/>
      </w:pPr>
    </w:p>
    <w:p w:rsidR="00883A2E" w:rsidRPr="003A2606" w:rsidRDefault="00883A2E" w:rsidP="00D96440">
      <w:pPr>
        <w:pStyle w:val="BodyTextIndent"/>
        <w:keepNext/>
        <w:jc w:val="center"/>
      </w:pPr>
      <w:r w:rsidRPr="003A2606">
        <w:rPr>
          <w:b/>
        </w:rPr>
        <w:t>II.</w:t>
      </w:r>
      <w:r w:rsidRPr="003A2606">
        <w:rPr>
          <w:b/>
        </w:rPr>
        <w:tab/>
        <w:t>SCOPE AND SUMMARY OF TESTIMONY</w:t>
      </w:r>
    </w:p>
    <w:p w:rsidR="00C675C8" w:rsidRPr="003A2606" w:rsidRDefault="00C675C8" w:rsidP="00D96440">
      <w:pPr>
        <w:spacing w:line="480" w:lineRule="auto"/>
        <w:ind w:left="360"/>
      </w:pPr>
    </w:p>
    <w:p w:rsidR="00C675C8" w:rsidRPr="003A2606" w:rsidRDefault="00C675C8" w:rsidP="00D96440">
      <w:pPr>
        <w:widowControl w:val="0"/>
        <w:numPr>
          <w:ilvl w:val="0"/>
          <w:numId w:val="1"/>
        </w:numPr>
        <w:autoSpaceDE w:val="0"/>
        <w:autoSpaceDN w:val="0"/>
        <w:adjustRightInd w:val="0"/>
        <w:spacing w:line="480" w:lineRule="auto"/>
        <w:ind w:hanging="720"/>
      </w:pPr>
      <w:r w:rsidRPr="003A2606">
        <w:rPr>
          <w:b/>
        </w:rPr>
        <w:t>What is the purpose of your testimony in this proceeding?</w:t>
      </w:r>
    </w:p>
    <w:p w:rsidR="0003409F" w:rsidRDefault="004A77ED" w:rsidP="00D96440">
      <w:pPr>
        <w:spacing w:line="480" w:lineRule="auto"/>
        <w:ind w:left="720" w:hanging="720"/>
      </w:pPr>
      <w:r w:rsidRPr="003A2606">
        <w:t>A.</w:t>
      </w:r>
      <w:r w:rsidRPr="003A2606">
        <w:tab/>
      </w:r>
      <w:r w:rsidR="0003409F">
        <w:t>I summarize the Staff recommended revenue requirement increases for</w:t>
      </w:r>
      <w:r w:rsidR="00B850D6">
        <w:t xml:space="preserve"> the electricity and natural gas operations of Puget Sound Energy, Inc. </w:t>
      </w:r>
      <w:r w:rsidR="00B850D6" w:rsidRPr="003A2606">
        <w:t>(“</w:t>
      </w:r>
      <w:r w:rsidR="00B850D6">
        <w:t>PSE” or the “Company”</w:t>
      </w:r>
      <w:r w:rsidR="00B850D6" w:rsidRPr="003A2606">
        <w:t>)</w:t>
      </w:r>
      <w:r w:rsidR="00B850D6">
        <w:t>.</w:t>
      </w:r>
      <w:r w:rsidR="0003409F">
        <w:t xml:space="preserve">  </w:t>
      </w:r>
      <w:r w:rsidRPr="003A2606">
        <w:t xml:space="preserve">I </w:t>
      </w:r>
      <w:r w:rsidR="0003409F">
        <w:t xml:space="preserve">also </w:t>
      </w:r>
      <w:r w:rsidRPr="003A2606">
        <w:t xml:space="preserve">describe the general </w:t>
      </w:r>
      <w:r w:rsidR="0003409F">
        <w:t xml:space="preserve">policy </w:t>
      </w:r>
      <w:r w:rsidR="00C675C8" w:rsidRPr="003A2606">
        <w:t>direction</w:t>
      </w:r>
      <w:r w:rsidRPr="003A2606">
        <w:t xml:space="preserve"> of Staff’s case and introduce </w:t>
      </w:r>
      <w:r w:rsidR="00C675C8" w:rsidRPr="003A2606">
        <w:t>Staff’s</w:t>
      </w:r>
      <w:r w:rsidRPr="003A2606">
        <w:t xml:space="preserve"> </w:t>
      </w:r>
      <w:r w:rsidR="0003409F">
        <w:t xml:space="preserve">other </w:t>
      </w:r>
      <w:r w:rsidRPr="003A2606">
        <w:t xml:space="preserve">witnesses that support that </w:t>
      </w:r>
      <w:r w:rsidR="001D0F6C">
        <w:t xml:space="preserve">policy </w:t>
      </w:r>
      <w:r w:rsidR="00C675C8" w:rsidRPr="003A2606">
        <w:t>direction</w:t>
      </w:r>
      <w:r w:rsidR="0003409F">
        <w:t xml:space="preserve"> and Staff’s specific recommendation</w:t>
      </w:r>
      <w:r w:rsidR="001D0F6C">
        <w:t>s on revenue requirements</w:t>
      </w:r>
      <w:r w:rsidR="00B63CCF">
        <w:t>,</w:t>
      </w:r>
      <w:r w:rsidR="001D0F6C">
        <w:t xml:space="preserve"> including </w:t>
      </w:r>
      <w:r w:rsidR="0003409F">
        <w:t>cost of capital,</w:t>
      </w:r>
      <w:r w:rsidR="00A57C7D">
        <w:t xml:space="preserve"> </w:t>
      </w:r>
      <w:r w:rsidR="0003409F">
        <w:t>revenue allocation and rate design.</w:t>
      </w:r>
    </w:p>
    <w:p w:rsidR="00011120" w:rsidRDefault="00011120" w:rsidP="00D96440">
      <w:pPr>
        <w:spacing w:line="480" w:lineRule="auto"/>
        <w:ind w:left="720" w:hanging="720"/>
      </w:pPr>
    </w:p>
    <w:p w:rsidR="00011120" w:rsidRPr="007F5895" w:rsidRDefault="00011120" w:rsidP="00D96440">
      <w:pPr>
        <w:spacing w:line="480" w:lineRule="auto"/>
        <w:ind w:left="720" w:hanging="720"/>
        <w:rPr>
          <w:b/>
        </w:rPr>
      </w:pPr>
      <w:r w:rsidRPr="007F5895">
        <w:rPr>
          <w:b/>
        </w:rPr>
        <w:t>Q.</w:t>
      </w:r>
      <w:r w:rsidRPr="007F5895">
        <w:rPr>
          <w:b/>
        </w:rPr>
        <w:tab/>
        <w:t>Have you prepared any exhibits in support of your testimony?</w:t>
      </w:r>
    </w:p>
    <w:p w:rsidR="00011120" w:rsidRDefault="00011120" w:rsidP="00D96440">
      <w:pPr>
        <w:spacing w:line="480" w:lineRule="auto"/>
        <w:ind w:left="720" w:hanging="720"/>
      </w:pPr>
      <w:r>
        <w:t>A.</w:t>
      </w:r>
      <w:r>
        <w:tab/>
        <w:t>Yes, I prepared the following exhibit in support of my testimony:</w:t>
      </w:r>
    </w:p>
    <w:p w:rsidR="00011120" w:rsidRDefault="00011120" w:rsidP="00011120">
      <w:pPr>
        <w:pStyle w:val="ListParagraph"/>
        <w:numPr>
          <w:ilvl w:val="0"/>
          <w:numId w:val="6"/>
        </w:numPr>
      </w:pPr>
      <w:r w:rsidRPr="003A2606">
        <w:t>Exhibit No. ___ (TES-2)</w:t>
      </w:r>
      <w:r>
        <w:t xml:space="preserve">, </w:t>
      </w:r>
      <w:r w:rsidR="00B850D6">
        <w:t>Company</w:t>
      </w:r>
      <w:r w:rsidR="00A74ABD">
        <w:t xml:space="preserve"> Response to Staff Data Request 11, Docket UG-110723</w:t>
      </w:r>
      <w:r w:rsidR="00746F62" w:rsidDel="00746F62">
        <w:t xml:space="preserve"> </w:t>
      </w:r>
    </w:p>
    <w:p w:rsidR="00011120" w:rsidRPr="003A2606" w:rsidRDefault="00011120" w:rsidP="00D96440"/>
    <w:p w:rsidR="002C039A" w:rsidRDefault="002C039A" w:rsidP="007F5895">
      <w:pPr>
        <w:spacing w:line="480" w:lineRule="auto"/>
        <w:ind w:left="720" w:hanging="720"/>
        <w:rPr>
          <w:b/>
        </w:rPr>
      </w:pPr>
    </w:p>
    <w:p w:rsidR="004A77ED" w:rsidRDefault="0003409F" w:rsidP="00D96440">
      <w:pPr>
        <w:spacing w:line="480" w:lineRule="auto"/>
        <w:jc w:val="center"/>
        <w:rPr>
          <w:b/>
        </w:rPr>
      </w:pPr>
      <w:r w:rsidRPr="007F5895">
        <w:rPr>
          <w:b/>
        </w:rPr>
        <w:t>III.</w:t>
      </w:r>
      <w:r w:rsidRPr="007F5895">
        <w:rPr>
          <w:b/>
        </w:rPr>
        <w:tab/>
        <w:t>DISCUSSION</w:t>
      </w:r>
    </w:p>
    <w:p w:rsidR="0003409F" w:rsidRDefault="0003409F" w:rsidP="00D96440">
      <w:pPr>
        <w:spacing w:line="480" w:lineRule="auto"/>
        <w:jc w:val="center"/>
        <w:rPr>
          <w:b/>
        </w:rPr>
      </w:pPr>
    </w:p>
    <w:p w:rsidR="0003409F" w:rsidRDefault="0003409F" w:rsidP="00D96440">
      <w:pPr>
        <w:spacing w:line="480" w:lineRule="auto"/>
        <w:ind w:left="720" w:hanging="720"/>
        <w:rPr>
          <w:b/>
        </w:rPr>
      </w:pPr>
      <w:r>
        <w:rPr>
          <w:b/>
        </w:rPr>
        <w:t>Q.</w:t>
      </w:r>
      <w:r>
        <w:rPr>
          <w:b/>
        </w:rPr>
        <w:tab/>
      </w:r>
      <w:r w:rsidRPr="0003409F">
        <w:rPr>
          <w:b/>
        </w:rPr>
        <w:t xml:space="preserve">Please summarize </w:t>
      </w:r>
      <w:r w:rsidR="00C12FF9">
        <w:rPr>
          <w:b/>
        </w:rPr>
        <w:t xml:space="preserve">the </w:t>
      </w:r>
      <w:r w:rsidRPr="00D22FEE">
        <w:rPr>
          <w:b/>
        </w:rPr>
        <w:t>revenue requirement increase</w:t>
      </w:r>
      <w:r w:rsidR="00C12FF9">
        <w:rPr>
          <w:b/>
        </w:rPr>
        <w:t>s</w:t>
      </w:r>
      <w:r w:rsidRPr="00D22FEE">
        <w:rPr>
          <w:b/>
        </w:rPr>
        <w:t xml:space="preserve"> </w:t>
      </w:r>
      <w:r w:rsidR="00C12FF9">
        <w:rPr>
          <w:b/>
        </w:rPr>
        <w:t xml:space="preserve">recommended by Staff </w:t>
      </w:r>
      <w:r w:rsidRPr="00D22FEE">
        <w:rPr>
          <w:b/>
        </w:rPr>
        <w:t>for the Company’</w:t>
      </w:r>
      <w:r w:rsidR="001D0F6C">
        <w:rPr>
          <w:b/>
        </w:rPr>
        <w:t xml:space="preserve">s electricity </w:t>
      </w:r>
      <w:r w:rsidRPr="00D22FEE">
        <w:rPr>
          <w:b/>
        </w:rPr>
        <w:t xml:space="preserve">and natural gas </w:t>
      </w:r>
      <w:r w:rsidR="00C12FF9">
        <w:rPr>
          <w:b/>
        </w:rPr>
        <w:t>operations</w:t>
      </w:r>
      <w:r w:rsidR="001D0F6C">
        <w:rPr>
          <w:b/>
        </w:rPr>
        <w:t>.</w:t>
      </w:r>
      <w:r w:rsidRPr="00D22FEE">
        <w:rPr>
          <w:b/>
        </w:rPr>
        <w:t xml:space="preserve">  </w:t>
      </w:r>
    </w:p>
    <w:p w:rsidR="00501970" w:rsidRDefault="0003409F" w:rsidP="00D96440">
      <w:pPr>
        <w:spacing w:line="480" w:lineRule="auto"/>
        <w:ind w:left="720" w:hanging="720"/>
      </w:pPr>
      <w:r>
        <w:t>A.</w:t>
      </w:r>
      <w:r>
        <w:tab/>
        <w:t xml:space="preserve">Staff recommends that the Commission allow the Company to increase its annual revenues for electricity service by </w:t>
      </w:r>
      <w:r w:rsidR="00A11043">
        <w:t>$3</w:t>
      </w:r>
      <w:r w:rsidR="00293D4E">
        <w:t>8.</w:t>
      </w:r>
      <w:r w:rsidR="00A11043">
        <w:t>9</w:t>
      </w:r>
      <w:r w:rsidR="00293D4E">
        <w:t>1</w:t>
      </w:r>
      <w:r w:rsidR="00EB5364">
        <w:t>9</w:t>
      </w:r>
      <w:r w:rsidR="00A11043">
        <w:t xml:space="preserve"> million (</w:t>
      </w:r>
      <w:r w:rsidR="002F647C">
        <w:t>2</w:t>
      </w:r>
      <w:r w:rsidR="00DB2320">
        <w:t>.0</w:t>
      </w:r>
      <w:r w:rsidR="00A11043">
        <w:t xml:space="preserve"> </w:t>
      </w:r>
      <w:r w:rsidR="00FF3760">
        <w:t>percent)</w:t>
      </w:r>
      <w:r>
        <w:t xml:space="preserve">.  Staff also recommends that the Commission allow PSE to increase its annual revenues for natural gas service by </w:t>
      </w:r>
      <w:r w:rsidR="00B82CE2">
        <w:t>$1.</w:t>
      </w:r>
      <w:r w:rsidR="00DB2320">
        <w:t>52</w:t>
      </w:r>
      <w:r w:rsidR="00B82CE2">
        <w:t xml:space="preserve">6 million </w:t>
      </w:r>
      <w:r w:rsidR="00FF3760">
        <w:t>(</w:t>
      </w:r>
      <w:r w:rsidR="00B82CE2">
        <w:t xml:space="preserve">0.14 </w:t>
      </w:r>
      <w:r w:rsidR="00FF3760">
        <w:t>percent)</w:t>
      </w:r>
      <w:r>
        <w:t xml:space="preserve">.  </w:t>
      </w:r>
      <w:r w:rsidR="00133B9A">
        <w:t xml:space="preserve"> </w:t>
      </w:r>
      <w:r>
        <w:t xml:space="preserve">These recommendations are based on an historical test year ending December 31, 2010, with </w:t>
      </w:r>
      <w:r w:rsidR="00B850D6">
        <w:t xml:space="preserve">appropriate </w:t>
      </w:r>
      <w:r>
        <w:t xml:space="preserve">restating </w:t>
      </w:r>
      <w:r>
        <w:lastRenderedPageBreak/>
        <w:t xml:space="preserve">and pro forma adjustments </w:t>
      </w:r>
      <w:r w:rsidR="00B850D6">
        <w:t>that satisfy the “matching principle” of historical test per</w:t>
      </w:r>
      <w:r w:rsidR="00501970">
        <w:t>iod ratemaking.</w:t>
      </w:r>
      <w:r w:rsidR="00C078D0">
        <w:rPr>
          <w:rStyle w:val="FootnoteReference"/>
        </w:rPr>
        <w:footnoteReference w:id="1"/>
      </w:r>
      <w:r w:rsidR="00133B9A">
        <w:t xml:space="preserve"> </w:t>
      </w:r>
    </w:p>
    <w:p w:rsidR="0003409F" w:rsidRDefault="00501970" w:rsidP="00293D4E">
      <w:pPr>
        <w:spacing w:line="480" w:lineRule="auto"/>
        <w:ind w:left="720" w:firstLine="720"/>
      </w:pPr>
      <w:r>
        <w:t>On</w:t>
      </w:r>
      <w:r w:rsidR="00FB2099">
        <w:t xml:space="preserve"> the electric</w:t>
      </w:r>
      <w:r w:rsidR="001D0F6C">
        <w:t>ity</w:t>
      </w:r>
      <w:r w:rsidR="00FB2099">
        <w:t xml:space="preserve"> side, Staff’s </w:t>
      </w:r>
      <w:r w:rsidR="00746F62">
        <w:t xml:space="preserve">recommendation </w:t>
      </w:r>
      <w:r w:rsidR="00FB2099">
        <w:t>includes the addition of the Lower Snake River Wind Project (“LSR</w:t>
      </w:r>
      <w:r>
        <w:t xml:space="preserve"> Phase 1</w:t>
      </w:r>
      <w:r w:rsidR="00FB2099">
        <w:t>”)</w:t>
      </w:r>
      <w:r w:rsidR="00746F62">
        <w:t>,</w:t>
      </w:r>
      <w:r w:rsidR="00D22FEE">
        <w:t xml:space="preserve"> adjusted to reflect the rate base level as known </w:t>
      </w:r>
      <w:r w:rsidR="00C078D0">
        <w:t>at</w:t>
      </w:r>
      <w:r w:rsidR="00D22FEE">
        <w:t xml:space="preserve"> October 31, 2011,</w:t>
      </w:r>
      <w:r w:rsidR="00FB2099">
        <w:t xml:space="preserve"> and </w:t>
      </w:r>
      <w:r w:rsidR="00746F62">
        <w:t xml:space="preserve">the </w:t>
      </w:r>
      <w:r w:rsidR="00FB2099">
        <w:t>Klamath Purchased Power Agreement.</w:t>
      </w:r>
      <w:r w:rsidR="00746F62">
        <w:t xml:space="preserve">  Staff’s recommendation also includes costs deferred for LSR </w:t>
      </w:r>
      <w:r>
        <w:t xml:space="preserve">Phase 1 </w:t>
      </w:r>
      <w:r w:rsidR="00746F62">
        <w:t>under RCW 80.80.060(6).</w:t>
      </w:r>
    </w:p>
    <w:p w:rsidR="001D0F6C" w:rsidRPr="00D22FEE" w:rsidRDefault="00133B9A" w:rsidP="00D96440">
      <w:pPr>
        <w:spacing w:line="480" w:lineRule="auto"/>
        <w:ind w:left="720" w:hanging="720"/>
      </w:pPr>
      <w:r>
        <w:tab/>
      </w:r>
      <w:r>
        <w:tab/>
        <w:t xml:space="preserve">Staff’s recommended revenue requirement increases compare to the Company’s proposals of </w:t>
      </w:r>
      <w:r w:rsidR="001B34BC">
        <w:t xml:space="preserve">approximately </w:t>
      </w:r>
      <w:r w:rsidRPr="00510267">
        <w:t>$</w:t>
      </w:r>
      <w:r w:rsidR="001971DD" w:rsidRPr="00A03670">
        <w:t xml:space="preserve">152.4 million </w:t>
      </w:r>
      <w:r w:rsidR="001B34BC">
        <w:t>for</w:t>
      </w:r>
      <w:r>
        <w:t xml:space="preserve"> its electricity operations and $</w:t>
      </w:r>
      <w:r w:rsidR="001B34BC">
        <w:t xml:space="preserve">31.9 million </w:t>
      </w:r>
      <w:r>
        <w:t>for its natural gas operations.</w:t>
      </w:r>
    </w:p>
    <w:p w:rsidR="001D0F6C" w:rsidRDefault="001D0F6C" w:rsidP="00D96440">
      <w:pPr>
        <w:spacing w:line="480" w:lineRule="auto"/>
        <w:ind w:left="720" w:hanging="720"/>
        <w:rPr>
          <w:b/>
        </w:rPr>
      </w:pPr>
    </w:p>
    <w:p w:rsidR="00133B9A" w:rsidRPr="00D22FEE" w:rsidRDefault="00133B9A" w:rsidP="00D96440">
      <w:pPr>
        <w:spacing w:line="480" w:lineRule="auto"/>
        <w:ind w:left="720" w:hanging="720"/>
        <w:rPr>
          <w:b/>
        </w:rPr>
      </w:pPr>
      <w:r w:rsidRPr="00D22FEE">
        <w:rPr>
          <w:b/>
        </w:rPr>
        <w:t>Q.</w:t>
      </w:r>
      <w:r w:rsidRPr="00D22FEE">
        <w:rPr>
          <w:b/>
        </w:rPr>
        <w:tab/>
        <w:t xml:space="preserve">What are the primary </w:t>
      </w:r>
      <w:r w:rsidR="00746F62">
        <w:rPr>
          <w:b/>
        </w:rPr>
        <w:t>reasons</w:t>
      </w:r>
      <w:r w:rsidRPr="00D22FEE">
        <w:rPr>
          <w:b/>
        </w:rPr>
        <w:t xml:space="preserve"> for the difference between </w:t>
      </w:r>
      <w:r w:rsidR="00746F62">
        <w:rPr>
          <w:b/>
        </w:rPr>
        <w:t xml:space="preserve">the </w:t>
      </w:r>
      <w:r w:rsidRPr="00D22FEE">
        <w:rPr>
          <w:b/>
        </w:rPr>
        <w:t>proposals?</w:t>
      </w:r>
    </w:p>
    <w:p w:rsidR="00D377E1" w:rsidRDefault="00FB2099" w:rsidP="00D96440">
      <w:pPr>
        <w:spacing w:line="480" w:lineRule="auto"/>
        <w:ind w:left="720" w:hanging="720"/>
      </w:pPr>
      <w:r>
        <w:t>A.</w:t>
      </w:r>
      <w:r>
        <w:tab/>
        <w:t>The primary reasons for the difference between Staff and PSE revenue requirement increase proposals are</w:t>
      </w:r>
      <w:r w:rsidR="002F647C">
        <w:t xml:space="preserve"> cost of capital (Staff recommends an overall cost of capital of 7.59 percent compared to the 8.42 percent that PSE requests) and power supply.  There are also significant differences related to the ratemaking treatment of</w:t>
      </w:r>
      <w:r>
        <w:t>:</w:t>
      </w:r>
      <w:r w:rsidR="00293D4E">
        <w:t xml:space="preserve">  1) </w:t>
      </w:r>
      <w:r w:rsidR="00E00F9C">
        <w:t>f</w:t>
      </w:r>
      <w:r w:rsidR="00746F62">
        <w:t>ederal income taxes</w:t>
      </w:r>
      <w:r w:rsidR="002F647C">
        <w:t xml:space="preserve">; 2) </w:t>
      </w:r>
      <w:r w:rsidR="00E00F9C">
        <w:t>s</w:t>
      </w:r>
      <w:r w:rsidR="001D0F6C">
        <w:t>torm damage</w:t>
      </w:r>
      <w:r w:rsidR="002F647C">
        <w:t xml:space="preserve">; 3) </w:t>
      </w:r>
      <w:r w:rsidR="00E00F9C">
        <w:t>r</w:t>
      </w:r>
      <w:r w:rsidR="001D0F6C">
        <w:t>ate case expense</w:t>
      </w:r>
      <w:r w:rsidR="002F647C">
        <w:t xml:space="preserve">; 4) </w:t>
      </w:r>
      <w:r w:rsidR="00E00F9C">
        <w:t>p</w:t>
      </w:r>
      <w:r w:rsidR="001D0F6C">
        <w:t>roperty taxes</w:t>
      </w:r>
      <w:r w:rsidR="002F647C">
        <w:t>; 5)</w:t>
      </w:r>
      <w:r w:rsidR="00E00F9C">
        <w:t> w</w:t>
      </w:r>
      <w:r w:rsidR="001D0F6C">
        <w:t>ages</w:t>
      </w:r>
      <w:r w:rsidR="003B7B73">
        <w:t xml:space="preserve"> and benefits</w:t>
      </w:r>
      <w:r w:rsidR="00E00F9C">
        <w:t>;</w:t>
      </w:r>
      <w:r w:rsidR="002F647C">
        <w:t xml:space="preserve"> 6)</w:t>
      </w:r>
      <w:r w:rsidR="00501970">
        <w:t xml:space="preserve"> </w:t>
      </w:r>
      <w:r w:rsidR="003B7B73">
        <w:t>working capital</w:t>
      </w:r>
      <w:r w:rsidR="00E00F9C">
        <w:t>; 7) powe</w:t>
      </w:r>
      <w:r w:rsidR="00643597">
        <w:t xml:space="preserve">r costs; 8) </w:t>
      </w:r>
      <w:proofErr w:type="spellStart"/>
      <w:r w:rsidR="00643597">
        <w:t>LSR</w:t>
      </w:r>
      <w:proofErr w:type="spellEnd"/>
      <w:r w:rsidR="00643597">
        <w:t xml:space="preserve"> Phase 1; and 9) </w:t>
      </w:r>
      <w:r w:rsidR="00E00F9C">
        <w:t>regulatory assets and liabilities</w:t>
      </w:r>
      <w:r w:rsidR="002F647C">
        <w:t>.</w:t>
      </w:r>
    </w:p>
    <w:p w:rsidR="00133B9A" w:rsidRPr="0003409F" w:rsidRDefault="00133B9A" w:rsidP="00D96440">
      <w:pPr>
        <w:spacing w:line="480" w:lineRule="auto"/>
        <w:ind w:left="720" w:hanging="720"/>
      </w:pPr>
    </w:p>
    <w:p w:rsidR="004A77ED" w:rsidRPr="003A2606" w:rsidRDefault="004A77ED" w:rsidP="00293D4E">
      <w:pPr>
        <w:keepNext/>
        <w:spacing w:line="480" w:lineRule="auto"/>
        <w:rPr>
          <w:b/>
        </w:rPr>
      </w:pPr>
      <w:r w:rsidRPr="003A2606">
        <w:rPr>
          <w:b/>
        </w:rPr>
        <w:lastRenderedPageBreak/>
        <w:t>Q.</w:t>
      </w:r>
      <w:r w:rsidRPr="003A2606">
        <w:rPr>
          <w:b/>
        </w:rPr>
        <w:tab/>
      </w:r>
      <w:r w:rsidR="00FB5B8C" w:rsidRPr="003A2606">
        <w:rPr>
          <w:b/>
        </w:rPr>
        <w:t xml:space="preserve">Please describe the crux of PSE’s </w:t>
      </w:r>
      <w:r w:rsidR="00C12FF9">
        <w:rPr>
          <w:b/>
        </w:rPr>
        <w:t>presentation</w:t>
      </w:r>
    </w:p>
    <w:p w:rsidR="004762BA" w:rsidRDefault="00ED7348" w:rsidP="00D96440">
      <w:pPr>
        <w:spacing w:line="480" w:lineRule="auto"/>
        <w:ind w:left="720" w:hanging="720"/>
      </w:pPr>
      <w:r w:rsidRPr="003A2606">
        <w:t>A.</w:t>
      </w:r>
      <w:r w:rsidRPr="003A2606">
        <w:tab/>
      </w:r>
      <w:r w:rsidR="00890B40">
        <w:t xml:space="preserve">The Company’s </w:t>
      </w:r>
      <w:r w:rsidRPr="003A2606">
        <w:t xml:space="preserve">case </w:t>
      </w:r>
      <w:r w:rsidR="003F02E1">
        <w:t xml:space="preserve">for its electric operations </w:t>
      </w:r>
      <w:r w:rsidR="00890B40">
        <w:t xml:space="preserve">is </w:t>
      </w:r>
      <w:r w:rsidR="00746F62">
        <w:t xml:space="preserve">driven primarily </w:t>
      </w:r>
      <w:r w:rsidRPr="003A2606">
        <w:t xml:space="preserve">by </w:t>
      </w:r>
      <w:r w:rsidR="00890B40">
        <w:t>PSE’s</w:t>
      </w:r>
      <w:r w:rsidRPr="003A2606">
        <w:t xml:space="preserve"> </w:t>
      </w:r>
      <w:r w:rsidR="00760711" w:rsidRPr="003A2606">
        <w:t xml:space="preserve">investment </w:t>
      </w:r>
      <w:r w:rsidR="00501970">
        <w:t xml:space="preserve">in LSR Phase 1 </w:t>
      </w:r>
      <w:r w:rsidRPr="003A2606">
        <w:t>plus the associated transmission</w:t>
      </w:r>
      <w:r w:rsidR="003F02E1">
        <w:t>.  As a result</w:t>
      </w:r>
      <w:r w:rsidR="00FF3760">
        <w:t>,</w:t>
      </w:r>
      <w:r w:rsidR="003F02E1">
        <w:t xml:space="preserve"> PSE is seeking</w:t>
      </w:r>
      <w:r w:rsidR="00760711" w:rsidRPr="003A2606">
        <w:t xml:space="preserve"> more than $170 million in additional revenues</w:t>
      </w:r>
      <w:r w:rsidR="00890B40">
        <w:t xml:space="preserve"> using the overall cost of capital PSE proposes for ratemaking purposes</w:t>
      </w:r>
      <w:r w:rsidR="00760711" w:rsidRPr="003A2606">
        <w:t>.</w:t>
      </w:r>
      <w:r w:rsidR="00760711" w:rsidRPr="003A2606">
        <w:rPr>
          <w:rStyle w:val="FootnoteReference"/>
        </w:rPr>
        <w:footnoteReference w:id="2"/>
      </w:r>
      <w:r w:rsidR="00760711" w:rsidRPr="003A2606">
        <w:t xml:space="preserve"> </w:t>
      </w:r>
      <w:r w:rsidR="00890B40">
        <w:t xml:space="preserve"> </w:t>
      </w:r>
      <w:r w:rsidR="00757773" w:rsidRPr="003A2606">
        <w:t>T</w:t>
      </w:r>
      <w:r w:rsidR="00760711" w:rsidRPr="003A2606">
        <w:t xml:space="preserve">his </w:t>
      </w:r>
      <w:r w:rsidR="00890B40">
        <w:t xml:space="preserve">amount </w:t>
      </w:r>
      <w:r w:rsidR="00760711" w:rsidRPr="003A2606">
        <w:t>is offset by reductions in net power cost, but</w:t>
      </w:r>
      <w:r w:rsidR="00746F62">
        <w:t>,</w:t>
      </w:r>
      <w:r w:rsidR="00760711" w:rsidRPr="003A2606">
        <w:t xml:space="preserve"> none the less</w:t>
      </w:r>
      <w:r w:rsidR="00746F62">
        <w:t>,</w:t>
      </w:r>
      <w:r w:rsidR="00760711" w:rsidRPr="003A2606">
        <w:t xml:space="preserve"> </w:t>
      </w:r>
      <w:r w:rsidR="00A57C7D">
        <w:t>LSR</w:t>
      </w:r>
      <w:r w:rsidR="00760711" w:rsidRPr="003A2606">
        <w:t xml:space="preserve"> </w:t>
      </w:r>
      <w:r w:rsidR="00501970">
        <w:t xml:space="preserve">Phase 1 </w:t>
      </w:r>
      <w:r w:rsidR="00760711" w:rsidRPr="003A2606">
        <w:t xml:space="preserve">is the single largest factor </w:t>
      </w:r>
      <w:r w:rsidR="004762BA">
        <w:t>driving</w:t>
      </w:r>
      <w:r w:rsidR="00760711" w:rsidRPr="003A2606">
        <w:t xml:space="preserve"> PSE’s </w:t>
      </w:r>
      <w:r w:rsidR="00890B40">
        <w:t xml:space="preserve">proposal </w:t>
      </w:r>
      <w:r w:rsidR="00760711" w:rsidRPr="003A2606">
        <w:t>for greater revenues.</w:t>
      </w:r>
      <w:r w:rsidR="008F7DDF" w:rsidRPr="003A2606">
        <w:t xml:space="preserve">  </w:t>
      </w:r>
    </w:p>
    <w:p w:rsidR="00D377E1" w:rsidRDefault="00501970" w:rsidP="00D96440">
      <w:pPr>
        <w:spacing w:line="480" w:lineRule="auto"/>
        <w:ind w:left="720" w:firstLine="720"/>
      </w:pPr>
      <w:r>
        <w:t>The Company’s case in</w:t>
      </w:r>
      <w:r w:rsidR="003F02E1">
        <w:t>cludes</w:t>
      </w:r>
      <w:r w:rsidR="003F02E1" w:rsidRPr="003A2606">
        <w:t xml:space="preserve"> </w:t>
      </w:r>
      <w:r w:rsidR="008E6382" w:rsidRPr="003A2606">
        <w:t>increase</w:t>
      </w:r>
      <w:r w:rsidR="003F02E1">
        <w:t>s</w:t>
      </w:r>
      <w:r w:rsidR="008E6382" w:rsidRPr="003A2606">
        <w:t xml:space="preserve"> in </w:t>
      </w:r>
      <w:r w:rsidR="003F02E1">
        <w:t xml:space="preserve">other </w:t>
      </w:r>
      <w:r w:rsidR="008E6382" w:rsidRPr="003A2606">
        <w:t>electric rate base.</w:t>
      </w:r>
      <w:r w:rsidR="00890B40">
        <w:rPr>
          <w:rStyle w:val="FootnoteReference"/>
        </w:rPr>
        <w:footnoteReference w:id="3"/>
      </w:r>
      <w:r w:rsidR="008E6382" w:rsidRPr="003A2606">
        <w:t xml:space="preserve">  </w:t>
      </w:r>
      <w:r w:rsidR="003F02E1">
        <w:t>T</w:t>
      </w:r>
      <w:r w:rsidR="008E6382" w:rsidRPr="003A2606">
        <w:t>he natural gas business</w:t>
      </w:r>
      <w:r w:rsidR="003F02E1">
        <w:t xml:space="preserve"> also includes costs of new investments</w:t>
      </w:r>
      <w:r w:rsidR="00077E79">
        <w:t>.</w:t>
      </w:r>
      <w:r w:rsidR="00077E79">
        <w:rPr>
          <w:rStyle w:val="FootnoteReference"/>
        </w:rPr>
        <w:footnoteReference w:id="4"/>
      </w:r>
      <w:r w:rsidR="008769E7" w:rsidRPr="003A2606">
        <w:t xml:space="preserve">  </w:t>
      </w:r>
    </w:p>
    <w:p w:rsidR="00D377E1" w:rsidRDefault="003F02E1" w:rsidP="00D96440">
      <w:pPr>
        <w:spacing w:line="480" w:lineRule="auto"/>
        <w:ind w:left="720" w:firstLine="720"/>
      </w:pPr>
      <w:r>
        <w:t xml:space="preserve">Finally, it should be noted that PSE </w:t>
      </w:r>
      <w:r w:rsidR="00A70BAE">
        <w:t>requests</w:t>
      </w:r>
      <w:r>
        <w:t xml:space="preserve"> an increase </w:t>
      </w:r>
      <w:r w:rsidR="00A70BAE">
        <w:t xml:space="preserve">in </w:t>
      </w:r>
      <w:r>
        <w:t xml:space="preserve">profits for </w:t>
      </w:r>
      <w:r w:rsidR="00A70BAE">
        <w:t>its entire</w:t>
      </w:r>
      <w:r>
        <w:t xml:space="preserve"> rate base</w:t>
      </w:r>
      <w:r w:rsidR="00A70BAE">
        <w:t xml:space="preserve"> through</w:t>
      </w:r>
      <w:r>
        <w:t xml:space="preserve"> a 10.80 percent return on equity compared to the 10</w:t>
      </w:r>
      <w:r w:rsidR="00A70BAE">
        <w:t>.</w:t>
      </w:r>
      <w:r>
        <w:t xml:space="preserve">1 percent the Commission determined fair in </w:t>
      </w:r>
      <w:r w:rsidR="00FF3760">
        <w:t>the Company’s</w:t>
      </w:r>
      <w:r>
        <w:t xml:space="preserve"> last contested rate case.</w:t>
      </w:r>
    </w:p>
    <w:p w:rsidR="0070138A" w:rsidRDefault="0070138A" w:rsidP="00D96440">
      <w:pPr>
        <w:spacing w:line="480" w:lineRule="auto"/>
        <w:rPr>
          <w:b/>
        </w:rPr>
      </w:pPr>
    </w:p>
    <w:p w:rsidR="00FF3760" w:rsidRDefault="00FF3760" w:rsidP="00D96440">
      <w:pPr>
        <w:spacing w:line="480" w:lineRule="auto"/>
        <w:ind w:left="720" w:hanging="720"/>
        <w:rPr>
          <w:b/>
        </w:rPr>
      </w:pPr>
      <w:r>
        <w:rPr>
          <w:b/>
        </w:rPr>
        <w:t>Q.</w:t>
      </w:r>
      <w:r>
        <w:rPr>
          <w:b/>
        </w:rPr>
        <w:tab/>
        <w:t xml:space="preserve">Does PSE claim an inability to earn a sufficient return on its </w:t>
      </w:r>
      <w:r w:rsidR="004762BA">
        <w:rPr>
          <w:b/>
        </w:rPr>
        <w:t xml:space="preserve">growing </w:t>
      </w:r>
      <w:r>
        <w:rPr>
          <w:b/>
        </w:rPr>
        <w:t>utility investments?</w:t>
      </w:r>
    </w:p>
    <w:p w:rsidR="00FF3760" w:rsidRDefault="00E1635C" w:rsidP="00D96440">
      <w:pPr>
        <w:pStyle w:val="BodyTextIndent"/>
        <w:rPr>
          <w:b/>
        </w:rPr>
      </w:pPr>
      <w:r>
        <w:t>A.</w:t>
      </w:r>
      <w:r>
        <w:tab/>
        <w:t xml:space="preserve">Yes.  PSE raises this issue </w:t>
      </w:r>
      <w:r w:rsidR="00501970">
        <w:t xml:space="preserve">of attrition </w:t>
      </w:r>
      <w:r>
        <w:t xml:space="preserve">in the direct testimony of Mr. Gaines and Dr. Olson who present </w:t>
      </w:r>
      <w:r w:rsidR="004762BA">
        <w:t xml:space="preserve">and comment on </w:t>
      </w:r>
      <w:r>
        <w:t xml:space="preserve">comparisons of </w:t>
      </w:r>
      <w:r w:rsidRPr="007C3714">
        <w:t>actual (per books) returns</w:t>
      </w:r>
      <w:r>
        <w:t xml:space="preserve"> on equity with “authorized” returns on equity.</w:t>
      </w:r>
      <w:r>
        <w:rPr>
          <w:rStyle w:val="FootnoteReference"/>
        </w:rPr>
        <w:footnoteReference w:id="5"/>
      </w:r>
      <w:r w:rsidRPr="00B937C3">
        <w:t xml:space="preserve"> </w:t>
      </w:r>
      <w:r>
        <w:t xml:space="preserve"> </w:t>
      </w:r>
    </w:p>
    <w:p w:rsidR="00FF3760" w:rsidRDefault="00FF3760" w:rsidP="00D96440">
      <w:pPr>
        <w:spacing w:line="480" w:lineRule="auto"/>
        <w:ind w:left="720" w:hanging="720"/>
        <w:rPr>
          <w:b/>
        </w:rPr>
      </w:pPr>
    </w:p>
    <w:p w:rsidR="0064724A" w:rsidRDefault="0064724A" w:rsidP="00D96440">
      <w:pPr>
        <w:spacing w:line="480" w:lineRule="auto"/>
        <w:ind w:left="720" w:hanging="720"/>
        <w:rPr>
          <w:b/>
        </w:rPr>
      </w:pPr>
      <w:r w:rsidRPr="003A2606">
        <w:rPr>
          <w:b/>
        </w:rPr>
        <w:lastRenderedPageBreak/>
        <w:t>Q.</w:t>
      </w:r>
      <w:r w:rsidRPr="003A2606">
        <w:rPr>
          <w:b/>
        </w:rPr>
        <w:tab/>
      </w:r>
      <w:r w:rsidR="0070138A">
        <w:rPr>
          <w:b/>
        </w:rPr>
        <w:t>What</w:t>
      </w:r>
      <w:r w:rsidR="003A2606">
        <w:rPr>
          <w:b/>
        </w:rPr>
        <w:t xml:space="preserve"> is Staff</w:t>
      </w:r>
      <w:r w:rsidR="0070138A">
        <w:rPr>
          <w:b/>
        </w:rPr>
        <w:t>’s</w:t>
      </w:r>
      <w:r w:rsidR="003A2606">
        <w:rPr>
          <w:b/>
        </w:rPr>
        <w:t xml:space="preserve"> </w:t>
      </w:r>
      <w:r w:rsidR="0070138A">
        <w:rPr>
          <w:b/>
        </w:rPr>
        <w:t>view of</w:t>
      </w:r>
      <w:r w:rsidR="003A2606">
        <w:rPr>
          <w:b/>
        </w:rPr>
        <w:t xml:space="preserve"> PSE</w:t>
      </w:r>
      <w:r w:rsidR="0070138A">
        <w:rPr>
          <w:b/>
        </w:rPr>
        <w:t>’s</w:t>
      </w:r>
      <w:r w:rsidR="00077E79">
        <w:rPr>
          <w:b/>
        </w:rPr>
        <w:t xml:space="preserve"> </w:t>
      </w:r>
      <w:r w:rsidR="00A70BAE">
        <w:rPr>
          <w:b/>
        </w:rPr>
        <w:t>claim of</w:t>
      </w:r>
      <w:r w:rsidR="003F02E1">
        <w:rPr>
          <w:b/>
        </w:rPr>
        <w:t xml:space="preserve"> attrition caused by continued </w:t>
      </w:r>
      <w:r w:rsidR="0070138A">
        <w:rPr>
          <w:b/>
        </w:rPr>
        <w:t>investments in</w:t>
      </w:r>
      <w:r w:rsidR="003A2606">
        <w:rPr>
          <w:b/>
        </w:rPr>
        <w:t xml:space="preserve"> rate </w:t>
      </w:r>
      <w:r w:rsidR="0070138A">
        <w:rPr>
          <w:b/>
        </w:rPr>
        <w:t>b</w:t>
      </w:r>
      <w:r w:rsidR="003A2606">
        <w:rPr>
          <w:b/>
        </w:rPr>
        <w:t>ase?</w:t>
      </w:r>
    </w:p>
    <w:p w:rsidR="00E1635C" w:rsidRDefault="003A2606" w:rsidP="00D96440">
      <w:pPr>
        <w:spacing w:line="480" w:lineRule="auto"/>
        <w:ind w:left="720" w:hanging="720"/>
      </w:pPr>
      <w:r w:rsidRPr="003A2606">
        <w:t>A.</w:t>
      </w:r>
      <w:r w:rsidRPr="003A2606">
        <w:tab/>
      </w:r>
      <w:r>
        <w:t>Staff recognizes that Washington</w:t>
      </w:r>
      <w:r w:rsidR="00A57C7D">
        <w:t xml:space="preserve"> </w:t>
      </w:r>
      <w:r>
        <w:t xml:space="preserve">regulated utilities </w:t>
      </w:r>
      <w:r w:rsidR="00077E79">
        <w:t>are entitled to an</w:t>
      </w:r>
      <w:r>
        <w:t xml:space="preserve"> opportunity to earn a </w:t>
      </w:r>
      <w:r w:rsidR="00077E79">
        <w:t xml:space="preserve">fair </w:t>
      </w:r>
      <w:r>
        <w:t xml:space="preserve">return on their </w:t>
      </w:r>
      <w:r w:rsidR="00077E79">
        <w:t xml:space="preserve">prudent </w:t>
      </w:r>
      <w:r>
        <w:t xml:space="preserve">investments.  </w:t>
      </w:r>
      <w:r w:rsidR="00E1635C">
        <w:t xml:space="preserve">Balanced with that interest is the Commission’s obligation to set rates, or prices, to be paid by customers that are fair, just, and reasonable. </w:t>
      </w:r>
    </w:p>
    <w:p w:rsidR="00D377E1" w:rsidRDefault="00402B0A" w:rsidP="00D96440">
      <w:pPr>
        <w:spacing w:line="480" w:lineRule="auto"/>
        <w:ind w:left="720" w:firstLine="720"/>
      </w:pPr>
      <w:r>
        <w:t>PSE</w:t>
      </w:r>
      <w:r w:rsidR="00B65594">
        <w:t xml:space="preserve"> and other</w:t>
      </w:r>
      <w:r w:rsidR="00A70BAE">
        <w:t xml:space="preserve"> </w:t>
      </w:r>
      <w:r w:rsidR="003A2606">
        <w:t xml:space="preserve">utilities </w:t>
      </w:r>
      <w:r w:rsidR="00D957F9">
        <w:t>assert</w:t>
      </w:r>
      <w:r w:rsidR="003A2606">
        <w:t xml:space="preserve"> </w:t>
      </w:r>
      <w:r w:rsidR="00A57C7D">
        <w:t xml:space="preserve">persistent </w:t>
      </w:r>
      <w:r w:rsidR="003A2606">
        <w:t>under</w:t>
      </w:r>
      <w:r w:rsidR="002F0348">
        <w:t>-</w:t>
      </w:r>
      <w:r w:rsidR="003A2606">
        <w:t xml:space="preserve">earning and present ever more creative ways to address claims of declining sales and regulatory lag. </w:t>
      </w:r>
      <w:r w:rsidR="00077E79">
        <w:t xml:space="preserve"> </w:t>
      </w:r>
      <w:r w:rsidR="002F0348">
        <w:t xml:space="preserve">Staff is open to new approaches, provided the utility adequately proves its claim of </w:t>
      </w:r>
      <w:r w:rsidR="00A57C7D">
        <w:t xml:space="preserve">persistent </w:t>
      </w:r>
      <w:r w:rsidR="002F0348">
        <w:t>under-earning.</w:t>
      </w:r>
      <w:r w:rsidR="00474F6A">
        <w:t xml:space="preserve"> </w:t>
      </w:r>
    </w:p>
    <w:p w:rsidR="002F0348" w:rsidRDefault="002F0348" w:rsidP="00D96440">
      <w:pPr>
        <w:spacing w:line="480" w:lineRule="auto"/>
        <w:ind w:left="720" w:hanging="720"/>
        <w:rPr>
          <w:b/>
        </w:rPr>
      </w:pPr>
    </w:p>
    <w:p w:rsidR="00D377E1" w:rsidRPr="00A03670" w:rsidRDefault="0070138A" w:rsidP="00D96440">
      <w:pPr>
        <w:spacing w:line="480" w:lineRule="auto"/>
      </w:pPr>
      <w:r w:rsidRPr="0070138A">
        <w:rPr>
          <w:b/>
        </w:rPr>
        <w:t>Q.</w:t>
      </w:r>
      <w:r w:rsidRPr="0070138A">
        <w:rPr>
          <w:b/>
        </w:rPr>
        <w:tab/>
      </w:r>
      <w:r w:rsidR="004762BA" w:rsidRPr="004762BA">
        <w:rPr>
          <w:b/>
        </w:rPr>
        <w:t xml:space="preserve">Has PSE </w:t>
      </w:r>
      <w:r w:rsidR="001971DD" w:rsidRPr="00A03670">
        <w:rPr>
          <w:b/>
        </w:rPr>
        <w:t>adequately proven its claim of persistent under-earning?</w:t>
      </w:r>
      <w:r w:rsidR="004762BA">
        <w:t xml:space="preserve"> </w:t>
      </w:r>
    </w:p>
    <w:p w:rsidR="00625035" w:rsidRDefault="0070138A" w:rsidP="00D96440">
      <w:pPr>
        <w:spacing w:line="480" w:lineRule="auto"/>
        <w:ind w:left="720" w:hanging="720"/>
      </w:pPr>
      <w:r>
        <w:t>A.</w:t>
      </w:r>
      <w:r>
        <w:tab/>
      </w:r>
      <w:r w:rsidR="004762BA">
        <w:t xml:space="preserve">No.  </w:t>
      </w:r>
      <w:r w:rsidR="00B928D6">
        <w:t>Mr. Elgin details this area of the Staff case.  But, in general,</w:t>
      </w:r>
      <w:r w:rsidR="009B4629">
        <w:t xml:space="preserve"> </w:t>
      </w:r>
      <w:r w:rsidR="00CE4474">
        <w:t>the Company</w:t>
      </w:r>
      <w:r w:rsidR="005040DB">
        <w:t xml:space="preserve"> in its direct case </w:t>
      </w:r>
      <w:r w:rsidR="00D7302B">
        <w:t xml:space="preserve">could </w:t>
      </w:r>
      <w:r w:rsidR="005040DB">
        <w:t>have</w:t>
      </w:r>
      <w:r w:rsidR="00A74ABD">
        <w:t>, but did not</w:t>
      </w:r>
      <w:r w:rsidR="00402B0A">
        <w:t>,</w:t>
      </w:r>
      <w:r w:rsidR="00A74ABD">
        <w:t xml:space="preserve"> provide</w:t>
      </w:r>
      <w:r w:rsidR="005040DB">
        <w:t xml:space="preserve"> an </w:t>
      </w:r>
      <w:r w:rsidR="00DD1B50">
        <w:t>attrition stud</w:t>
      </w:r>
      <w:r w:rsidR="005040DB">
        <w:t>y</w:t>
      </w:r>
      <w:r w:rsidR="00DD1B50">
        <w:t xml:space="preserve"> to determine </w:t>
      </w:r>
      <w:r w:rsidR="005040DB">
        <w:t xml:space="preserve">whether, and by how much, PSE </w:t>
      </w:r>
      <w:r w:rsidR="00B65594">
        <w:t>is experiencing attrition due to its need to invest in new rate base</w:t>
      </w:r>
      <w:r w:rsidR="008C51EB">
        <w:t xml:space="preserve"> </w:t>
      </w:r>
      <w:r w:rsidR="00B82CE2">
        <w:t xml:space="preserve">thereby </w:t>
      </w:r>
      <w:r w:rsidR="00B65594">
        <w:t>denying it</w:t>
      </w:r>
      <w:r>
        <w:t xml:space="preserve"> </w:t>
      </w:r>
      <w:r w:rsidR="005040DB">
        <w:t xml:space="preserve">the </w:t>
      </w:r>
      <w:r>
        <w:t xml:space="preserve">opportunity to earn </w:t>
      </w:r>
      <w:r w:rsidR="005040DB">
        <w:t>a fair rate of return during the rate year</w:t>
      </w:r>
      <w:r w:rsidR="00B65594">
        <w:t xml:space="preserve">. </w:t>
      </w:r>
      <w:r w:rsidR="005040DB">
        <w:t xml:space="preserve"> </w:t>
      </w:r>
      <w:r w:rsidR="00625035">
        <w:t xml:space="preserve">If </w:t>
      </w:r>
      <w:r w:rsidR="00A74ABD">
        <w:t>an</w:t>
      </w:r>
      <w:r w:rsidR="00625035">
        <w:t xml:space="preserve"> attrition study </w:t>
      </w:r>
      <w:r w:rsidR="00A74ABD">
        <w:t xml:space="preserve">had been presented and </w:t>
      </w:r>
      <w:r w:rsidR="00625035">
        <w:t>had confirmed th</w:t>
      </w:r>
      <w:r w:rsidR="00316BD3">
        <w:t>at</w:t>
      </w:r>
      <w:r w:rsidR="00625035">
        <w:t xml:space="preserve"> situation, additional revenues could have been proposed.  </w:t>
      </w:r>
      <w:r w:rsidR="006A4562">
        <w:t xml:space="preserve">PSE’s </w:t>
      </w:r>
      <w:r w:rsidR="00625035">
        <w:t>presentation of actual versus authorized returns on equity, however, is insufficient</w:t>
      </w:r>
      <w:r w:rsidR="006A4562">
        <w:t xml:space="preserve"> to support a claim of attrition</w:t>
      </w:r>
      <w:r w:rsidR="00625035">
        <w:t xml:space="preserve">.  </w:t>
      </w:r>
    </w:p>
    <w:p w:rsidR="00B30658" w:rsidRDefault="00B30658" w:rsidP="00D96440">
      <w:pPr>
        <w:spacing w:line="480" w:lineRule="auto"/>
        <w:rPr>
          <w:b/>
        </w:rPr>
      </w:pPr>
    </w:p>
    <w:p w:rsidR="00D377E1" w:rsidRDefault="00B30658" w:rsidP="00D96440">
      <w:pPr>
        <w:spacing w:line="480" w:lineRule="auto"/>
        <w:ind w:left="720" w:hanging="720"/>
        <w:rPr>
          <w:b/>
        </w:rPr>
      </w:pPr>
      <w:r w:rsidRPr="009B4629">
        <w:rPr>
          <w:b/>
        </w:rPr>
        <w:t xml:space="preserve">Q. </w:t>
      </w:r>
      <w:r w:rsidRPr="009B4629">
        <w:rPr>
          <w:b/>
        </w:rPr>
        <w:tab/>
        <w:t xml:space="preserve">Are there other means Staff would consider to address </w:t>
      </w:r>
      <w:r>
        <w:rPr>
          <w:b/>
        </w:rPr>
        <w:t>attrition</w:t>
      </w:r>
      <w:r w:rsidR="004762BA">
        <w:rPr>
          <w:b/>
        </w:rPr>
        <w:t>, if adequately proven</w:t>
      </w:r>
      <w:r w:rsidRPr="009B4629">
        <w:rPr>
          <w:b/>
        </w:rPr>
        <w:t>?</w:t>
      </w:r>
    </w:p>
    <w:p w:rsidR="00B30658" w:rsidRDefault="00B30658" w:rsidP="00D96440">
      <w:pPr>
        <w:spacing w:line="480" w:lineRule="auto"/>
        <w:ind w:left="720" w:hanging="720"/>
      </w:pPr>
      <w:r>
        <w:lastRenderedPageBreak/>
        <w:t>A.</w:t>
      </w:r>
      <w:r>
        <w:tab/>
        <w:t xml:space="preserve">Yes.  Again assuming adequate proof of attrition, Staff would consider proposals using end-of-period rate base and/or including construction work in progress in rate base.  These methods are within the authority and precedent of the Commission.  </w:t>
      </w:r>
    </w:p>
    <w:p w:rsidR="00B30658" w:rsidRDefault="00B30658" w:rsidP="00206512">
      <w:pPr>
        <w:pStyle w:val="BodyTextIndent"/>
      </w:pPr>
    </w:p>
    <w:p w:rsidR="00B30658" w:rsidRPr="00A03670" w:rsidRDefault="001971DD" w:rsidP="00D96440">
      <w:pPr>
        <w:pStyle w:val="BodyTextIndent"/>
        <w:rPr>
          <w:b/>
        </w:rPr>
      </w:pPr>
      <w:r w:rsidRPr="00A03670">
        <w:rPr>
          <w:b/>
        </w:rPr>
        <w:t>Q.</w:t>
      </w:r>
      <w:r w:rsidRPr="00A03670">
        <w:rPr>
          <w:b/>
        </w:rPr>
        <w:tab/>
      </w:r>
      <w:r w:rsidR="004762BA">
        <w:rPr>
          <w:b/>
        </w:rPr>
        <w:t xml:space="preserve">Does the Company attribute its </w:t>
      </w:r>
      <w:r w:rsidR="00501970">
        <w:rPr>
          <w:b/>
        </w:rPr>
        <w:t xml:space="preserve">claim of </w:t>
      </w:r>
      <w:r w:rsidR="004762BA">
        <w:rPr>
          <w:b/>
        </w:rPr>
        <w:t>under-earning to factors other than its growing rate base</w:t>
      </w:r>
      <w:r w:rsidRPr="00A03670">
        <w:rPr>
          <w:b/>
        </w:rPr>
        <w:t xml:space="preserve">? </w:t>
      </w:r>
    </w:p>
    <w:p w:rsidR="00C41AE0" w:rsidRDefault="00C41AE0" w:rsidP="00D96440">
      <w:pPr>
        <w:pStyle w:val="BodyTextIndent"/>
      </w:pPr>
      <w:r>
        <w:t>A.</w:t>
      </w:r>
      <w:r>
        <w:tab/>
      </w:r>
      <w:r w:rsidR="004762BA">
        <w:t xml:space="preserve">Yes.  </w:t>
      </w:r>
      <w:r w:rsidR="006A4562">
        <w:t>PSE</w:t>
      </w:r>
      <w:r w:rsidR="00316BD3">
        <w:t xml:space="preserve"> </w:t>
      </w:r>
      <w:r w:rsidR="00CE4474">
        <w:t>also assert</w:t>
      </w:r>
      <w:r w:rsidR="00E1635C">
        <w:t xml:space="preserve">s that </w:t>
      </w:r>
      <w:r w:rsidR="00B82CE2">
        <w:t>t</w:t>
      </w:r>
      <w:r w:rsidR="004762BA">
        <w:t xml:space="preserve">he Commission’s </w:t>
      </w:r>
      <w:r w:rsidR="00E1635C">
        <w:t xml:space="preserve">current </w:t>
      </w:r>
      <w:r w:rsidR="00E27152">
        <w:t>historical test-year ratemaking</w:t>
      </w:r>
      <w:r w:rsidR="00E1635C">
        <w:t xml:space="preserve"> practices</w:t>
      </w:r>
      <w:r w:rsidR="00CE4474">
        <w:t xml:space="preserve">, and </w:t>
      </w:r>
      <w:r w:rsidR="00E27152">
        <w:t>resulting regulatory lag,</w:t>
      </w:r>
      <w:r w:rsidR="00E1635C">
        <w:t xml:space="preserve"> cause its returns on equity to be consistently less than what the Commission grants.</w:t>
      </w:r>
      <w:r w:rsidR="00E1635C">
        <w:rPr>
          <w:rStyle w:val="FootnoteReference"/>
        </w:rPr>
        <w:footnoteReference w:id="6"/>
      </w:r>
      <w:r w:rsidR="00E1635C">
        <w:t xml:space="preserve">  </w:t>
      </w:r>
    </w:p>
    <w:p w:rsidR="00B82CE2" w:rsidRDefault="00B82CE2" w:rsidP="00D96440">
      <w:pPr>
        <w:pStyle w:val="BodyTextIndent"/>
      </w:pPr>
    </w:p>
    <w:p w:rsidR="00C41AE0" w:rsidRPr="00A03670" w:rsidRDefault="001971DD" w:rsidP="00D96440">
      <w:pPr>
        <w:pStyle w:val="BodyTextIndent"/>
        <w:rPr>
          <w:b/>
        </w:rPr>
      </w:pPr>
      <w:r w:rsidRPr="00A03670">
        <w:rPr>
          <w:b/>
        </w:rPr>
        <w:t>Q.</w:t>
      </w:r>
      <w:r w:rsidRPr="00A03670">
        <w:rPr>
          <w:b/>
        </w:rPr>
        <w:tab/>
        <w:t>Does Staff propose a way to address this complaint?</w:t>
      </w:r>
    </w:p>
    <w:p w:rsidR="002B3B00" w:rsidRDefault="00C41AE0" w:rsidP="00D96440">
      <w:pPr>
        <w:spacing w:line="480" w:lineRule="auto"/>
        <w:ind w:left="720" w:hanging="720"/>
      </w:pPr>
      <w:r>
        <w:t>A.</w:t>
      </w:r>
      <w:r>
        <w:tab/>
        <w:t xml:space="preserve">Yes.  </w:t>
      </w:r>
      <w:r w:rsidR="009113DB">
        <w:t>Staff proposes expedit</w:t>
      </w:r>
      <w:r w:rsidR="009B4629">
        <w:t xml:space="preserve">ed rate filings </w:t>
      </w:r>
      <w:r w:rsidR="004762BA">
        <w:t xml:space="preserve">as a step </w:t>
      </w:r>
      <w:r w:rsidR="009B4629">
        <w:t>to</w:t>
      </w:r>
      <w:r w:rsidR="004762BA">
        <w:t xml:space="preserve">ward </w:t>
      </w:r>
      <w:r w:rsidR="009B4629">
        <w:t>address</w:t>
      </w:r>
      <w:r w:rsidR="004762BA">
        <w:t>ing</w:t>
      </w:r>
      <w:r w:rsidR="00B34850">
        <w:t xml:space="preserve"> </w:t>
      </w:r>
      <w:r w:rsidR="009B4629">
        <w:t xml:space="preserve">regulatory lag.  Once </w:t>
      </w:r>
      <w:r w:rsidR="00625035">
        <w:t xml:space="preserve">PSE </w:t>
      </w:r>
      <w:r w:rsidR="009B4629">
        <w:t xml:space="preserve">receives a general rate order, </w:t>
      </w:r>
      <w:r w:rsidR="00B34850">
        <w:t>it</w:t>
      </w:r>
      <w:r w:rsidR="009B4629">
        <w:t xml:space="preserve"> may file its next case based on the </w:t>
      </w:r>
      <w:r w:rsidR="00625035">
        <w:t xml:space="preserve">latest </w:t>
      </w:r>
      <w:r w:rsidR="009B4629">
        <w:t xml:space="preserve">Commission-basis </w:t>
      </w:r>
      <w:r w:rsidR="002B3B00">
        <w:t>R</w:t>
      </w:r>
      <w:r w:rsidR="009B4629">
        <w:t xml:space="preserve">eport and Staff will support a schedule that implements </w:t>
      </w:r>
      <w:r w:rsidR="00AB2946">
        <w:t xml:space="preserve">new </w:t>
      </w:r>
      <w:r w:rsidR="009B4629">
        <w:t>rates b</w:t>
      </w:r>
      <w:r w:rsidR="005369B3">
        <w:t>efore</w:t>
      </w:r>
      <w:r w:rsidR="009B4629">
        <w:t xml:space="preserve"> the next heating season</w:t>
      </w:r>
      <w:r w:rsidR="00625035">
        <w:t>, if rate relief is warranted</w:t>
      </w:r>
      <w:r w:rsidR="009B4629">
        <w:t>.</w:t>
      </w:r>
      <w:r w:rsidR="00713E27">
        <w:rPr>
          <w:rStyle w:val="FootnoteReference"/>
        </w:rPr>
        <w:footnoteReference w:id="7"/>
      </w:r>
      <w:r w:rsidR="009B4629">
        <w:t xml:space="preserve">  </w:t>
      </w:r>
    </w:p>
    <w:p w:rsidR="002B3B00" w:rsidRDefault="00AB2946" w:rsidP="00D96440">
      <w:pPr>
        <w:spacing w:line="480" w:lineRule="auto"/>
        <w:ind w:left="720" w:firstLine="720"/>
      </w:pPr>
      <w:r>
        <w:t>T</w:t>
      </w:r>
      <w:r w:rsidR="00B928D6">
        <w:t>he</w:t>
      </w:r>
      <w:r w:rsidR="009B4629">
        <w:t xml:space="preserve"> details o</w:t>
      </w:r>
      <w:r w:rsidR="00A74ABD">
        <w:t>f</w:t>
      </w:r>
      <w:r w:rsidR="009B4629">
        <w:t xml:space="preserve"> th</w:t>
      </w:r>
      <w:r w:rsidR="00B928D6">
        <w:t>is proposal</w:t>
      </w:r>
      <w:r>
        <w:t xml:space="preserve"> </w:t>
      </w:r>
      <w:r w:rsidR="009B4629">
        <w:t xml:space="preserve">are presented </w:t>
      </w:r>
      <w:r w:rsidR="00B928D6">
        <w:t>by Mr.</w:t>
      </w:r>
      <w:r w:rsidR="009B4629">
        <w:t xml:space="preserve"> Elgi</w:t>
      </w:r>
      <w:r w:rsidR="00B928D6">
        <w:t>n</w:t>
      </w:r>
      <w:r w:rsidR="009B4629">
        <w:t>.</w:t>
      </w:r>
      <w:r w:rsidR="002B3B00">
        <w:t xml:space="preserve">  However, I would add that for the Commission-basis report to be useful for ratemaking purposes in the expedited process Staff supports, the report will need certain limited modifications.  Examples include annualizing any rate increases instituted during or just after the reporting period and including any new directives from the Commission. </w:t>
      </w:r>
      <w:r w:rsidR="009113DB">
        <w:t xml:space="preserve"> </w:t>
      </w:r>
      <w:r w:rsidR="002B3B00">
        <w:t xml:space="preserve">Staff also </w:t>
      </w:r>
      <w:r w:rsidR="002B3B00">
        <w:lastRenderedPageBreak/>
        <w:t>proposes holding certain expenses constant, such as the power cost adjustment baseline, wages, and overall administrative and general expenses, to hold the Company accountable for cost effective management decisions.</w:t>
      </w:r>
      <w:r w:rsidR="000967FD" w:rsidDel="000967FD">
        <w:t xml:space="preserve"> </w:t>
      </w:r>
    </w:p>
    <w:p w:rsidR="003A2606" w:rsidRPr="00B82CE2" w:rsidRDefault="003A2606" w:rsidP="00D96440">
      <w:pPr>
        <w:pStyle w:val="BodyTextIndent"/>
        <w:rPr>
          <w:b/>
        </w:rPr>
      </w:pPr>
    </w:p>
    <w:p w:rsidR="002B3B00" w:rsidRPr="00851492" w:rsidRDefault="002B3B00" w:rsidP="00D96440">
      <w:pPr>
        <w:spacing w:line="480" w:lineRule="auto"/>
        <w:ind w:left="720" w:hanging="720"/>
        <w:rPr>
          <w:b/>
        </w:rPr>
      </w:pPr>
      <w:r w:rsidRPr="00851492">
        <w:rPr>
          <w:b/>
        </w:rPr>
        <w:t>Q.</w:t>
      </w:r>
      <w:r w:rsidRPr="00851492">
        <w:rPr>
          <w:b/>
        </w:rPr>
        <w:tab/>
        <w:t xml:space="preserve"> Will th</w:t>
      </w:r>
      <w:r w:rsidR="00AF05CB">
        <w:rPr>
          <w:b/>
        </w:rPr>
        <w:t>is</w:t>
      </w:r>
      <w:r w:rsidRPr="00851492">
        <w:rPr>
          <w:b/>
        </w:rPr>
        <w:t xml:space="preserve"> expedited ratemaking process have any other benefits besides alleviating regulatory lag, a</w:t>
      </w:r>
      <w:r>
        <w:rPr>
          <w:b/>
        </w:rPr>
        <w:t>s</w:t>
      </w:r>
      <w:r w:rsidRPr="00851492">
        <w:rPr>
          <w:b/>
        </w:rPr>
        <w:t xml:space="preserve"> Mr. Elgin describes?</w:t>
      </w:r>
    </w:p>
    <w:p w:rsidR="00D94A66" w:rsidRDefault="002B3B00" w:rsidP="00293D4E">
      <w:pPr>
        <w:spacing w:line="480" w:lineRule="auto"/>
        <w:ind w:left="720" w:hanging="720"/>
      </w:pPr>
      <w:r>
        <w:t>A.</w:t>
      </w:r>
      <w:r>
        <w:tab/>
        <w:t>T</w:t>
      </w:r>
      <w:r w:rsidR="00E27152">
        <w:t xml:space="preserve">he expedited rate case process will also have </w:t>
      </w:r>
      <w:r w:rsidR="00713E27">
        <w:t>the</w:t>
      </w:r>
      <w:r w:rsidR="00E27152">
        <w:t xml:space="preserve"> positive benefit of </w:t>
      </w:r>
      <w:r w:rsidR="00C41AE0">
        <w:t>streamlin</w:t>
      </w:r>
      <w:r w:rsidR="00E27152">
        <w:t xml:space="preserve">ing </w:t>
      </w:r>
      <w:r w:rsidR="00B65594">
        <w:t>rate making p</w:t>
      </w:r>
      <w:r>
        <w:t xml:space="preserve">rocedures </w:t>
      </w:r>
      <w:r w:rsidR="00E27152">
        <w:t>for the Commission and all parties.</w:t>
      </w:r>
      <w:r w:rsidR="00B65594">
        <w:t xml:space="preserve">  </w:t>
      </w:r>
      <w:r w:rsidR="00AF05CB">
        <w:t>Our</w:t>
      </w:r>
      <w:r>
        <w:t xml:space="preserve"> recent experience of repeated rate case filings by all regulated companies warrants a streamlined approach, as I explain next. </w:t>
      </w:r>
    </w:p>
    <w:p w:rsidR="00851492" w:rsidRDefault="00851492" w:rsidP="00D96440">
      <w:pPr>
        <w:spacing w:line="480" w:lineRule="auto"/>
        <w:rPr>
          <w:b/>
        </w:rPr>
      </w:pPr>
    </w:p>
    <w:p w:rsidR="004D01DA" w:rsidRDefault="00880E73" w:rsidP="00D96440">
      <w:pPr>
        <w:spacing w:line="480" w:lineRule="auto"/>
        <w:ind w:left="720" w:hanging="720"/>
        <w:rPr>
          <w:b/>
        </w:rPr>
      </w:pPr>
      <w:r>
        <w:rPr>
          <w:b/>
        </w:rPr>
        <w:t>Q.</w:t>
      </w:r>
      <w:r>
        <w:rPr>
          <w:b/>
        </w:rPr>
        <w:tab/>
      </w:r>
      <w:r w:rsidR="004D01DA">
        <w:rPr>
          <w:b/>
        </w:rPr>
        <w:t xml:space="preserve">What is PSE’s recent history </w:t>
      </w:r>
      <w:r w:rsidR="00AB2946">
        <w:rPr>
          <w:b/>
        </w:rPr>
        <w:t>of</w:t>
      </w:r>
      <w:r w:rsidR="004D01DA">
        <w:rPr>
          <w:b/>
        </w:rPr>
        <w:t xml:space="preserve"> general rate case filings?</w:t>
      </w:r>
    </w:p>
    <w:p w:rsidR="004D01DA" w:rsidRPr="00B34850" w:rsidRDefault="004D01DA" w:rsidP="00D96440">
      <w:pPr>
        <w:spacing w:line="480" w:lineRule="auto"/>
        <w:ind w:left="720" w:hanging="720"/>
      </w:pPr>
      <w:r w:rsidRPr="004D01DA">
        <w:t>A.</w:t>
      </w:r>
      <w:r w:rsidRPr="004D01DA">
        <w:tab/>
        <w:t xml:space="preserve">PSE </w:t>
      </w:r>
      <w:r>
        <w:t>h</w:t>
      </w:r>
      <w:r w:rsidR="00B928D6">
        <w:t xml:space="preserve">as had </w:t>
      </w:r>
      <w:r w:rsidR="00625035" w:rsidRPr="00B34850">
        <w:t>a history of regular general rate case</w:t>
      </w:r>
      <w:r w:rsidR="00AF05CB">
        <w:t>s</w:t>
      </w:r>
      <w:r w:rsidR="00625035" w:rsidRPr="00B34850">
        <w:t xml:space="preserve"> for several years. </w:t>
      </w:r>
      <w:r w:rsidR="00B928D6">
        <w:t xml:space="preserve"> General rate cases were </w:t>
      </w:r>
      <w:r>
        <w:t xml:space="preserve">filed in 2004, 2006, 2007, 2009, 2010 (gas only), and now 2011.  There have also been </w:t>
      </w:r>
      <w:r w:rsidR="00AB2946">
        <w:t>power cost only rate cases</w:t>
      </w:r>
      <w:r>
        <w:t xml:space="preserve"> in 2003</w:t>
      </w:r>
      <w:r w:rsidR="008C61B5">
        <w:t>,</w:t>
      </w:r>
      <w:r>
        <w:t xml:space="preserve"> 2005</w:t>
      </w:r>
      <w:r w:rsidR="008C61B5">
        <w:t>, 2006, and 2007</w:t>
      </w:r>
      <w:r>
        <w:t>.</w:t>
      </w:r>
      <w:r w:rsidR="00F46C6B">
        <w:t xml:space="preserve">  A similar </w:t>
      </w:r>
      <w:r w:rsidR="00B928D6">
        <w:t xml:space="preserve">general rate case </w:t>
      </w:r>
      <w:r w:rsidR="00F46C6B">
        <w:t xml:space="preserve">pattern has been experienced </w:t>
      </w:r>
      <w:r w:rsidR="00AB2946">
        <w:t>with</w:t>
      </w:r>
      <w:r w:rsidR="00F46C6B">
        <w:t xml:space="preserve"> Avista and PacifiCorp.</w:t>
      </w:r>
      <w:r w:rsidR="00B50FBC">
        <w:t xml:space="preserve">  Staff expects that all three companies will continue this pattern of regular</w:t>
      </w:r>
      <w:r w:rsidR="00A74ABD">
        <w:t>ly</w:t>
      </w:r>
      <w:r w:rsidR="00B50FBC">
        <w:t xml:space="preserve"> </w:t>
      </w:r>
      <w:r w:rsidR="00AB2946">
        <w:t>seeking</w:t>
      </w:r>
      <w:r w:rsidR="00D36C9D">
        <w:t xml:space="preserve"> </w:t>
      </w:r>
      <w:r w:rsidR="00D61769">
        <w:t xml:space="preserve">rate </w:t>
      </w:r>
      <w:r w:rsidR="00D36C9D">
        <w:t>relief via</w:t>
      </w:r>
      <w:r w:rsidR="00AB2946">
        <w:t xml:space="preserve"> </w:t>
      </w:r>
      <w:r w:rsidR="00B50FBC">
        <w:t>general rate case</w:t>
      </w:r>
      <w:r w:rsidR="00D36C9D">
        <w:t>s</w:t>
      </w:r>
      <w:r w:rsidR="00AB2946">
        <w:t>.</w:t>
      </w:r>
    </w:p>
    <w:p w:rsidR="004D01DA" w:rsidRDefault="004D01DA" w:rsidP="00D96440">
      <w:pPr>
        <w:spacing w:line="480" w:lineRule="auto"/>
        <w:ind w:left="720" w:hanging="720"/>
        <w:rPr>
          <w:b/>
        </w:rPr>
      </w:pPr>
    </w:p>
    <w:p w:rsidR="00C30A4A" w:rsidRDefault="004D01DA" w:rsidP="00D96440">
      <w:pPr>
        <w:spacing w:line="480" w:lineRule="auto"/>
        <w:ind w:left="720" w:hanging="720"/>
        <w:rPr>
          <w:b/>
        </w:rPr>
      </w:pPr>
      <w:r>
        <w:rPr>
          <w:b/>
        </w:rPr>
        <w:t>Q.</w:t>
      </w:r>
      <w:r>
        <w:rPr>
          <w:b/>
        </w:rPr>
        <w:tab/>
      </w:r>
      <w:r w:rsidR="00C30A4A">
        <w:rPr>
          <w:b/>
        </w:rPr>
        <w:t xml:space="preserve">Does </w:t>
      </w:r>
      <w:r w:rsidR="00625035">
        <w:rPr>
          <w:b/>
        </w:rPr>
        <w:t>S</w:t>
      </w:r>
      <w:r w:rsidR="00C30A4A">
        <w:rPr>
          <w:b/>
        </w:rPr>
        <w:t xml:space="preserve">taff have concerns about </w:t>
      </w:r>
      <w:r w:rsidR="00625035">
        <w:rPr>
          <w:b/>
        </w:rPr>
        <w:t>this situation</w:t>
      </w:r>
      <w:r w:rsidR="008F5642">
        <w:rPr>
          <w:b/>
        </w:rPr>
        <w:t xml:space="preserve"> that </w:t>
      </w:r>
      <w:r w:rsidR="00713E27">
        <w:rPr>
          <w:b/>
        </w:rPr>
        <w:t xml:space="preserve">would be </w:t>
      </w:r>
      <w:r w:rsidR="008F5642">
        <w:rPr>
          <w:b/>
        </w:rPr>
        <w:t>assisted through the expedited rate case process</w:t>
      </w:r>
      <w:r w:rsidR="00C30A4A">
        <w:rPr>
          <w:b/>
        </w:rPr>
        <w:t>?</w:t>
      </w:r>
    </w:p>
    <w:p w:rsidR="00F46C6B" w:rsidRDefault="00C30A4A" w:rsidP="00D96440">
      <w:pPr>
        <w:spacing w:line="480" w:lineRule="auto"/>
        <w:ind w:left="720" w:hanging="720"/>
      </w:pPr>
      <w:r w:rsidRPr="00C30A4A">
        <w:t>A.</w:t>
      </w:r>
      <w:r w:rsidRPr="00C30A4A">
        <w:tab/>
        <w:t>Yes.</w:t>
      </w:r>
      <w:r>
        <w:t xml:space="preserve">  </w:t>
      </w:r>
      <w:r w:rsidR="003F3E1E">
        <w:t xml:space="preserve">For Staff </w:t>
      </w:r>
      <w:r w:rsidR="006F0755">
        <w:t xml:space="preserve">to effectively process </w:t>
      </w:r>
      <w:r w:rsidR="004D01DA">
        <w:t xml:space="preserve">almost </w:t>
      </w:r>
      <w:r w:rsidR="006F0755">
        <w:t>annual rate cases from PSE</w:t>
      </w:r>
      <w:r w:rsidR="00AF05CB">
        <w:t xml:space="preserve">, </w:t>
      </w:r>
      <w:r w:rsidR="004D01DA">
        <w:t>Avista and PacifiCorp</w:t>
      </w:r>
      <w:r w:rsidR="006F0755">
        <w:t xml:space="preserve">, </w:t>
      </w:r>
      <w:r w:rsidR="00AB2946">
        <w:t xml:space="preserve">along with all of the other types of filings and applications submitted by </w:t>
      </w:r>
      <w:r w:rsidR="00AB2946">
        <w:lastRenderedPageBreak/>
        <w:t xml:space="preserve">all companies, </w:t>
      </w:r>
      <w:r w:rsidR="006F0755">
        <w:t xml:space="preserve">we must find a more consistent, </w:t>
      </w:r>
      <w:r w:rsidR="00AF05CB">
        <w:t>efficient</w:t>
      </w:r>
      <w:r w:rsidR="006F0755">
        <w:t xml:space="preserve"> </w:t>
      </w:r>
      <w:r w:rsidR="004D01DA">
        <w:t>approach</w:t>
      </w:r>
      <w:r w:rsidR="00AB2946">
        <w:t xml:space="preserve"> to processing rate cases</w:t>
      </w:r>
      <w:r w:rsidR="006F0755">
        <w:t>.  While each utility presents different challenges, it is</w:t>
      </w:r>
      <w:r w:rsidR="004D01DA">
        <w:t>,</w:t>
      </w:r>
      <w:r w:rsidR="006F0755">
        <w:t xml:space="preserve"> after all</w:t>
      </w:r>
      <w:r w:rsidR="004D01DA">
        <w:t>,</w:t>
      </w:r>
      <w:r w:rsidR="006F0755">
        <w:t xml:space="preserve"> the same industry</w:t>
      </w:r>
      <w:r w:rsidR="004D01DA">
        <w:t xml:space="preserve"> under the same regulatory and statutory environment</w:t>
      </w:r>
      <w:r w:rsidR="006F0755">
        <w:t xml:space="preserve">.  </w:t>
      </w:r>
      <w:r w:rsidR="00B65594">
        <w:t>The public deserves a less complex</w:t>
      </w:r>
      <w:r w:rsidR="00713E27">
        <w:t>,</w:t>
      </w:r>
      <w:r w:rsidR="00B65594">
        <w:t xml:space="preserve"> more streamlined process.</w:t>
      </w:r>
    </w:p>
    <w:p w:rsidR="00C30A4A" w:rsidRDefault="006F0755" w:rsidP="00D96440">
      <w:pPr>
        <w:spacing w:line="480" w:lineRule="auto"/>
        <w:ind w:left="720" w:firstLine="720"/>
      </w:pPr>
      <w:r>
        <w:t xml:space="preserve">The complexities of PSE’s rate cases are particularly perplexing.  </w:t>
      </w:r>
      <w:r w:rsidR="0027070C">
        <w:t>P</w:t>
      </w:r>
      <w:r w:rsidR="004D01DA">
        <w:t>SE</w:t>
      </w:r>
      <w:r w:rsidR="0027070C">
        <w:t xml:space="preserve">’s </w:t>
      </w:r>
      <w:r w:rsidR="00F46C6B">
        <w:t>P</w:t>
      </w:r>
      <w:r w:rsidR="0027070C">
        <w:t xml:space="preserve">ower </w:t>
      </w:r>
      <w:r w:rsidR="00F46C6B">
        <w:t>C</w:t>
      </w:r>
      <w:r w:rsidR="0027070C">
        <w:t xml:space="preserve">ost </w:t>
      </w:r>
      <w:r w:rsidR="00F46C6B">
        <w:t>A</w:t>
      </w:r>
      <w:r w:rsidR="0027070C">
        <w:t xml:space="preserve">djustment </w:t>
      </w:r>
      <w:r w:rsidR="00AB2946">
        <w:t xml:space="preserve">(“PCA”) </w:t>
      </w:r>
      <w:r w:rsidR="0027070C">
        <w:t xml:space="preserve">is </w:t>
      </w:r>
      <w:r w:rsidR="00320064">
        <w:t xml:space="preserve">a </w:t>
      </w:r>
      <w:r w:rsidR="00B3640F">
        <w:t xml:space="preserve">burdensome mechanism giving PSE </w:t>
      </w:r>
      <w:r w:rsidR="00320064">
        <w:t xml:space="preserve">a full return of and on </w:t>
      </w:r>
      <w:r w:rsidR="00B3640F">
        <w:t xml:space="preserve">certain </w:t>
      </w:r>
      <w:r w:rsidR="0027070C">
        <w:t>regulatory assets</w:t>
      </w:r>
      <w:r w:rsidR="00761B7C">
        <w:t>;</w:t>
      </w:r>
      <w:r w:rsidR="00320064">
        <w:t xml:space="preserve"> </w:t>
      </w:r>
      <w:r w:rsidR="00B3640F">
        <w:t xml:space="preserve">recovery of the cost of </w:t>
      </w:r>
      <w:r w:rsidR="00320064">
        <w:t>lines</w:t>
      </w:r>
      <w:r w:rsidR="00761B7C">
        <w:t>-</w:t>
      </w:r>
      <w:r w:rsidR="00320064">
        <w:t>of</w:t>
      </w:r>
      <w:r w:rsidR="00761B7C">
        <w:t>-</w:t>
      </w:r>
      <w:r w:rsidR="00320064">
        <w:t>credit</w:t>
      </w:r>
      <w:r w:rsidR="00761B7C">
        <w:t>, taxes, insurance, payroll;</w:t>
      </w:r>
      <w:r w:rsidR="0027070C">
        <w:t xml:space="preserve"> </w:t>
      </w:r>
      <w:r w:rsidR="00320064">
        <w:t xml:space="preserve">and a guaranteed rate of return on </w:t>
      </w:r>
      <w:r w:rsidR="00713E27">
        <w:t>$2</w:t>
      </w:r>
      <w:r w:rsidR="00320064">
        <w:t xml:space="preserve"> billion</w:t>
      </w:r>
      <w:r w:rsidR="00713E27">
        <w:t xml:space="preserve"> </w:t>
      </w:r>
      <w:r w:rsidR="00320064">
        <w:t xml:space="preserve">of rate base. </w:t>
      </w:r>
      <w:r w:rsidR="00D61769">
        <w:t xml:space="preserve"> </w:t>
      </w:r>
      <w:r w:rsidR="0095678F">
        <w:t xml:space="preserve">One-half of PSE’s total rate base </w:t>
      </w:r>
      <w:r w:rsidR="00F90377">
        <w:t xml:space="preserve">now </w:t>
      </w:r>
      <w:r w:rsidR="0095678F">
        <w:t xml:space="preserve">receives a guaranteed return.  </w:t>
      </w:r>
      <w:r w:rsidR="00A84A4D">
        <w:t>PSE recover</w:t>
      </w:r>
      <w:r w:rsidR="00B50FBC">
        <w:t>s</w:t>
      </w:r>
      <w:r w:rsidR="00A84A4D">
        <w:t xml:space="preserve"> all PCA costs by updating the base line through frequent rate filings.  The purpose of the PCA</w:t>
      </w:r>
      <w:r w:rsidR="00B50FBC">
        <w:t xml:space="preserve"> -- </w:t>
      </w:r>
      <w:r w:rsidR="00A84A4D">
        <w:t>to share the risk of power cost variation</w:t>
      </w:r>
      <w:r w:rsidR="00B50FBC">
        <w:t xml:space="preserve"> between ratepayers and the Company --</w:t>
      </w:r>
      <w:r w:rsidR="00A84A4D">
        <w:t xml:space="preserve"> is thwarted by </w:t>
      </w:r>
      <w:r w:rsidR="00011120">
        <w:t xml:space="preserve">this </w:t>
      </w:r>
      <w:r w:rsidR="00F46C6B">
        <w:t>situation</w:t>
      </w:r>
      <w:r w:rsidR="00A84A4D">
        <w:t xml:space="preserve">.  </w:t>
      </w:r>
    </w:p>
    <w:p w:rsidR="001B1E30" w:rsidRDefault="00011120" w:rsidP="00D96440">
      <w:pPr>
        <w:spacing w:line="480" w:lineRule="auto"/>
        <w:ind w:left="720"/>
      </w:pPr>
      <w:r>
        <w:tab/>
      </w:r>
      <w:r w:rsidR="00761B7C">
        <w:t>PSE’s rate case</w:t>
      </w:r>
      <w:r>
        <w:t>s present other</w:t>
      </w:r>
      <w:r w:rsidR="00761B7C">
        <w:t xml:space="preserve"> complications </w:t>
      </w:r>
      <w:r>
        <w:t xml:space="preserve">such </w:t>
      </w:r>
      <w:r w:rsidR="00761B7C">
        <w:t xml:space="preserve">as determining revenues after removing </w:t>
      </w:r>
      <w:r w:rsidR="00510CA6">
        <w:t xml:space="preserve">many </w:t>
      </w:r>
      <w:r w:rsidR="00D56087">
        <w:t xml:space="preserve">different </w:t>
      </w:r>
      <w:r>
        <w:t xml:space="preserve">tariff </w:t>
      </w:r>
      <w:r w:rsidR="00761B7C">
        <w:t>riders or offsets</w:t>
      </w:r>
      <w:r w:rsidR="002B1A48">
        <w:t>;</w:t>
      </w:r>
      <w:r>
        <w:rPr>
          <w:rStyle w:val="FootnoteReference"/>
        </w:rPr>
        <w:footnoteReference w:id="8"/>
      </w:r>
      <w:r w:rsidR="002B1A48">
        <w:t xml:space="preserve"> multiple averaging methods </w:t>
      </w:r>
      <w:r w:rsidR="00D56087">
        <w:t>for administrative and general expenses</w:t>
      </w:r>
      <w:r w:rsidR="001B1E30">
        <w:t>; and projections of expenses into future years.</w:t>
      </w:r>
    </w:p>
    <w:p w:rsidR="00761B7C" w:rsidRPr="00C30A4A" w:rsidRDefault="00206512" w:rsidP="00D96440">
      <w:pPr>
        <w:spacing w:line="480" w:lineRule="auto"/>
        <w:ind w:left="720"/>
      </w:pPr>
      <w:r>
        <w:tab/>
      </w:r>
      <w:r w:rsidR="001B1E30">
        <w:t xml:space="preserve">On top of the constant rate case pressure, PSE continues </w:t>
      </w:r>
      <w:r w:rsidR="00B50FBC">
        <w:t>to</w:t>
      </w:r>
      <w:r w:rsidR="001B1E30">
        <w:t xml:space="preserve"> demand greater attention by regularly filing petitions</w:t>
      </w:r>
      <w:r w:rsidR="00011120">
        <w:t xml:space="preserve"> for </w:t>
      </w:r>
      <w:r w:rsidR="00B50FBC">
        <w:t xml:space="preserve">approval of </w:t>
      </w:r>
      <w:r w:rsidR="00011120">
        <w:t>deferred accounting treatment, which establish a voluminous range of regulatory assets and liabilities</w:t>
      </w:r>
      <w:r w:rsidR="00B50FBC">
        <w:t xml:space="preserve"> that must </w:t>
      </w:r>
      <w:r w:rsidR="00A74ABD">
        <w:t xml:space="preserve">eventually </w:t>
      </w:r>
      <w:r w:rsidR="00B50FBC">
        <w:t>be addressed in rate cases</w:t>
      </w:r>
      <w:r w:rsidR="001B1E30">
        <w:t>.</w:t>
      </w:r>
      <w:r w:rsidR="00A74ABD">
        <w:t xml:space="preserve">  </w:t>
      </w:r>
      <w:r w:rsidR="00011120">
        <w:t>Exhibit No. ___ (TES-</w:t>
      </w:r>
      <w:r w:rsidR="00AA2CD1">
        <w:t>2</w:t>
      </w:r>
      <w:r w:rsidR="00011120">
        <w:t xml:space="preserve">) includes a data request response </w:t>
      </w:r>
      <w:r w:rsidR="00A74ABD">
        <w:t>from PSE in</w:t>
      </w:r>
      <w:r w:rsidR="00011120">
        <w:t xml:space="preserve"> Docket UE-110723 listing all of the deferred accounting treatments currently in eff</w:t>
      </w:r>
      <w:r w:rsidR="00D62DB7">
        <w:t xml:space="preserve">ect for PSE.  </w:t>
      </w:r>
    </w:p>
    <w:p w:rsidR="008F5642" w:rsidRDefault="001B1E30" w:rsidP="00D96440">
      <w:pPr>
        <w:spacing w:line="480" w:lineRule="auto"/>
        <w:ind w:left="720" w:firstLine="720"/>
      </w:pPr>
      <w:r>
        <w:lastRenderedPageBreak/>
        <w:t xml:space="preserve">Taken as a whole, PSE alone could occupy Staff’s full attention.  Add in the </w:t>
      </w:r>
      <w:r w:rsidR="001B1A18">
        <w:t xml:space="preserve">requests from the other regulated energy companies and Staff is stretched thin </w:t>
      </w:r>
      <w:r w:rsidR="00A74ABD">
        <w:t>to</w:t>
      </w:r>
      <w:r w:rsidR="00615740">
        <w:t xml:space="preserve"> mak</w:t>
      </w:r>
      <w:r w:rsidR="00A74ABD">
        <w:t>e</w:t>
      </w:r>
      <w:r w:rsidR="00615740">
        <w:t xml:space="preserve"> sure that each</w:t>
      </w:r>
      <w:r w:rsidR="001B1A18">
        <w:t xml:space="preserve"> company </w:t>
      </w:r>
      <w:r w:rsidR="00B50FBC">
        <w:t xml:space="preserve">filing </w:t>
      </w:r>
      <w:r w:rsidR="001B1A18">
        <w:t xml:space="preserve">gets the full review </w:t>
      </w:r>
      <w:r w:rsidR="00B34850">
        <w:t xml:space="preserve">it </w:t>
      </w:r>
      <w:r w:rsidR="001B1A18">
        <w:t>deserves.</w:t>
      </w:r>
      <w:r w:rsidR="00D61769">
        <w:t xml:space="preserve">  I believe Staff is successful in fulfilling its responsibilities for all companies and their customers, but it is an increasingly </w:t>
      </w:r>
      <w:r w:rsidR="00E27152">
        <w:t xml:space="preserve">difficult and </w:t>
      </w:r>
      <w:r w:rsidR="00D61769">
        <w:t>challenging task.</w:t>
      </w:r>
    </w:p>
    <w:p w:rsidR="007C09AD" w:rsidRDefault="007C09AD" w:rsidP="00D96440">
      <w:pPr>
        <w:spacing w:line="480" w:lineRule="auto"/>
      </w:pPr>
    </w:p>
    <w:p w:rsidR="008F5642" w:rsidRDefault="008F5642" w:rsidP="00D96440">
      <w:pPr>
        <w:spacing w:line="480" w:lineRule="auto"/>
        <w:rPr>
          <w:b/>
        </w:rPr>
      </w:pPr>
      <w:r w:rsidRPr="007C09AD">
        <w:rPr>
          <w:b/>
        </w:rPr>
        <w:t>Q.</w:t>
      </w:r>
      <w:r w:rsidRPr="007C09AD">
        <w:rPr>
          <w:b/>
        </w:rPr>
        <w:tab/>
      </w:r>
      <w:r>
        <w:rPr>
          <w:b/>
        </w:rPr>
        <w:t xml:space="preserve">Is there anything else that </w:t>
      </w:r>
      <w:r w:rsidR="00713E27">
        <w:rPr>
          <w:b/>
        </w:rPr>
        <w:t>is noteworthy</w:t>
      </w:r>
      <w:r w:rsidRPr="007C09AD">
        <w:rPr>
          <w:b/>
        </w:rPr>
        <w:t xml:space="preserve"> about PSE’s operations?</w:t>
      </w:r>
    </w:p>
    <w:p w:rsidR="00D9572B" w:rsidRDefault="008F5642" w:rsidP="00D96440">
      <w:pPr>
        <w:spacing w:line="480" w:lineRule="auto"/>
        <w:ind w:left="720" w:hanging="720"/>
      </w:pPr>
      <w:r>
        <w:t>A.</w:t>
      </w:r>
      <w:r>
        <w:tab/>
        <w:t>Yes.  In spite of PSE’s history of seeking greater revenues almost each year, the Company continues to have difficulty collecting all monies due from its customers under filed tariffs.  Mr. Kouchi testifies to ongoing meter failures at PSE and its continuing need to back bill customers for many months of energy use.  While PSE is meeting the requirements of a meter and billing performance plan from the 2007</w:t>
      </w:r>
      <w:r w:rsidRPr="005369B3">
        <w:t xml:space="preserve"> </w:t>
      </w:r>
      <w:r>
        <w:t>general rate case, more must be done to make sure that PSE finds and fixes problem meters with the goal of reducing the unacceptable number of excessively long back bills.  Mr. Kouchi provides a recommendation for this ongoing issue.</w:t>
      </w:r>
    </w:p>
    <w:p w:rsidR="00880E73" w:rsidRDefault="00880E73" w:rsidP="00D96440">
      <w:pPr>
        <w:spacing w:line="480" w:lineRule="auto"/>
        <w:rPr>
          <w:b/>
        </w:rPr>
      </w:pPr>
    </w:p>
    <w:p w:rsidR="005E25A5" w:rsidRDefault="005E25A5" w:rsidP="00D96440">
      <w:pPr>
        <w:spacing w:line="480" w:lineRule="auto"/>
        <w:rPr>
          <w:b/>
        </w:rPr>
      </w:pPr>
      <w:r>
        <w:rPr>
          <w:b/>
        </w:rPr>
        <w:t>Q.</w:t>
      </w:r>
      <w:r>
        <w:rPr>
          <w:b/>
        </w:rPr>
        <w:tab/>
        <w:t xml:space="preserve">Does Staff propose any changes in </w:t>
      </w:r>
      <w:r w:rsidR="00F3656B">
        <w:rPr>
          <w:b/>
        </w:rPr>
        <w:t xml:space="preserve">processing </w:t>
      </w:r>
      <w:r>
        <w:rPr>
          <w:b/>
        </w:rPr>
        <w:t>the present general rate case?</w:t>
      </w:r>
    </w:p>
    <w:p w:rsidR="00A11043" w:rsidRDefault="005E25A5" w:rsidP="00D96440">
      <w:pPr>
        <w:spacing w:line="480" w:lineRule="auto"/>
        <w:ind w:left="720" w:hanging="720"/>
      </w:pPr>
      <w:r w:rsidRPr="005E25A5">
        <w:t>A.</w:t>
      </w:r>
      <w:r>
        <w:tab/>
        <w:t xml:space="preserve">No.  We have processed this rate case as we have </w:t>
      </w:r>
      <w:r w:rsidR="00D9572B">
        <w:t xml:space="preserve">in </w:t>
      </w:r>
      <w:r>
        <w:t>the past</w:t>
      </w:r>
      <w:r w:rsidR="003B082B">
        <w:t>.</w:t>
      </w:r>
      <w:r>
        <w:t xml:space="preserve">  </w:t>
      </w:r>
    </w:p>
    <w:p w:rsidR="00A11043" w:rsidRDefault="00A11043" w:rsidP="00D96440">
      <w:pPr>
        <w:spacing w:line="480" w:lineRule="auto"/>
        <w:ind w:left="720" w:hanging="720"/>
      </w:pPr>
    </w:p>
    <w:p w:rsidR="00A11043" w:rsidRPr="00B82CE2" w:rsidRDefault="00A11043" w:rsidP="00206512">
      <w:pPr>
        <w:keepNext/>
        <w:widowControl w:val="0"/>
        <w:spacing w:line="480" w:lineRule="auto"/>
        <w:ind w:left="720" w:hanging="720"/>
        <w:rPr>
          <w:b/>
        </w:rPr>
      </w:pPr>
      <w:r w:rsidRPr="00B82CE2">
        <w:rPr>
          <w:b/>
        </w:rPr>
        <w:t>Q.</w:t>
      </w:r>
      <w:r w:rsidRPr="00B82CE2">
        <w:rPr>
          <w:b/>
        </w:rPr>
        <w:tab/>
        <w:t>What does Staff expect in PSE’s future rate filings?</w:t>
      </w:r>
    </w:p>
    <w:p w:rsidR="00D61769" w:rsidRDefault="00A11043" w:rsidP="00D96440">
      <w:pPr>
        <w:spacing w:line="480" w:lineRule="auto"/>
        <w:ind w:left="720" w:hanging="720"/>
      </w:pPr>
      <w:r>
        <w:t>A.</w:t>
      </w:r>
      <w:r>
        <w:tab/>
      </w:r>
      <w:r w:rsidR="00853632">
        <w:t xml:space="preserve">In its next general rate case, </w:t>
      </w:r>
      <w:r w:rsidR="005E25A5">
        <w:t xml:space="preserve">Staff expects PSE to </w:t>
      </w:r>
      <w:r w:rsidR="00F3656B">
        <w:t xml:space="preserve">present an attrition study if </w:t>
      </w:r>
      <w:r w:rsidR="00BF3AAF">
        <w:t>it</w:t>
      </w:r>
      <w:r w:rsidR="00F3656B">
        <w:t xml:space="preserve"> wishes to </w:t>
      </w:r>
      <w:r w:rsidR="00853632">
        <w:t xml:space="preserve">back up the claim that it does not have the opportunity to earn a sufficient </w:t>
      </w:r>
      <w:r w:rsidR="00853632">
        <w:lastRenderedPageBreak/>
        <w:t xml:space="preserve">return.  </w:t>
      </w:r>
      <w:r w:rsidR="003B082B">
        <w:t>However,</w:t>
      </w:r>
      <w:r w:rsidR="00D9572B">
        <w:t xml:space="preserve"> if PSE</w:t>
      </w:r>
      <w:r>
        <w:t xml:space="preserve"> follows the path of an expedited rate case, </w:t>
      </w:r>
      <w:r w:rsidR="003B082B">
        <w:t>Staff expect</w:t>
      </w:r>
      <w:r>
        <w:t xml:space="preserve">s PSE will see a </w:t>
      </w:r>
      <w:r w:rsidR="003B082B">
        <w:t xml:space="preserve">direct </w:t>
      </w:r>
      <w:r w:rsidR="00713E27">
        <w:t xml:space="preserve">positive </w:t>
      </w:r>
      <w:r w:rsidR="003B082B">
        <w:t>impact</w:t>
      </w:r>
      <w:r>
        <w:t xml:space="preserve"> </w:t>
      </w:r>
      <w:r w:rsidR="00713E27">
        <w:t>on</w:t>
      </w:r>
      <w:r>
        <w:t xml:space="preserve"> its</w:t>
      </w:r>
      <w:r w:rsidR="003B082B">
        <w:t xml:space="preserve"> earnings.</w:t>
      </w:r>
    </w:p>
    <w:p w:rsidR="005E25A5" w:rsidRPr="005E25A5" w:rsidRDefault="00853632" w:rsidP="00D96440">
      <w:pPr>
        <w:spacing w:line="480" w:lineRule="auto"/>
        <w:ind w:left="720" w:firstLine="720"/>
      </w:pPr>
      <w:r>
        <w:t xml:space="preserve">Staff also </w:t>
      </w:r>
      <w:r w:rsidR="00411F22">
        <w:t>request</w:t>
      </w:r>
      <w:r>
        <w:t xml:space="preserve">s the Commission </w:t>
      </w:r>
      <w:r w:rsidR="00F3656B">
        <w:t xml:space="preserve">commence a separate proceeding to </w:t>
      </w:r>
      <w:r>
        <w:t>review PSE’s Power Cost Adjustment and Power Cost Only Rate Case mechanisms for potential</w:t>
      </w:r>
      <w:r w:rsidR="00F3656B">
        <w:t xml:space="preserve"> </w:t>
      </w:r>
      <w:r>
        <w:t xml:space="preserve">revisions.  </w:t>
      </w:r>
      <w:r w:rsidR="00D62DB7">
        <w:t xml:space="preserve">Company witness </w:t>
      </w:r>
      <w:proofErr w:type="spellStart"/>
      <w:r w:rsidR="00D62DB7">
        <w:t>Aladin</w:t>
      </w:r>
      <w:proofErr w:type="spellEnd"/>
      <w:r w:rsidR="00D62DB7">
        <w:t xml:space="preserve"> addresses the </w:t>
      </w:r>
      <w:proofErr w:type="spellStart"/>
      <w:r w:rsidR="00D62DB7">
        <w:t>PCA</w:t>
      </w:r>
      <w:proofErr w:type="spellEnd"/>
      <w:r w:rsidR="00D62DB7">
        <w:t xml:space="preserve"> and does not recommend any specific changes to the mechanism.  A separate proceeding, in Staff’s view, is the best way to address the subject, rather than this proceeding which already has many complicated and p</w:t>
      </w:r>
      <w:r w:rsidR="00D61769">
        <w:t>robably</w:t>
      </w:r>
      <w:r w:rsidR="00D62DB7">
        <w:t xml:space="preserve"> contentious issues.</w:t>
      </w:r>
    </w:p>
    <w:p w:rsidR="00396872" w:rsidRPr="005E25A5" w:rsidRDefault="00396872" w:rsidP="00D96440">
      <w:pPr>
        <w:spacing w:line="480" w:lineRule="auto"/>
      </w:pPr>
    </w:p>
    <w:p w:rsidR="004B214E" w:rsidRPr="003A2606" w:rsidRDefault="004B214E" w:rsidP="00D96440">
      <w:pPr>
        <w:spacing w:line="480" w:lineRule="auto"/>
        <w:rPr>
          <w:b/>
        </w:rPr>
      </w:pPr>
      <w:r w:rsidRPr="003A2606">
        <w:rPr>
          <w:b/>
        </w:rPr>
        <w:t>Q.</w:t>
      </w:r>
      <w:r w:rsidRPr="003A2606">
        <w:rPr>
          <w:b/>
        </w:rPr>
        <w:tab/>
        <w:t xml:space="preserve">Please introduce Staff’s </w:t>
      </w:r>
      <w:r w:rsidR="00F3656B">
        <w:rPr>
          <w:b/>
        </w:rPr>
        <w:t xml:space="preserve">other </w:t>
      </w:r>
      <w:r w:rsidRPr="003A2606">
        <w:rPr>
          <w:b/>
        </w:rPr>
        <w:t>witnesses and the subjects each addresses.</w:t>
      </w:r>
    </w:p>
    <w:p w:rsidR="00A6290B" w:rsidRDefault="004B214E" w:rsidP="00D96440">
      <w:pPr>
        <w:spacing w:line="480" w:lineRule="auto"/>
      </w:pPr>
      <w:r w:rsidRPr="003A2606">
        <w:t>A.</w:t>
      </w:r>
      <w:r w:rsidRPr="003A2606">
        <w:tab/>
      </w:r>
      <w:r w:rsidR="00F3656B">
        <w:t xml:space="preserve">The following witnesses present testimony and exhibits for </w:t>
      </w:r>
      <w:r w:rsidRPr="003A2606">
        <w:t>Staff</w:t>
      </w:r>
      <w:r w:rsidR="00A6290B">
        <w:t>:</w:t>
      </w:r>
    </w:p>
    <w:p w:rsidR="004B214E" w:rsidRDefault="004B214E" w:rsidP="00206512">
      <w:pPr>
        <w:pStyle w:val="ListParagraph"/>
        <w:numPr>
          <w:ilvl w:val="0"/>
          <w:numId w:val="8"/>
        </w:numPr>
        <w:spacing w:line="480" w:lineRule="auto"/>
        <w:ind w:left="1080"/>
      </w:pPr>
      <w:r w:rsidRPr="003A2606">
        <w:t>Roland Martin presents the electric revenue requirement</w:t>
      </w:r>
      <w:r w:rsidR="00A6290B">
        <w:t xml:space="preserve"> based on his own analysis of several ratemaking adjustments and the analysis of other Staff witnesses.  Mr. Martin also presents Staff’s proposal for recovery of LSR </w:t>
      </w:r>
      <w:r w:rsidR="009113DB">
        <w:t xml:space="preserve">Phase 1 </w:t>
      </w:r>
      <w:r w:rsidR="00A6290B">
        <w:t>costs deferred under RCW 80.80.060(6)</w:t>
      </w:r>
      <w:r w:rsidRPr="003A2606">
        <w:t>.</w:t>
      </w:r>
    </w:p>
    <w:p w:rsidR="00A6290B" w:rsidRDefault="004B214E" w:rsidP="00206512">
      <w:pPr>
        <w:pStyle w:val="ListParagraph"/>
        <w:numPr>
          <w:ilvl w:val="0"/>
          <w:numId w:val="8"/>
        </w:numPr>
        <w:spacing w:line="480" w:lineRule="auto"/>
        <w:ind w:left="1080"/>
      </w:pPr>
      <w:r w:rsidRPr="003A2606">
        <w:t xml:space="preserve">Chris Mickelson presents the gas revenue requirement </w:t>
      </w:r>
      <w:r w:rsidR="00A6290B">
        <w:t>based on his own analysis of several ratemaking adjustments and the analysis of other Staff witnesses.  He also presents Staff’s recommended revenue allocation and rate design for the Company’s natural gas services.</w:t>
      </w:r>
    </w:p>
    <w:p w:rsidR="004B214E" w:rsidRDefault="004B214E" w:rsidP="00206512">
      <w:pPr>
        <w:pStyle w:val="ListParagraph"/>
        <w:numPr>
          <w:ilvl w:val="0"/>
          <w:numId w:val="8"/>
        </w:numPr>
        <w:spacing w:line="480" w:lineRule="auto"/>
        <w:ind w:left="1080"/>
      </w:pPr>
      <w:r w:rsidRPr="003A2606">
        <w:t xml:space="preserve">Deborah Reynolds presents the electric rate spread and rate design </w:t>
      </w:r>
      <w:r w:rsidR="00A6290B">
        <w:t>recommendation of Staff</w:t>
      </w:r>
      <w:r w:rsidRPr="003A2606">
        <w:t xml:space="preserve">.  </w:t>
      </w:r>
      <w:r w:rsidR="007C6AB4">
        <w:t>She also recommends that</w:t>
      </w:r>
      <w:r w:rsidR="007C6AB4" w:rsidRPr="003A2606">
        <w:t xml:space="preserve"> </w:t>
      </w:r>
      <w:r w:rsidR="007C6AB4">
        <w:t xml:space="preserve">the Commission reject </w:t>
      </w:r>
      <w:r w:rsidR="007C6AB4" w:rsidRPr="003A2606">
        <w:t xml:space="preserve">PSE’s proposed </w:t>
      </w:r>
      <w:r w:rsidR="007C6AB4">
        <w:t>C</w:t>
      </w:r>
      <w:r w:rsidR="007C6AB4" w:rsidRPr="003A2606">
        <w:t xml:space="preserve">onservation </w:t>
      </w:r>
      <w:r w:rsidR="007C6AB4">
        <w:t>S</w:t>
      </w:r>
      <w:r w:rsidR="007C6AB4" w:rsidRPr="003A2606">
        <w:t xml:space="preserve">avings </w:t>
      </w:r>
      <w:r w:rsidR="007C6AB4">
        <w:t>A</w:t>
      </w:r>
      <w:r w:rsidR="007C6AB4" w:rsidRPr="003A2606">
        <w:t>djustment</w:t>
      </w:r>
      <w:r w:rsidR="003B082B">
        <w:t>.</w:t>
      </w:r>
      <w:r w:rsidR="007C6AB4" w:rsidRPr="003A2606">
        <w:t xml:space="preserve"> </w:t>
      </w:r>
      <w:r w:rsidR="00B82CE2">
        <w:t xml:space="preserve"> </w:t>
      </w:r>
      <w:r w:rsidR="00ED3C0B" w:rsidRPr="003A2606">
        <w:t>Ms. Reynolds</w:t>
      </w:r>
      <w:r w:rsidRPr="003A2606">
        <w:t xml:space="preserve"> </w:t>
      </w:r>
      <w:r w:rsidR="007C6AB4">
        <w:t xml:space="preserve">is responsible </w:t>
      </w:r>
      <w:r w:rsidR="007C6AB4">
        <w:lastRenderedPageBreak/>
        <w:t>for</w:t>
      </w:r>
      <w:r w:rsidRPr="003A2606">
        <w:t xml:space="preserve"> </w:t>
      </w:r>
      <w:r w:rsidR="00A6290B">
        <w:t>S</w:t>
      </w:r>
      <w:r w:rsidRPr="003A2606">
        <w:t xml:space="preserve">taff’s response to the </w:t>
      </w:r>
      <w:r w:rsidR="007C6AB4">
        <w:t xml:space="preserve">Commission’s </w:t>
      </w:r>
      <w:r w:rsidR="00A6290B">
        <w:t>B</w:t>
      </w:r>
      <w:r w:rsidRPr="003A2606">
        <w:t xml:space="preserve">ench </w:t>
      </w:r>
      <w:r w:rsidR="00A6290B">
        <w:t>R</w:t>
      </w:r>
      <w:r w:rsidRPr="003A2606">
        <w:t>equest pertaining to full decoupling</w:t>
      </w:r>
      <w:r w:rsidR="007C6AB4">
        <w:t>.</w:t>
      </w:r>
    </w:p>
    <w:p w:rsidR="00A6290B" w:rsidRDefault="00A6290B" w:rsidP="00206512">
      <w:pPr>
        <w:pStyle w:val="ListParagraph"/>
        <w:numPr>
          <w:ilvl w:val="0"/>
          <w:numId w:val="8"/>
        </w:numPr>
        <w:spacing w:line="480" w:lineRule="auto"/>
        <w:ind w:left="1080"/>
      </w:pPr>
      <w:r>
        <w:t xml:space="preserve">Ken Elgin presents Staff’s </w:t>
      </w:r>
      <w:r w:rsidRPr="003A2606">
        <w:t>co</w:t>
      </w:r>
      <w:r>
        <w:t>st of capital recommendation.  He</w:t>
      </w:r>
      <w:r w:rsidRPr="003A2606">
        <w:t xml:space="preserve"> recommend</w:t>
      </w:r>
      <w:r>
        <w:t>s</w:t>
      </w:r>
      <w:r w:rsidRPr="003A2606">
        <w:t xml:space="preserve"> </w:t>
      </w:r>
      <w:r>
        <w:t>an</w:t>
      </w:r>
      <w:r w:rsidRPr="003A2606">
        <w:t xml:space="preserve"> </w:t>
      </w:r>
      <w:r>
        <w:t xml:space="preserve">overall </w:t>
      </w:r>
      <w:r w:rsidRPr="003A2606">
        <w:t xml:space="preserve">rate of return </w:t>
      </w:r>
      <w:r>
        <w:t>of</w:t>
      </w:r>
      <w:r w:rsidRPr="003A2606">
        <w:t xml:space="preserve"> </w:t>
      </w:r>
      <w:r>
        <w:t>7.</w:t>
      </w:r>
      <w:r w:rsidR="007C6AB4">
        <w:t>59</w:t>
      </w:r>
      <w:r w:rsidRPr="003A2606">
        <w:t xml:space="preserve"> percent</w:t>
      </w:r>
      <w:r>
        <w:t xml:space="preserve"> based on an equity</w:t>
      </w:r>
      <w:r w:rsidRPr="003A2606">
        <w:t xml:space="preserve"> </w:t>
      </w:r>
      <w:r>
        <w:t>return of</w:t>
      </w:r>
      <w:r w:rsidRPr="003A2606">
        <w:t xml:space="preserve"> </w:t>
      </w:r>
      <w:r>
        <w:t>9.5</w:t>
      </w:r>
      <w:r w:rsidRPr="003A2606">
        <w:t xml:space="preserve"> percent and a</w:t>
      </w:r>
      <w:r>
        <w:t xml:space="preserve"> capital structure with 46 percent equity</w:t>
      </w:r>
      <w:r w:rsidRPr="003A2606">
        <w:t xml:space="preserve">.  Mr. Elgin also addresses PSE’s </w:t>
      </w:r>
      <w:r>
        <w:t>claim of attrition in the overall context of Commission practice and policy</w:t>
      </w:r>
      <w:r w:rsidRPr="003A2606">
        <w:t>.</w:t>
      </w:r>
      <w:r>
        <w:t xml:space="preserve">  He sponsors Staff’s recommendation for an </w:t>
      </w:r>
      <w:r w:rsidR="007C6AB4">
        <w:t xml:space="preserve">optional, </w:t>
      </w:r>
      <w:r w:rsidR="009113DB">
        <w:t>expedit</w:t>
      </w:r>
      <w:r>
        <w:t>ed form of rate making</w:t>
      </w:r>
      <w:r w:rsidR="009113DB">
        <w:t xml:space="preserve"> </w:t>
      </w:r>
      <w:r w:rsidR="007C6AB4">
        <w:t>to address Company concerns with regulatory lag</w:t>
      </w:r>
      <w:r>
        <w:t>.</w:t>
      </w:r>
    </w:p>
    <w:p w:rsidR="00386380" w:rsidRPr="00293D4E" w:rsidRDefault="00386380" w:rsidP="00293D4E">
      <w:pPr>
        <w:pStyle w:val="ListParagraph"/>
        <w:numPr>
          <w:ilvl w:val="0"/>
          <w:numId w:val="8"/>
        </w:numPr>
        <w:spacing w:line="480" w:lineRule="auto"/>
        <w:ind w:left="1080"/>
      </w:pPr>
      <w:r w:rsidRPr="003A2606">
        <w:t xml:space="preserve">David Nightingale conducted a </w:t>
      </w:r>
      <w:r>
        <w:t xml:space="preserve">prudence </w:t>
      </w:r>
      <w:r w:rsidRPr="003A2606">
        <w:t xml:space="preserve">review of PSE investments in LSR </w:t>
      </w:r>
      <w:r w:rsidR="009113DB">
        <w:t xml:space="preserve">Phase 1 </w:t>
      </w:r>
      <w:r w:rsidRPr="003A2606">
        <w:t xml:space="preserve">and </w:t>
      </w:r>
      <w:r>
        <w:t xml:space="preserve">the </w:t>
      </w:r>
      <w:r w:rsidRPr="003A2606">
        <w:t xml:space="preserve">Klamath </w:t>
      </w:r>
      <w:r>
        <w:t>Power Purchase Agreement</w:t>
      </w:r>
      <w:r w:rsidRPr="003A2606">
        <w:t xml:space="preserve">. </w:t>
      </w:r>
      <w:r>
        <w:t xml:space="preserve"> H</w:t>
      </w:r>
      <w:r w:rsidRPr="003A2606">
        <w:t xml:space="preserve">e finds the </w:t>
      </w:r>
      <w:r w:rsidR="009113DB">
        <w:t>acquisitions</w:t>
      </w:r>
      <w:r w:rsidRPr="003A2606">
        <w:t xml:space="preserve"> prudent</w:t>
      </w:r>
      <w:r w:rsidR="00902324">
        <w:t xml:space="preserve"> under</w:t>
      </w:r>
      <w:r>
        <w:t xml:space="preserve"> standards set by the Commission, which</w:t>
      </w:r>
      <w:r w:rsidR="00902324">
        <w:t>,</w:t>
      </w:r>
      <w:r>
        <w:t xml:space="preserve"> </w:t>
      </w:r>
      <w:r w:rsidR="00902324">
        <w:t>for LSR</w:t>
      </w:r>
      <w:r w:rsidR="009113DB">
        <w:t xml:space="preserve"> Phase 1</w:t>
      </w:r>
      <w:r w:rsidR="00902324">
        <w:t xml:space="preserve">, </w:t>
      </w:r>
      <w:r w:rsidR="007C6AB4">
        <w:t xml:space="preserve">also </w:t>
      </w:r>
      <w:r w:rsidR="00D50DB9">
        <w:t>take into account</w:t>
      </w:r>
      <w:r>
        <w:t xml:space="preserve"> </w:t>
      </w:r>
      <w:r w:rsidR="00D50DB9">
        <w:t xml:space="preserve">the </w:t>
      </w:r>
      <w:r>
        <w:t>Commission</w:t>
      </w:r>
      <w:r w:rsidR="00D50DB9">
        <w:t xml:space="preserve">’s </w:t>
      </w:r>
      <w:r>
        <w:t xml:space="preserve">recent </w:t>
      </w:r>
      <w:r w:rsidR="009113DB">
        <w:t xml:space="preserve">Renewable Resources Policy Statement </w:t>
      </w:r>
      <w:r>
        <w:t xml:space="preserve">in Docket </w:t>
      </w:r>
      <w:r w:rsidR="00653433">
        <w:t>UE-100849</w:t>
      </w:r>
      <w:r w:rsidRPr="00653433">
        <w:t>.</w:t>
      </w:r>
    </w:p>
    <w:p w:rsidR="00386380" w:rsidRDefault="00386380" w:rsidP="00206512">
      <w:pPr>
        <w:pStyle w:val="ListParagraph"/>
        <w:numPr>
          <w:ilvl w:val="0"/>
          <w:numId w:val="8"/>
        </w:numPr>
        <w:spacing w:line="480" w:lineRule="auto"/>
        <w:ind w:left="1080"/>
      </w:pPr>
      <w:r w:rsidRPr="003A2606">
        <w:t xml:space="preserve">Ralph Smith of Larkin &amp; Associates </w:t>
      </w:r>
      <w:r w:rsidR="007C6AB4">
        <w:t>provides testimony supporting Staff’s t</w:t>
      </w:r>
      <w:r>
        <w:t>reatment of federal tax-</w:t>
      </w:r>
      <w:r w:rsidRPr="003A2606">
        <w:t>related items</w:t>
      </w:r>
      <w:r>
        <w:t>,</w:t>
      </w:r>
      <w:r w:rsidRPr="003A2606">
        <w:t xml:space="preserve"> including tax accounting </w:t>
      </w:r>
      <w:r w:rsidR="007C6AB4">
        <w:t>changes for repa</w:t>
      </w:r>
      <w:r w:rsidR="00D50DB9">
        <w:t>irs deductions and retirements,</w:t>
      </w:r>
      <w:r w:rsidR="007C6AB4">
        <w:t xml:space="preserve"> bonus tax depreciation and net operating loss carry</w:t>
      </w:r>
      <w:r w:rsidR="00D50DB9">
        <w:t>-</w:t>
      </w:r>
      <w:r w:rsidR="007C6AB4">
        <w:t xml:space="preserve">forwards, a debit balance for </w:t>
      </w:r>
      <w:r w:rsidR="00D50DB9">
        <w:t>accrued federal income taxes payable, and the Company’s proposal to normalize the federal income tax treatment for capitalized property taxes, injuries and damages, and bad debts</w:t>
      </w:r>
      <w:r w:rsidRPr="003A2606">
        <w:t xml:space="preserve">.  </w:t>
      </w:r>
    </w:p>
    <w:p w:rsidR="00386380" w:rsidRPr="003A2606" w:rsidRDefault="00386380" w:rsidP="00206512">
      <w:pPr>
        <w:pStyle w:val="ListParagraph"/>
        <w:numPr>
          <w:ilvl w:val="0"/>
          <w:numId w:val="8"/>
        </w:numPr>
        <w:spacing w:line="480" w:lineRule="auto"/>
        <w:ind w:left="1080"/>
      </w:pPr>
      <w:r>
        <w:t>Alan Buckley presents Staff’s</w:t>
      </w:r>
      <w:r w:rsidR="007C6AB4">
        <w:t xml:space="preserve"> adjustments</w:t>
      </w:r>
      <w:r w:rsidRPr="003A2606">
        <w:t xml:space="preserve"> for pro forma power cost</w:t>
      </w:r>
      <w:r>
        <w:t>s</w:t>
      </w:r>
      <w:r w:rsidRPr="003A2606">
        <w:t xml:space="preserve"> during the rate year.  </w:t>
      </w:r>
      <w:r w:rsidR="00653433">
        <w:t>His adjustments, taken together, reduce the Company’s rate year power costs an estimated $24 million</w:t>
      </w:r>
      <w:r w:rsidRPr="003A2606">
        <w:t>.</w:t>
      </w:r>
      <w:r w:rsidR="00653433">
        <w:t xml:space="preserve">  He expects a further reduction as rate year </w:t>
      </w:r>
      <w:r w:rsidR="00653433">
        <w:lastRenderedPageBreak/>
        <w:t>forward gas prices continue to fall.  He recommends that the Commission order that update as part of the Company’s compliance filing.</w:t>
      </w:r>
    </w:p>
    <w:p w:rsidR="00386380" w:rsidRPr="003A2606" w:rsidRDefault="00386380" w:rsidP="00206512">
      <w:pPr>
        <w:pStyle w:val="ListParagraph"/>
        <w:numPr>
          <w:ilvl w:val="0"/>
          <w:numId w:val="8"/>
        </w:numPr>
        <w:spacing w:line="480" w:lineRule="auto"/>
        <w:ind w:left="1080"/>
      </w:pPr>
      <w:r w:rsidRPr="003A2606">
        <w:t xml:space="preserve">Betty Erdahl </w:t>
      </w:r>
      <w:r w:rsidR="00801AB8">
        <w:t>proposes</w:t>
      </w:r>
      <w:r>
        <w:t xml:space="preserve"> electricity and natural gas ratemaking adjustments for</w:t>
      </w:r>
      <w:r w:rsidRPr="003A2606">
        <w:t xml:space="preserve"> </w:t>
      </w:r>
      <w:r>
        <w:t>expenses related to insurance,</w:t>
      </w:r>
      <w:r w:rsidRPr="003A2606">
        <w:t xml:space="preserve"> wages</w:t>
      </w:r>
      <w:r>
        <w:t>, and incentive plan.</w:t>
      </w:r>
    </w:p>
    <w:p w:rsidR="00386380" w:rsidRDefault="00386380" w:rsidP="00206512">
      <w:pPr>
        <w:pStyle w:val="ListParagraph"/>
        <w:numPr>
          <w:ilvl w:val="0"/>
          <w:numId w:val="8"/>
        </w:numPr>
        <w:spacing w:line="480" w:lineRule="auto"/>
        <w:ind w:left="1080"/>
      </w:pPr>
      <w:r w:rsidRPr="003A2606">
        <w:t xml:space="preserve">Rick Applegate </w:t>
      </w:r>
      <w:r w:rsidR="00801AB8">
        <w:t xml:space="preserve">proposes ratemaking </w:t>
      </w:r>
      <w:r w:rsidRPr="003A2606">
        <w:t>adjustments for</w:t>
      </w:r>
      <w:r w:rsidR="00801AB8">
        <w:t xml:space="preserve"> property tax expense, </w:t>
      </w:r>
      <w:r w:rsidRPr="003A2606">
        <w:t>rate case expense</w:t>
      </w:r>
      <w:r w:rsidR="00801AB8">
        <w:t xml:space="preserve">, </w:t>
      </w:r>
      <w:r w:rsidR="007F5895">
        <w:t xml:space="preserve">Lower Snake River rate base, </w:t>
      </w:r>
      <w:r w:rsidR="00801AB8">
        <w:t>and electric storm damage expense.</w:t>
      </w:r>
      <w:r w:rsidRPr="003A2606">
        <w:t xml:space="preserve"> </w:t>
      </w:r>
    </w:p>
    <w:p w:rsidR="00902324" w:rsidRPr="00293D4E" w:rsidRDefault="00801AB8" w:rsidP="00293D4E">
      <w:pPr>
        <w:pStyle w:val="ListParagraph"/>
        <w:numPr>
          <w:ilvl w:val="0"/>
          <w:numId w:val="8"/>
        </w:numPr>
        <w:spacing w:line="480" w:lineRule="auto"/>
        <w:ind w:left="1080"/>
      </w:pPr>
      <w:r w:rsidRPr="00B82CE2">
        <w:t>R</w:t>
      </w:r>
      <w:r>
        <w:t xml:space="preserve">oger Kouchi recommends that the </w:t>
      </w:r>
      <w:r w:rsidR="00902324">
        <w:t>Commis</w:t>
      </w:r>
      <w:r>
        <w:t>s</w:t>
      </w:r>
      <w:r w:rsidR="00902324">
        <w:t>i</w:t>
      </w:r>
      <w:r>
        <w:t>on approve the Company’s request to eliminate per</w:t>
      </w:r>
      <w:r w:rsidR="00902324">
        <w:t>manen</w:t>
      </w:r>
      <w:r>
        <w:t xml:space="preserve">tly SQI 9: Disconnection Ratio.  He also shows that the Company’s electric and natural gas back billing frequency and duration is unacceptable.  He proposes to address that deficiency by asking the Commission to amend </w:t>
      </w:r>
      <w:r w:rsidR="00D50DB9">
        <w:t xml:space="preserve">a meter and billing performance plan established in </w:t>
      </w:r>
      <w:r>
        <w:t>Docket UE-072300 by requiring the Company both to identify and repair problem meters within a specific period of time.</w:t>
      </w:r>
    </w:p>
    <w:p w:rsidR="004B214E" w:rsidRPr="003A2606" w:rsidRDefault="004B214E" w:rsidP="00D96440">
      <w:pPr>
        <w:spacing w:line="480" w:lineRule="auto"/>
      </w:pPr>
    </w:p>
    <w:p w:rsidR="003A2606" w:rsidRPr="00FF7F6A" w:rsidRDefault="00FF7F6A" w:rsidP="00D96440">
      <w:pPr>
        <w:spacing w:line="480" w:lineRule="auto"/>
        <w:rPr>
          <w:b/>
        </w:rPr>
      </w:pPr>
      <w:r w:rsidRPr="00FF7F6A">
        <w:rPr>
          <w:b/>
        </w:rPr>
        <w:t>Q.</w:t>
      </w:r>
      <w:r w:rsidRPr="00FF7F6A">
        <w:rPr>
          <w:b/>
        </w:rPr>
        <w:tab/>
        <w:t>Does this conclude your testimony?</w:t>
      </w:r>
    </w:p>
    <w:p w:rsidR="00FF7F6A" w:rsidRDefault="00FF7F6A" w:rsidP="00D96440">
      <w:pPr>
        <w:spacing w:line="480" w:lineRule="auto"/>
      </w:pPr>
      <w:r>
        <w:t>A.</w:t>
      </w:r>
      <w:r>
        <w:tab/>
        <w:t>Yes.</w:t>
      </w:r>
    </w:p>
    <w:p w:rsidR="00206512" w:rsidRDefault="00206512" w:rsidP="00D96440">
      <w:pPr>
        <w:spacing w:line="480" w:lineRule="auto"/>
      </w:pPr>
    </w:p>
    <w:p w:rsidR="00206512" w:rsidRPr="003A2606" w:rsidRDefault="00206512" w:rsidP="00D96440">
      <w:pPr>
        <w:spacing w:line="480" w:lineRule="auto"/>
      </w:pPr>
    </w:p>
    <w:sectPr w:rsidR="00206512" w:rsidRPr="003A2606" w:rsidSect="00E44B28">
      <w:footerReference w:type="default" r:id="rId11"/>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74" w:rsidRDefault="00CE4474">
      <w:r>
        <w:separator/>
      </w:r>
    </w:p>
  </w:endnote>
  <w:endnote w:type="continuationSeparator" w:id="0">
    <w:p w:rsidR="00CE4474" w:rsidRDefault="00CE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74" w:rsidRPr="00DC40BC" w:rsidRDefault="00CE4474">
    <w:pPr>
      <w:pStyle w:val="Footer"/>
      <w:rPr>
        <w:sz w:val="20"/>
        <w:szCs w:val="20"/>
      </w:rPr>
    </w:pPr>
  </w:p>
  <w:p w:rsidR="00CE4474" w:rsidRPr="00DC40BC" w:rsidRDefault="00CE4474">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rsidR="00CE4474" w:rsidRPr="00DC40BC" w:rsidRDefault="00CE4474" w:rsidP="002F0348">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74" w:rsidRPr="00DC40BC" w:rsidRDefault="00CE4474">
    <w:pPr>
      <w:pStyle w:val="Footer"/>
      <w:rPr>
        <w:sz w:val="20"/>
        <w:szCs w:val="20"/>
      </w:rPr>
    </w:pPr>
  </w:p>
  <w:p w:rsidR="00CE4474" w:rsidRPr="00DC40BC" w:rsidRDefault="00CE4474">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rsidR="00CE4474" w:rsidRPr="00DC40BC" w:rsidRDefault="00CE4474" w:rsidP="002F0348">
    <w:pPr>
      <w:pStyle w:val="Footer"/>
      <w:rPr>
        <w:sz w:val="20"/>
        <w:szCs w:val="20"/>
        <w:lang w:val="fr-FR"/>
      </w:rPr>
    </w:pPr>
    <w:r w:rsidRPr="00DC40BC">
      <w:rPr>
        <w:sz w:val="20"/>
        <w:szCs w:val="20"/>
      </w:rPr>
      <w:t>Docket</w:t>
    </w:r>
    <w:r>
      <w:rPr>
        <w:sz w:val="20"/>
        <w:szCs w:val="20"/>
      </w:rPr>
      <w:t>s</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E00F9C">
      <w:rPr>
        <w:rStyle w:val="PageNumber"/>
        <w:noProof/>
        <w:sz w:val="20"/>
        <w:szCs w:val="20"/>
        <w:lang w:val="fr-FR"/>
      </w:rPr>
      <w:t>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74" w:rsidRPr="00DC40BC" w:rsidRDefault="00CE4474">
    <w:pPr>
      <w:pStyle w:val="Footer"/>
      <w:rPr>
        <w:sz w:val="20"/>
        <w:szCs w:val="20"/>
      </w:rPr>
    </w:pPr>
  </w:p>
  <w:p w:rsidR="00CE4474" w:rsidRPr="00DC40BC" w:rsidRDefault="00CE4474">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rsidR="00CE4474" w:rsidRPr="00DC40BC" w:rsidRDefault="00CE4474" w:rsidP="002F0348">
    <w:pPr>
      <w:pStyle w:val="Footer"/>
      <w:rPr>
        <w:sz w:val="20"/>
        <w:szCs w:val="20"/>
        <w:lang w:val="fr-FR"/>
      </w:rPr>
    </w:pPr>
    <w:r w:rsidRPr="00DC40BC">
      <w:rPr>
        <w:sz w:val="20"/>
        <w:szCs w:val="20"/>
      </w:rPr>
      <w:t>Docket</w:t>
    </w:r>
    <w:r>
      <w:rPr>
        <w:sz w:val="20"/>
        <w:szCs w:val="20"/>
      </w:rPr>
      <w:t>s</w:t>
    </w:r>
    <w:r>
      <w:rPr>
        <w:sz w:val="20"/>
        <w:szCs w:val="20"/>
        <w:lang w:val="fr-FR"/>
      </w:rPr>
      <w:t xml:space="preserve"> UE-111048/UG-111049</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643597">
      <w:rPr>
        <w:rStyle w:val="PageNumber"/>
        <w:noProof/>
        <w:sz w:val="20"/>
        <w:szCs w:val="20"/>
        <w:lang w:val="fr-FR"/>
      </w:rPr>
      <w:t>13</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74" w:rsidRDefault="00CE4474">
      <w:r>
        <w:separator/>
      </w:r>
    </w:p>
  </w:footnote>
  <w:footnote w:type="continuationSeparator" w:id="0">
    <w:p w:rsidR="00CE4474" w:rsidRDefault="00CE4474">
      <w:r>
        <w:continuationSeparator/>
      </w:r>
    </w:p>
  </w:footnote>
  <w:footnote w:id="1">
    <w:p w:rsidR="00CE4474" w:rsidRDefault="00CE4474" w:rsidP="00C078D0">
      <w:pPr>
        <w:pStyle w:val="FootnoteText"/>
      </w:pPr>
      <w:r>
        <w:rPr>
          <w:rStyle w:val="FootnoteReference"/>
        </w:rPr>
        <w:footnoteRef/>
      </w:r>
      <w:r>
        <w:t xml:space="preserve"> "Restating actual adjustments" adjust the booked operating results for any defects or infirmities in actual recorded results that can distort test period earnings. Restating actual adjustments are also used to adjust from an as-recorded basis to a basis that is acceptable for rate making.  WAC 480-07-510(3)(e)(ii)  "Pro forma adjustments" give effect for the test period to all known and measurable changes that are not offset by other factors.  WAC 480-07-510(3)(e)(iii).</w:t>
      </w:r>
    </w:p>
  </w:footnote>
  <w:footnote w:id="2">
    <w:p w:rsidR="00CE4474" w:rsidRDefault="00CE4474">
      <w:pPr>
        <w:pStyle w:val="FootnoteText"/>
      </w:pPr>
      <w:r>
        <w:rPr>
          <w:rStyle w:val="FootnoteReference"/>
        </w:rPr>
        <w:footnoteRef/>
      </w:r>
      <w:r>
        <w:t xml:space="preserve"> The rate base increases for Adjustments 5.02 and 5.03 total $798,249,674, and the decrease to net operating income is $39,877,591.  Exhibit No. ___ (JHS-4), page 4.02.  Given the requested rate of return of 8.42 percent and the conversion factor, we derive the Company proposed increase in revenues of $172,517,738 for LSR Phase 1.</w:t>
      </w:r>
    </w:p>
  </w:footnote>
  <w:footnote w:id="3">
    <w:p w:rsidR="00CE4474" w:rsidRDefault="00CE4474">
      <w:pPr>
        <w:pStyle w:val="FootnoteText"/>
      </w:pPr>
      <w:r>
        <w:rPr>
          <w:rStyle w:val="FootnoteReference"/>
        </w:rPr>
        <w:footnoteRef/>
      </w:r>
      <w:r>
        <w:t xml:space="preserve"> Exhibit No. ___ (JHS-3), page 3.01.</w:t>
      </w:r>
    </w:p>
  </w:footnote>
  <w:footnote w:id="4">
    <w:p w:rsidR="00CE4474" w:rsidRDefault="00CE4474">
      <w:pPr>
        <w:pStyle w:val="FootnoteText"/>
      </w:pPr>
      <w:r>
        <w:rPr>
          <w:rStyle w:val="FootnoteReference"/>
        </w:rPr>
        <w:footnoteRef/>
      </w:r>
      <w:r>
        <w:t xml:space="preserve"> Mr. </w:t>
      </w:r>
      <w:proofErr w:type="spellStart"/>
      <w:r>
        <w:t>Stranik’s</w:t>
      </w:r>
      <w:proofErr w:type="spellEnd"/>
      <w:r>
        <w:t xml:space="preserve"> Exhibit No. __ (MJS-3) compares the rate base total in the present case to that in the 2009 rate case, Docket UG-090705.  He should more appropriately compare the present period to Docket UG-101644 which was based on a test year ending June 30, 2010 where the total rate base was $1,593,833,326.  The gas rate base increase since June 2010 is $66,901,785.</w:t>
      </w:r>
    </w:p>
  </w:footnote>
  <w:footnote w:id="5">
    <w:p w:rsidR="00CE4474" w:rsidRDefault="00CE4474">
      <w:pPr>
        <w:pStyle w:val="FootnoteText"/>
      </w:pPr>
      <w:r>
        <w:rPr>
          <w:rStyle w:val="FootnoteReference"/>
        </w:rPr>
        <w:footnoteRef/>
      </w:r>
      <w:r>
        <w:t xml:space="preserve"> Exhibit No.___(DEG-1T) at 23, Chart 1 and Exhibit No.___(CEO-1T) at 8:10-12 and 15-17.</w:t>
      </w:r>
    </w:p>
  </w:footnote>
  <w:footnote w:id="6">
    <w:p w:rsidR="00CE4474" w:rsidRDefault="00CE4474">
      <w:pPr>
        <w:pStyle w:val="FootnoteText"/>
      </w:pPr>
      <w:r>
        <w:rPr>
          <w:rStyle w:val="FootnoteReference"/>
        </w:rPr>
        <w:footnoteRef/>
      </w:r>
      <w:r>
        <w:t xml:space="preserve"> Exhibit No. __ (CEO-1T) at 7:20-8:4.</w:t>
      </w:r>
    </w:p>
  </w:footnote>
  <w:footnote w:id="7">
    <w:p w:rsidR="00CE4474" w:rsidRPr="00206512" w:rsidRDefault="00CE4474" w:rsidP="00206512">
      <w:pPr>
        <w:rPr>
          <w:sz w:val="20"/>
          <w:szCs w:val="20"/>
        </w:rPr>
      </w:pPr>
      <w:r w:rsidRPr="00851492">
        <w:rPr>
          <w:rStyle w:val="FootnoteReference"/>
          <w:sz w:val="20"/>
          <w:szCs w:val="20"/>
        </w:rPr>
        <w:footnoteRef/>
      </w:r>
      <w:r w:rsidRPr="00851492">
        <w:rPr>
          <w:sz w:val="20"/>
          <w:szCs w:val="20"/>
        </w:rPr>
        <w:t xml:space="preserve"> The Commission-basis Report is an annual filing by each utility required by WAC 480-90-257 for natural gas companies and WAC 480-100-257 for electric companies. </w:t>
      </w:r>
      <w:r>
        <w:rPr>
          <w:sz w:val="20"/>
          <w:szCs w:val="20"/>
        </w:rPr>
        <w:t xml:space="preserve"> It </w:t>
      </w:r>
      <w:r w:rsidRPr="00851492">
        <w:rPr>
          <w:sz w:val="20"/>
          <w:szCs w:val="20"/>
        </w:rPr>
        <w:t xml:space="preserve">depicts a utility’s operations for the prior year with sales based on normal temperatures and power costs based on average hydroelectric conditions, but without annualized expenses or revenues.  The results of operations must also include adjustments required by the Commission by order.  The report must be filed by April 30 each year.  </w:t>
      </w:r>
    </w:p>
  </w:footnote>
  <w:footnote w:id="8">
    <w:p w:rsidR="00CE4474" w:rsidRDefault="00CE4474">
      <w:pPr>
        <w:pStyle w:val="FootnoteText"/>
      </w:pPr>
      <w:r>
        <w:rPr>
          <w:rStyle w:val="FootnoteReference"/>
        </w:rPr>
        <w:footnoteRef/>
      </w:r>
      <w:r>
        <w:t xml:space="preserve"> These riders and offsets include Production Tax Credits, Merger Rate Credit, Tenaska Regulatory Asset Tracker, conservation program riders, low-incom</w:t>
      </w:r>
      <w:bookmarkStart w:id="0" w:name="_GoBack"/>
      <w:r>
        <w:t>e riders, municipal taxes, residential exchange, green power, and renewable energy credits.</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D7"/>
    <w:multiLevelType w:val="hybridMultilevel"/>
    <w:tmpl w:val="DB70D5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7D6B3D"/>
    <w:multiLevelType w:val="hybridMultilevel"/>
    <w:tmpl w:val="BF7A4C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DA772D"/>
    <w:multiLevelType w:val="hybridMultilevel"/>
    <w:tmpl w:val="8EF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823EE"/>
    <w:multiLevelType w:val="hybridMultilevel"/>
    <w:tmpl w:val="54D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55D6B"/>
    <w:multiLevelType w:val="hybridMultilevel"/>
    <w:tmpl w:val="151C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C1E6D96"/>
    <w:multiLevelType w:val="hybridMultilevel"/>
    <w:tmpl w:val="190C5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E"/>
    <w:rsid w:val="00011120"/>
    <w:rsid w:val="0003409F"/>
    <w:rsid w:val="00065C8C"/>
    <w:rsid w:val="00077E79"/>
    <w:rsid w:val="000967FD"/>
    <w:rsid w:val="000D3242"/>
    <w:rsid w:val="000E640C"/>
    <w:rsid w:val="00133B9A"/>
    <w:rsid w:val="00133DF5"/>
    <w:rsid w:val="0014615F"/>
    <w:rsid w:val="00147353"/>
    <w:rsid w:val="001971DD"/>
    <w:rsid w:val="001B1A18"/>
    <w:rsid w:val="001B1E30"/>
    <w:rsid w:val="001B34BC"/>
    <w:rsid w:val="001C5AB1"/>
    <w:rsid w:val="001D0F6C"/>
    <w:rsid w:val="001E1D7A"/>
    <w:rsid w:val="001F1419"/>
    <w:rsid w:val="001F4F61"/>
    <w:rsid w:val="001F64C3"/>
    <w:rsid w:val="002057D2"/>
    <w:rsid w:val="00206512"/>
    <w:rsid w:val="00222F38"/>
    <w:rsid w:val="0024321F"/>
    <w:rsid w:val="0026408B"/>
    <w:rsid w:val="0027070C"/>
    <w:rsid w:val="00293D4E"/>
    <w:rsid w:val="002B1A48"/>
    <w:rsid w:val="002B2F2E"/>
    <w:rsid w:val="002B3B00"/>
    <w:rsid w:val="002C039A"/>
    <w:rsid w:val="002F0348"/>
    <w:rsid w:val="002F647C"/>
    <w:rsid w:val="003119E1"/>
    <w:rsid w:val="00315BA3"/>
    <w:rsid w:val="00316BD3"/>
    <w:rsid w:val="00320064"/>
    <w:rsid w:val="00386380"/>
    <w:rsid w:val="00396872"/>
    <w:rsid w:val="00396CA1"/>
    <w:rsid w:val="003A0B77"/>
    <w:rsid w:val="003A2606"/>
    <w:rsid w:val="003A65F1"/>
    <w:rsid w:val="003B082B"/>
    <w:rsid w:val="003B7B73"/>
    <w:rsid w:val="003E0A58"/>
    <w:rsid w:val="003E1AA4"/>
    <w:rsid w:val="003F02E1"/>
    <w:rsid w:val="003F3E1E"/>
    <w:rsid w:val="00402B0A"/>
    <w:rsid w:val="00411F22"/>
    <w:rsid w:val="00460B61"/>
    <w:rsid w:val="00462D7B"/>
    <w:rsid w:val="00473F4C"/>
    <w:rsid w:val="00474F6A"/>
    <w:rsid w:val="004762BA"/>
    <w:rsid w:val="004A77ED"/>
    <w:rsid w:val="004B214E"/>
    <w:rsid w:val="004C6666"/>
    <w:rsid w:val="004D01DA"/>
    <w:rsid w:val="004E580D"/>
    <w:rsid w:val="00501970"/>
    <w:rsid w:val="005040DB"/>
    <w:rsid w:val="00510267"/>
    <w:rsid w:val="00510CA6"/>
    <w:rsid w:val="005369B3"/>
    <w:rsid w:val="00552600"/>
    <w:rsid w:val="00557660"/>
    <w:rsid w:val="005A6C74"/>
    <w:rsid w:val="005E25A5"/>
    <w:rsid w:val="005E7105"/>
    <w:rsid w:val="00615740"/>
    <w:rsid w:val="00625035"/>
    <w:rsid w:val="00643597"/>
    <w:rsid w:val="0064724A"/>
    <w:rsid w:val="00653433"/>
    <w:rsid w:val="00666CBE"/>
    <w:rsid w:val="00672F7B"/>
    <w:rsid w:val="00691992"/>
    <w:rsid w:val="00692D73"/>
    <w:rsid w:val="006A41EE"/>
    <w:rsid w:val="006A4562"/>
    <w:rsid w:val="006F0755"/>
    <w:rsid w:val="006F0760"/>
    <w:rsid w:val="006F1232"/>
    <w:rsid w:val="0070138A"/>
    <w:rsid w:val="00713E27"/>
    <w:rsid w:val="0074166F"/>
    <w:rsid w:val="00746F62"/>
    <w:rsid w:val="00757773"/>
    <w:rsid w:val="00760711"/>
    <w:rsid w:val="00761B7C"/>
    <w:rsid w:val="00791DA8"/>
    <w:rsid w:val="007C09AD"/>
    <w:rsid w:val="007C6AB4"/>
    <w:rsid w:val="007E6B38"/>
    <w:rsid w:val="007F5895"/>
    <w:rsid w:val="00801AB8"/>
    <w:rsid w:val="00842496"/>
    <w:rsid w:val="00851492"/>
    <w:rsid w:val="00853632"/>
    <w:rsid w:val="008769E7"/>
    <w:rsid w:val="00880E73"/>
    <w:rsid w:val="00883A2E"/>
    <w:rsid w:val="00890B40"/>
    <w:rsid w:val="008C51EB"/>
    <w:rsid w:val="008C61B5"/>
    <w:rsid w:val="008E6382"/>
    <w:rsid w:val="008F4FFF"/>
    <w:rsid w:val="008F5642"/>
    <w:rsid w:val="008F7DDF"/>
    <w:rsid w:val="00902324"/>
    <w:rsid w:val="009113DB"/>
    <w:rsid w:val="00912A43"/>
    <w:rsid w:val="00914B41"/>
    <w:rsid w:val="00953656"/>
    <w:rsid w:val="0095678F"/>
    <w:rsid w:val="009B4629"/>
    <w:rsid w:val="00A03670"/>
    <w:rsid w:val="00A11043"/>
    <w:rsid w:val="00A5262F"/>
    <w:rsid w:val="00A57C7D"/>
    <w:rsid w:val="00A6290B"/>
    <w:rsid w:val="00A644CB"/>
    <w:rsid w:val="00A70BAE"/>
    <w:rsid w:val="00A74ABD"/>
    <w:rsid w:val="00A84A4D"/>
    <w:rsid w:val="00A84C2A"/>
    <w:rsid w:val="00A92547"/>
    <w:rsid w:val="00AA099E"/>
    <w:rsid w:val="00AA2CD1"/>
    <w:rsid w:val="00AB2946"/>
    <w:rsid w:val="00AB2FD2"/>
    <w:rsid w:val="00AD2213"/>
    <w:rsid w:val="00AD3312"/>
    <w:rsid w:val="00AE273E"/>
    <w:rsid w:val="00AF05CB"/>
    <w:rsid w:val="00AF4501"/>
    <w:rsid w:val="00B00699"/>
    <w:rsid w:val="00B13041"/>
    <w:rsid w:val="00B16BBD"/>
    <w:rsid w:val="00B30658"/>
    <w:rsid w:val="00B34850"/>
    <w:rsid w:val="00B3640F"/>
    <w:rsid w:val="00B50FBC"/>
    <w:rsid w:val="00B63CCF"/>
    <w:rsid w:val="00B6544D"/>
    <w:rsid w:val="00B65594"/>
    <w:rsid w:val="00B82CE2"/>
    <w:rsid w:val="00B850D6"/>
    <w:rsid w:val="00B928D6"/>
    <w:rsid w:val="00BF3AAF"/>
    <w:rsid w:val="00C078D0"/>
    <w:rsid w:val="00C12FF9"/>
    <w:rsid w:val="00C1586E"/>
    <w:rsid w:val="00C26E46"/>
    <w:rsid w:val="00C30A4A"/>
    <w:rsid w:val="00C37082"/>
    <w:rsid w:val="00C41AE0"/>
    <w:rsid w:val="00C667ED"/>
    <w:rsid w:val="00C675C8"/>
    <w:rsid w:val="00CC5EEF"/>
    <w:rsid w:val="00CE4474"/>
    <w:rsid w:val="00D05478"/>
    <w:rsid w:val="00D06D31"/>
    <w:rsid w:val="00D17DAC"/>
    <w:rsid w:val="00D22FEE"/>
    <w:rsid w:val="00D36C9D"/>
    <w:rsid w:val="00D377E1"/>
    <w:rsid w:val="00D42DF3"/>
    <w:rsid w:val="00D50DB9"/>
    <w:rsid w:val="00D56087"/>
    <w:rsid w:val="00D61769"/>
    <w:rsid w:val="00D62DB7"/>
    <w:rsid w:val="00D7302B"/>
    <w:rsid w:val="00D94A66"/>
    <w:rsid w:val="00D94CD5"/>
    <w:rsid w:val="00D9572B"/>
    <w:rsid w:val="00D957F9"/>
    <w:rsid w:val="00D96440"/>
    <w:rsid w:val="00DA1B86"/>
    <w:rsid w:val="00DB2320"/>
    <w:rsid w:val="00DD1B50"/>
    <w:rsid w:val="00DD2A47"/>
    <w:rsid w:val="00E00F9C"/>
    <w:rsid w:val="00E1635C"/>
    <w:rsid w:val="00E27152"/>
    <w:rsid w:val="00E27C9A"/>
    <w:rsid w:val="00E27CBD"/>
    <w:rsid w:val="00E31C9B"/>
    <w:rsid w:val="00E436A7"/>
    <w:rsid w:val="00E44B28"/>
    <w:rsid w:val="00E83BC2"/>
    <w:rsid w:val="00EA3F73"/>
    <w:rsid w:val="00EB5364"/>
    <w:rsid w:val="00EC2939"/>
    <w:rsid w:val="00ED3C0B"/>
    <w:rsid w:val="00ED7348"/>
    <w:rsid w:val="00F17DBC"/>
    <w:rsid w:val="00F21B68"/>
    <w:rsid w:val="00F3656B"/>
    <w:rsid w:val="00F44574"/>
    <w:rsid w:val="00F4517E"/>
    <w:rsid w:val="00F46C6B"/>
    <w:rsid w:val="00F90377"/>
    <w:rsid w:val="00FB2099"/>
    <w:rsid w:val="00FB5B8C"/>
    <w:rsid w:val="00FF3760"/>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basedOn w:val="Normal"/>
    <w:link w:val="FootnoteTextChar"/>
    <w:semiHidden/>
    <w:unhideWhenUsed/>
    <w:rsid w:val="00760711"/>
    <w:rPr>
      <w:sz w:val="20"/>
      <w:szCs w:val="20"/>
    </w:rPr>
  </w:style>
  <w:style w:type="character" w:customStyle="1" w:styleId="FootnoteTextChar">
    <w:name w:val="Footnote Text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4EC8B21DBB10C40AB4409B4BAF96A70" ma:contentTypeVersion="143" ma:contentTypeDescription="" ma:contentTypeScope="" ma:versionID="3c7207432fc916bd95c5b70dd967b1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2011-06-13T07:00:00+00:00</OpenedDate>
    <Date1 xmlns="dc463f71-b30c-4ab2-9473-d307f9d35888">2011-12-07T08:00:00+00:00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111048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F1B465-E7CC-4F6A-803F-F64C03190EB9}"/>
</file>

<file path=customXml/itemProps2.xml><?xml version="1.0" encoding="utf-8"?>
<ds:datastoreItem xmlns:ds="http://schemas.openxmlformats.org/officeDocument/2006/customXml" ds:itemID="{F6244B14-9B0B-4885-9171-E582DE4EFAE2}"/>
</file>

<file path=customXml/itemProps3.xml><?xml version="1.0" encoding="utf-8"?>
<ds:datastoreItem xmlns:ds="http://schemas.openxmlformats.org/officeDocument/2006/customXml" ds:itemID="{B51F89D7-2351-4063-BD36-C979BCF27CDF}"/>
</file>

<file path=customXml/itemProps4.xml><?xml version="1.0" encoding="utf-8"?>
<ds:datastoreItem xmlns:ds="http://schemas.openxmlformats.org/officeDocument/2006/customXml" ds:itemID="{B2B3875F-F0A5-4365-AA8D-427FD6922D9F}"/>
</file>

<file path=customXml/itemProps5.xml><?xml version="1.0" encoding="utf-8"?>
<ds:datastoreItem xmlns:ds="http://schemas.openxmlformats.org/officeDocument/2006/customXml" ds:itemID="{99AD4030-BAB0-4CB5-8D8B-B3AEBFDE00CE}"/>
</file>

<file path=docProps/app.xml><?xml version="1.0" encoding="utf-8"?>
<Properties xmlns="http://schemas.openxmlformats.org/officeDocument/2006/extended-properties" xmlns:vt="http://schemas.openxmlformats.org/officeDocument/2006/docPropsVTypes">
  <Template>Normal.dotm</Template>
  <TotalTime>32</TotalTime>
  <Pages>15</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Schooley</dc:creator>
  <cp:lastModifiedBy>Krista Gross</cp:lastModifiedBy>
  <cp:revision>6</cp:revision>
  <dcterms:created xsi:type="dcterms:W3CDTF">2011-12-05T23:30:00Z</dcterms:created>
  <dcterms:modified xsi:type="dcterms:W3CDTF">2011-12-06T16:59:00Z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0x0101006E56B4D1795A2E4DB2F0B01679ED314A00C4EC8B21DBB10C40AB4409B4BAF96A70</vt:lpwstr>
  </property>
  <property fmtid="{D5CDD505-2E9C-101B-9397-08002B2CF9AE}" pid="3" name="_docset_NoMedatataSyncRequired">
    <vt:lpwstr>False</vt:lpwstr>
  </property>
</Properties>
</file>