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15A2" w14:textId="77777777" w:rsidR="00F41430" w:rsidRDefault="00F41430" w:rsidP="00F41430">
      <w:pPr>
        <w:pStyle w:val="Default"/>
      </w:pPr>
    </w:p>
    <w:p w14:paraId="2C806778" w14:textId="77777777" w:rsidR="00F41430" w:rsidRDefault="00F41430" w:rsidP="00F41430">
      <w:pPr>
        <w:rPr>
          <w:sz w:val="23"/>
          <w:szCs w:val="23"/>
        </w:rPr>
      </w:pPr>
      <w:r>
        <w:t xml:space="preserve"> </w:t>
      </w:r>
      <w:r>
        <w:rPr>
          <w:b/>
          <w:bCs/>
          <w:sz w:val="23"/>
          <w:szCs w:val="23"/>
        </w:rPr>
        <w:t xml:space="preserve">Bench Request No. 2: </w:t>
      </w:r>
      <w:r>
        <w:rPr>
          <w:sz w:val="23"/>
          <w:szCs w:val="23"/>
        </w:rPr>
        <w:t xml:space="preserve">With regard to Jason L. Ball’s exhibit, Exh. No. </w:t>
      </w:r>
      <w:proofErr w:type="spellStart"/>
      <w:r>
        <w:rPr>
          <w:sz w:val="23"/>
          <w:szCs w:val="23"/>
        </w:rPr>
        <w:t>JLB-2C</w:t>
      </w:r>
      <w:proofErr w:type="spellEnd"/>
      <w:r>
        <w:rPr>
          <w:sz w:val="23"/>
          <w:szCs w:val="23"/>
        </w:rPr>
        <w:t xml:space="preserve"> at 11: </w:t>
      </w:r>
    </w:p>
    <w:p w14:paraId="04A6FA79" w14:textId="4B472693" w:rsidR="00392B76" w:rsidRPr="00392B76" w:rsidRDefault="00392B76" w:rsidP="00F41430">
      <w:pPr>
        <w:ind w:left="720" w:hanging="720"/>
        <w:rPr>
          <w:b/>
        </w:rPr>
      </w:pPr>
      <w:r w:rsidRPr="00392B76">
        <w:rPr>
          <w:b/>
        </w:rPr>
        <w:t xml:space="preserve">1. </w:t>
      </w:r>
      <w:r w:rsidR="00F41430">
        <w:rPr>
          <w:b/>
        </w:rPr>
        <w:tab/>
      </w:r>
      <w:r w:rsidRPr="00392B76">
        <w:rPr>
          <w:b/>
        </w:rPr>
        <w:t>Please explain how Staff calculated the amounts listed in line number 4 “Normalize 2014 Overhauls” for Coyote Springs 2 (</w:t>
      </w:r>
      <w:proofErr w:type="spellStart"/>
      <w:r w:rsidRPr="00392B76">
        <w:rPr>
          <w:b/>
        </w:rPr>
        <w:t>CS2</w:t>
      </w:r>
      <w:proofErr w:type="spellEnd"/>
      <w:r w:rsidRPr="00392B76">
        <w:rPr>
          <w:b/>
        </w:rPr>
        <w:t xml:space="preserve">) and Colstrip. </w:t>
      </w:r>
      <w:r w:rsidR="00F41430">
        <w:rPr>
          <w:b/>
        </w:rPr>
        <w:t xml:space="preserve"> </w:t>
      </w:r>
      <w:r w:rsidRPr="00392B76">
        <w:rPr>
          <w:b/>
        </w:rPr>
        <w:t>Please provide supporting workpapers in electronic form with formulas intact, including annotation and/or cross-reference to data source.</w:t>
      </w:r>
    </w:p>
    <w:p w14:paraId="04A6FA7A" w14:textId="77777777" w:rsidR="00392B76" w:rsidRDefault="00392B76" w:rsidP="00F41430">
      <w:pPr>
        <w:ind w:left="720"/>
      </w:pPr>
      <w:r>
        <w:t xml:space="preserve">Please see </w:t>
      </w:r>
      <w:r w:rsidR="00532809">
        <w:t xml:space="preserve">Confidential </w:t>
      </w:r>
      <w:r>
        <w:t xml:space="preserve">Attachment A to WUTC Response to Bench Request No. 2 for the appropriate workpaper.  </w:t>
      </w:r>
    </w:p>
    <w:p w14:paraId="04A6FA7B" w14:textId="77777777" w:rsidR="00392B76" w:rsidRPr="00392B76" w:rsidRDefault="00392B76" w:rsidP="00392B76">
      <w:pPr>
        <w:rPr>
          <w:b/>
        </w:rPr>
      </w:pPr>
    </w:p>
    <w:p w14:paraId="04A6FA7C" w14:textId="039FC20D" w:rsidR="00E139B0" w:rsidRPr="00392B76" w:rsidRDefault="001D54F1" w:rsidP="00392B76">
      <w:pPr>
        <w:rPr>
          <w:b/>
        </w:rPr>
      </w:pPr>
      <w:r w:rsidRPr="00392B76">
        <w:rPr>
          <w:b/>
        </w:rPr>
        <w:t xml:space="preserve">2.  </w:t>
      </w:r>
      <w:r w:rsidR="00F41430">
        <w:rPr>
          <w:b/>
        </w:rPr>
        <w:tab/>
      </w:r>
      <w:r w:rsidRPr="00392B76">
        <w:rPr>
          <w:b/>
        </w:rPr>
        <w:t>Why was this method for Normalization selected?</w:t>
      </w:r>
    </w:p>
    <w:p w14:paraId="04A6FA7D" w14:textId="3E75A22C" w:rsidR="00527D74" w:rsidRDefault="00527D74" w:rsidP="00F41430">
      <w:pPr>
        <w:ind w:left="720"/>
      </w:pPr>
      <w:r>
        <w:t xml:space="preserve">Staff recommends normalization be applied to the </w:t>
      </w:r>
      <w:r w:rsidR="00340BF4">
        <w:t>O</w:t>
      </w:r>
      <w:r>
        <w:t>verhauls for Coyote Springs 2 (</w:t>
      </w:r>
      <w:proofErr w:type="spellStart"/>
      <w:r>
        <w:t>CS2</w:t>
      </w:r>
      <w:proofErr w:type="spellEnd"/>
      <w:r>
        <w:t>) and C</w:t>
      </w:r>
      <w:r w:rsidR="00771EA6">
        <w:t xml:space="preserve">olstrip </w:t>
      </w:r>
      <w:r>
        <w:t>for</w:t>
      </w:r>
      <w:r w:rsidR="00771EA6">
        <w:t xml:space="preserve"> </w:t>
      </w:r>
      <w:r>
        <w:t>t</w:t>
      </w:r>
      <w:r w:rsidR="00340BF4">
        <w:t xml:space="preserve">wo reasons: one, </w:t>
      </w:r>
      <w:r w:rsidR="00D2198C">
        <w:t xml:space="preserve">to </w:t>
      </w:r>
      <w:r w:rsidR="00507163">
        <w:t>allow for the full recovery of this expense over time</w:t>
      </w:r>
      <w:r w:rsidR="00D2198C" w:rsidRPr="00D2198C">
        <w:t xml:space="preserve"> </w:t>
      </w:r>
      <w:r w:rsidR="00771EA6">
        <w:t>and</w:t>
      </w:r>
      <w:r w:rsidR="00340BF4">
        <w:t xml:space="preserve"> two,</w:t>
      </w:r>
      <w:r w:rsidR="00771EA6">
        <w:t xml:space="preserve"> </w:t>
      </w:r>
      <w:r w:rsidR="00D2198C">
        <w:t>for the sake of simplicity</w:t>
      </w:r>
      <w:r>
        <w:t>.  Normalization</w:t>
      </w:r>
      <w:r w:rsidR="00340BF4">
        <w:t xml:space="preserve"> is a standard r</w:t>
      </w:r>
      <w:r w:rsidR="00C5516E">
        <w:t>egulatory tool that smooths the corresponding revenues for an expense over the appropriate time frame</w:t>
      </w:r>
      <w:r>
        <w:t>.</w:t>
      </w:r>
      <w:r>
        <w:rPr>
          <w:rStyle w:val="FootnoteReference"/>
        </w:rPr>
        <w:footnoteReference w:id="1"/>
      </w:r>
      <w:r>
        <w:t xml:space="preserve"> </w:t>
      </w:r>
    </w:p>
    <w:p w14:paraId="04A6FA7E" w14:textId="29BE2241" w:rsidR="005615C6" w:rsidRDefault="004516A2" w:rsidP="00F41430">
      <w:pPr>
        <w:ind w:left="720"/>
      </w:pPr>
      <w:r>
        <w:t>T</w:t>
      </w:r>
      <w:r w:rsidR="00FA28FA">
        <w:t xml:space="preserve">he scheduled overhauls for </w:t>
      </w:r>
      <w:proofErr w:type="spellStart"/>
      <w:r w:rsidR="00E139B0">
        <w:t>CS2</w:t>
      </w:r>
      <w:proofErr w:type="spellEnd"/>
      <w:r w:rsidR="00FA28FA">
        <w:t xml:space="preserve"> and Colstrip occur regularly, but not annually.  </w:t>
      </w:r>
      <w:proofErr w:type="spellStart"/>
      <w:r w:rsidR="00FF65D5">
        <w:t>CS2</w:t>
      </w:r>
      <w:proofErr w:type="spellEnd"/>
      <w:r w:rsidR="00A118FC">
        <w:t xml:space="preserve"> Overhauls are</w:t>
      </w:r>
      <w:r w:rsidR="00FF65D5">
        <w:t xml:space="preserve"> based on run hours and occur every four years</w:t>
      </w:r>
      <w:r w:rsidR="00E139B0" w:rsidRPr="00E139B0">
        <w:t xml:space="preserve"> </w:t>
      </w:r>
      <w:r w:rsidR="00E139B0">
        <w:t>approximately</w:t>
      </w:r>
      <w:r w:rsidR="00FF65D5">
        <w:t>, while</w:t>
      </w:r>
      <w:r w:rsidR="00C5516E">
        <w:t xml:space="preserve"> each unit of</w:t>
      </w:r>
      <w:r w:rsidR="00FF65D5">
        <w:t xml:space="preserve"> Colst</w:t>
      </w:r>
      <w:r w:rsidR="00DE73E1">
        <w:t>rip is overhauled every three</w:t>
      </w:r>
      <w:r w:rsidR="00C5516E">
        <w:t xml:space="preserve"> years</w:t>
      </w:r>
      <w:r w:rsidR="00DE73E1">
        <w:t>.</w:t>
      </w:r>
      <w:r>
        <w:t xml:space="preserve">  </w:t>
      </w:r>
      <w:r w:rsidR="00142DC3">
        <w:t xml:space="preserve">Since these </w:t>
      </w:r>
      <w:r w:rsidR="003F400B">
        <w:t xml:space="preserve">Overhauls </w:t>
      </w:r>
      <w:r w:rsidR="00142DC3">
        <w:t xml:space="preserve">occur regularly but not every year, it is </w:t>
      </w:r>
      <w:r w:rsidR="00507163">
        <w:t xml:space="preserve">unfair </w:t>
      </w:r>
      <w:r w:rsidR="00142DC3">
        <w:t xml:space="preserve">to include them, without modification, in a traditional test period.  These expenses </w:t>
      </w:r>
      <w:r w:rsidR="00ED0A99">
        <w:t xml:space="preserve">may </w:t>
      </w:r>
      <w:r w:rsidR="00142DC3">
        <w:t xml:space="preserve">be </w:t>
      </w:r>
      <w:r w:rsidR="00ED0A99">
        <w:t xml:space="preserve">adjusted </w:t>
      </w:r>
      <w:r w:rsidR="00142DC3">
        <w:t xml:space="preserve">in some manner, or </w:t>
      </w:r>
      <w:r w:rsidR="00ED0A99">
        <w:t xml:space="preserve">that year’s </w:t>
      </w:r>
      <w:r w:rsidR="00142DC3">
        <w:t xml:space="preserve">ultimate revenue requirement would not reflect </w:t>
      </w:r>
      <w:r w:rsidR="00ED0A99">
        <w:t>an ongoing</w:t>
      </w:r>
      <w:r w:rsidR="00C5516E">
        <w:t xml:space="preserve"> </w:t>
      </w:r>
      <w:r w:rsidR="00E139B0">
        <w:t>level of expense</w:t>
      </w:r>
      <w:r w:rsidR="00C5516E">
        <w:t xml:space="preserve">.  </w:t>
      </w:r>
      <w:r w:rsidR="005615C6">
        <w:t>There exists three standard options to handle these events:</w:t>
      </w:r>
    </w:p>
    <w:p w14:paraId="04A6FA7F" w14:textId="684BA235" w:rsidR="005615C6" w:rsidRDefault="005615C6" w:rsidP="000A642F">
      <w:pPr>
        <w:ind w:left="720"/>
      </w:pPr>
      <w:r>
        <w:t>1)</w:t>
      </w:r>
      <w:r>
        <w:tab/>
      </w:r>
      <w:r w:rsidR="00ED0A99">
        <w:t xml:space="preserve">The use of </w:t>
      </w:r>
      <w:r w:rsidR="00391555">
        <w:t>n</w:t>
      </w:r>
      <w:r w:rsidR="00ED0A99">
        <w:t>ormalization to determine revenue requirement;</w:t>
      </w:r>
    </w:p>
    <w:p w14:paraId="04A6FA80" w14:textId="531B9548" w:rsidR="005615C6" w:rsidRDefault="005615C6" w:rsidP="000A642F">
      <w:pPr>
        <w:ind w:left="1440" w:hanging="720"/>
      </w:pPr>
      <w:r>
        <w:t>2)</w:t>
      </w:r>
      <w:r>
        <w:tab/>
      </w:r>
      <w:r w:rsidR="00ED0A99">
        <w:t>The creation of a regulatory asset and amortization schedule;</w:t>
      </w:r>
      <w:r>
        <w:t xml:space="preserve">  </w:t>
      </w:r>
    </w:p>
    <w:p w14:paraId="04A6FA81" w14:textId="77777777" w:rsidR="000A642F" w:rsidRDefault="005615C6" w:rsidP="00D92F6C">
      <w:pPr>
        <w:spacing w:after="0"/>
        <w:ind w:left="720"/>
      </w:pPr>
      <w:r>
        <w:t>3)</w:t>
      </w:r>
      <w:r>
        <w:tab/>
      </w:r>
      <w:r w:rsidR="000A642F">
        <w:t xml:space="preserve">The creation of a tracker mechanism.  </w:t>
      </w:r>
    </w:p>
    <w:p w14:paraId="04A6FA82" w14:textId="77777777" w:rsidR="000A642F" w:rsidRDefault="000A642F" w:rsidP="00D92F6C">
      <w:pPr>
        <w:spacing w:after="0" w:line="240" w:lineRule="auto"/>
      </w:pPr>
    </w:p>
    <w:p w14:paraId="04A6FA83" w14:textId="25A7373D" w:rsidR="001B1D9F" w:rsidRDefault="005615C6" w:rsidP="00F41430">
      <w:pPr>
        <w:ind w:left="720"/>
      </w:pPr>
      <w:r>
        <w:t>Staff r</w:t>
      </w:r>
      <w:r w:rsidR="00B14257">
        <w:t>ecommends n</w:t>
      </w:r>
      <w:r w:rsidR="00B0631E">
        <w:t>ormalization as a simple translation of th</w:t>
      </w:r>
      <w:r w:rsidR="006B6AAB">
        <w:t>e</w:t>
      </w:r>
      <w:r w:rsidR="000C5217">
        <w:t xml:space="preserve"> </w:t>
      </w:r>
      <w:r w:rsidR="000A642F">
        <w:t>Overhaul</w:t>
      </w:r>
      <w:r>
        <w:t xml:space="preserve"> cost to </w:t>
      </w:r>
      <w:r w:rsidR="008C701E">
        <w:t xml:space="preserve">an </w:t>
      </w:r>
      <w:r>
        <w:t xml:space="preserve">appropriate </w:t>
      </w:r>
      <w:r w:rsidR="008C701E">
        <w:t>level of annual expense recovery</w:t>
      </w:r>
      <w:r>
        <w:t xml:space="preserve">.  </w:t>
      </w:r>
      <w:r w:rsidR="008C701E">
        <w:t xml:space="preserve">The derived </w:t>
      </w:r>
      <w:r>
        <w:t>revenue</w:t>
      </w:r>
      <w:r w:rsidR="008C701E">
        <w:t>s for the normalized</w:t>
      </w:r>
      <w:r>
        <w:t xml:space="preserve"> expense over the maintenance cycle avoids the complex regulatory burden</w:t>
      </w:r>
      <w:r w:rsidR="008C701E">
        <w:t>s</w:t>
      </w:r>
      <w:r>
        <w:t xml:space="preserve"> </w:t>
      </w:r>
      <w:r w:rsidR="000A642F">
        <w:t>of</w:t>
      </w:r>
      <w:r>
        <w:t xml:space="preserve"> tracker mechanisms.</w:t>
      </w:r>
      <w:r w:rsidR="00DE01EF">
        <w:t xml:space="preserve">  A tracker mechanism is </w:t>
      </w:r>
      <w:r w:rsidR="008C701E">
        <w:t xml:space="preserve">also </w:t>
      </w:r>
      <w:r w:rsidR="00DE01EF">
        <w:t xml:space="preserve">inappropriate for an item that is moderately small, relative to the Company’s entire revenue requirement.  </w:t>
      </w:r>
      <w:r>
        <w:t xml:space="preserve">  </w:t>
      </w:r>
    </w:p>
    <w:p w14:paraId="04A6FA84" w14:textId="0158D73D" w:rsidR="001B1D9F" w:rsidRDefault="001B1D9F" w:rsidP="00F41430">
      <w:pPr>
        <w:ind w:left="720"/>
      </w:pPr>
      <w:r>
        <w:lastRenderedPageBreak/>
        <w:t>The Company criticizes Staff</w:t>
      </w:r>
      <w:r w:rsidR="00B57420">
        <w:t xml:space="preserve"> because it does not </w:t>
      </w:r>
      <w:r w:rsidR="00DE01EF">
        <w:t>advocate for</w:t>
      </w:r>
      <w:r w:rsidR="00B57420">
        <w:t xml:space="preserve"> the</w:t>
      </w:r>
      <w:r w:rsidR="00A75F82">
        <w:t xml:space="preserve"> </w:t>
      </w:r>
      <w:r w:rsidR="008C701E">
        <w:t xml:space="preserve">second </w:t>
      </w:r>
      <w:r w:rsidR="00A75F82">
        <w:t xml:space="preserve">approach, </w:t>
      </w:r>
      <w:r w:rsidR="0004218E">
        <w:t xml:space="preserve">the creation of </w:t>
      </w:r>
      <w:r w:rsidR="00A75F82">
        <w:t>r</w:t>
      </w:r>
      <w:r w:rsidR="00EA7460">
        <w:t xml:space="preserve">egulatory </w:t>
      </w:r>
      <w:r w:rsidR="00A75F82">
        <w:t>a</w:t>
      </w:r>
      <w:r w:rsidR="00EA7460">
        <w:t>sset</w:t>
      </w:r>
      <w:r w:rsidR="00A75F82">
        <w:t>s</w:t>
      </w:r>
      <w:r w:rsidR="008C701E">
        <w:t xml:space="preserve"> stating</w:t>
      </w:r>
      <w:r>
        <w:t xml:space="preserve">: </w:t>
      </w:r>
    </w:p>
    <w:p w14:paraId="04A6FA85" w14:textId="77777777" w:rsidR="001B1D9F" w:rsidRDefault="001B1D9F" w:rsidP="00F41430">
      <w:pPr>
        <w:ind w:left="1440" w:right="720"/>
      </w:pPr>
      <w:r>
        <w:t xml:space="preserve">The proposed normalization of major maintenance expenses by Staff and ICNU normalizes the costs </w:t>
      </w:r>
      <w:r w:rsidRPr="00E05E03">
        <w:rPr>
          <w:u w:val="single"/>
        </w:rPr>
        <w:t>for customers</w:t>
      </w:r>
      <w:r>
        <w:t xml:space="preserve">; however, their proposals do not take into account the effect the major maintenance costs on </w:t>
      </w:r>
      <w:r w:rsidRPr="00E05E03">
        <w:rPr>
          <w:u w:val="single"/>
        </w:rPr>
        <w:t>the Company</w:t>
      </w:r>
      <w:r>
        <w:t>.  Without Commission approval to defer these major maintenance expenses, and amortize them over the appropriate time period, Avista would be required to recognize the entire expense in the year the expenses are incurred.</w:t>
      </w:r>
      <w:r>
        <w:rPr>
          <w:rStyle w:val="FootnoteReference"/>
        </w:rPr>
        <w:footnoteReference w:id="2"/>
      </w:r>
    </w:p>
    <w:p w14:paraId="04A6FA86" w14:textId="77777777" w:rsidR="00B57420" w:rsidRDefault="00152EBD" w:rsidP="00F41430">
      <w:pPr>
        <w:ind w:left="720"/>
      </w:pPr>
      <w:r>
        <w:t xml:space="preserve">The Company suggests that the appropriate solution is to create a </w:t>
      </w:r>
      <w:r w:rsidR="00DE01EF">
        <w:t xml:space="preserve">single </w:t>
      </w:r>
      <w:r>
        <w:t xml:space="preserve">regulatory asset </w:t>
      </w:r>
      <w:r w:rsidR="00DE01EF">
        <w:t xml:space="preserve">for both </w:t>
      </w:r>
      <w:proofErr w:type="spellStart"/>
      <w:r w:rsidR="00DE01EF">
        <w:t>CS2</w:t>
      </w:r>
      <w:proofErr w:type="spellEnd"/>
      <w:r w:rsidR="00DE01EF">
        <w:t xml:space="preserve"> and Colstrip Overhauls </w:t>
      </w:r>
      <w:r>
        <w:t>and amortize it over a four year time frame.</w:t>
      </w:r>
      <w:r>
        <w:rPr>
          <w:rStyle w:val="FootnoteReference"/>
        </w:rPr>
        <w:footnoteReference w:id="3"/>
      </w:r>
      <w:r w:rsidR="00444A76">
        <w:t xml:space="preserve">  </w:t>
      </w:r>
    </w:p>
    <w:p w14:paraId="04A6FA87" w14:textId="3F0E4FED" w:rsidR="002C4AF7" w:rsidRDefault="00B57420" w:rsidP="00F41430">
      <w:pPr>
        <w:ind w:left="720"/>
      </w:pPr>
      <w:r>
        <w:t xml:space="preserve">Staff did not recommend </w:t>
      </w:r>
      <w:r w:rsidR="0004218E">
        <w:t>creating a regulatory asset</w:t>
      </w:r>
      <w:r w:rsidR="00C00E3A">
        <w:t xml:space="preserve"> because </w:t>
      </w:r>
      <w:r w:rsidR="00444A76">
        <w:t xml:space="preserve">the Company does </w:t>
      </w:r>
      <w:r w:rsidR="005C5E2E">
        <w:t xml:space="preserve">not </w:t>
      </w:r>
      <w:r w:rsidR="00444A76">
        <w:t xml:space="preserve">need </w:t>
      </w:r>
      <w:r w:rsidR="007C73A2">
        <w:t>regulatory intervention</w:t>
      </w:r>
      <w:r w:rsidR="00444A76">
        <w:t xml:space="preserve"> to def</w:t>
      </w:r>
      <w:r w:rsidR="00B14257">
        <w:t>er these c</w:t>
      </w:r>
      <w:bookmarkStart w:id="0" w:name="_GoBack"/>
      <w:bookmarkEnd w:id="0"/>
      <w:r w:rsidR="00244EB1">
        <w:t>osts</w:t>
      </w:r>
      <w:r w:rsidR="008C701E">
        <w:t xml:space="preserve">. </w:t>
      </w:r>
      <w:r w:rsidR="00444A76">
        <w:t>Financial Accounting</w:t>
      </w:r>
      <w:r w:rsidR="00611DF0">
        <w:t xml:space="preserve"> Standard </w:t>
      </w:r>
      <w:r w:rsidR="00E435FE">
        <w:t>908-360</w:t>
      </w:r>
      <w:r w:rsidR="00AE2C9F">
        <w:t xml:space="preserve"> </w:t>
      </w:r>
      <w:r w:rsidR="00611DF0">
        <w:t>allows the</w:t>
      </w:r>
      <w:r w:rsidR="00E435FE">
        <w:t xml:space="preserve"> Company to </w:t>
      </w:r>
      <w:r w:rsidR="00C00E3A">
        <w:t xml:space="preserve">use the deferral method for overhauls and </w:t>
      </w:r>
      <w:r w:rsidR="00AE2C9F">
        <w:t>amortize the actual cost until the next overhaul</w:t>
      </w:r>
      <w:r w:rsidR="00C00E3A">
        <w:t>.</w:t>
      </w:r>
      <w:r w:rsidR="00D644C4">
        <w:rPr>
          <w:rStyle w:val="FootnoteReference"/>
        </w:rPr>
        <w:footnoteReference w:id="4"/>
      </w:r>
      <w:r w:rsidR="00C00E3A">
        <w:t xml:space="preserve">  Further, </w:t>
      </w:r>
      <w:r w:rsidR="008C701E">
        <w:t xml:space="preserve">Staff believes </w:t>
      </w:r>
      <w:r w:rsidR="00C00E3A">
        <w:t>the use of a regulatory</w:t>
      </w:r>
      <w:r w:rsidR="005C5E2E">
        <w:t xml:space="preserve"> asset</w:t>
      </w:r>
      <w:r w:rsidR="00C00E3A">
        <w:t xml:space="preserve"> </w:t>
      </w:r>
      <w:r w:rsidR="005C5E2E">
        <w:t>linked to</w:t>
      </w:r>
      <w:r w:rsidR="00C00E3A">
        <w:t xml:space="preserve"> the </w:t>
      </w:r>
      <w:r w:rsidR="005C5E2E">
        <w:t>incurred</w:t>
      </w:r>
      <w:r w:rsidR="00C00E3A">
        <w:t xml:space="preserve"> cost of the overhaul eliminates an important incentive for the Company to control the actual costs</w:t>
      </w:r>
      <w:r w:rsidR="0004218E">
        <w:t xml:space="preserve">.  </w:t>
      </w:r>
    </w:p>
    <w:p w14:paraId="04A6FA88" w14:textId="40B34F48" w:rsidR="002B32C9" w:rsidRDefault="0004218E" w:rsidP="00F41430">
      <w:pPr>
        <w:ind w:left="720"/>
      </w:pPr>
      <w:r>
        <w:t>I</w:t>
      </w:r>
      <w:r w:rsidR="002B32C9">
        <w:t xml:space="preserve">f the </w:t>
      </w:r>
      <w:r>
        <w:t>C</w:t>
      </w:r>
      <w:r w:rsidR="002B32C9">
        <w:t>ommission is concerned about</w:t>
      </w:r>
      <w:r>
        <w:t xml:space="preserve"> the Company’s ability to use this type of </w:t>
      </w:r>
      <w:r w:rsidR="00244EB1">
        <w:t xml:space="preserve">FASB </w:t>
      </w:r>
      <w:r>
        <w:t xml:space="preserve">accounting, then Staff </w:t>
      </w:r>
      <w:r w:rsidR="008C701E">
        <w:t>can accept</w:t>
      </w:r>
      <w:r>
        <w:t xml:space="preserve"> the creation of</w:t>
      </w:r>
      <w:r w:rsidR="009B6BDA">
        <w:t xml:space="preserve"> a</w:t>
      </w:r>
      <w:r>
        <w:t xml:space="preserve"> regulatory asset</w:t>
      </w:r>
      <w:r w:rsidR="007927B1">
        <w:t xml:space="preserve"> </w:t>
      </w:r>
      <w:r w:rsidR="00244EB1">
        <w:t xml:space="preserve">similar to the approach Avista recommends in its rebuttal case.  However, Staff advocates a separate regulatory asset </w:t>
      </w:r>
      <w:r w:rsidR="007927B1">
        <w:t xml:space="preserve">for </w:t>
      </w:r>
      <w:r w:rsidR="007927B1" w:rsidRPr="009B6BDA">
        <w:rPr>
          <w:u w:val="single"/>
        </w:rPr>
        <w:t>each</w:t>
      </w:r>
      <w:r w:rsidR="007927B1">
        <w:t xml:space="preserve"> Overhaul</w:t>
      </w:r>
      <w:r>
        <w:t xml:space="preserve"> </w:t>
      </w:r>
      <w:r w:rsidR="007927B1">
        <w:t xml:space="preserve">with an </w:t>
      </w:r>
      <w:r w:rsidR="00D2198C">
        <w:t>amortization schedule matching the expected</w:t>
      </w:r>
      <w:r>
        <w:t xml:space="preserve"> cycle of maintenance </w:t>
      </w:r>
      <w:r w:rsidR="00244EB1">
        <w:t>of</w:t>
      </w:r>
      <w:r>
        <w:t xml:space="preserve"> </w:t>
      </w:r>
      <w:r w:rsidRPr="009B6BDA">
        <w:rPr>
          <w:u w:val="single"/>
        </w:rPr>
        <w:t>each</w:t>
      </w:r>
      <w:r>
        <w:t xml:space="preserve"> plant</w:t>
      </w:r>
      <w:r w:rsidR="00102FDB">
        <w:t xml:space="preserve"> (three years for Colstrip, and four years</w:t>
      </w:r>
      <w:r w:rsidR="002C4AF7">
        <w:t xml:space="preserve"> for </w:t>
      </w:r>
      <w:proofErr w:type="spellStart"/>
      <w:r w:rsidR="002C4AF7">
        <w:t>CS2</w:t>
      </w:r>
      <w:proofErr w:type="spellEnd"/>
      <w:r w:rsidR="002C4AF7">
        <w:t xml:space="preserve">).  Although this somewhat increases the regulatory burden, Staff believes it is more important to maintain a consistent matching of </w:t>
      </w:r>
      <w:r w:rsidR="00986F49">
        <w:t>the amortization</w:t>
      </w:r>
      <w:r w:rsidR="002C4AF7">
        <w:t xml:space="preserve"> </w:t>
      </w:r>
      <w:r w:rsidR="00986F49">
        <w:t>for these</w:t>
      </w:r>
      <w:r w:rsidR="002C4AF7">
        <w:t xml:space="preserve"> regulatory assets with the </w:t>
      </w:r>
      <w:r w:rsidR="00986F49">
        <w:t>maintenance cycle</w:t>
      </w:r>
      <w:r w:rsidR="002C4AF7">
        <w:t xml:space="preserve"> </w:t>
      </w:r>
      <w:r w:rsidR="00986F49">
        <w:t>of</w:t>
      </w:r>
      <w:r w:rsidR="00B07BEC">
        <w:t xml:space="preserve"> each</w:t>
      </w:r>
      <w:r w:rsidR="002C4AF7">
        <w:t xml:space="preserve"> Overhaul.</w:t>
      </w:r>
      <w:r w:rsidR="008C701E">
        <w:rPr>
          <w:rStyle w:val="FootnoteReference"/>
        </w:rPr>
        <w:footnoteReference w:id="5"/>
      </w:r>
      <w:r w:rsidR="002C4AF7">
        <w:t xml:space="preserve">  </w:t>
      </w:r>
    </w:p>
    <w:p w14:paraId="04A6FA89" w14:textId="77777777" w:rsidR="002B32C9" w:rsidRDefault="002B32C9" w:rsidP="00DE73E1"/>
    <w:sectPr w:rsidR="002B32C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6FA8C" w14:textId="77777777" w:rsidR="00527D74" w:rsidRDefault="00527D74" w:rsidP="00527D74">
      <w:pPr>
        <w:spacing w:after="0" w:line="240" w:lineRule="auto"/>
      </w:pPr>
      <w:r>
        <w:separator/>
      </w:r>
    </w:p>
  </w:endnote>
  <w:endnote w:type="continuationSeparator" w:id="0">
    <w:p w14:paraId="04A6FA8D" w14:textId="77777777" w:rsidR="00527D74" w:rsidRDefault="00527D74" w:rsidP="0052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6FA8A" w14:textId="77777777" w:rsidR="00527D74" w:rsidRDefault="00527D74" w:rsidP="00527D74">
      <w:pPr>
        <w:spacing w:after="0" w:line="240" w:lineRule="auto"/>
      </w:pPr>
      <w:r>
        <w:separator/>
      </w:r>
    </w:p>
  </w:footnote>
  <w:footnote w:type="continuationSeparator" w:id="0">
    <w:p w14:paraId="04A6FA8B" w14:textId="77777777" w:rsidR="00527D74" w:rsidRDefault="00527D74" w:rsidP="00527D74">
      <w:pPr>
        <w:spacing w:after="0" w:line="240" w:lineRule="auto"/>
      </w:pPr>
      <w:r>
        <w:continuationSeparator/>
      </w:r>
    </w:p>
  </w:footnote>
  <w:footnote w:id="1">
    <w:p w14:paraId="04A6FAA1" w14:textId="77777777" w:rsidR="00527D74" w:rsidRDefault="00527D74">
      <w:pPr>
        <w:pStyle w:val="FootnoteText"/>
      </w:pPr>
      <w:r>
        <w:rPr>
          <w:rStyle w:val="FootnoteReference"/>
        </w:rPr>
        <w:footnoteRef/>
      </w:r>
      <w:r>
        <w:t xml:space="preserve"> </w:t>
      </w:r>
      <w:r w:rsidR="00AE1528">
        <w:t>Ball, Direct Exhibit No.</w:t>
      </w:r>
      <w:r w:rsidR="00DE01EF">
        <w:t xml:space="preserve"> </w:t>
      </w:r>
      <w:r w:rsidR="00AE1528">
        <w:t>___(</w:t>
      </w:r>
      <w:proofErr w:type="spellStart"/>
      <w:r w:rsidR="00AE1528">
        <w:t>JLB-1T</w:t>
      </w:r>
      <w:proofErr w:type="spellEnd"/>
      <w:r w:rsidR="00AE1528">
        <w:t>) at 14:1-6</w:t>
      </w:r>
    </w:p>
  </w:footnote>
  <w:footnote w:id="2">
    <w:p w14:paraId="04A6FAA2" w14:textId="77777777" w:rsidR="001B1D9F" w:rsidRDefault="001B1D9F">
      <w:pPr>
        <w:pStyle w:val="FootnoteText"/>
      </w:pPr>
      <w:r>
        <w:rPr>
          <w:rStyle w:val="FootnoteReference"/>
        </w:rPr>
        <w:footnoteRef/>
      </w:r>
      <w:r>
        <w:t xml:space="preserve"> </w:t>
      </w:r>
      <w:r w:rsidR="00DE01EF">
        <w:t>Norwood, Rebuttal Exhibit No. ___(</w:t>
      </w:r>
      <w:proofErr w:type="spellStart"/>
      <w:r w:rsidR="00DE01EF">
        <w:t>KON-1T</w:t>
      </w:r>
      <w:proofErr w:type="spellEnd"/>
      <w:r w:rsidR="00DE01EF">
        <w:t xml:space="preserve">) at </w:t>
      </w:r>
      <w:r>
        <w:t>44:18-45:3</w:t>
      </w:r>
    </w:p>
  </w:footnote>
  <w:footnote w:id="3">
    <w:p w14:paraId="04A6FAA3" w14:textId="77777777" w:rsidR="00152EBD" w:rsidRDefault="00152EBD">
      <w:pPr>
        <w:pStyle w:val="FootnoteText"/>
      </w:pPr>
      <w:r>
        <w:rPr>
          <w:rStyle w:val="FootnoteReference"/>
        </w:rPr>
        <w:footnoteRef/>
      </w:r>
      <w:r>
        <w:t xml:space="preserve"> </w:t>
      </w:r>
      <w:proofErr w:type="spellStart"/>
      <w:r w:rsidR="0058248F">
        <w:rPr>
          <w:i/>
        </w:rPr>
        <w:t>Idib</w:t>
      </w:r>
      <w:proofErr w:type="spellEnd"/>
      <w:r w:rsidR="0058248F">
        <w:rPr>
          <w:i/>
        </w:rPr>
        <w:t xml:space="preserve">. </w:t>
      </w:r>
      <w:r w:rsidR="0058248F">
        <w:t xml:space="preserve">at </w:t>
      </w:r>
      <w:r w:rsidR="00444A76">
        <w:t>46:3-9</w:t>
      </w:r>
    </w:p>
  </w:footnote>
  <w:footnote w:id="4">
    <w:p w14:paraId="04A6FAA4" w14:textId="77777777" w:rsidR="00D644C4" w:rsidRDefault="00D644C4">
      <w:pPr>
        <w:pStyle w:val="FootnoteText"/>
      </w:pPr>
      <w:r>
        <w:rPr>
          <w:rStyle w:val="FootnoteReference"/>
        </w:rPr>
        <w:footnoteRef/>
      </w:r>
      <w:r>
        <w:t xml:space="preserve"> </w:t>
      </w:r>
      <w:r w:rsidR="00F928F9">
        <w:t>It was indicated to Staff t</w:t>
      </w:r>
      <w:r>
        <w:t>hrough informa</w:t>
      </w:r>
      <w:r w:rsidR="00876C51">
        <w:t xml:space="preserve">l discussions with the Company </w:t>
      </w:r>
      <w:r>
        <w:t xml:space="preserve">that </w:t>
      </w:r>
      <w:r w:rsidR="00876C51">
        <w:t xml:space="preserve">the </w:t>
      </w:r>
      <w:r w:rsidR="00F928F9">
        <w:t>reluctance</w:t>
      </w:r>
      <w:r>
        <w:t xml:space="preserve"> to use this FASB accounting method</w:t>
      </w:r>
      <w:r w:rsidR="00F928F9">
        <w:t xml:space="preserve"> is in part be</w:t>
      </w:r>
      <w:r>
        <w:t xml:space="preserve">cause the Company’s auditors may require them to restate their books for the last few years.  </w:t>
      </w:r>
      <w:r w:rsidR="001C15A7">
        <w:t>Such a</w:t>
      </w:r>
      <w:r>
        <w:t xml:space="preserve"> restatement can be viewed as a negative event in the eyes of investor’s.  </w:t>
      </w:r>
    </w:p>
  </w:footnote>
  <w:footnote w:id="5">
    <w:p w14:paraId="71334B76" w14:textId="11BB855D" w:rsidR="008C701E" w:rsidRDefault="008C701E">
      <w:pPr>
        <w:pStyle w:val="FootnoteText"/>
      </w:pPr>
      <w:r>
        <w:rPr>
          <w:rStyle w:val="FootnoteReference"/>
        </w:rPr>
        <w:footnoteRef/>
      </w:r>
      <w:r>
        <w:t xml:space="preserve"> If Avista has a simpler approach that achieves the same result, that is, each major maintenance event is spread over the time until its next occurrence, then staff could accept that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6FA8F" w14:textId="77777777" w:rsidR="001C0B34" w:rsidRDefault="001C0B34" w:rsidP="001C0B34">
    <w:pPr>
      <w:tabs>
        <w:tab w:val="center" w:pos="4680"/>
      </w:tabs>
      <w:spacing w:after="0"/>
      <w:jc w:val="center"/>
    </w:pPr>
    <w:smartTag w:uri="urn:schemas-microsoft-com:office:smarttags" w:element="State">
      <w:smartTag w:uri="urn:schemas-microsoft-com:office:smarttags" w:element="place">
        <w:r>
          <w:t>WASHINGTON</w:t>
        </w:r>
      </w:smartTag>
    </w:smartTag>
    <w:r>
      <w:t xml:space="preserve"> UTILITIES AND TRANSPORTATION COMMISSION STAFF</w:t>
    </w:r>
  </w:p>
  <w:p w14:paraId="04A6FA90" w14:textId="77777777" w:rsidR="001C0B34" w:rsidRDefault="001C0B34" w:rsidP="001C0B34">
    <w:pPr>
      <w:tabs>
        <w:tab w:val="center" w:pos="4680"/>
      </w:tabs>
      <w:spacing w:after="0"/>
      <w:jc w:val="center"/>
    </w:pPr>
    <w:r>
      <w:t>RESPONSE TO DATA REQUEST</w:t>
    </w:r>
  </w:p>
  <w:p w14:paraId="04A6FA91" w14:textId="77777777" w:rsidR="001C0B34" w:rsidRDefault="001C0B34" w:rsidP="001C0B34">
    <w:pPr>
      <w:spacing w:after="0"/>
    </w:pPr>
  </w:p>
  <w:tbl>
    <w:tblPr>
      <w:tblW w:w="9720" w:type="dxa"/>
      <w:tblLayout w:type="fixed"/>
      <w:tblCellMar>
        <w:left w:w="0" w:type="dxa"/>
        <w:right w:w="0" w:type="dxa"/>
      </w:tblCellMar>
      <w:tblLook w:val="04A0" w:firstRow="1" w:lastRow="0" w:firstColumn="1" w:lastColumn="0" w:noHBand="0" w:noVBand="1"/>
    </w:tblPr>
    <w:tblGrid>
      <w:gridCol w:w="4680"/>
      <w:gridCol w:w="720"/>
      <w:gridCol w:w="4320"/>
    </w:tblGrid>
    <w:tr w:rsidR="001C0B34" w14:paraId="04A6FA9B" w14:textId="77777777" w:rsidTr="008811A0">
      <w:tc>
        <w:tcPr>
          <w:tcW w:w="4680" w:type="dxa"/>
        </w:tcPr>
        <w:p w14:paraId="04A6FA92" w14:textId="40DB3667" w:rsidR="001C0B34" w:rsidRDefault="00F41430" w:rsidP="001C0B34">
          <w:pPr>
            <w:tabs>
              <w:tab w:val="left" w:pos="-1440"/>
            </w:tabs>
            <w:spacing w:after="0"/>
            <w:ind w:left="2160" w:hanging="2160"/>
          </w:pPr>
          <w:r>
            <w:t>DATE PREPARED:</w:t>
          </w:r>
          <w:r>
            <w:tab/>
            <w:t>September 24</w:t>
          </w:r>
          <w:r w:rsidR="001C0B34">
            <w:t>, 2015</w:t>
          </w:r>
        </w:p>
        <w:p w14:paraId="04A6FA93" w14:textId="77777777" w:rsidR="001C0B34" w:rsidRDefault="001C0B34" w:rsidP="008811A0">
          <w:pPr>
            <w:tabs>
              <w:tab w:val="left" w:pos="-1440"/>
            </w:tabs>
            <w:spacing w:after="0"/>
            <w:ind w:left="2160" w:hanging="2160"/>
          </w:pPr>
          <w:r>
            <w:t>DOCKET:</w:t>
          </w:r>
          <w:r>
            <w:tab/>
            <w:t>UE-150204/UG-150205</w:t>
          </w:r>
        </w:p>
        <w:p w14:paraId="04A6FA94" w14:textId="69CAF867" w:rsidR="001C0B34" w:rsidRDefault="008811A0" w:rsidP="008811A0">
          <w:pPr>
            <w:spacing w:after="0"/>
            <w:ind w:left="2160" w:hanging="2160"/>
          </w:pPr>
          <w:r>
            <w:t>REQUESTER:</w:t>
          </w:r>
          <w:r>
            <w:tab/>
          </w:r>
          <w:r w:rsidR="001C0B34">
            <w:t>Bench</w:t>
          </w:r>
          <w:r w:rsidR="00F41430">
            <w:t xml:space="preserve"> No. </w:t>
          </w:r>
          <w:r>
            <w:t>2</w:t>
          </w:r>
        </w:p>
        <w:p w14:paraId="04A6FA95" w14:textId="77777777" w:rsidR="001C0B34" w:rsidRDefault="001C0B34" w:rsidP="001C0B34">
          <w:pPr>
            <w:spacing w:after="0"/>
          </w:pPr>
        </w:p>
      </w:tc>
      <w:tc>
        <w:tcPr>
          <w:tcW w:w="720" w:type="dxa"/>
        </w:tcPr>
        <w:p w14:paraId="04A6FA96" w14:textId="77777777" w:rsidR="001C0B34" w:rsidRDefault="001C0B34" w:rsidP="001C0B34">
          <w:pPr>
            <w:spacing w:after="0"/>
          </w:pPr>
        </w:p>
      </w:tc>
      <w:tc>
        <w:tcPr>
          <w:tcW w:w="4320" w:type="dxa"/>
        </w:tcPr>
        <w:p w14:paraId="04A6FA97" w14:textId="77777777" w:rsidR="001C0B34" w:rsidRDefault="001C0B34" w:rsidP="001C0B34">
          <w:pPr>
            <w:tabs>
              <w:tab w:val="left" w:pos="-1440"/>
            </w:tabs>
            <w:spacing w:after="0"/>
            <w:ind w:left="1440" w:hanging="1440"/>
          </w:pPr>
          <w:r>
            <w:t>WITNESS:</w:t>
          </w:r>
          <w:r>
            <w:tab/>
          </w:r>
          <w:r>
            <w:tab/>
            <w:t>Jason L. Ball</w:t>
          </w:r>
        </w:p>
        <w:p w14:paraId="04A6FA98" w14:textId="77777777" w:rsidR="001C0B34" w:rsidRDefault="001C0B34" w:rsidP="001C0B34">
          <w:pPr>
            <w:spacing w:after="0"/>
          </w:pPr>
          <w:r>
            <w:t xml:space="preserve">RESPONDER:  </w:t>
          </w:r>
          <w:r>
            <w:tab/>
            <w:t>Jason L. Ball</w:t>
          </w:r>
        </w:p>
        <w:p w14:paraId="04A6FA99" w14:textId="77777777" w:rsidR="001C0B34" w:rsidRDefault="001C0B34" w:rsidP="001C0B34">
          <w:pPr>
            <w:spacing w:after="0"/>
          </w:pPr>
          <w:r>
            <w:t xml:space="preserve">TELEPHONE:  </w:t>
          </w:r>
          <w:r>
            <w:tab/>
            <w:t>(360) 664-1279</w:t>
          </w:r>
        </w:p>
        <w:p w14:paraId="04A6FA9A" w14:textId="77777777" w:rsidR="001C0B34" w:rsidRDefault="001C0B34" w:rsidP="001C0B34">
          <w:pPr>
            <w:spacing w:after="0"/>
          </w:pPr>
        </w:p>
      </w:tc>
    </w:tr>
  </w:tbl>
  <w:p w14:paraId="04A6FA9C" w14:textId="77777777" w:rsidR="001C0B34" w:rsidRDefault="001C0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A572B"/>
    <w:multiLevelType w:val="hybridMultilevel"/>
    <w:tmpl w:val="C79E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F1"/>
    <w:rsid w:val="0004218E"/>
    <w:rsid w:val="000A642F"/>
    <w:rsid w:val="000C5217"/>
    <w:rsid w:val="00102FDB"/>
    <w:rsid w:val="00120367"/>
    <w:rsid w:val="00142DC3"/>
    <w:rsid w:val="00152EBD"/>
    <w:rsid w:val="001B1D9F"/>
    <w:rsid w:val="001C0B34"/>
    <w:rsid w:val="001C15A7"/>
    <w:rsid w:val="001D54F1"/>
    <w:rsid w:val="00244EB1"/>
    <w:rsid w:val="002B32C9"/>
    <w:rsid w:val="002C4AF7"/>
    <w:rsid w:val="00340BF4"/>
    <w:rsid w:val="00391555"/>
    <w:rsid w:val="00392B76"/>
    <w:rsid w:val="003F400B"/>
    <w:rsid w:val="00444A76"/>
    <w:rsid w:val="00447D61"/>
    <w:rsid w:val="004516A2"/>
    <w:rsid w:val="00507163"/>
    <w:rsid w:val="00522A04"/>
    <w:rsid w:val="00527D74"/>
    <w:rsid w:val="00532809"/>
    <w:rsid w:val="005615C6"/>
    <w:rsid w:val="0058248F"/>
    <w:rsid w:val="005B5ACC"/>
    <w:rsid w:val="005C5E2E"/>
    <w:rsid w:val="00611DF0"/>
    <w:rsid w:val="00662975"/>
    <w:rsid w:val="006B6AAB"/>
    <w:rsid w:val="006C76CF"/>
    <w:rsid w:val="006D41E1"/>
    <w:rsid w:val="00750F17"/>
    <w:rsid w:val="00771EA6"/>
    <w:rsid w:val="007927B1"/>
    <w:rsid w:val="007C73A2"/>
    <w:rsid w:val="00876C51"/>
    <w:rsid w:val="008811A0"/>
    <w:rsid w:val="008C27C1"/>
    <w:rsid w:val="008C701E"/>
    <w:rsid w:val="00986F49"/>
    <w:rsid w:val="009B1B74"/>
    <w:rsid w:val="009B6BDA"/>
    <w:rsid w:val="009E07CA"/>
    <w:rsid w:val="00A03194"/>
    <w:rsid w:val="00A118FC"/>
    <w:rsid w:val="00A50B8B"/>
    <w:rsid w:val="00A75F82"/>
    <w:rsid w:val="00A800D8"/>
    <w:rsid w:val="00AE1528"/>
    <w:rsid w:val="00AE2C9F"/>
    <w:rsid w:val="00B0631E"/>
    <w:rsid w:val="00B07BEC"/>
    <w:rsid w:val="00B14257"/>
    <w:rsid w:val="00B57420"/>
    <w:rsid w:val="00C00E3A"/>
    <w:rsid w:val="00C5516E"/>
    <w:rsid w:val="00C604EC"/>
    <w:rsid w:val="00CB5F91"/>
    <w:rsid w:val="00D2198C"/>
    <w:rsid w:val="00D248F0"/>
    <w:rsid w:val="00D644C4"/>
    <w:rsid w:val="00D92F6C"/>
    <w:rsid w:val="00DE01EF"/>
    <w:rsid w:val="00DE73E1"/>
    <w:rsid w:val="00E139B0"/>
    <w:rsid w:val="00E435FE"/>
    <w:rsid w:val="00EA7460"/>
    <w:rsid w:val="00ED0A99"/>
    <w:rsid w:val="00F00A2E"/>
    <w:rsid w:val="00F41430"/>
    <w:rsid w:val="00F928F9"/>
    <w:rsid w:val="00FA28FA"/>
    <w:rsid w:val="00F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04A6FA79"/>
  <w15:chartTrackingRefBased/>
  <w15:docId w15:val="{6098C9C6-EE58-4953-8DDF-C102EDDD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8F0"/>
    <w:pPr>
      <w:ind w:left="720"/>
      <w:contextualSpacing/>
    </w:pPr>
  </w:style>
  <w:style w:type="paragraph" w:styleId="FootnoteText">
    <w:name w:val="footnote text"/>
    <w:basedOn w:val="Normal"/>
    <w:link w:val="FootnoteTextChar"/>
    <w:uiPriority w:val="99"/>
    <w:semiHidden/>
    <w:unhideWhenUsed/>
    <w:rsid w:val="00527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D74"/>
    <w:rPr>
      <w:sz w:val="20"/>
      <w:szCs w:val="20"/>
    </w:rPr>
  </w:style>
  <w:style w:type="character" w:styleId="FootnoteReference">
    <w:name w:val="footnote reference"/>
    <w:basedOn w:val="DefaultParagraphFont"/>
    <w:uiPriority w:val="99"/>
    <w:semiHidden/>
    <w:unhideWhenUsed/>
    <w:rsid w:val="00527D74"/>
    <w:rPr>
      <w:vertAlign w:val="superscript"/>
    </w:rPr>
  </w:style>
  <w:style w:type="paragraph" w:styleId="Header">
    <w:name w:val="header"/>
    <w:basedOn w:val="Normal"/>
    <w:link w:val="HeaderChar"/>
    <w:uiPriority w:val="99"/>
    <w:unhideWhenUsed/>
    <w:rsid w:val="001C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B34"/>
  </w:style>
  <w:style w:type="paragraph" w:styleId="Footer">
    <w:name w:val="footer"/>
    <w:basedOn w:val="Normal"/>
    <w:link w:val="FooterChar"/>
    <w:uiPriority w:val="99"/>
    <w:unhideWhenUsed/>
    <w:rsid w:val="001C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B34"/>
  </w:style>
  <w:style w:type="character" w:styleId="CommentReference">
    <w:name w:val="annotation reference"/>
    <w:basedOn w:val="DefaultParagraphFont"/>
    <w:uiPriority w:val="99"/>
    <w:semiHidden/>
    <w:unhideWhenUsed/>
    <w:rsid w:val="00507163"/>
    <w:rPr>
      <w:sz w:val="16"/>
      <w:szCs w:val="16"/>
    </w:rPr>
  </w:style>
  <w:style w:type="paragraph" w:styleId="CommentText">
    <w:name w:val="annotation text"/>
    <w:basedOn w:val="Normal"/>
    <w:link w:val="CommentTextChar"/>
    <w:uiPriority w:val="99"/>
    <w:semiHidden/>
    <w:unhideWhenUsed/>
    <w:rsid w:val="00507163"/>
    <w:pPr>
      <w:spacing w:line="240" w:lineRule="auto"/>
    </w:pPr>
    <w:rPr>
      <w:sz w:val="20"/>
      <w:szCs w:val="20"/>
    </w:rPr>
  </w:style>
  <w:style w:type="character" w:customStyle="1" w:styleId="CommentTextChar">
    <w:name w:val="Comment Text Char"/>
    <w:basedOn w:val="DefaultParagraphFont"/>
    <w:link w:val="CommentText"/>
    <w:uiPriority w:val="99"/>
    <w:semiHidden/>
    <w:rsid w:val="00507163"/>
    <w:rPr>
      <w:sz w:val="20"/>
      <w:szCs w:val="20"/>
    </w:rPr>
  </w:style>
  <w:style w:type="paragraph" w:styleId="CommentSubject">
    <w:name w:val="annotation subject"/>
    <w:basedOn w:val="CommentText"/>
    <w:next w:val="CommentText"/>
    <w:link w:val="CommentSubjectChar"/>
    <w:uiPriority w:val="99"/>
    <w:semiHidden/>
    <w:unhideWhenUsed/>
    <w:rsid w:val="00507163"/>
    <w:rPr>
      <w:b/>
      <w:bCs/>
    </w:rPr>
  </w:style>
  <w:style w:type="character" w:customStyle="1" w:styleId="CommentSubjectChar">
    <w:name w:val="Comment Subject Char"/>
    <w:basedOn w:val="CommentTextChar"/>
    <w:link w:val="CommentSubject"/>
    <w:uiPriority w:val="99"/>
    <w:semiHidden/>
    <w:rsid w:val="00507163"/>
    <w:rPr>
      <w:b/>
      <w:bCs/>
      <w:sz w:val="20"/>
      <w:szCs w:val="20"/>
    </w:rPr>
  </w:style>
  <w:style w:type="paragraph" w:styleId="BalloonText">
    <w:name w:val="Balloon Text"/>
    <w:basedOn w:val="Normal"/>
    <w:link w:val="BalloonTextChar"/>
    <w:uiPriority w:val="99"/>
    <w:semiHidden/>
    <w:unhideWhenUsed/>
    <w:rsid w:val="0050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63"/>
    <w:rPr>
      <w:rFonts w:ascii="Segoe UI" w:hAnsi="Segoe UI" w:cs="Segoe UI"/>
      <w:sz w:val="18"/>
      <w:szCs w:val="18"/>
    </w:rPr>
  </w:style>
  <w:style w:type="paragraph" w:customStyle="1" w:styleId="Default">
    <w:name w:val="Default"/>
    <w:rsid w:val="00F4143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3827">
      <w:bodyDiv w:val="1"/>
      <w:marLeft w:val="0"/>
      <w:marRight w:val="0"/>
      <w:marTop w:val="0"/>
      <w:marBottom w:val="0"/>
      <w:divBdr>
        <w:top w:val="none" w:sz="0" w:space="0" w:color="auto"/>
        <w:left w:val="none" w:sz="0" w:space="0" w:color="auto"/>
        <w:bottom w:val="none" w:sz="0" w:space="0" w:color="auto"/>
        <w:right w:val="none" w:sz="0" w:space="0" w:color="auto"/>
      </w:divBdr>
    </w:div>
    <w:div w:id="475269881">
      <w:bodyDiv w:val="1"/>
      <w:marLeft w:val="0"/>
      <w:marRight w:val="0"/>
      <w:marTop w:val="0"/>
      <w:marBottom w:val="0"/>
      <w:divBdr>
        <w:top w:val="none" w:sz="0" w:space="0" w:color="auto"/>
        <w:left w:val="none" w:sz="0" w:space="0" w:color="auto"/>
        <w:bottom w:val="none" w:sz="0" w:space="0" w:color="auto"/>
        <w:right w:val="none" w:sz="0" w:space="0" w:color="auto"/>
      </w:divBdr>
    </w:div>
    <w:div w:id="18200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2015-09-24T21:48:18+00:00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B477D55-A61E-473F-B526-8D376F59881E}"/>
</file>

<file path=customXml/itemProps2.xml><?xml version="1.0" encoding="utf-8"?>
<ds:datastoreItem xmlns:ds="http://schemas.openxmlformats.org/officeDocument/2006/customXml" ds:itemID="{552C3E59-875D-44FA-A60F-202CD7E9D183}"/>
</file>

<file path=customXml/itemProps3.xml><?xml version="1.0" encoding="utf-8"?>
<ds:datastoreItem xmlns:ds="http://schemas.openxmlformats.org/officeDocument/2006/customXml" ds:itemID="{290B81BB-EB53-479A-ACE5-592FEC032EB6}"/>
</file>

<file path=customXml/itemProps4.xml><?xml version="1.0" encoding="utf-8"?>
<ds:datastoreItem xmlns:ds="http://schemas.openxmlformats.org/officeDocument/2006/customXml" ds:itemID="{11E49F44-7551-4E6F-A040-BC2AAC77D6E1}"/>
</file>

<file path=customXml/itemProps5.xml><?xml version="1.0" encoding="utf-8"?>
<ds:datastoreItem xmlns:ds="http://schemas.openxmlformats.org/officeDocument/2006/customXml" ds:itemID="{C324AFCC-C59C-4370-9FB1-E3DF100297BD}"/>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Jason (UTC)</dc:creator>
  <cp:keywords/>
  <dc:description/>
  <cp:lastModifiedBy>Gross, Krista (UTC)</cp:lastModifiedBy>
  <cp:revision>4</cp:revision>
  <dcterms:created xsi:type="dcterms:W3CDTF">2015-09-23T22:59:00Z</dcterms:created>
  <dcterms:modified xsi:type="dcterms:W3CDTF">2015-09-24T16:15:00Z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