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6A" w:rsidRPr="004837F7" w:rsidRDefault="0047046A" w:rsidP="004C1DA4">
      <w:pPr>
        <w:tabs>
          <w:tab w:val="clear" w:pos="-1440"/>
        </w:tabs>
        <w:spacing w:line="240" w:lineRule="auto"/>
        <w:ind w:left="5040" w:right="18" w:firstLine="0"/>
        <w:rPr>
          <w:b/>
          <w:lang w:val="fr-FR"/>
        </w:rPr>
      </w:pPr>
      <w:r w:rsidRPr="004837F7">
        <w:rPr>
          <w:b/>
        </w:rPr>
        <w:t>Exhibit</w:t>
      </w:r>
      <w:r w:rsidRPr="004837F7">
        <w:rPr>
          <w:b/>
          <w:lang w:val="fr-FR"/>
        </w:rPr>
        <w:t xml:space="preserve"> No. ___</w:t>
      </w:r>
      <w:r w:rsidR="005024AA" w:rsidRPr="004837F7">
        <w:rPr>
          <w:b/>
          <w:lang w:val="fr-FR"/>
        </w:rPr>
        <w:t xml:space="preserve"> </w:t>
      </w:r>
      <w:r w:rsidRPr="004837F7">
        <w:rPr>
          <w:b/>
          <w:lang w:val="fr-FR"/>
        </w:rPr>
        <w:t>T (</w:t>
      </w:r>
      <w:r w:rsidR="00826FA2" w:rsidRPr="004837F7">
        <w:rPr>
          <w:b/>
          <w:lang w:val="fr-FR"/>
        </w:rPr>
        <w:t>DJR</w:t>
      </w:r>
      <w:r w:rsidRPr="004837F7">
        <w:rPr>
          <w:b/>
          <w:lang w:val="fr-FR"/>
        </w:rPr>
        <w:t>-1T)</w:t>
      </w:r>
    </w:p>
    <w:p w:rsidR="0047046A" w:rsidRPr="004837F7" w:rsidRDefault="00396C6F" w:rsidP="004C1DA4">
      <w:pPr>
        <w:tabs>
          <w:tab w:val="clear" w:pos="-1440"/>
        </w:tabs>
        <w:spacing w:line="240" w:lineRule="auto"/>
        <w:ind w:left="5040" w:right="18" w:firstLine="0"/>
        <w:rPr>
          <w:b/>
        </w:rPr>
      </w:pPr>
      <w:r w:rsidRPr="004837F7">
        <w:rPr>
          <w:b/>
        </w:rPr>
        <w:t xml:space="preserve">Docket </w:t>
      </w:r>
      <w:r w:rsidR="005C65ED" w:rsidRPr="004837F7">
        <w:rPr>
          <w:b/>
        </w:rPr>
        <w:t>UE-111048/UG-111049</w:t>
      </w:r>
    </w:p>
    <w:p w:rsidR="0047046A" w:rsidRPr="004837F7" w:rsidRDefault="0047046A" w:rsidP="004C1DA4">
      <w:pPr>
        <w:tabs>
          <w:tab w:val="clear" w:pos="-1440"/>
        </w:tabs>
        <w:spacing w:line="240" w:lineRule="auto"/>
        <w:ind w:left="5040" w:right="18" w:firstLine="0"/>
        <w:rPr>
          <w:b/>
        </w:rPr>
      </w:pPr>
      <w:r w:rsidRPr="004837F7">
        <w:rPr>
          <w:b/>
        </w:rPr>
        <w:t xml:space="preserve">Witness:  </w:t>
      </w:r>
      <w:r w:rsidR="00826FA2" w:rsidRPr="004837F7">
        <w:rPr>
          <w:b/>
        </w:rPr>
        <w:t xml:space="preserve">Deborah </w:t>
      </w:r>
      <w:r w:rsidR="00C47592" w:rsidRPr="004837F7">
        <w:rPr>
          <w:b/>
        </w:rPr>
        <w:t xml:space="preserve">J. </w:t>
      </w:r>
      <w:r w:rsidR="00826FA2" w:rsidRPr="004837F7">
        <w:rPr>
          <w:b/>
        </w:rPr>
        <w:t>Reynolds</w:t>
      </w:r>
    </w:p>
    <w:p w:rsidR="0047046A" w:rsidRPr="004837F7" w:rsidRDefault="0047046A" w:rsidP="004837F7">
      <w:pPr>
        <w:pStyle w:val="BlockText"/>
        <w:spacing w:line="240" w:lineRule="auto"/>
        <w:ind w:left="723" w:hangingChars="300" w:hanging="723"/>
        <w:rPr>
          <w:b/>
        </w:rPr>
      </w:pPr>
    </w:p>
    <w:p w:rsidR="005C65ED" w:rsidRDefault="005C65ED" w:rsidP="004837F7">
      <w:pPr>
        <w:pStyle w:val="BlockText"/>
        <w:spacing w:line="240" w:lineRule="auto"/>
        <w:ind w:left="723" w:hangingChars="300" w:hanging="723"/>
        <w:rPr>
          <w:b/>
        </w:rPr>
      </w:pPr>
    </w:p>
    <w:p w:rsidR="004C1DA4" w:rsidRPr="004837F7" w:rsidRDefault="004C1DA4" w:rsidP="004837F7">
      <w:pPr>
        <w:pStyle w:val="BlockText"/>
        <w:spacing w:line="240" w:lineRule="auto"/>
        <w:ind w:left="723" w:hangingChars="300" w:hanging="723"/>
        <w:rPr>
          <w:b/>
        </w:rPr>
      </w:pPr>
    </w:p>
    <w:p w:rsidR="00BB565E" w:rsidRPr="004837F7" w:rsidRDefault="00BB565E" w:rsidP="004837F7">
      <w:pPr>
        <w:spacing w:line="240" w:lineRule="auto"/>
        <w:ind w:left="1" w:right="-252" w:hanging="361"/>
        <w:jc w:val="center"/>
        <w:rPr>
          <w:b/>
        </w:rPr>
      </w:pPr>
      <w:r w:rsidRPr="004837F7">
        <w:rPr>
          <w:b/>
        </w:rPr>
        <w:t>BEFORE THE WASHINGTON UTILITIES AND TRANSPORTATION COMMISSION</w:t>
      </w:r>
    </w:p>
    <w:p w:rsidR="00BB565E" w:rsidRPr="004837F7" w:rsidRDefault="00BB565E" w:rsidP="004837F7">
      <w:pPr>
        <w:spacing w:line="240" w:lineRule="auto"/>
        <w:ind w:left="723" w:hangingChars="300" w:hanging="723"/>
        <w:rPr>
          <w:b/>
        </w:rPr>
      </w:pPr>
    </w:p>
    <w:p w:rsidR="00BB565E" w:rsidRPr="004837F7" w:rsidRDefault="00BB565E" w:rsidP="004837F7">
      <w:pPr>
        <w:spacing w:line="240" w:lineRule="auto"/>
        <w:ind w:left="723" w:hangingChars="300" w:hanging="723"/>
        <w:rPr>
          <w:b/>
        </w:rPr>
      </w:pPr>
    </w:p>
    <w:tbl>
      <w:tblPr>
        <w:tblW w:w="0" w:type="auto"/>
        <w:jc w:val="center"/>
        <w:tblInd w:w="124" w:type="dxa"/>
        <w:tblLayout w:type="fixed"/>
        <w:tblCellMar>
          <w:left w:w="124" w:type="dxa"/>
          <w:right w:w="124" w:type="dxa"/>
        </w:tblCellMar>
        <w:tblLook w:val="0000" w:firstRow="0" w:lastRow="0" w:firstColumn="0" w:lastColumn="0" w:noHBand="0" w:noVBand="0"/>
      </w:tblPr>
      <w:tblGrid>
        <w:gridCol w:w="4590"/>
        <w:gridCol w:w="4590"/>
      </w:tblGrid>
      <w:tr w:rsidR="005C65ED" w:rsidRPr="004837F7" w:rsidTr="005846F6">
        <w:trPr>
          <w:jc w:val="center"/>
        </w:trPr>
        <w:tc>
          <w:tcPr>
            <w:tcW w:w="4590" w:type="dxa"/>
            <w:tcBorders>
              <w:top w:val="single" w:sz="6" w:space="0" w:color="FFFFFF"/>
              <w:left w:val="single" w:sz="6" w:space="0" w:color="FFFFFF"/>
              <w:bottom w:val="single" w:sz="7" w:space="0" w:color="000000"/>
              <w:right w:val="single" w:sz="6" w:space="0" w:color="FFFFFF"/>
            </w:tcBorders>
          </w:tcPr>
          <w:p w:rsidR="005C65ED" w:rsidRPr="004837F7" w:rsidRDefault="005C65ED" w:rsidP="005846F6">
            <w:pPr>
              <w:spacing w:line="240" w:lineRule="auto"/>
              <w:jc w:val="center"/>
              <w:rPr>
                <w:b/>
              </w:rPr>
            </w:pPr>
            <w:r w:rsidRPr="004837F7">
              <w:rPr>
                <w:b/>
              </w:rPr>
              <w:t>WASHINGTON UTILITIES AND TRANSPORTATION COMMISSION,</w:t>
            </w:r>
          </w:p>
          <w:p w:rsidR="005C65ED" w:rsidRPr="004837F7" w:rsidRDefault="005C65ED" w:rsidP="005846F6">
            <w:pPr>
              <w:spacing w:line="240" w:lineRule="auto"/>
              <w:jc w:val="center"/>
              <w:rPr>
                <w:b/>
              </w:rPr>
            </w:pPr>
          </w:p>
          <w:p w:rsidR="005C65ED" w:rsidRPr="004837F7" w:rsidRDefault="005C65ED" w:rsidP="005846F6">
            <w:pPr>
              <w:spacing w:line="240" w:lineRule="auto"/>
              <w:jc w:val="center"/>
              <w:rPr>
                <w:b/>
              </w:rPr>
            </w:pPr>
            <w:r w:rsidRPr="004837F7">
              <w:rPr>
                <w:b/>
              </w:rPr>
              <w:t>Complainant,</w:t>
            </w:r>
          </w:p>
          <w:p w:rsidR="005C65ED" w:rsidRPr="004837F7" w:rsidRDefault="005C65ED" w:rsidP="005846F6">
            <w:pPr>
              <w:spacing w:line="240" w:lineRule="auto"/>
              <w:jc w:val="center"/>
              <w:rPr>
                <w:b/>
              </w:rPr>
            </w:pPr>
          </w:p>
          <w:p w:rsidR="005C65ED" w:rsidRPr="004837F7" w:rsidRDefault="005C65ED" w:rsidP="005846F6">
            <w:pPr>
              <w:spacing w:line="240" w:lineRule="auto"/>
              <w:jc w:val="center"/>
              <w:rPr>
                <w:b/>
              </w:rPr>
            </w:pPr>
            <w:r w:rsidRPr="004837F7">
              <w:rPr>
                <w:b/>
              </w:rPr>
              <w:t>v.</w:t>
            </w:r>
          </w:p>
          <w:p w:rsidR="005C65ED" w:rsidRPr="004837F7" w:rsidRDefault="005C65ED" w:rsidP="005846F6">
            <w:pPr>
              <w:spacing w:line="240" w:lineRule="auto"/>
              <w:jc w:val="center"/>
              <w:rPr>
                <w:b/>
              </w:rPr>
            </w:pPr>
          </w:p>
          <w:p w:rsidR="005C65ED" w:rsidRPr="004837F7" w:rsidRDefault="005C65ED" w:rsidP="005846F6">
            <w:pPr>
              <w:spacing w:line="240" w:lineRule="auto"/>
              <w:jc w:val="center"/>
              <w:rPr>
                <w:b/>
              </w:rPr>
            </w:pPr>
            <w:r w:rsidRPr="004837F7">
              <w:rPr>
                <w:b/>
              </w:rPr>
              <w:t>PUGET SOUND ENERGY, INC.,</w:t>
            </w:r>
          </w:p>
          <w:p w:rsidR="005C65ED" w:rsidRPr="004837F7" w:rsidRDefault="005C65ED" w:rsidP="005846F6">
            <w:pPr>
              <w:spacing w:line="240" w:lineRule="auto"/>
              <w:jc w:val="center"/>
              <w:rPr>
                <w:b/>
              </w:rPr>
            </w:pPr>
          </w:p>
          <w:p w:rsidR="005C65ED" w:rsidRPr="004837F7" w:rsidRDefault="005C65ED" w:rsidP="005846F6">
            <w:pPr>
              <w:spacing w:line="240" w:lineRule="auto"/>
              <w:jc w:val="center"/>
              <w:rPr>
                <w:b/>
              </w:rPr>
            </w:pPr>
            <w:r w:rsidRPr="004837F7">
              <w:rPr>
                <w:b/>
              </w:rPr>
              <w:t>Respondent.</w:t>
            </w:r>
          </w:p>
          <w:p w:rsidR="005C65ED" w:rsidRPr="004837F7" w:rsidRDefault="005C65ED" w:rsidP="005846F6">
            <w:pPr>
              <w:spacing w:line="240" w:lineRule="auto"/>
              <w:rPr>
                <w:b/>
              </w:rPr>
            </w:pPr>
          </w:p>
        </w:tc>
        <w:tc>
          <w:tcPr>
            <w:tcW w:w="4590" w:type="dxa"/>
            <w:tcBorders>
              <w:top w:val="single" w:sz="6" w:space="0" w:color="FFFFFF"/>
              <w:left w:val="single" w:sz="7" w:space="0" w:color="000000"/>
              <w:bottom w:val="single" w:sz="6" w:space="0" w:color="FFFFFF"/>
              <w:right w:val="single" w:sz="6" w:space="0" w:color="FFFFFF"/>
            </w:tcBorders>
          </w:tcPr>
          <w:p w:rsidR="004837F7" w:rsidRDefault="004837F7" w:rsidP="004837F7">
            <w:pPr>
              <w:spacing w:line="240" w:lineRule="auto"/>
              <w:rPr>
                <w:b/>
              </w:rPr>
            </w:pPr>
            <w:r>
              <w:rPr>
                <w:b/>
              </w:rPr>
              <w:tab/>
            </w:r>
            <w:r w:rsidR="005C65ED" w:rsidRPr="004837F7">
              <w:rPr>
                <w:b/>
              </w:rPr>
              <w:t>DOCKET UE-111048</w:t>
            </w:r>
          </w:p>
          <w:p w:rsidR="005C65ED" w:rsidRPr="004837F7" w:rsidRDefault="004837F7" w:rsidP="004837F7">
            <w:pPr>
              <w:spacing w:line="240" w:lineRule="auto"/>
              <w:rPr>
                <w:b/>
              </w:rPr>
            </w:pPr>
            <w:r>
              <w:rPr>
                <w:b/>
              </w:rPr>
              <w:tab/>
              <w:t xml:space="preserve">DOCKET </w:t>
            </w:r>
            <w:r w:rsidR="005C65ED" w:rsidRPr="004837F7">
              <w:rPr>
                <w:b/>
              </w:rPr>
              <w:t>UG-111049</w:t>
            </w:r>
          </w:p>
          <w:p w:rsidR="005C65ED" w:rsidRPr="004C1DA4" w:rsidRDefault="004C1DA4" w:rsidP="005846F6">
            <w:pPr>
              <w:spacing w:line="240" w:lineRule="auto"/>
              <w:rPr>
                <w:b/>
              </w:rPr>
            </w:pPr>
            <w:r>
              <w:rPr>
                <w:b/>
              </w:rPr>
              <w:tab/>
              <w:t>(</w:t>
            </w:r>
            <w:r>
              <w:rPr>
                <w:b/>
                <w:i/>
              </w:rPr>
              <w:t>Consolidated</w:t>
            </w:r>
            <w:r>
              <w:rPr>
                <w:b/>
              </w:rPr>
              <w:t>)</w:t>
            </w:r>
          </w:p>
          <w:p w:rsidR="005C65ED" w:rsidRPr="004837F7" w:rsidRDefault="005C65ED" w:rsidP="005846F6">
            <w:pPr>
              <w:spacing w:line="240" w:lineRule="auto"/>
              <w:rPr>
                <w:b/>
              </w:rPr>
            </w:pPr>
          </w:p>
          <w:p w:rsidR="005C65ED" w:rsidRPr="004837F7" w:rsidRDefault="005C65ED" w:rsidP="005846F6">
            <w:pPr>
              <w:spacing w:line="240" w:lineRule="auto"/>
              <w:rPr>
                <w:b/>
              </w:rPr>
            </w:pPr>
          </w:p>
          <w:p w:rsidR="005C65ED" w:rsidRPr="004837F7" w:rsidRDefault="005C65ED" w:rsidP="005846F6">
            <w:pPr>
              <w:spacing w:line="240" w:lineRule="auto"/>
              <w:rPr>
                <w:b/>
              </w:rPr>
            </w:pPr>
          </w:p>
          <w:p w:rsidR="005C65ED" w:rsidRPr="004837F7" w:rsidRDefault="005C65ED" w:rsidP="005846F6">
            <w:pPr>
              <w:spacing w:line="240" w:lineRule="auto"/>
              <w:rPr>
                <w:b/>
              </w:rPr>
            </w:pPr>
          </w:p>
          <w:p w:rsidR="005C65ED" w:rsidRPr="004837F7" w:rsidRDefault="005C65ED" w:rsidP="005846F6">
            <w:pPr>
              <w:spacing w:line="240" w:lineRule="auto"/>
              <w:rPr>
                <w:b/>
              </w:rPr>
            </w:pPr>
          </w:p>
          <w:p w:rsidR="005C65ED" w:rsidRPr="004837F7" w:rsidRDefault="005C65ED" w:rsidP="005846F6">
            <w:pPr>
              <w:spacing w:line="240" w:lineRule="auto"/>
              <w:rPr>
                <w:b/>
              </w:rPr>
            </w:pPr>
          </w:p>
        </w:tc>
      </w:tr>
    </w:tbl>
    <w:p w:rsidR="00BB565E" w:rsidRPr="004837F7" w:rsidRDefault="00BB565E" w:rsidP="00735463">
      <w:pPr>
        <w:rPr>
          <w:b/>
        </w:rPr>
      </w:pPr>
    </w:p>
    <w:p w:rsidR="0047046A" w:rsidRPr="004837F7" w:rsidRDefault="0047046A" w:rsidP="005846F6">
      <w:pPr>
        <w:spacing w:line="240" w:lineRule="auto"/>
        <w:jc w:val="center"/>
        <w:rPr>
          <w:b/>
        </w:rPr>
      </w:pPr>
      <w:r w:rsidRPr="004837F7">
        <w:rPr>
          <w:b/>
        </w:rPr>
        <w:t>TESTIMONY</w:t>
      </w:r>
      <w:r w:rsidR="004C1DA4">
        <w:rPr>
          <w:b/>
        </w:rPr>
        <w:t xml:space="preserve"> </w:t>
      </w:r>
      <w:r w:rsidRPr="004837F7">
        <w:rPr>
          <w:b/>
        </w:rPr>
        <w:t>OF</w:t>
      </w:r>
    </w:p>
    <w:p w:rsidR="0047046A" w:rsidRPr="004837F7" w:rsidRDefault="0047046A" w:rsidP="005846F6">
      <w:pPr>
        <w:spacing w:line="240" w:lineRule="auto"/>
        <w:jc w:val="center"/>
        <w:rPr>
          <w:b/>
        </w:rPr>
      </w:pPr>
    </w:p>
    <w:p w:rsidR="0047046A" w:rsidRPr="004837F7" w:rsidRDefault="00826FA2" w:rsidP="005846F6">
      <w:pPr>
        <w:spacing w:line="240" w:lineRule="auto"/>
        <w:jc w:val="center"/>
        <w:rPr>
          <w:b/>
        </w:rPr>
      </w:pPr>
      <w:r w:rsidRPr="004837F7">
        <w:rPr>
          <w:b/>
        </w:rPr>
        <w:t xml:space="preserve">DEBORAH </w:t>
      </w:r>
      <w:r w:rsidR="00732550" w:rsidRPr="004837F7">
        <w:rPr>
          <w:b/>
        </w:rPr>
        <w:t xml:space="preserve">J. </w:t>
      </w:r>
      <w:r w:rsidRPr="004837F7">
        <w:rPr>
          <w:b/>
        </w:rPr>
        <w:t>REYNOLDS</w:t>
      </w:r>
    </w:p>
    <w:p w:rsidR="00396C6F" w:rsidRPr="004837F7" w:rsidRDefault="00396C6F" w:rsidP="005846F6">
      <w:pPr>
        <w:spacing w:line="240" w:lineRule="auto"/>
        <w:jc w:val="center"/>
        <w:rPr>
          <w:b/>
        </w:rPr>
      </w:pPr>
    </w:p>
    <w:p w:rsidR="0047046A" w:rsidRPr="004837F7" w:rsidRDefault="002E0D2C" w:rsidP="005846F6">
      <w:pPr>
        <w:spacing w:line="240" w:lineRule="auto"/>
        <w:jc w:val="center"/>
        <w:rPr>
          <w:b/>
        </w:rPr>
      </w:pPr>
      <w:r w:rsidRPr="004837F7">
        <w:rPr>
          <w:b/>
        </w:rPr>
        <w:t>S</w:t>
      </w:r>
      <w:r w:rsidR="0047046A" w:rsidRPr="004837F7">
        <w:rPr>
          <w:b/>
        </w:rPr>
        <w:t>TAFF OF</w:t>
      </w:r>
    </w:p>
    <w:p w:rsidR="0047046A" w:rsidRPr="004837F7" w:rsidRDefault="0047046A" w:rsidP="005846F6">
      <w:pPr>
        <w:spacing w:line="240" w:lineRule="auto"/>
        <w:jc w:val="center"/>
        <w:rPr>
          <w:b/>
        </w:rPr>
      </w:pPr>
      <w:r w:rsidRPr="004837F7">
        <w:rPr>
          <w:b/>
        </w:rPr>
        <w:t>WASHINGTON UTILITIES AND</w:t>
      </w:r>
    </w:p>
    <w:p w:rsidR="0047046A" w:rsidRPr="004837F7" w:rsidRDefault="0047046A" w:rsidP="005846F6">
      <w:pPr>
        <w:spacing w:line="240" w:lineRule="auto"/>
        <w:jc w:val="center"/>
        <w:rPr>
          <w:b/>
        </w:rPr>
      </w:pPr>
      <w:r w:rsidRPr="004837F7">
        <w:rPr>
          <w:b/>
        </w:rPr>
        <w:t>TRANSPORTATION COMMISSION</w:t>
      </w:r>
    </w:p>
    <w:p w:rsidR="005A03FC" w:rsidRDefault="005A03FC" w:rsidP="005846F6">
      <w:pPr>
        <w:spacing w:line="240" w:lineRule="auto"/>
        <w:jc w:val="center"/>
        <w:rPr>
          <w:b/>
        </w:rPr>
      </w:pPr>
    </w:p>
    <w:p w:rsidR="004C1DA4" w:rsidRPr="004837F7" w:rsidRDefault="004C1DA4" w:rsidP="005846F6">
      <w:pPr>
        <w:spacing w:line="240" w:lineRule="auto"/>
        <w:jc w:val="center"/>
        <w:rPr>
          <w:b/>
        </w:rPr>
      </w:pPr>
    </w:p>
    <w:p w:rsidR="0047046A" w:rsidRPr="004837F7" w:rsidRDefault="005C65ED" w:rsidP="005846F6">
      <w:pPr>
        <w:spacing w:line="240" w:lineRule="auto"/>
        <w:jc w:val="center"/>
        <w:rPr>
          <w:b/>
        </w:rPr>
      </w:pPr>
      <w:r w:rsidRPr="004837F7">
        <w:rPr>
          <w:b/>
        </w:rPr>
        <w:t>December 7, 2011</w:t>
      </w:r>
    </w:p>
    <w:p w:rsidR="005C65ED" w:rsidRPr="004837F7" w:rsidRDefault="005C65ED" w:rsidP="005846F6">
      <w:pPr>
        <w:spacing w:line="240" w:lineRule="auto"/>
        <w:jc w:val="center"/>
        <w:rPr>
          <w:b/>
        </w:rPr>
      </w:pPr>
    </w:p>
    <w:p w:rsidR="005C65ED" w:rsidRPr="004837F7" w:rsidRDefault="005C65ED" w:rsidP="005846F6">
      <w:pPr>
        <w:spacing w:line="240" w:lineRule="auto"/>
        <w:jc w:val="center"/>
        <w:rPr>
          <w:b/>
        </w:rPr>
      </w:pPr>
    </w:p>
    <w:p w:rsidR="005C65ED" w:rsidRPr="004837F7" w:rsidRDefault="0006641A" w:rsidP="005846F6">
      <w:pPr>
        <w:spacing w:line="240" w:lineRule="auto"/>
        <w:jc w:val="center"/>
        <w:rPr>
          <w:b/>
          <w:i/>
        </w:rPr>
      </w:pPr>
      <w:r w:rsidRPr="004837F7">
        <w:rPr>
          <w:b/>
          <w:i/>
        </w:rPr>
        <w:t>Conservation Savings Adjustmen</w:t>
      </w:r>
      <w:r w:rsidR="00F56385" w:rsidRPr="004837F7">
        <w:rPr>
          <w:b/>
          <w:i/>
        </w:rPr>
        <w:t>t</w:t>
      </w:r>
    </w:p>
    <w:p w:rsidR="005C65ED" w:rsidRPr="004837F7" w:rsidRDefault="00F56385" w:rsidP="005846F6">
      <w:pPr>
        <w:spacing w:line="240" w:lineRule="auto"/>
        <w:jc w:val="center"/>
        <w:rPr>
          <w:b/>
          <w:i/>
        </w:rPr>
      </w:pPr>
      <w:r w:rsidRPr="004837F7">
        <w:rPr>
          <w:b/>
          <w:i/>
        </w:rPr>
        <w:t xml:space="preserve">Electric </w:t>
      </w:r>
      <w:r w:rsidR="0006641A" w:rsidRPr="004837F7">
        <w:rPr>
          <w:b/>
          <w:i/>
        </w:rPr>
        <w:t>Cost of Servic</w:t>
      </w:r>
      <w:r w:rsidRPr="004837F7">
        <w:rPr>
          <w:b/>
          <w:i/>
        </w:rPr>
        <w:t>e,</w:t>
      </w:r>
      <w:r w:rsidR="0006641A" w:rsidRPr="004837F7">
        <w:rPr>
          <w:b/>
          <w:i/>
        </w:rPr>
        <w:t xml:space="preserve"> Revenue Allocation</w:t>
      </w:r>
      <w:r w:rsidRPr="004837F7">
        <w:rPr>
          <w:b/>
          <w:i/>
        </w:rPr>
        <w:t xml:space="preserve"> and</w:t>
      </w:r>
      <w:r w:rsidR="0006641A" w:rsidRPr="004837F7">
        <w:rPr>
          <w:b/>
          <w:i/>
        </w:rPr>
        <w:t xml:space="preserve"> Rate Design</w:t>
      </w:r>
    </w:p>
    <w:p w:rsidR="005C65ED" w:rsidRPr="004837F7" w:rsidRDefault="005C65ED" w:rsidP="005846F6">
      <w:pPr>
        <w:spacing w:line="240" w:lineRule="auto"/>
        <w:jc w:val="center"/>
        <w:rPr>
          <w:b/>
        </w:rPr>
      </w:pPr>
    </w:p>
    <w:p w:rsidR="005C65ED" w:rsidRDefault="005C65ED" w:rsidP="005846F6">
      <w:pPr>
        <w:spacing w:line="240" w:lineRule="auto"/>
        <w:jc w:val="center"/>
      </w:pPr>
    </w:p>
    <w:p w:rsidR="005C65ED" w:rsidRPr="005C65ED" w:rsidRDefault="005C65ED" w:rsidP="00735463">
      <w:pPr>
        <w:sectPr w:rsidR="005C65ED" w:rsidRPr="005C65ED" w:rsidSect="004E7ADA">
          <w:footerReference w:type="default" r:id="rId10"/>
          <w:pgSz w:w="12240" w:h="15840" w:code="1"/>
          <w:pgMar w:top="1440" w:right="1440" w:bottom="1440" w:left="1872" w:header="720" w:footer="720" w:gutter="0"/>
          <w:cols w:space="720"/>
          <w:titlePg/>
          <w:docGrid w:linePitch="360"/>
        </w:sectPr>
      </w:pPr>
    </w:p>
    <w:p w:rsidR="0047046A" w:rsidRPr="00F021E3" w:rsidRDefault="0047046A" w:rsidP="00735463"/>
    <w:sdt>
      <w:sdtPr>
        <w:rPr>
          <w:rFonts w:ascii="Times New Roman" w:eastAsia="Times New Roman" w:hAnsi="Times New Roman" w:cs="Times New Roman"/>
          <w:b w:val="0"/>
          <w:bCs w:val="0"/>
          <w:color w:val="auto"/>
          <w:sz w:val="24"/>
          <w:szCs w:val="24"/>
        </w:rPr>
        <w:id w:val="275831"/>
        <w:docPartObj>
          <w:docPartGallery w:val="Table of Contents"/>
          <w:docPartUnique/>
        </w:docPartObj>
      </w:sdtPr>
      <w:sdtEndPr/>
      <w:sdtContent>
        <w:p w:rsidR="00361B78" w:rsidRDefault="00361B78" w:rsidP="004837F7">
          <w:pPr>
            <w:pStyle w:val="TOCHeading"/>
            <w:spacing w:line="240" w:lineRule="auto"/>
            <w:jc w:val="center"/>
          </w:pPr>
          <w:r w:rsidRPr="00361B78">
            <w:t>TABLE OF CONTENTS</w:t>
          </w:r>
        </w:p>
        <w:p w:rsidR="000B7B28" w:rsidRDefault="000B7B28" w:rsidP="005846F6">
          <w:pPr>
            <w:spacing w:line="240" w:lineRule="auto"/>
          </w:pPr>
        </w:p>
        <w:p w:rsidR="00E235D1" w:rsidRDefault="0006641A" w:rsidP="004837F7">
          <w:pPr>
            <w:pStyle w:val="TOC1"/>
            <w:rPr>
              <w:rFonts w:asciiTheme="minorHAnsi" w:eastAsiaTheme="minorEastAsia" w:hAnsiTheme="minorHAnsi" w:cstheme="minorBidi"/>
              <w:noProof/>
              <w:sz w:val="22"/>
              <w:szCs w:val="22"/>
            </w:rPr>
          </w:pPr>
          <w:r>
            <w:fldChar w:fldCharType="begin"/>
          </w:r>
          <w:r w:rsidR="00361B78">
            <w:instrText xml:space="preserve"> TOC \o "1-2" \h \z \u </w:instrText>
          </w:r>
          <w:r>
            <w:fldChar w:fldCharType="separate"/>
          </w:r>
          <w:hyperlink w:anchor="_Toc310842156" w:history="1">
            <w:r w:rsidR="00E235D1" w:rsidRPr="00DD6E5A">
              <w:rPr>
                <w:rStyle w:val="Hyperlink"/>
                <w:noProof/>
              </w:rPr>
              <w:t>I.</w:t>
            </w:r>
            <w:r w:rsidR="00E235D1">
              <w:rPr>
                <w:rFonts w:asciiTheme="minorHAnsi" w:eastAsiaTheme="minorEastAsia" w:hAnsiTheme="minorHAnsi" w:cstheme="minorBidi"/>
                <w:noProof/>
                <w:sz w:val="22"/>
                <w:szCs w:val="22"/>
              </w:rPr>
              <w:tab/>
            </w:r>
            <w:r w:rsidR="00E235D1" w:rsidRPr="00DD6E5A">
              <w:rPr>
                <w:rStyle w:val="Hyperlink"/>
                <w:noProof/>
              </w:rPr>
              <w:t>INTRODUCTION</w:t>
            </w:r>
            <w:r w:rsidR="00E235D1">
              <w:rPr>
                <w:noProof/>
                <w:webHidden/>
              </w:rPr>
              <w:tab/>
            </w:r>
            <w:r w:rsidR="004837F7">
              <w:rPr>
                <w:noProof/>
                <w:webHidden/>
              </w:rPr>
              <w:tab/>
            </w:r>
            <w:r w:rsidR="00E235D1">
              <w:rPr>
                <w:noProof/>
                <w:webHidden/>
              </w:rPr>
              <w:fldChar w:fldCharType="begin"/>
            </w:r>
            <w:r w:rsidR="00E235D1">
              <w:rPr>
                <w:noProof/>
                <w:webHidden/>
              </w:rPr>
              <w:instrText xml:space="preserve"> PAGEREF _Toc310842156 \h </w:instrText>
            </w:r>
            <w:r w:rsidR="00E235D1">
              <w:rPr>
                <w:noProof/>
                <w:webHidden/>
              </w:rPr>
            </w:r>
            <w:r w:rsidR="00E235D1">
              <w:rPr>
                <w:noProof/>
                <w:webHidden/>
              </w:rPr>
              <w:fldChar w:fldCharType="separate"/>
            </w:r>
            <w:r w:rsidR="00C31C60">
              <w:rPr>
                <w:noProof/>
                <w:webHidden/>
              </w:rPr>
              <w:t>1</w:t>
            </w:r>
            <w:r w:rsidR="00E235D1">
              <w:rPr>
                <w:noProof/>
                <w:webHidden/>
              </w:rPr>
              <w:fldChar w:fldCharType="end"/>
            </w:r>
          </w:hyperlink>
        </w:p>
        <w:p w:rsidR="00E235D1" w:rsidRDefault="00C31C60" w:rsidP="004837F7">
          <w:pPr>
            <w:pStyle w:val="TOC1"/>
            <w:rPr>
              <w:rFonts w:asciiTheme="minorHAnsi" w:eastAsiaTheme="minorEastAsia" w:hAnsiTheme="minorHAnsi" w:cstheme="minorBidi"/>
              <w:noProof/>
              <w:sz w:val="22"/>
              <w:szCs w:val="22"/>
            </w:rPr>
          </w:pPr>
          <w:hyperlink w:anchor="_Toc310842157" w:history="1">
            <w:r w:rsidR="00E235D1" w:rsidRPr="00DD6E5A">
              <w:rPr>
                <w:rStyle w:val="Hyperlink"/>
                <w:noProof/>
              </w:rPr>
              <w:t>II.</w:t>
            </w:r>
            <w:r w:rsidR="00E235D1">
              <w:rPr>
                <w:rFonts w:asciiTheme="minorHAnsi" w:eastAsiaTheme="minorEastAsia" w:hAnsiTheme="minorHAnsi" w:cstheme="minorBidi"/>
                <w:noProof/>
                <w:sz w:val="22"/>
                <w:szCs w:val="22"/>
              </w:rPr>
              <w:tab/>
            </w:r>
            <w:r w:rsidR="00E235D1" w:rsidRPr="00DD6E5A">
              <w:rPr>
                <w:rStyle w:val="Hyperlink"/>
                <w:noProof/>
              </w:rPr>
              <w:t>SCOPE AND SUMMARY</w:t>
            </w:r>
            <w:r w:rsidR="00E235D1">
              <w:rPr>
                <w:noProof/>
                <w:webHidden/>
              </w:rPr>
              <w:tab/>
            </w:r>
            <w:r w:rsidR="00E235D1">
              <w:rPr>
                <w:noProof/>
                <w:webHidden/>
              </w:rPr>
              <w:fldChar w:fldCharType="begin"/>
            </w:r>
            <w:r w:rsidR="00E235D1">
              <w:rPr>
                <w:noProof/>
                <w:webHidden/>
              </w:rPr>
              <w:instrText xml:space="preserve"> PAGEREF _Toc310842157 \h </w:instrText>
            </w:r>
            <w:r w:rsidR="00E235D1">
              <w:rPr>
                <w:noProof/>
                <w:webHidden/>
              </w:rPr>
            </w:r>
            <w:r w:rsidR="00E235D1">
              <w:rPr>
                <w:noProof/>
                <w:webHidden/>
              </w:rPr>
              <w:fldChar w:fldCharType="separate"/>
            </w:r>
            <w:r>
              <w:rPr>
                <w:noProof/>
                <w:webHidden/>
              </w:rPr>
              <w:t>2</w:t>
            </w:r>
            <w:r w:rsidR="00E235D1">
              <w:rPr>
                <w:noProof/>
                <w:webHidden/>
              </w:rPr>
              <w:fldChar w:fldCharType="end"/>
            </w:r>
          </w:hyperlink>
        </w:p>
        <w:p w:rsidR="00E235D1" w:rsidRDefault="00C31C60" w:rsidP="004837F7">
          <w:pPr>
            <w:pStyle w:val="TOC1"/>
            <w:rPr>
              <w:rFonts w:asciiTheme="minorHAnsi" w:eastAsiaTheme="minorEastAsia" w:hAnsiTheme="minorHAnsi" w:cstheme="minorBidi"/>
              <w:noProof/>
              <w:sz w:val="22"/>
              <w:szCs w:val="22"/>
            </w:rPr>
          </w:pPr>
          <w:hyperlink w:anchor="_Toc310842158" w:history="1">
            <w:r w:rsidR="00E235D1" w:rsidRPr="00DD6E5A">
              <w:rPr>
                <w:rStyle w:val="Hyperlink"/>
                <w:noProof/>
              </w:rPr>
              <w:t>III.</w:t>
            </w:r>
            <w:r w:rsidR="00E235D1">
              <w:rPr>
                <w:rFonts w:asciiTheme="minorHAnsi" w:eastAsiaTheme="minorEastAsia" w:hAnsiTheme="minorHAnsi" w:cstheme="minorBidi"/>
                <w:noProof/>
                <w:sz w:val="22"/>
                <w:szCs w:val="22"/>
              </w:rPr>
              <w:tab/>
            </w:r>
            <w:r w:rsidR="00E235D1" w:rsidRPr="00DD6E5A">
              <w:rPr>
                <w:rStyle w:val="Hyperlink"/>
                <w:noProof/>
              </w:rPr>
              <w:t>REVENUE ALLOCATION AND RATE DESIGN</w:t>
            </w:r>
            <w:r w:rsidR="00E235D1">
              <w:rPr>
                <w:noProof/>
                <w:webHidden/>
              </w:rPr>
              <w:tab/>
            </w:r>
            <w:r w:rsidR="00E235D1">
              <w:rPr>
                <w:noProof/>
                <w:webHidden/>
              </w:rPr>
              <w:fldChar w:fldCharType="begin"/>
            </w:r>
            <w:r w:rsidR="00E235D1">
              <w:rPr>
                <w:noProof/>
                <w:webHidden/>
              </w:rPr>
              <w:instrText xml:space="preserve"> PAGEREF _Toc310842158 \h </w:instrText>
            </w:r>
            <w:r w:rsidR="00E235D1">
              <w:rPr>
                <w:noProof/>
                <w:webHidden/>
              </w:rPr>
            </w:r>
            <w:r w:rsidR="00E235D1">
              <w:rPr>
                <w:noProof/>
                <w:webHidden/>
              </w:rPr>
              <w:fldChar w:fldCharType="separate"/>
            </w:r>
            <w:r>
              <w:rPr>
                <w:noProof/>
                <w:webHidden/>
              </w:rPr>
              <w:t>4</w:t>
            </w:r>
            <w:r w:rsidR="00E235D1">
              <w:rPr>
                <w:noProof/>
                <w:webHidden/>
              </w:rPr>
              <w:fldChar w:fldCharType="end"/>
            </w:r>
          </w:hyperlink>
        </w:p>
        <w:p w:rsidR="00E235D1" w:rsidRDefault="00C31C60" w:rsidP="004837F7">
          <w:pPr>
            <w:pStyle w:val="TOC2"/>
            <w:rPr>
              <w:rFonts w:asciiTheme="minorHAnsi" w:eastAsiaTheme="minorEastAsia" w:hAnsiTheme="minorHAnsi" w:cstheme="minorBidi"/>
              <w:noProof/>
              <w:sz w:val="22"/>
              <w:szCs w:val="22"/>
            </w:rPr>
          </w:pPr>
          <w:hyperlink w:anchor="_Toc310842159" w:history="1">
            <w:r w:rsidR="00E235D1" w:rsidRPr="00DD6E5A">
              <w:rPr>
                <w:rStyle w:val="Hyperlink"/>
                <w:noProof/>
              </w:rPr>
              <w:t>A.</w:t>
            </w:r>
            <w:r w:rsidR="00E235D1">
              <w:rPr>
                <w:rFonts w:asciiTheme="minorHAnsi" w:eastAsiaTheme="minorEastAsia" w:hAnsiTheme="minorHAnsi" w:cstheme="minorBidi"/>
                <w:noProof/>
                <w:sz w:val="22"/>
                <w:szCs w:val="22"/>
              </w:rPr>
              <w:tab/>
            </w:r>
            <w:r w:rsidR="00E235D1" w:rsidRPr="00DD6E5A">
              <w:rPr>
                <w:rStyle w:val="Hyperlink"/>
                <w:noProof/>
              </w:rPr>
              <w:t>Electric Revenue Allocation - Cost of Service and Rate Spread</w:t>
            </w:r>
            <w:r w:rsidR="00E235D1">
              <w:rPr>
                <w:noProof/>
                <w:webHidden/>
              </w:rPr>
              <w:tab/>
            </w:r>
            <w:r w:rsidR="00E235D1">
              <w:rPr>
                <w:noProof/>
                <w:webHidden/>
              </w:rPr>
              <w:fldChar w:fldCharType="begin"/>
            </w:r>
            <w:r w:rsidR="00E235D1">
              <w:rPr>
                <w:noProof/>
                <w:webHidden/>
              </w:rPr>
              <w:instrText xml:space="preserve"> PAGEREF _Toc310842159 \h </w:instrText>
            </w:r>
            <w:r w:rsidR="00E235D1">
              <w:rPr>
                <w:noProof/>
                <w:webHidden/>
              </w:rPr>
            </w:r>
            <w:r w:rsidR="00E235D1">
              <w:rPr>
                <w:noProof/>
                <w:webHidden/>
              </w:rPr>
              <w:fldChar w:fldCharType="separate"/>
            </w:r>
            <w:r>
              <w:rPr>
                <w:noProof/>
                <w:webHidden/>
              </w:rPr>
              <w:t>4</w:t>
            </w:r>
            <w:r w:rsidR="00E235D1">
              <w:rPr>
                <w:noProof/>
                <w:webHidden/>
              </w:rPr>
              <w:fldChar w:fldCharType="end"/>
            </w:r>
          </w:hyperlink>
        </w:p>
        <w:p w:rsidR="00E235D1" w:rsidRDefault="00C31C60" w:rsidP="004837F7">
          <w:pPr>
            <w:pStyle w:val="TOC2"/>
            <w:rPr>
              <w:rFonts w:asciiTheme="minorHAnsi" w:eastAsiaTheme="minorEastAsia" w:hAnsiTheme="minorHAnsi" w:cstheme="minorBidi"/>
              <w:noProof/>
              <w:sz w:val="22"/>
              <w:szCs w:val="22"/>
            </w:rPr>
          </w:pPr>
          <w:hyperlink w:anchor="_Toc310842160" w:history="1">
            <w:r w:rsidR="00E235D1" w:rsidRPr="00DD6E5A">
              <w:rPr>
                <w:rStyle w:val="Hyperlink"/>
                <w:noProof/>
              </w:rPr>
              <w:t>B.</w:t>
            </w:r>
            <w:r w:rsidR="00E235D1">
              <w:rPr>
                <w:rFonts w:asciiTheme="minorHAnsi" w:eastAsiaTheme="minorEastAsia" w:hAnsiTheme="minorHAnsi" w:cstheme="minorBidi"/>
                <w:noProof/>
                <w:sz w:val="22"/>
                <w:szCs w:val="22"/>
              </w:rPr>
              <w:tab/>
            </w:r>
            <w:r w:rsidR="00E235D1" w:rsidRPr="00DD6E5A">
              <w:rPr>
                <w:rStyle w:val="Hyperlink"/>
                <w:noProof/>
              </w:rPr>
              <w:t>Electric Rate Design</w:t>
            </w:r>
            <w:r w:rsidR="00E235D1">
              <w:rPr>
                <w:noProof/>
                <w:webHidden/>
              </w:rPr>
              <w:tab/>
            </w:r>
            <w:r w:rsidR="00E235D1">
              <w:rPr>
                <w:noProof/>
                <w:webHidden/>
              </w:rPr>
              <w:fldChar w:fldCharType="begin"/>
            </w:r>
            <w:r w:rsidR="00E235D1">
              <w:rPr>
                <w:noProof/>
                <w:webHidden/>
              </w:rPr>
              <w:instrText xml:space="preserve"> PAGEREF _Toc310842160 \h </w:instrText>
            </w:r>
            <w:r w:rsidR="00E235D1">
              <w:rPr>
                <w:noProof/>
                <w:webHidden/>
              </w:rPr>
            </w:r>
            <w:r w:rsidR="00E235D1">
              <w:rPr>
                <w:noProof/>
                <w:webHidden/>
              </w:rPr>
              <w:fldChar w:fldCharType="separate"/>
            </w:r>
            <w:r>
              <w:rPr>
                <w:noProof/>
                <w:webHidden/>
              </w:rPr>
              <w:t>9</w:t>
            </w:r>
            <w:r w:rsidR="00E235D1">
              <w:rPr>
                <w:noProof/>
                <w:webHidden/>
              </w:rPr>
              <w:fldChar w:fldCharType="end"/>
            </w:r>
          </w:hyperlink>
        </w:p>
        <w:p w:rsidR="00E235D1" w:rsidRDefault="00C31C60" w:rsidP="004837F7">
          <w:pPr>
            <w:pStyle w:val="TOC1"/>
            <w:rPr>
              <w:noProof/>
            </w:rPr>
          </w:pPr>
          <w:hyperlink w:anchor="_Toc310842161" w:history="1">
            <w:r w:rsidR="00E235D1" w:rsidRPr="00DD6E5A">
              <w:rPr>
                <w:rStyle w:val="Hyperlink"/>
                <w:noProof/>
              </w:rPr>
              <w:t>IV.</w:t>
            </w:r>
            <w:r w:rsidR="00E235D1">
              <w:rPr>
                <w:rFonts w:asciiTheme="minorHAnsi" w:eastAsiaTheme="minorEastAsia" w:hAnsiTheme="minorHAnsi" w:cstheme="minorBidi"/>
                <w:noProof/>
                <w:sz w:val="22"/>
                <w:szCs w:val="22"/>
              </w:rPr>
              <w:tab/>
            </w:r>
            <w:r w:rsidR="00E235D1" w:rsidRPr="00DD6E5A">
              <w:rPr>
                <w:rStyle w:val="Hyperlink"/>
                <w:noProof/>
              </w:rPr>
              <w:t>CONSERVATION SAVINGS ADJUSTMENT RATE</w:t>
            </w:r>
            <w:r w:rsidR="00E235D1">
              <w:rPr>
                <w:noProof/>
                <w:webHidden/>
              </w:rPr>
              <w:tab/>
            </w:r>
            <w:r w:rsidR="00E235D1">
              <w:rPr>
                <w:noProof/>
                <w:webHidden/>
              </w:rPr>
              <w:fldChar w:fldCharType="begin"/>
            </w:r>
            <w:r w:rsidR="00E235D1">
              <w:rPr>
                <w:noProof/>
                <w:webHidden/>
              </w:rPr>
              <w:instrText xml:space="preserve"> PAGEREF _Toc310842161 \h </w:instrText>
            </w:r>
            <w:r w:rsidR="00E235D1">
              <w:rPr>
                <w:noProof/>
                <w:webHidden/>
              </w:rPr>
            </w:r>
            <w:r w:rsidR="00E235D1">
              <w:rPr>
                <w:noProof/>
                <w:webHidden/>
              </w:rPr>
              <w:fldChar w:fldCharType="separate"/>
            </w:r>
            <w:r>
              <w:rPr>
                <w:noProof/>
                <w:webHidden/>
              </w:rPr>
              <w:t>13</w:t>
            </w:r>
            <w:r w:rsidR="00E235D1">
              <w:rPr>
                <w:noProof/>
                <w:webHidden/>
              </w:rPr>
              <w:fldChar w:fldCharType="end"/>
            </w:r>
          </w:hyperlink>
        </w:p>
        <w:p w:rsidR="00E235D1" w:rsidRDefault="00C31C60" w:rsidP="004837F7">
          <w:pPr>
            <w:pStyle w:val="TOC2"/>
            <w:rPr>
              <w:rFonts w:asciiTheme="minorHAnsi" w:eastAsiaTheme="minorEastAsia" w:hAnsiTheme="minorHAnsi" w:cstheme="minorBidi"/>
              <w:noProof/>
              <w:sz w:val="22"/>
              <w:szCs w:val="22"/>
            </w:rPr>
          </w:pPr>
          <w:hyperlink w:anchor="_Toc310842162" w:history="1">
            <w:r w:rsidR="00E235D1" w:rsidRPr="00DD6E5A">
              <w:rPr>
                <w:rStyle w:val="Hyperlink"/>
                <w:noProof/>
              </w:rPr>
              <w:t>A.</w:t>
            </w:r>
            <w:r w:rsidR="00E235D1">
              <w:rPr>
                <w:rFonts w:asciiTheme="minorHAnsi" w:eastAsiaTheme="minorEastAsia" w:hAnsiTheme="minorHAnsi" w:cstheme="minorBidi"/>
                <w:noProof/>
                <w:sz w:val="22"/>
                <w:szCs w:val="22"/>
              </w:rPr>
              <w:tab/>
            </w:r>
            <w:r w:rsidR="00E235D1" w:rsidRPr="00DD6E5A">
              <w:rPr>
                <w:rStyle w:val="Hyperlink"/>
                <w:noProof/>
              </w:rPr>
              <w:t>Decoupling Background</w:t>
            </w:r>
            <w:r w:rsidR="00E235D1">
              <w:rPr>
                <w:noProof/>
                <w:webHidden/>
              </w:rPr>
              <w:tab/>
            </w:r>
            <w:r w:rsidR="00E235D1">
              <w:rPr>
                <w:noProof/>
                <w:webHidden/>
              </w:rPr>
              <w:fldChar w:fldCharType="begin"/>
            </w:r>
            <w:r w:rsidR="00E235D1">
              <w:rPr>
                <w:noProof/>
                <w:webHidden/>
              </w:rPr>
              <w:instrText xml:space="preserve"> PAGEREF _Toc310842162 \h </w:instrText>
            </w:r>
            <w:r w:rsidR="00E235D1">
              <w:rPr>
                <w:noProof/>
                <w:webHidden/>
              </w:rPr>
            </w:r>
            <w:r w:rsidR="00E235D1">
              <w:rPr>
                <w:noProof/>
                <w:webHidden/>
              </w:rPr>
              <w:fldChar w:fldCharType="separate"/>
            </w:r>
            <w:r>
              <w:rPr>
                <w:noProof/>
                <w:webHidden/>
              </w:rPr>
              <w:t>15</w:t>
            </w:r>
            <w:r w:rsidR="00E235D1">
              <w:rPr>
                <w:noProof/>
                <w:webHidden/>
              </w:rPr>
              <w:fldChar w:fldCharType="end"/>
            </w:r>
          </w:hyperlink>
        </w:p>
        <w:p w:rsidR="00E235D1" w:rsidRDefault="00C31C60" w:rsidP="004837F7">
          <w:pPr>
            <w:pStyle w:val="TOC2"/>
            <w:rPr>
              <w:rFonts w:asciiTheme="minorHAnsi" w:eastAsiaTheme="minorEastAsia" w:hAnsiTheme="minorHAnsi" w:cstheme="minorBidi"/>
              <w:noProof/>
              <w:sz w:val="22"/>
              <w:szCs w:val="22"/>
            </w:rPr>
          </w:pPr>
          <w:hyperlink w:anchor="_Toc310842163" w:history="1">
            <w:r w:rsidR="00E235D1" w:rsidRPr="00DD6E5A">
              <w:rPr>
                <w:rStyle w:val="Hyperlink"/>
                <w:noProof/>
              </w:rPr>
              <w:t>B.</w:t>
            </w:r>
            <w:r w:rsidR="00E235D1">
              <w:rPr>
                <w:rFonts w:asciiTheme="minorHAnsi" w:eastAsiaTheme="minorEastAsia" w:hAnsiTheme="minorHAnsi" w:cstheme="minorBidi"/>
                <w:noProof/>
                <w:sz w:val="22"/>
                <w:szCs w:val="22"/>
              </w:rPr>
              <w:tab/>
            </w:r>
            <w:r w:rsidR="00E235D1" w:rsidRPr="00DD6E5A">
              <w:rPr>
                <w:rStyle w:val="Hyperlink"/>
                <w:noProof/>
              </w:rPr>
              <w:t>The CSA and the Decoupling Policy Statement</w:t>
            </w:r>
            <w:r w:rsidR="00E235D1">
              <w:rPr>
                <w:noProof/>
                <w:webHidden/>
              </w:rPr>
              <w:tab/>
            </w:r>
            <w:r w:rsidR="00E235D1">
              <w:rPr>
                <w:noProof/>
                <w:webHidden/>
              </w:rPr>
              <w:fldChar w:fldCharType="begin"/>
            </w:r>
            <w:r w:rsidR="00E235D1">
              <w:rPr>
                <w:noProof/>
                <w:webHidden/>
              </w:rPr>
              <w:instrText xml:space="preserve"> PAGEREF _Toc310842163 \h </w:instrText>
            </w:r>
            <w:r w:rsidR="00E235D1">
              <w:rPr>
                <w:noProof/>
                <w:webHidden/>
              </w:rPr>
            </w:r>
            <w:r w:rsidR="00E235D1">
              <w:rPr>
                <w:noProof/>
                <w:webHidden/>
              </w:rPr>
              <w:fldChar w:fldCharType="separate"/>
            </w:r>
            <w:r>
              <w:rPr>
                <w:noProof/>
                <w:webHidden/>
              </w:rPr>
              <w:t>17</w:t>
            </w:r>
            <w:r w:rsidR="00E235D1">
              <w:rPr>
                <w:noProof/>
                <w:webHidden/>
              </w:rPr>
              <w:fldChar w:fldCharType="end"/>
            </w:r>
          </w:hyperlink>
        </w:p>
        <w:p w:rsidR="00E235D1" w:rsidRDefault="00C31C60" w:rsidP="004837F7">
          <w:pPr>
            <w:pStyle w:val="TOC2"/>
            <w:rPr>
              <w:rFonts w:asciiTheme="minorHAnsi" w:eastAsiaTheme="minorEastAsia" w:hAnsiTheme="minorHAnsi" w:cstheme="minorBidi"/>
              <w:noProof/>
              <w:sz w:val="22"/>
              <w:szCs w:val="22"/>
            </w:rPr>
          </w:pPr>
          <w:hyperlink w:anchor="_Toc310842164" w:history="1">
            <w:r w:rsidR="00E235D1" w:rsidRPr="00DD6E5A">
              <w:rPr>
                <w:rStyle w:val="Hyperlink"/>
                <w:noProof/>
              </w:rPr>
              <w:t>C.</w:t>
            </w:r>
            <w:r w:rsidR="00E235D1">
              <w:rPr>
                <w:rFonts w:asciiTheme="minorHAnsi" w:eastAsiaTheme="minorEastAsia" w:hAnsiTheme="minorHAnsi" w:cstheme="minorBidi"/>
                <w:noProof/>
                <w:sz w:val="22"/>
                <w:szCs w:val="22"/>
              </w:rPr>
              <w:tab/>
            </w:r>
            <w:r w:rsidR="00E235D1" w:rsidRPr="00DD6E5A">
              <w:rPr>
                <w:rStyle w:val="Hyperlink"/>
                <w:noProof/>
              </w:rPr>
              <w:t>Use Per Customer Analysis</w:t>
            </w:r>
            <w:r w:rsidR="00E235D1">
              <w:rPr>
                <w:noProof/>
                <w:webHidden/>
              </w:rPr>
              <w:tab/>
            </w:r>
            <w:r w:rsidR="00E235D1">
              <w:rPr>
                <w:noProof/>
                <w:webHidden/>
              </w:rPr>
              <w:fldChar w:fldCharType="begin"/>
            </w:r>
            <w:r w:rsidR="00E235D1">
              <w:rPr>
                <w:noProof/>
                <w:webHidden/>
              </w:rPr>
              <w:instrText xml:space="preserve"> PAGEREF _Toc310842164 \h </w:instrText>
            </w:r>
            <w:r w:rsidR="00E235D1">
              <w:rPr>
                <w:noProof/>
                <w:webHidden/>
              </w:rPr>
            </w:r>
            <w:r w:rsidR="00E235D1">
              <w:rPr>
                <w:noProof/>
                <w:webHidden/>
              </w:rPr>
              <w:fldChar w:fldCharType="separate"/>
            </w:r>
            <w:r>
              <w:rPr>
                <w:noProof/>
                <w:webHidden/>
              </w:rPr>
              <w:t>21</w:t>
            </w:r>
            <w:r w:rsidR="00E235D1">
              <w:rPr>
                <w:noProof/>
                <w:webHidden/>
              </w:rPr>
              <w:fldChar w:fldCharType="end"/>
            </w:r>
          </w:hyperlink>
        </w:p>
        <w:p w:rsidR="00E235D1" w:rsidRDefault="00C31C60" w:rsidP="004837F7">
          <w:pPr>
            <w:pStyle w:val="TOC2"/>
            <w:rPr>
              <w:rFonts w:asciiTheme="minorHAnsi" w:eastAsiaTheme="minorEastAsia" w:hAnsiTheme="minorHAnsi" w:cstheme="minorBidi"/>
              <w:noProof/>
              <w:sz w:val="22"/>
              <w:szCs w:val="22"/>
            </w:rPr>
          </w:pPr>
          <w:hyperlink w:anchor="_Toc310842165" w:history="1">
            <w:r w:rsidR="00E235D1" w:rsidRPr="00DD6E5A">
              <w:rPr>
                <w:rStyle w:val="Hyperlink"/>
                <w:noProof/>
              </w:rPr>
              <w:t>D.</w:t>
            </w:r>
            <w:r w:rsidR="00E235D1">
              <w:rPr>
                <w:rFonts w:asciiTheme="minorHAnsi" w:eastAsiaTheme="minorEastAsia" w:hAnsiTheme="minorHAnsi" w:cstheme="minorBidi"/>
                <w:noProof/>
                <w:sz w:val="22"/>
                <w:szCs w:val="22"/>
              </w:rPr>
              <w:tab/>
            </w:r>
            <w:r w:rsidR="00E235D1" w:rsidRPr="00DD6E5A">
              <w:rPr>
                <w:rStyle w:val="Hyperlink"/>
                <w:noProof/>
              </w:rPr>
              <w:t>Offsetting Revenues for Electric Operations</w:t>
            </w:r>
            <w:r w:rsidR="00E235D1">
              <w:rPr>
                <w:noProof/>
                <w:webHidden/>
              </w:rPr>
              <w:tab/>
            </w:r>
            <w:r w:rsidR="00E235D1">
              <w:rPr>
                <w:noProof/>
                <w:webHidden/>
              </w:rPr>
              <w:fldChar w:fldCharType="begin"/>
            </w:r>
            <w:r w:rsidR="00E235D1">
              <w:rPr>
                <w:noProof/>
                <w:webHidden/>
              </w:rPr>
              <w:instrText xml:space="preserve"> PAGEREF _Toc310842165 \h </w:instrText>
            </w:r>
            <w:r w:rsidR="00E235D1">
              <w:rPr>
                <w:noProof/>
                <w:webHidden/>
              </w:rPr>
            </w:r>
            <w:r w:rsidR="00E235D1">
              <w:rPr>
                <w:noProof/>
                <w:webHidden/>
              </w:rPr>
              <w:fldChar w:fldCharType="separate"/>
            </w:r>
            <w:r>
              <w:rPr>
                <w:noProof/>
                <w:webHidden/>
              </w:rPr>
              <w:t>26</w:t>
            </w:r>
            <w:r w:rsidR="00E235D1">
              <w:rPr>
                <w:noProof/>
                <w:webHidden/>
              </w:rPr>
              <w:fldChar w:fldCharType="end"/>
            </w:r>
          </w:hyperlink>
        </w:p>
        <w:p w:rsidR="00E235D1" w:rsidRDefault="00C31C60" w:rsidP="004837F7">
          <w:pPr>
            <w:pStyle w:val="TOC2"/>
            <w:rPr>
              <w:rFonts w:asciiTheme="minorHAnsi" w:eastAsiaTheme="minorEastAsia" w:hAnsiTheme="minorHAnsi" w:cstheme="minorBidi"/>
              <w:noProof/>
              <w:sz w:val="22"/>
              <w:szCs w:val="22"/>
            </w:rPr>
          </w:pPr>
          <w:hyperlink w:anchor="_Toc310842166" w:history="1">
            <w:r w:rsidR="00E235D1" w:rsidRPr="00DD6E5A">
              <w:rPr>
                <w:rStyle w:val="Hyperlink"/>
                <w:noProof/>
              </w:rPr>
              <w:t>E.</w:t>
            </w:r>
            <w:r w:rsidR="00E235D1">
              <w:rPr>
                <w:rFonts w:asciiTheme="minorHAnsi" w:eastAsiaTheme="minorEastAsia" w:hAnsiTheme="minorHAnsi" w:cstheme="minorBidi"/>
                <w:noProof/>
                <w:sz w:val="22"/>
                <w:szCs w:val="22"/>
              </w:rPr>
              <w:tab/>
            </w:r>
            <w:r w:rsidR="00E235D1" w:rsidRPr="00DD6E5A">
              <w:rPr>
                <w:rStyle w:val="Hyperlink"/>
                <w:noProof/>
              </w:rPr>
              <w:t>Existing Incentive to Invest in Electric Conservation</w:t>
            </w:r>
            <w:r w:rsidR="00E235D1">
              <w:rPr>
                <w:noProof/>
                <w:webHidden/>
              </w:rPr>
              <w:tab/>
            </w:r>
            <w:r w:rsidR="00E235D1">
              <w:rPr>
                <w:noProof/>
                <w:webHidden/>
              </w:rPr>
              <w:fldChar w:fldCharType="begin"/>
            </w:r>
            <w:r w:rsidR="00E235D1">
              <w:rPr>
                <w:noProof/>
                <w:webHidden/>
              </w:rPr>
              <w:instrText xml:space="preserve"> PAGEREF _Toc310842166 \h </w:instrText>
            </w:r>
            <w:r w:rsidR="00E235D1">
              <w:rPr>
                <w:noProof/>
                <w:webHidden/>
              </w:rPr>
            </w:r>
            <w:r w:rsidR="00E235D1">
              <w:rPr>
                <w:noProof/>
                <w:webHidden/>
              </w:rPr>
              <w:fldChar w:fldCharType="separate"/>
            </w:r>
            <w:r>
              <w:rPr>
                <w:noProof/>
                <w:webHidden/>
              </w:rPr>
              <w:t>28</w:t>
            </w:r>
            <w:r w:rsidR="00E235D1">
              <w:rPr>
                <w:noProof/>
                <w:webHidden/>
              </w:rPr>
              <w:fldChar w:fldCharType="end"/>
            </w:r>
          </w:hyperlink>
        </w:p>
        <w:p w:rsidR="00E235D1" w:rsidRDefault="00C31C60" w:rsidP="004837F7">
          <w:pPr>
            <w:pStyle w:val="TOC2"/>
            <w:rPr>
              <w:rFonts w:asciiTheme="minorHAnsi" w:eastAsiaTheme="minorEastAsia" w:hAnsiTheme="minorHAnsi" w:cstheme="minorBidi"/>
              <w:noProof/>
              <w:sz w:val="22"/>
              <w:szCs w:val="22"/>
            </w:rPr>
          </w:pPr>
          <w:hyperlink w:anchor="_Toc310842167" w:history="1">
            <w:r w:rsidR="00E235D1" w:rsidRPr="00DD6E5A">
              <w:rPr>
                <w:rStyle w:val="Hyperlink"/>
                <w:noProof/>
              </w:rPr>
              <w:t>F.</w:t>
            </w:r>
            <w:r w:rsidR="00E235D1">
              <w:rPr>
                <w:rFonts w:asciiTheme="minorHAnsi" w:eastAsiaTheme="minorEastAsia" w:hAnsiTheme="minorHAnsi" w:cstheme="minorBidi"/>
                <w:noProof/>
                <w:sz w:val="22"/>
                <w:szCs w:val="22"/>
              </w:rPr>
              <w:tab/>
            </w:r>
            <w:r w:rsidR="00E235D1" w:rsidRPr="00DD6E5A">
              <w:rPr>
                <w:rStyle w:val="Hyperlink"/>
                <w:noProof/>
              </w:rPr>
              <w:t>Known and Measurable Conservation Effects Not Present</w:t>
            </w:r>
            <w:r w:rsidR="00E235D1">
              <w:rPr>
                <w:noProof/>
                <w:webHidden/>
              </w:rPr>
              <w:tab/>
            </w:r>
            <w:r w:rsidR="00E235D1">
              <w:rPr>
                <w:noProof/>
                <w:webHidden/>
              </w:rPr>
              <w:fldChar w:fldCharType="begin"/>
            </w:r>
            <w:r w:rsidR="00E235D1">
              <w:rPr>
                <w:noProof/>
                <w:webHidden/>
              </w:rPr>
              <w:instrText xml:space="preserve"> PAGEREF _Toc310842167 \h </w:instrText>
            </w:r>
            <w:r w:rsidR="00E235D1">
              <w:rPr>
                <w:noProof/>
                <w:webHidden/>
              </w:rPr>
            </w:r>
            <w:r w:rsidR="00E235D1">
              <w:rPr>
                <w:noProof/>
                <w:webHidden/>
              </w:rPr>
              <w:fldChar w:fldCharType="separate"/>
            </w:r>
            <w:r>
              <w:rPr>
                <w:noProof/>
                <w:webHidden/>
              </w:rPr>
              <w:t>30</w:t>
            </w:r>
            <w:r w:rsidR="00E235D1">
              <w:rPr>
                <w:noProof/>
                <w:webHidden/>
              </w:rPr>
              <w:fldChar w:fldCharType="end"/>
            </w:r>
          </w:hyperlink>
        </w:p>
        <w:p w:rsidR="00361B78" w:rsidRDefault="0006641A" w:rsidP="00D81881">
          <w:pPr>
            <w:spacing w:line="240" w:lineRule="auto"/>
          </w:pPr>
          <w:r>
            <w:fldChar w:fldCharType="end"/>
          </w:r>
        </w:p>
      </w:sdtContent>
    </w:sdt>
    <w:p w:rsidR="00627B74" w:rsidRPr="00627B74" w:rsidRDefault="00627B74" w:rsidP="004837F7">
      <w:pPr>
        <w:spacing w:line="240" w:lineRule="auto"/>
      </w:pPr>
    </w:p>
    <w:p w:rsidR="00627B74" w:rsidRPr="004837F7" w:rsidRDefault="00627B74" w:rsidP="004837F7">
      <w:pPr>
        <w:jc w:val="center"/>
        <w:rPr>
          <w:b/>
        </w:rPr>
      </w:pPr>
      <w:r w:rsidRPr="004837F7">
        <w:rPr>
          <w:b/>
        </w:rPr>
        <w:t>LIST OF EXHIBITS</w:t>
      </w:r>
    </w:p>
    <w:p w:rsidR="00627B74" w:rsidRPr="00627B74" w:rsidRDefault="00627B74" w:rsidP="004837F7">
      <w:pPr>
        <w:pStyle w:val="BodyTextIndent2"/>
        <w:ind w:left="0" w:firstLine="0"/>
        <w:rPr>
          <w:b/>
        </w:rPr>
      </w:pPr>
      <w:r w:rsidRPr="00627B74">
        <w:t>Exhibit No. _</w:t>
      </w:r>
      <w:r>
        <w:t>_</w:t>
      </w:r>
      <w:r w:rsidRPr="00627B74">
        <w:t>_ (</w:t>
      </w:r>
      <w:r w:rsidR="007C1892">
        <w:t>DJR</w:t>
      </w:r>
      <w:r w:rsidRPr="00627B74">
        <w:t>-2)</w:t>
      </w:r>
      <w:r w:rsidR="004837F7">
        <w:tab/>
      </w:r>
      <w:r w:rsidR="00434778">
        <w:t>Rate Spread Summary</w:t>
      </w:r>
      <w:r w:rsidRPr="00627B74">
        <w:t xml:space="preserve"> </w:t>
      </w:r>
    </w:p>
    <w:p w:rsidR="0047046A" w:rsidRPr="00627B74" w:rsidRDefault="0047046A" w:rsidP="00735463"/>
    <w:p w:rsidR="0047046A" w:rsidRPr="00F021E3" w:rsidRDefault="0047046A" w:rsidP="00FD7A64"/>
    <w:p w:rsidR="0047046A" w:rsidRPr="00F021E3" w:rsidRDefault="0047046A" w:rsidP="00735463">
      <w:pPr>
        <w:pStyle w:val="Heading3"/>
        <w:sectPr w:rsidR="0047046A" w:rsidRPr="00F021E3">
          <w:pgSz w:w="12240" w:h="15840" w:code="1"/>
          <w:pgMar w:top="1440" w:right="1440" w:bottom="1440" w:left="1872" w:header="720" w:footer="720" w:gutter="0"/>
          <w:pgNumType w:fmt="lowerRoman" w:start="1"/>
          <w:cols w:space="720"/>
          <w:docGrid w:linePitch="360"/>
        </w:sectPr>
      </w:pPr>
    </w:p>
    <w:p w:rsidR="00F34328" w:rsidRPr="00A164E7" w:rsidRDefault="00627B74" w:rsidP="00735463">
      <w:pPr>
        <w:pStyle w:val="Heading1"/>
      </w:pPr>
      <w:bookmarkStart w:id="0" w:name="_Toc310842156"/>
      <w:r w:rsidRPr="00A164E7">
        <w:lastRenderedPageBreak/>
        <w:t>INTRODUCTION</w:t>
      </w:r>
      <w:bookmarkEnd w:id="0"/>
    </w:p>
    <w:p w:rsidR="00627B74" w:rsidRPr="00627B74" w:rsidRDefault="00627B74" w:rsidP="00735463"/>
    <w:p w:rsidR="00830789" w:rsidRPr="00A164E7" w:rsidRDefault="00830789" w:rsidP="00735463">
      <w:pPr>
        <w:pStyle w:val="Heading3"/>
      </w:pPr>
      <w:r w:rsidRPr="00A164E7">
        <w:t>Q.</w:t>
      </w:r>
      <w:r w:rsidRPr="00A164E7">
        <w:tab/>
        <w:t>Please state your name and business address for the record.</w:t>
      </w:r>
    </w:p>
    <w:p w:rsidR="00830789" w:rsidRDefault="00830789" w:rsidP="00735463">
      <w:r w:rsidRPr="00627B74">
        <w:t>A.</w:t>
      </w:r>
      <w:r w:rsidRPr="00627B74">
        <w:tab/>
        <w:t xml:space="preserve">My name is </w:t>
      </w:r>
      <w:r>
        <w:t>Deborah Reynolds</w:t>
      </w:r>
      <w:r w:rsidRPr="00627B74">
        <w:t xml:space="preserve">.  My business address is the Richard Hemstad Building, 1300 S. Evergreen Park Dr. SW, Olympia, WA 98504-7250.  My e-mail address is </w:t>
      </w:r>
      <w:hyperlink r:id="rId11" w:history="1">
        <w:r w:rsidR="0006641A" w:rsidRPr="00DC3999">
          <w:rPr>
            <w:rStyle w:val="Hyperlink"/>
            <w:u w:val="none"/>
          </w:rPr>
          <w:t>dreynold@utc.wa.gov</w:t>
        </w:r>
      </w:hyperlink>
      <w:r w:rsidR="0006641A" w:rsidRPr="00042501">
        <w:rPr>
          <w:u w:val="single"/>
        </w:rPr>
        <w:t>.</w:t>
      </w:r>
    </w:p>
    <w:p w:rsidR="00830CE0" w:rsidRDefault="00830CE0" w:rsidP="00735463"/>
    <w:p w:rsidR="00F56385" w:rsidRDefault="00F56385" w:rsidP="00735463">
      <w:pPr>
        <w:pStyle w:val="Heading3"/>
      </w:pPr>
      <w:r>
        <w:t>Q.</w:t>
      </w:r>
      <w:r>
        <w:tab/>
        <w:t>By whom are you employed and in what capacity?</w:t>
      </w:r>
    </w:p>
    <w:p w:rsidR="00C06A3D" w:rsidRDefault="00F56385" w:rsidP="00942240">
      <w:r>
        <w:t>A.</w:t>
      </w:r>
      <w:r>
        <w:tab/>
        <w:t>I am employed by the Washington Utilities and Transportation Commission (“Commission”) as a Regulatory Analyst in the Energy Section of the Regulatory Services Division.  My employment at the Commission began in 1999.</w:t>
      </w:r>
    </w:p>
    <w:p w:rsidR="00F56385" w:rsidRDefault="00F56385" w:rsidP="00BD1E74"/>
    <w:p w:rsidR="00830CE0" w:rsidRDefault="00830CE0" w:rsidP="00735463">
      <w:pPr>
        <w:pStyle w:val="Heading3"/>
      </w:pPr>
      <w:r>
        <w:t>Q.</w:t>
      </w:r>
      <w:r>
        <w:tab/>
      </w:r>
      <w:r w:rsidR="00F56385">
        <w:t xml:space="preserve">Please describe your education and </w:t>
      </w:r>
      <w:r>
        <w:t>your professional qualifications?</w:t>
      </w:r>
    </w:p>
    <w:p w:rsidR="00F56385" w:rsidRDefault="00830CE0" w:rsidP="00F56385">
      <w:r>
        <w:t>A.</w:t>
      </w:r>
      <w:r>
        <w:tab/>
      </w:r>
      <w:r w:rsidR="00F56385">
        <w:t xml:space="preserve">I have a Bachelor of Science degree in General Studies emphasizing ecology and statistics and a Master of Regional Planning degree, both from Washington State University.  I attended the National Association of Regulatory Utility Commissioners’ Annual Regulatory Studies Program in August 2004, the New Mexico State University’s rate case basics workshop in May 2008, Electric Utility Consultants, Inc.’s cost of service and rate design workshops in August 2008, </w:t>
      </w:r>
      <w:r w:rsidR="00042501">
        <w:t xml:space="preserve">the </w:t>
      </w:r>
      <w:r w:rsidR="00F56385">
        <w:t>International Energy Program Evaluation Conference and training in August 2009, as well as a number of other utility related seminars, conferences, and training opportunities.</w:t>
      </w:r>
    </w:p>
    <w:p w:rsidR="00F56385" w:rsidRDefault="00F56385" w:rsidP="00735463"/>
    <w:p w:rsidR="00F56385" w:rsidRDefault="00F56385" w:rsidP="00735463">
      <w:r>
        <w:lastRenderedPageBreak/>
        <w:tab/>
      </w:r>
      <w:r>
        <w:tab/>
        <w:t xml:space="preserve">As a Regulatory Analyst for the Commission, </w:t>
      </w:r>
      <w:r w:rsidR="00C250F5">
        <w:t xml:space="preserve">I am responsible </w:t>
      </w:r>
      <w:r w:rsidR="00042501">
        <w:t xml:space="preserve">primarily </w:t>
      </w:r>
      <w:r w:rsidR="00C250F5">
        <w:t>for reviewin</w:t>
      </w:r>
      <w:r>
        <w:t>g and</w:t>
      </w:r>
      <w:r w:rsidR="00C250F5">
        <w:t xml:space="preserve"> evaluating conservation programs, conservation resource planning, </w:t>
      </w:r>
      <w:r w:rsidR="008951E6">
        <w:t xml:space="preserve">cost of service, rate spread and </w:t>
      </w:r>
      <w:r w:rsidR="00C250F5">
        <w:t xml:space="preserve">rate design, decoupling, reliability, service quality, low-income issues, and other analyses </w:t>
      </w:r>
      <w:r>
        <w:t>in</w:t>
      </w:r>
      <w:r w:rsidR="00C250F5">
        <w:t xml:space="preserve"> general rate case and tariff filings</w:t>
      </w:r>
      <w:r>
        <w:t xml:space="preserve"> of </w:t>
      </w:r>
      <w:r w:rsidR="00C250F5">
        <w:t xml:space="preserve">electric and natural gas utilities regulated by the Commission. </w:t>
      </w:r>
      <w:r w:rsidR="00942240">
        <w:t xml:space="preserve"> </w:t>
      </w:r>
      <w:r w:rsidR="00011C15" w:rsidRPr="00011C15">
        <w:t xml:space="preserve">I </w:t>
      </w:r>
      <w:r>
        <w:t xml:space="preserve">also </w:t>
      </w:r>
      <w:r w:rsidR="00011C15" w:rsidRPr="00011C15">
        <w:t xml:space="preserve">provide technical assistance </w:t>
      </w:r>
      <w:r>
        <w:t>to</w:t>
      </w:r>
      <w:r w:rsidR="00011C15" w:rsidRPr="00011C15">
        <w:t xml:space="preserve"> companies on </w:t>
      </w:r>
      <w:r w:rsidR="00011C15">
        <w:t>energy regulatory</w:t>
      </w:r>
      <w:r w:rsidR="00011C15" w:rsidRPr="00011C15">
        <w:t xml:space="preserve"> matters</w:t>
      </w:r>
      <w:r w:rsidR="00011C15">
        <w:t>.</w:t>
      </w:r>
      <w:r w:rsidR="008951E6" w:rsidRPr="008951E6">
        <w:t xml:space="preserve"> </w:t>
      </w:r>
      <w:r>
        <w:t xml:space="preserve"> </w:t>
      </w:r>
    </w:p>
    <w:p w:rsidR="00FA67B5" w:rsidRDefault="00F56385" w:rsidP="00735463">
      <w:r>
        <w:tab/>
      </w:r>
      <w:r>
        <w:tab/>
      </w:r>
      <w:r w:rsidR="008951E6" w:rsidRPr="00BE1FAD">
        <w:t xml:space="preserve">I have </w:t>
      </w:r>
      <w:r w:rsidR="008951E6">
        <w:t xml:space="preserve">participated in the development of Commission rules and </w:t>
      </w:r>
      <w:r w:rsidR="008951E6" w:rsidRPr="00BE1FAD">
        <w:t xml:space="preserve">examined utility reports </w:t>
      </w:r>
      <w:r w:rsidR="008951E6">
        <w:t>for</w:t>
      </w:r>
      <w:r w:rsidR="008951E6" w:rsidRPr="00BE1FAD">
        <w:t xml:space="preserve"> compliance with </w:t>
      </w:r>
      <w:r w:rsidR="008951E6">
        <w:t>Commission</w:t>
      </w:r>
      <w:r w:rsidR="008951E6" w:rsidRPr="00BE1FAD">
        <w:t xml:space="preserve"> regulations.</w:t>
      </w:r>
      <w:r w:rsidR="008951E6">
        <w:t xml:space="preserve">  I have also presented Staff recommendations at numerous open public meetings.  I have filed testimony on decoupling in Avista’s consolidated general rate case</w:t>
      </w:r>
      <w:r>
        <w:t>, Docket</w:t>
      </w:r>
      <w:r w:rsidR="008951E6">
        <w:t xml:space="preserve"> UE-090134</w:t>
      </w:r>
      <w:r>
        <w:t xml:space="preserve">, </w:t>
      </w:r>
      <w:r w:rsidR="008951E6">
        <w:t>UE-090135</w:t>
      </w:r>
      <w:r>
        <w:t xml:space="preserve"> and </w:t>
      </w:r>
      <w:r w:rsidR="008951E6">
        <w:t xml:space="preserve">UG-060518, and </w:t>
      </w:r>
      <w:r>
        <w:t>S</w:t>
      </w:r>
      <w:r w:rsidR="008951E6">
        <w:t xml:space="preserve">taff comments on conservation target filings in </w:t>
      </w:r>
      <w:r>
        <w:t xml:space="preserve">Dockets </w:t>
      </w:r>
      <w:r w:rsidR="008951E6">
        <w:t>UE-100170, UE-100176, and UE-100177.</w:t>
      </w:r>
      <w:r w:rsidR="00254B4E">
        <w:t xml:space="preserve">  </w:t>
      </w:r>
    </w:p>
    <w:p w:rsidR="00F56385" w:rsidRDefault="00F56385" w:rsidP="00735463"/>
    <w:p w:rsidR="00354AB9" w:rsidRDefault="00354AB9" w:rsidP="00942240">
      <w:pPr>
        <w:pStyle w:val="Heading1"/>
      </w:pPr>
      <w:bookmarkStart w:id="1" w:name="_Toc310842157"/>
      <w:r>
        <w:t>SCOPE AND SUMMARY</w:t>
      </w:r>
      <w:bookmarkEnd w:id="1"/>
    </w:p>
    <w:p w:rsidR="00354AB9" w:rsidRDefault="00354AB9" w:rsidP="00BD1E74"/>
    <w:p w:rsidR="00830789" w:rsidRPr="00732550" w:rsidRDefault="00830789" w:rsidP="00735463">
      <w:pPr>
        <w:pStyle w:val="Heading3"/>
      </w:pPr>
      <w:r w:rsidRPr="00732550">
        <w:t>Q.</w:t>
      </w:r>
      <w:r w:rsidRPr="00732550">
        <w:tab/>
        <w:t>What is the purpose of your testimony?</w:t>
      </w:r>
    </w:p>
    <w:p w:rsidR="00E80483" w:rsidRDefault="00830789">
      <w:r>
        <w:t>A.</w:t>
      </w:r>
      <w:r>
        <w:tab/>
      </w:r>
      <w:r w:rsidR="009F0FD5" w:rsidRPr="007F3AC9">
        <w:t xml:space="preserve">I </w:t>
      </w:r>
      <w:r w:rsidR="009F0FD5">
        <w:t xml:space="preserve">provide Staff’s </w:t>
      </w:r>
      <w:r w:rsidR="00315D18">
        <w:t>recommendations on electricity revenue allocation and rate design for Puget Sound Energy, Inc. (“PSE” or the “Company”), given the Staff recommended revenue increase presented by Mr. Roland Martin</w:t>
      </w:r>
      <w:r w:rsidR="009F0FD5">
        <w:t xml:space="preserve">.  I also respond to </w:t>
      </w:r>
      <w:r w:rsidR="000F2FF0">
        <w:t xml:space="preserve">PSE’s Conservation Savings Adjustment </w:t>
      </w:r>
      <w:r w:rsidR="00315D18">
        <w:t xml:space="preserve">(“CSA”) </w:t>
      </w:r>
      <w:r w:rsidR="000F2FF0">
        <w:t>proposal</w:t>
      </w:r>
      <w:r w:rsidR="00942240">
        <w:t>.</w:t>
      </w:r>
    </w:p>
    <w:p w:rsidR="00621F95" w:rsidRDefault="00621F95" w:rsidP="00735463"/>
    <w:p w:rsidR="00315D18" w:rsidRDefault="0006641A" w:rsidP="00BD1E74">
      <w:pPr>
        <w:pStyle w:val="Heading3"/>
      </w:pPr>
      <w:r w:rsidRPr="00942240">
        <w:t>Q.</w:t>
      </w:r>
      <w:r w:rsidRPr="00942240">
        <w:tab/>
        <w:t>Please summarize your recommendations for electricity revenue allocation and rate</w:t>
      </w:r>
      <w:r w:rsidR="00315D18">
        <w:t xml:space="preserve"> </w:t>
      </w:r>
      <w:r w:rsidRPr="00942240">
        <w:t>d</w:t>
      </w:r>
      <w:r w:rsidR="00315D18">
        <w:t>e</w:t>
      </w:r>
      <w:r w:rsidRPr="00942240">
        <w:t>sign.</w:t>
      </w:r>
    </w:p>
    <w:p w:rsidR="00315D18" w:rsidRDefault="00315D18" w:rsidP="00735463">
      <w:r>
        <w:lastRenderedPageBreak/>
        <w:t>A.</w:t>
      </w:r>
      <w:r>
        <w:tab/>
      </w:r>
      <w:r w:rsidR="00A11403">
        <w:t xml:space="preserve">I accept the Company’s </w:t>
      </w:r>
      <w:r w:rsidR="00042501">
        <w:t>proposed</w:t>
      </w:r>
      <w:r w:rsidR="00A11403">
        <w:t xml:space="preserve"> electricity revenue allocation and rate design for the purposes of this general rate case.  I recommend further study of the Schedule 40 Campus Rate.</w:t>
      </w:r>
    </w:p>
    <w:p w:rsidR="00315D18" w:rsidRDefault="00315D18" w:rsidP="00735463"/>
    <w:p w:rsidR="00315D18" w:rsidRDefault="0006641A" w:rsidP="00BD1E74">
      <w:pPr>
        <w:pStyle w:val="Heading3"/>
      </w:pPr>
      <w:r w:rsidRPr="00942240">
        <w:t>Q.</w:t>
      </w:r>
      <w:r w:rsidRPr="00942240">
        <w:tab/>
        <w:t>Please summarize your recommendation regarding the CSA.</w:t>
      </w:r>
    </w:p>
    <w:p w:rsidR="00A11403" w:rsidRDefault="00354AB9" w:rsidP="00A11403">
      <w:r w:rsidRPr="00942240">
        <w:t>A.</w:t>
      </w:r>
      <w:r>
        <w:tab/>
      </w:r>
      <w:r w:rsidR="00A11403">
        <w:rPr>
          <w:bCs/>
        </w:rPr>
        <w:t xml:space="preserve">The Company’s case for the CSA is insufficient, and </w:t>
      </w:r>
      <w:r w:rsidR="00A11403">
        <w:t xml:space="preserve">the Commission should therefore reject the CSA.  First, </w:t>
      </w:r>
      <w:r w:rsidR="00042501">
        <w:t xml:space="preserve">the CSA is a form of limited decoupling and </w:t>
      </w:r>
      <w:r w:rsidR="00A11403">
        <w:t xml:space="preserve">PSE failed to satisfy the Commission’s </w:t>
      </w:r>
      <w:r w:rsidR="00042501">
        <w:t xml:space="preserve">threshold </w:t>
      </w:r>
      <w:r w:rsidR="00A11403">
        <w:t>requirement that the Company address limited decoupling proposals in the context of the Commission’s Decoupling Policy Statement.</w:t>
      </w:r>
      <w:r w:rsidR="00571D18" w:rsidRPr="00571D18">
        <w:rPr>
          <w:rStyle w:val="FootnoteReference"/>
        </w:rPr>
        <w:t xml:space="preserve"> </w:t>
      </w:r>
      <w:r w:rsidR="00571D18">
        <w:rPr>
          <w:rStyle w:val="FootnoteReference"/>
        </w:rPr>
        <w:footnoteReference w:id="1"/>
      </w:r>
      <w:r w:rsidR="00571D18">
        <w:t xml:space="preserve">  </w:t>
      </w:r>
      <w:r w:rsidR="00A11403">
        <w:t xml:space="preserve">  </w:t>
      </w:r>
    </w:p>
    <w:p w:rsidR="00354AB9" w:rsidRDefault="00A11403" w:rsidP="00735463">
      <w:r>
        <w:tab/>
      </w:r>
      <w:r>
        <w:tab/>
        <w:t xml:space="preserve">Should the Commission see the need to go further, it should reject the CSA because the CSA is limited decoupling applied to electric operations, </w:t>
      </w:r>
      <w:r w:rsidR="00042501">
        <w:t>which violates Commission</w:t>
      </w:r>
      <w:r>
        <w:t xml:space="preserve"> policy</w:t>
      </w:r>
      <w:r w:rsidR="002D4E71">
        <w:t xml:space="preserve"> that </w:t>
      </w:r>
      <w:r>
        <w:t xml:space="preserve">limited decoupling is confined to natural gas operations.  Should the Commission evaluate the reasons underlying that Commission policy, each such reason applies to the CSA.  Finally, the Commission should reject the CSA because the Company has not adequately supported the calculation of the adjustment. </w:t>
      </w:r>
    </w:p>
    <w:p w:rsidR="00354AB9" w:rsidRPr="00942240" w:rsidRDefault="00354AB9" w:rsidP="00735463">
      <w:pPr>
        <w:rPr>
          <w:b/>
        </w:rPr>
      </w:pPr>
    </w:p>
    <w:p w:rsidR="00354AB9" w:rsidRPr="00BD1E74" w:rsidRDefault="00354AB9" w:rsidP="00BD1E74">
      <w:pPr>
        <w:pStyle w:val="Heading3"/>
      </w:pPr>
      <w:r w:rsidRPr="00E33421">
        <w:t>Q.</w:t>
      </w:r>
      <w:r w:rsidRPr="00E33421">
        <w:tab/>
        <w:t xml:space="preserve">Have you prepared any exhibits </w:t>
      </w:r>
      <w:r>
        <w:t>in</w:t>
      </w:r>
      <w:r w:rsidRPr="00E33421">
        <w:t xml:space="preserve"> support of your testimony?</w:t>
      </w:r>
    </w:p>
    <w:p w:rsidR="00315D18" w:rsidRDefault="00354AB9" w:rsidP="00735463">
      <w:r>
        <w:t>A.</w:t>
      </w:r>
      <w:r>
        <w:tab/>
        <w:t xml:space="preserve">Yes.  I have prepared the following exhibit </w:t>
      </w:r>
      <w:r w:rsidR="00FD7A64">
        <w:t>in</w:t>
      </w:r>
      <w:r>
        <w:t xml:space="preserve"> support of my testimony:</w:t>
      </w:r>
    </w:p>
    <w:p w:rsidR="00354AB9" w:rsidRDefault="00354AB9" w:rsidP="00DC3999">
      <w:pPr>
        <w:pStyle w:val="ListParagraph"/>
        <w:numPr>
          <w:ilvl w:val="0"/>
          <w:numId w:val="40"/>
        </w:numPr>
      </w:pPr>
      <w:r>
        <w:t xml:space="preserve">Exhibit No. __ (DJR-2), </w:t>
      </w:r>
      <w:r w:rsidR="00434778">
        <w:t>Rate Spread Summary</w:t>
      </w:r>
    </w:p>
    <w:p w:rsidR="00315D18" w:rsidRPr="00315D18" w:rsidRDefault="00315D18" w:rsidP="00735463"/>
    <w:p w:rsidR="009F0FD5" w:rsidRDefault="00FA4626" w:rsidP="004837F7">
      <w:pPr>
        <w:pStyle w:val="Heading1"/>
        <w:keepNext/>
      </w:pPr>
      <w:bookmarkStart w:id="2" w:name="_Toc310842158"/>
      <w:r w:rsidRPr="00E93904">
        <w:t>R</w:t>
      </w:r>
      <w:r>
        <w:t>EVENUE ALLOCATION AND RATE DESIGN</w:t>
      </w:r>
      <w:bookmarkEnd w:id="2"/>
    </w:p>
    <w:p w:rsidR="009F0FD5" w:rsidRPr="00E93904" w:rsidRDefault="009F0FD5" w:rsidP="009F0FD5">
      <w:pPr>
        <w:pStyle w:val="BodyTextIndent2"/>
        <w:rPr>
          <w:b/>
        </w:rPr>
      </w:pPr>
    </w:p>
    <w:p w:rsidR="009F0FD5" w:rsidRPr="004837F7" w:rsidRDefault="009F0FD5" w:rsidP="004837F7">
      <w:pPr>
        <w:pStyle w:val="Heading2"/>
        <w:tabs>
          <w:tab w:val="clear" w:pos="-1440"/>
        </w:tabs>
        <w:ind w:left="0" w:firstLine="0"/>
        <w:jc w:val="left"/>
        <w:rPr>
          <w:u w:val="none"/>
        </w:rPr>
      </w:pPr>
      <w:bookmarkStart w:id="3" w:name="_Toc310842159"/>
      <w:r w:rsidRPr="004837F7">
        <w:rPr>
          <w:u w:val="none"/>
        </w:rPr>
        <w:t>Electric</w:t>
      </w:r>
      <w:r w:rsidR="00C2235D" w:rsidRPr="004837F7">
        <w:rPr>
          <w:u w:val="none"/>
        </w:rPr>
        <w:t xml:space="preserve"> Revenue Allocation -</w:t>
      </w:r>
      <w:r w:rsidRPr="004837F7">
        <w:rPr>
          <w:u w:val="none"/>
        </w:rPr>
        <w:t xml:space="preserve"> </w:t>
      </w:r>
      <w:r w:rsidR="00A338BB" w:rsidRPr="004837F7">
        <w:rPr>
          <w:u w:val="none"/>
        </w:rPr>
        <w:t xml:space="preserve">Cost of Service and </w:t>
      </w:r>
      <w:r w:rsidRPr="004837F7">
        <w:rPr>
          <w:u w:val="none"/>
        </w:rPr>
        <w:t>Rate Spread</w:t>
      </w:r>
      <w:bookmarkEnd w:id="3"/>
    </w:p>
    <w:p w:rsidR="009F0FD5" w:rsidRDefault="009F0FD5" w:rsidP="009F0FD5">
      <w:pPr>
        <w:pStyle w:val="BodyTextIndent"/>
        <w:rPr>
          <w:b/>
        </w:rPr>
      </w:pPr>
    </w:p>
    <w:p w:rsidR="009F0FD5" w:rsidRPr="00BE1FAD" w:rsidRDefault="009F0FD5" w:rsidP="00FA4626">
      <w:pPr>
        <w:pStyle w:val="Heading3"/>
      </w:pPr>
      <w:r w:rsidRPr="000D7CD9">
        <w:t>Q.</w:t>
      </w:r>
      <w:r w:rsidRPr="000D7CD9">
        <w:tab/>
        <w:t>Please explain revenue allocation and rate design</w:t>
      </w:r>
      <w:r w:rsidRPr="00BE1FAD">
        <w:t xml:space="preserve">.  </w:t>
      </w:r>
    </w:p>
    <w:p w:rsidR="009F0FD5" w:rsidRPr="00BE1FAD" w:rsidRDefault="009F0FD5" w:rsidP="00FA4626">
      <w:r w:rsidRPr="00BE1FAD">
        <w:t>A.</w:t>
      </w:r>
      <w:r w:rsidRPr="00BE1FAD">
        <w:tab/>
        <w:t xml:space="preserve">Revenue allocation, also known as </w:t>
      </w:r>
      <w:r w:rsidR="00315D18">
        <w:t>“</w:t>
      </w:r>
      <w:r w:rsidRPr="00BE1FAD">
        <w:t>rate spread</w:t>
      </w:r>
      <w:r w:rsidR="00315D18">
        <w:t>”</w:t>
      </w:r>
      <w:r w:rsidRPr="00BE1FAD">
        <w:t xml:space="preserve">, is the process of determining the portion of total revenues to be collected from each rate schedule.  Rate design takes the total revenue </w:t>
      </w:r>
      <w:r w:rsidR="00315D18">
        <w:t>to be collected from</w:t>
      </w:r>
      <w:r w:rsidRPr="00BE1FAD">
        <w:t xml:space="preserve"> each rate schedule and determines the specific charges within the schedule, such as the basic charge per month, the demand charge per kilowatt, and the exact cents per kilowatt-hour.</w:t>
      </w:r>
    </w:p>
    <w:p w:rsidR="009F0FD5" w:rsidRPr="00BE1FAD" w:rsidRDefault="009F0FD5" w:rsidP="009F0FD5">
      <w:pPr>
        <w:pStyle w:val="BodyTextIndent"/>
      </w:pPr>
    </w:p>
    <w:p w:rsidR="009F0FD5" w:rsidRPr="000D7CD9" w:rsidRDefault="009F0FD5" w:rsidP="00FA4626">
      <w:pPr>
        <w:pStyle w:val="Heading3"/>
      </w:pPr>
      <w:r w:rsidRPr="000D7CD9">
        <w:t>Q.</w:t>
      </w:r>
      <w:r w:rsidRPr="000D7CD9">
        <w:tab/>
        <w:t>What is the philosophy behind allocating revenues to the rate schedules?</w:t>
      </w:r>
    </w:p>
    <w:p w:rsidR="009F0FD5" w:rsidRPr="00F65D26" w:rsidRDefault="009F0FD5" w:rsidP="00FA4626">
      <w:r w:rsidRPr="00BE1FAD">
        <w:t>A.</w:t>
      </w:r>
      <w:r w:rsidRPr="00BE1FAD">
        <w:tab/>
        <w:t xml:space="preserve">The basic philosophy is to charge customers for the costs they impose on the total system.  The premise of cost causation is present in many aspects of determining rates in a price-regulated industry.  </w:t>
      </w:r>
      <w:r>
        <w:t>A precise calculation of the costs to be recovered by the customers on each rate schedule is possible, given any one set of allocation assumptions.  However, the Commission has often stated that factors in addition to cost weigh in the rate spread decision, including the appearance of fairness, perceptions of equity, economic conditions in the service territory, and stability.</w:t>
      </w:r>
      <w:r w:rsidRPr="00F65D26">
        <w:t xml:space="preserve">  </w:t>
      </w:r>
    </w:p>
    <w:p w:rsidR="009F0FD5" w:rsidRDefault="009F0FD5" w:rsidP="009F0FD5">
      <w:pPr>
        <w:rPr>
          <w:b/>
        </w:rPr>
      </w:pPr>
    </w:p>
    <w:p w:rsidR="009F0FD5" w:rsidRPr="000D7CD9" w:rsidRDefault="009F0FD5" w:rsidP="00FA4626">
      <w:pPr>
        <w:pStyle w:val="Heading3"/>
      </w:pPr>
      <w:r w:rsidRPr="000D7CD9">
        <w:t>Q.</w:t>
      </w:r>
      <w:r w:rsidRPr="000D7CD9">
        <w:tab/>
        <w:t>What data are necessary to determine a fair allocation of revenues to the customer classes</w:t>
      </w:r>
      <w:r>
        <w:t xml:space="preserve"> and how is that data used</w:t>
      </w:r>
      <w:r w:rsidRPr="000D7CD9">
        <w:t>?</w:t>
      </w:r>
    </w:p>
    <w:p w:rsidR="009F0FD5" w:rsidRDefault="009F0FD5" w:rsidP="00FA4626">
      <w:r w:rsidRPr="00BE1FAD">
        <w:lastRenderedPageBreak/>
        <w:t>A.</w:t>
      </w:r>
      <w:r w:rsidRPr="00BE1FAD">
        <w:tab/>
        <w:t>The utility must collect data on the use of electricity across a broad spectrum of all customers.  This is known as a load study.  While it is not feasible to precisely measure every customer’s load</w:t>
      </w:r>
      <w:r>
        <w:t>,</w:t>
      </w:r>
      <w:r w:rsidRPr="00BE1FAD">
        <w:t xml:space="preserve"> statistical sampling provides sufficient data for the intended purposes.  For each customer sampled, the data collected should include, at a minimum, the electricity consumed during short time intervals around the clock and over an entire year.  The purpose is to group customers into like patterns of use, to determine the time periods at which those customers demand the greatest amount of kilowatts, to compare the peak periods of a group to the lowest use periods within the same group, and to compare each group of customers to the other groups.</w:t>
      </w:r>
      <w:r>
        <w:t xml:space="preserve">  </w:t>
      </w:r>
      <w:r w:rsidRPr="00BE1FAD">
        <w:t xml:space="preserve">The utility must also collect data on how </w:t>
      </w:r>
      <w:r>
        <w:t>it</w:t>
      </w:r>
      <w:r w:rsidRPr="00BE1FAD">
        <w:t xml:space="preserve"> produces and buys electricity to meet customer needs.</w:t>
      </w:r>
      <w:r>
        <w:t xml:space="preserve"> </w:t>
      </w:r>
    </w:p>
    <w:p w:rsidR="009F0FD5" w:rsidRDefault="009F0FD5" w:rsidP="00FA4626">
      <w:r>
        <w:tab/>
      </w:r>
      <w:r>
        <w:tab/>
      </w:r>
      <w:r w:rsidR="00315D18">
        <w:t>A</w:t>
      </w:r>
      <w:r>
        <w:t xml:space="preserve"> company’s costs and plant balances, or rate base, are sorted into the basic functions of doing business such as generation, transmission, and distribution.  Then the expenses and rate base are further classified as customer-related, energy-related, or demand-related.  Customer-related costs are those that vary as customers are added</w:t>
      </w:r>
      <w:r w:rsidR="00E235D1">
        <w:t xml:space="preserve"> to</w:t>
      </w:r>
      <w:r>
        <w:t xml:space="preserve"> or subtracted </w:t>
      </w:r>
      <w:r w:rsidR="00E235D1">
        <w:t>from</w:t>
      </w:r>
      <w:r>
        <w:t xml:space="preserve"> the system.  Energy-related costs vary by total consumption.  Demand-related costs vary by the power required to meet the demands of customers on each rate schedule.</w:t>
      </w:r>
    </w:p>
    <w:p w:rsidR="009F0FD5" w:rsidRDefault="009F0FD5" w:rsidP="00FA4626">
      <w:r>
        <w:tab/>
      </w:r>
      <w:r>
        <w:tab/>
        <w:t>The customer consumption data from the load study is used to determine allocation factors for each cost category.  Those allocation factors are then applied to the various classifications of costs to determine the cost responsibility of the customers on each rate schedule.</w:t>
      </w:r>
    </w:p>
    <w:p w:rsidR="009F0FD5" w:rsidRDefault="009F0FD5" w:rsidP="009F0FD5"/>
    <w:p w:rsidR="009F0FD5" w:rsidRPr="00FE3904" w:rsidRDefault="009F0FD5" w:rsidP="00FA4626">
      <w:pPr>
        <w:pStyle w:val="Heading3"/>
      </w:pPr>
      <w:r w:rsidRPr="00FE3904">
        <w:lastRenderedPageBreak/>
        <w:t>Q.</w:t>
      </w:r>
      <w:r w:rsidRPr="00FE3904">
        <w:tab/>
        <w:t xml:space="preserve">Does Staff accept the Company’s method to allocate </w:t>
      </w:r>
      <w:r w:rsidR="00111B2D">
        <w:t xml:space="preserve">electric </w:t>
      </w:r>
      <w:r w:rsidRPr="00FE3904">
        <w:t>plant and expenses to the current rate schedules?</w:t>
      </w:r>
    </w:p>
    <w:p w:rsidR="009F0FD5" w:rsidRDefault="009F0FD5" w:rsidP="00FA4626">
      <w:r>
        <w:t>A.</w:t>
      </w:r>
      <w:r>
        <w:tab/>
        <w:t>Yes.</w:t>
      </w:r>
      <w:r w:rsidRPr="00643105">
        <w:t xml:space="preserve"> </w:t>
      </w:r>
      <w:r>
        <w:t xml:space="preserve"> </w:t>
      </w:r>
      <w:r w:rsidR="00111B2D">
        <w:t>Mr. Pil</w:t>
      </w:r>
      <w:r w:rsidR="00FA4289">
        <w:t>i</w:t>
      </w:r>
      <w:r w:rsidR="00111B2D">
        <w:t xml:space="preserve">aris presents the Company’s cost of service study in Exhibit No. __ (JAP-4).  </w:t>
      </w:r>
      <w:r>
        <w:t>T</w:t>
      </w:r>
      <w:r w:rsidR="002D4E71">
        <w:t>hat</w:t>
      </w:r>
      <w:r>
        <w:t xml:space="preserve"> cost of service study fairly presents the costs imposed on the system by the customers on each rate schedule.</w:t>
      </w:r>
      <w:r w:rsidR="003272FB">
        <w:t xml:space="preserve">  </w:t>
      </w:r>
    </w:p>
    <w:p w:rsidR="009F0FD5" w:rsidRPr="00BE1FAD" w:rsidRDefault="009F0FD5" w:rsidP="00BD1E74"/>
    <w:p w:rsidR="009F0FD5" w:rsidRDefault="009F0FD5" w:rsidP="00FA4626">
      <w:pPr>
        <w:pStyle w:val="Heading3"/>
      </w:pPr>
      <w:r w:rsidRPr="000D7CD9">
        <w:t>Q.</w:t>
      </w:r>
      <w:r w:rsidRPr="000D7CD9">
        <w:tab/>
      </w:r>
      <w:r>
        <w:t>Please explain the current revenue to cost ratios per rate schedule</w:t>
      </w:r>
      <w:r w:rsidR="00111B2D">
        <w:t xml:space="preserve"> that result from the Company’s cost of service study.</w:t>
      </w:r>
      <w:r>
        <w:t xml:space="preserve"> </w:t>
      </w:r>
    </w:p>
    <w:p w:rsidR="00C06A3D" w:rsidRDefault="0006641A" w:rsidP="00BD1E74">
      <w:r w:rsidRPr="00942240">
        <w:t>A.</w:t>
      </w:r>
      <w:r w:rsidR="009F0FD5" w:rsidRPr="003C0ABB">
        <w:tab/>
      </w:r>
      <w:r w:rsidRPr="00942240">
        <w:t>The current revenue to cost ratios appear on Exhibit No. __ (JAP-4), page 1, line 48</w:t>
      </w:r>
      <w:r w:rsidR="00111B2D">
        <w:t>.  T</w:t>
      </w:r>
      <w:r w:rsidRPr="00942240">
        <w:t xml:space="preserve">he 0.92 in column (b) indicates that current total Company revenues recover 92 percent of costs including a fair return on rate base.  The numbers in each of the rate schedule columns show each schedule’s percentage of costs recovered.  For example, in column (c), revenues from residential customers under Schedule 7 recover 90 percent of the costs allocated to those customers.  And in column (e), revenues from commercial customers on secondary voltage Schedule 25 recover 98 percent of the costs allocated to those customers.  </w:t>
      </w:r>
    </w:p>
    <w:p w:rsidR="009F0FD5" w:rsidRDefault="009F0FD5" w:rsidP="009F0FD5"/>
    <w:p w:rsidR="00111B2D" w:rsidRDefault="009F0FD5" w:rsidP="00111B2D">
      <w:pPr>
        <w:pStyle w:val="Heading3"/>
      </w:pPr>
      <w:r w:rsidRPr="00C3752B">
        <w:t>Q.</w:t>
      </w:r>
      <w:r w:rsidRPr="00C3752B">
        <w:tab/>
        <w:t>Please expla</w:t>
      </w:r>
      <w:r w:rsidR="00111B2D">
        <w:t>in</w:t>
      </w:r>
      <w:r w:rsidRPr="00C3752B">
        <w:t xml:space="preserve"> the </w:t>
      </w:r>
      <w:r w:rsidR="00111B2D">
        <w:t xml:space="preserve">current </w:t>
      </w:r>
      <w:r w:rsidRPr="00C3752B">
        <w:t>parity ratio</w:t>
      </w:r>
      <w:r>
        <w:t>s</w:t>
      </w:r>
      <w:r w:rsidRPr="00C3752B">
        <w:t xml:space="preserve"> </w:t>
      </w:r>
      <w:r w:rsidR="00111B2D">
        <w:t xml:space="preserve">that result from the Company’s cost of service study. </w:t>
      </w:r>
    </w:p>
    <w:p w:rsidR="00C06A3D" w:rsidRDefault="009F0FD5" w:rsidP="00BD1E74">
      <w:r>
        <w:t>A.</w:t>
      </w:r>
      <w:r>
        <w:tab/>
      </w:r>
      <w:r w:rsidR="0006641A" w:rsidRPr="00942240">
        <w:t>The parity ratios</w:t>
      </w:r>
      <w:r>
        <w:t xml:space="preserve"> </w:t>
      </w:r>
      <w:r w:rsidR="0006641A" w:rsidRPr="00942240">
        <w:t xml:space="preserve">on line 49, page 1 of Exhibit No. </w:t>
      </w:r>
      <w:r w:rsidR="00111B2D">
        <w:t>__ (</w:t>
      </w:r>
      <w:r w:rsidR="0006641A" w:rsidRPr="00942240">
        <w:t>JAP-4</w:t>
      </w:r>
      <w:r w:rsidR="00111B2D">
        <w:t xml:space="preserve">) </w:t>
      </w:r>
      <w:r w:rsidR="0006641A" w:rsidRPr="00942240">
        <w:t xml:space="preserve">show each rate schedule’s relative contribution to the overall revenue to cost ratio.  Schedule 7 shows a parity ratio of 0.98, which equals its current revenue to cost ratio of 0.90 divided by the total Company ratio of 0.92.  Schedule 40 has a parity ratio of 0.94.  </w:t>
      </w:r>
    </w:p>
    <w:p w:rsidR="00C06A3D" w:rsidRDefault="00111B2D" w:rsidP="00BD1E74">
      <w:r>
        <w:lastRenderedPageBreak/>
        <w:tab/>
      </w:r>
      <w:r>
        <w:tab/>
      </w:r>
      <w:r w:rsidR="0006641A" w:rsidRPr="00942240">
        <w:t>Ideally, each class’s parity ratio should equal 1.00.  A parity ratio of less than 1.00 indicates that the customers on that schedule are not paying enough to recover the costs allocated to that schedule.  Therefore, those customers should get a greater than average rate increase.  Conversely, schedules with a parity ratio greater than 1.00 are contributing more than necessary to recover the costs allocated to them.  Those customers deserve a less than average rate increase, or even a rate decrease, to bring their rates in line with the costs allocated to them.</w:t>
      </w:r>
    </w:p>
    <w:p w:rsidR="009F0FD5" w:rsidRDefault="009F0FD5" w:rsidP="009F0FD5"/>
    <w:p w:rsidR="009F0FD5" w:rsidRPr="005C08F8" w:rsidRDefault="009F0FD5" w:rsidP="00FA4626">
      <w:pPr>
        <w:pStyle w:val="Heading3"/>
      </w:pPr>
      <w:r w:rsidRPr="005C08F8">
        <w:t>Q.</w:t>
      </w:r>
      <w:r w:rsidRPr="005C08F8">
        <w:tab/>
        <w:t>Is it possible to achieve a parity ratio of 1.00 for every rate schedule?</w:t>
      </w:r>
    </w:p>
    <w:p w:rsidR="009F0FD5" w:rsidRDefault="009F0FD5" w:rsidP="00FA4626">
      <w:r>
        <w:t>A.</w:t>
      </w:r>
      <w:r>
        <w:tab/>
        <w:t xml:space="preserve">It is arithmetically possible with a given set of assumptions.  But it is not so easy to do in practice.  The assumptions and results of the cost of service study are a subject of debate between the various consumer advocates.  Each advocate can, and does, present a different cost of service study.  </w:t>
      </w:r>
    </w:p>
    <w:p w:rsidR="009F0FD5" w:rsidRDefault="009F0FD5" w:rsidP="009F0FD5"/>
    <w:p w:rsidR="009F0FD5" w:rsidRPr="000D7CD9" w:rsidRDefault="009F0FD5" w:rsidP="00FA4626">
      <w:pPr>
        <w:pStyle w:val="Heading3"/>
      </w:pPr>
      <w:r>
        <w:t xml:space="preserve">Q.  </w:t>
      </w:r>
      <w:r>
        <w:tab/>
        <w:t xml:space="preserve">Does Staff consider the cost of service study and parity ratios in Exhibit No. </w:t>
      </w:r>
      <w:r w:rsidR="00111B2D">
        <w:t>__ (</w:t>
      </w:r>
      <w:r w:rsidR="00E61F05">
        <w:t>JAP</w:t>
      </w:r>
      <w:r>
        <w:t>-</w:t>
      </w:r>
      <w:r w:rsidR="00E61F05">
        <w:t>4</w:t>
      </w:r>
      <w:r w:rsidR="00111B2D">
        <w:t>)</w:t>
      </w:r>
      <w:r w:rsidRPr="000D7CD9">
        <w:t xml:space="preserve"> a fair representation of the class contributions to the overall rate of return?</w:t>
      </w:r>
    </w:p>
    <w:p w:rsidR="009F0FD5" w:rsidRDefault="009F0FD5" w:rsidP="00FA4626">
      <w:r>
        <w:t>A.</w:t>
      </w:r>
      <w:r>
        <w:tab/>
        <w:t>Yes.  Staff’s adjustments to electric revenue requirement revise the absolute numbers, but the relative proportion of each schedule’s contribution to the total remains approximately the same.</w:t>
      </w:r>
    </w:p>
    <w:p w:rsidR="009F0FD5" w:rsidRDefault="009F0FD5" w:rsidP="009F0FD5"/>
    <w:p w:rsidR="009F0FD5" w:rsidRPr="000D7CD9" w:rsidRDefault="009F0FD5" w:rsidP="00FA4626">
      <w:pPr>
        <w:pStyle w:val="Heading3"/>
      </w:pPr>
      <w:r w:rsidRPr="000D7CD9">
        <w:t>Q.</w:t>
      </w:r>
      <w:r w:rsidRPr="000D7CD9">
        <w:tab/>
        <w:t xml:space="preserve">What percentages of the average percent increase to revenues does PSE propose? </w:t>
      </w:r>
    </w:p>
    <w:p w:rsidR="009F0FD5" w:rsidRDefault="009F0FD5" w:rsidP="00FA4626">
      <w:r>
        <w:lastRenderedPageBreak/>
        <w:t>A.</w:t>
      </w:r>
      <w:r>
        <w:tab/>
        <w:t xml:space="preserve">PSE proposes an </w:t>
      </w:r>
      <w:r w:rsidR="003272FB">
        <w:t xml:space="preserve">overall </w:t>
      </w:r>
      <w:r w:rsidR="00111B2D">
        <w:t xml:space="preserve">revenue </w:t>
      </w:r>
      <w:r w:rsidR="003272FB">
        <w:t xml:space="preserve">increase of 7.73 percent.  In order to move all rate schedules closer to parity, PSE proposes </w:t>
      </w:r>
      <w:r w:rsidR="00AE1A5B">
        <w:t>in Exhibit No. __ (</w:t>
      </w:r>
      <w:r w:rsidR="0006641A" w:rsidRPr="00942240">
        <w:t>JAP-23</w:t>
      </w:r>
      <w:r w:rsidR="00AE1A5B">
        <w:t xml:space="preserve">) </w:t>
      </w:r>
      <w:r w:rsidR="003272FB" w:rsidRPr="00AE1A5B">
        <w:t>a</w:t>
      </w:r>
      <w:r w:rsidR="003272FB">
        <w:t xml:space="preserve"> slightly larger </w:t>
      </w:r>
      <w:r>
        <w:t>average percent increase</w:t>
      </w:r>
      <w:r w:rsidR="003272FB">
        <w:t xml:space="preserve"> of 8.0</w:t>
      </w:r>
      <w:r w:rsidR="00E61F05">
        <w:t xml:space="preserve"> percent</w:t>
      </w:r>
      <w:r>
        <w:t xml:space="preserve"> to the following schedules:  </w:t>
      </w:r>
    </w:p>
    <w:p w:rsidR="009F0FD5" w:rsidRDefault="009F0FD5" w:rsidP="009F0FD5">
      <w:pPr>
        <w:numPr>
          <w:ilvl w:val="1"/>
          <w:numId w:val="36"/>
        </w:numPr>
        <w:tabs>
          <w:tab w:val="clear" w:pos="-1440"/>
        </w:tabs>
      </w:pPr>
      <w:r>
        <w:t xml:space="preserve">Schedule 7, Residential; </w:t>
      </w:r>
    </w:p>
    <w:p w:rsidR="00494209" w:rsidRDefault="00494209" w:rsidP="00494209">
      <w:pPr>
        <w:numPr>
          <w:ilvl w:val="1"/>
          <w:numId w:val="36"/>
        </w:numPr>
        <w:tabs>
          <w:tab w:val="clear" w:pos="-1440"/>
        </w:tabs>
      </w:pPr>
      <w:r>
        <w:t xml:space="preserve">Schedule 24, Secondary voltage with demand &lt; 50 kW; </w:t>
      </w:r>
    </w:p>
    <w:p w:rsidR="009F0FD5" w:rsidRDefault="009F0FD5" w:rsidP="009F0FD5">
      <w:pPr>
        <w:numPr>
          <w:ilvl w:val="1"/>
          <w:numId w:val="36"/>
        </w:numPr>
        <w:tabs>
          <w:tab w:val="clear" w:pos="-1440"/>
        </w:tabs>
      </w:pPr>
      <w:r>
        <w:t xml:space="preserve">Schedule 26, Secondary voltage with demand &gt; 350 kW; </w:t>
      </w:r>
    </w:p>
    <w:p w:rsidR="00494209" w:rsidRDefault="00494209" w:rsidP="00494209">
      <w:pPr>
        <w:numPr>
          <w:ilvl w:val="1"/>
          <w:numId w:val="36"/>
        </w:numPr>
        <w:tabs>
          <w:tab w:val="clear" w:pos="-1440"/>
        </w:tabs>
      </w:pPr>
      <w:r>
        <w:t xml:space="preserve">Schedules 31/35/43, Primary Voltage; and </w:t>
      </w:r>
    </w:p>
    <w:p w:rsidR="009F0FD5" w:rsidRDefault="009F0FD5" w:rsidP="009F0FD5">
      <w:pPr>
        <w:numPr>
          <w:ilvl w:val="1"/>
          <w:numId w:val="36"/>
        </w:numPr>
        <w:tabs>
          <w:tab w:val="clear" w:pos="-1440"/>
        </w:tabs>
      </w:pPr>
      <w:r>
        <w:t xml:space="preserve">Schedules 46/49, High Voltage; and </w:t>
      </w:r>
    </w:p>
    <w:p w:rsidR="00494209" w:rsidRDefault="00494209" w:rsidP="00494209">
      <w:pPr>
        <w:numPr>
          <w:ilvl w:val="1"/>
          <w:numId w:val="36"/>
        </w:numPr>
        <w:tabs>
          <w:tab w:val="clear" w:pos="-1440"/>
        </w:tabs>
      </w:pPr>
      <w:r>
        <w:t xml:space="preserve">Schedules 50-59, Lighting schedules; and  </w:t>
      </w:r>
    </w:p>
    <w:p w:rsidR="009F0FD5" w:rsidRDefault="009F0FD5" w:rsidP="009F0FD5">
      <w:pPr>
        <w:numPr>
          <w:ilvl w:val="1"/>
          <w:numId w:val="36"/>
        </w:numPr>
        <w:tabs>
          <w:tab w:val="clear" w:pos="-1440"/>
        </w:tabs>
      </w:pPr>
      <w:r>
        <w:t xml:space="preserve">Schedules 448/449, Choice/Retail Wheeling.  </w:t>
      </w:r>
    </w:p>
    <w:p w:rsidR="009F0FD5" w:rsidRDefault="00FA4626" w:rsidP="00FA4626">
      <w:r>
        <w:tab/>
      </w:r>
      <w:r>
        <w:tab/>
      </w:r>
      <w:r w:rsidR="009F0FD5">
        <w:t xml:space="preserve">PSE proposes a </w:t>
      </w:r>
      <w:r w:rsidR="00494209">
        <w:t>75</w:t>
      </w:r>
      <w:r w:rsidR="009F0FD5">
        <w:t xml:space="preserve"> percent of average increase</w:t>
      </w:r>
      <w:r w:rsidR="003272FB">
        <w:t xml:space="preserve"> of 6.0</w:t>
      </w:r>
      <w:r w:rsidR="00494209">
        <w:t xml:space="preserve"> percent</w:t>
      </w:r>
      <w:r w:rsidR="009F0FD5">
        <w:t xml:space="preserve"> to the secondary voltage Schedule 25</w:t>
      </w:r>
      <w:r w:rsidR="00494209">
        <w:t>, and a 125 percent of average increase of 10.</w:t>
      </w:r>
      <w:r w:rsidR="003272FB">
        <w:t xml:space="preserve">0 percent to the choice and </w:t>
      </w:r>
      <w:r w:rsidR="00494209">
        <w:t>retail wheeling Schedules 448 and 449</w:t>
      </w:r>
      <w:r w:rsidR="009F0FD5">
        <w:t>.   Schedule 40, the Campus Rate, is determined by the outcomes of various other</w:t>
      </w:r>
      <w:r w:rsidR="00494209">
        <w:t xml:space="preserve"> schedules.  It receive</w:t>
      </w:r>
      <w:r w:rsidR="00AE1A5B">
        <w:t>s</w:t>
      </w:r>
      <w:r w:rsidR="00494209">
        <w:t xml:space="preserve"> an</w:t>
      </w:r>
      <w:r w:rsidR="009F0FD5">
        <w:t xml:space="preserve"> average increase</w:t>
      </w:r>
      <w:r w:rsidR="00494209">
        <w:t xml:space="preserve"> of </w:t>
      </w:r>
      <w:r w:rsidR="003272FB">
        <w:t>6.45</w:t>
      </w:r>
      <w:r w:rsidR="00494209">
        <w:t xml:space="preserve"> percent</w:t>
      </w:r>
      <w:r w:rsidR="009F0FD5">
        <w:t xml:space="preserve">.  Finally, PSE proposes that the total increase to the firm resale rate be in excess of </w:t>
      </w:r>
      <w:r w:rsidR="00494209">
        <w:t>48</w:t>
      </w:r>
      <w:r w:rsidR="009F0FD5">
        <w:t xml:space="preserve"> percent to bring those customers to full parity.  </w:t>
      </w:r>
    </w:p>
    <w:p w:rsidR="009F0FD5" w:rsidRDefault="009F0FD5" w:rsidP="009F0FD5"/>
    <w:p w:rsidR="009F0FD5" w:rsidRPr="000D7CD9" w:rsidRDefault="009F0FD5" w:rsidP="00FA4626">
      <w:pPr>
        <w:pStyle w:val="Heading3"/>
      </w:pPr>
      <w:r w:rsidRPr="000D7CD9">
        <w:t>Q.</w:t>
      </w:r>
      <w:r w:rsidRPr="000D7CD9">
        <w:tab/>
        <w:t>How are the parity ratios affected by the above percentage increases?</w:t>
      </w:r>
    </w:p>
    <w:p w:rsidR="009F0FD5" w:rsidRDefault="009F0FD5" w:rsidP="00FA4626">
      <w:r>
        <w:t>A.</w:t>
      </w:r>
      <w:r>
        <w:tab/>
      </w:r>
      <w:r w:rsidR="00AE1A5B">
        <w:t xml:space="preserve">As shown on Exhibit No. ___ (JAP-4), </w:t>
      </w:r>
      <w:r>
        <w:t>schedules receiving less than 100</w:t>
      </w:r>
      <w:r w:rsidR="00AE1A5B">
        <w:t xml:space="preserve"> percent</w:t>
      </w:r>
      <w:r>
        <w:t xml:space="preserve"> of the average increase will remain above parity ranging from </w:t>
      </w:r>
      <w:r w:rsidR="00942240">
        <w:t>103</w:t>
      </w:r>
      <w:r w:rsidR="00AE1A5B">
        <w:t xml:space="preserve"> percent</w:t>
      </w:r>
      <w:r>
        <w:t xml:space="preserve"> to </w:t>
      </w:r>
      <w:r w:rsidR="00942240">
        <w:t>106</w:t>
      </w:r>
      <w:r w:rsidR="00AE1A5B">
        <w:t xml:space="preserve"> percent</w:t>
      </w:r>
      <w:r>
        <w:t xml:space="preserve">.  The other classes will stay within </w:t>
      </w:r>
      <w:r w:rsidR="005F663A">
        <w:t>six</w:t>
      </w:r>
      <w:r>
        <w:t xml:space="preserve"> percent of parity.</w:t>
      </w:r>
      <w:r w:rsidRPr="00E57FFB">
        <w:t xml:space="preserve"> </w:t>
      </w:r>
      <w:r>
        <w:t xml:space="preserve"> </w:t>
      </w:r>
    </w:p>
    <w:p w:rsidR="009F0FD5" w:rsidRDefault="009F0FD5" w:rsidP="009F0FD5"/>
    <w:p w:rsidR="009F0FD5" w:rsidRPr="00280EA0" w:rsidRDefault="009F0FD5" w:rsidP="004837F7">
      <w:pPr>
        <w:pStyle w:val="Heading3"/>
        <w:keepNext/>
      </w:pPr>
      <w:r w:rsidRPr="00280EA0">
        <w:lastRenderedPageBreak/>
        <w:t>Q.</w:t>
      </w:r>
      <w:r w:rsidRPr="00280EA0">
        <w:tab/>
        <w:t>Does Staff accept the Company’s proposed revenue allocation?</w:t>
      </w:r>
    </w:p>
    <w:p w:rsidR="009F0FD5" w:rsidRPr="007A27BE" w:rsidRDefault="009F0FD5" w:rsidP="00285519">
      <w:r>
        <w:t>A.</w:t>
      </w:r>
      <w:r>
        <w:tab/>
        <w:t>Yes</w:t>
      </w:r>
      <w:r w:rsidR="00BD4EB9">
        <w:t>, except for Schedule 40, the Campus Rate</w:t>
      </w:r>
      <w:r>
        <w:t>.  The</w:t>
      </w:r>
      <w:r w:rsidR="00BD4EB9">
        <w:t xml:space="preserve"> other</w:t>
      </w:r>
      <w:r>
        <w:t xml:space="preserve"> proposed revenue allocations maintain or slightly improve each schedule’s movement towards parity</w:t>
      </w:r>
      <w:r w:rsidR="00420A40">
        <w:t xml:space="preserve"> to within five percent</w:t>
      </w:r>
      <w:r w:rsidR="00BD4EB9">
        <w:t xml:space="preserve">, but the Schedule 40 </w:t>
      </w:r>
      <w:r w:rsidR="00285519">
        <w:t>allocation</w:t>
      </w:r>
      <w:r w:rsidR="00BD4EB9">
        <w:t xml:space="preserve">, which </w:t>
      </w:r>
      <w:r w:rsidR="00285519">
        <w:t>is</w:t>
      </w:r>
      <w:r w:rsidR="00BD4EB9">
        <w:t xml:space="preserve"> based on other schedules</w:t>
      </w:r>
      <w:r w:rsidR="00285519">
        <w:t>’ rates</w:t>
      </w:r>
      <w:r w:rsidR="00BD4EB9">
        <w:t>, do</w:t>
      </w:r>
      <w:r w:rsidR="005F663A">
        <w:t>es</w:t>
      </w:r>
      <w:r w:rsidR="00BD4EB9">
        <w:t xml:space="preserve"> not.</w:t>
      </w:r>
      <w:r w:rsidR="00420A40">
        <w:rPr>
          <w:rStyle w:val="FootnoteReference"/>
        </w:rPr>
        <w:footnoteReference w:id="2"/>
      </w:r>
      <w:r w:rsidR="005F663A">
        <w:t xml:space="preserve"> </w:t>
      </w:r>
      <w:r w:rsidR="00817B43">
        <w:t xml:space="preserve"> </w:t>
      </w:r>
      <w:r w:rsidR="00817B43" w:rsidRPr="00DC3999">
        <w:t>Exhibit No. ___ (DRJ-2) shows Staff’s recommended revenue allocation using Staff’s recommended revenue requirement.</w:t>
      </w:r>
    </w:p>
    <w:p w:rsidR="00BD4EB9" w:rsidRDefault="00BD4EB9" w:rsidP="00FA4626"/>
    <w:p w:rsidR="00BD4EB9" w:rsidRDefault="00BD4EB9" w:rsidP="00BD4EB9">
      <w:pPr>
        <w:pStyle w:val="Heading3"/>
      </w:pPr>
      <w:r>
        <w:t>Q.</w:t>
      </w:r>
      <w:r>
        <w:tab/>
        <w:t xml:space="preserve">What does </w:t>
      </w:r>
      <w:r w:rsidR="00AE1A5B">
        <w:t>S</w:t>
      </w:r>
      <w:r>
        <w:t>taff recommend concerning Schedule 40?</w:t>
      </w:r>
    </w:p>
    <w:p w:rsidR="00BD4EB9" w:rsidRPr="00BE1FAD" w:rsidRDefault="00BD4EB9" w:rsidP="00FA4626">
      <w:r>
        <w:t>A.</w:t>
      </w:r>
      <w:r>
        <w:tab/>
      </w:r>
      <w:r w:rsidR="00AE1A5B">
        <w:t xml:space="preserve">Staff accepts PSE’s proposed revenue allocation for Schedule 40 for this case. </w:t>
      </w:r>
      <w:r w:rsidR="00FD7A64">
        <w:t xml:space="preserve"> </w:t>
      </w:r>
      <w:r w:rsidR="00AE1A5B">
        <w:t xml:space="preserve">But </w:t>
      </w:r>
      <w:r>
        <w:t xml:space="preserve">Staff recommends </w:t>
      </w:r>
      <w:r w:rsidR="00AE1A5B">
        <w:t>that the Commission require interested parties to meet</w:t>
      </w:r>
      <w:r>
        <w:t xml:space="preserve"> following th</w:t>
      </w:r>
      <w:r w:rsidR="00AE1A5B">
        <w:t>is</w:t>
      </w:r>
      <w:r>
        <w:t xml:space="preserve"> general rate case to </w:t>
      </w:r>
      <w:r w:rsidR="00AE1A5B">
        <w:t xml:space="preserve">work on </w:t>
      </w:r>
      <w:r>
        <w:t>revis</w:t>
      </w:r>
      <w:r w:rsidR="00AE1A5B">
        <w:t>ions to</w:t>
      </w:r>
      <w:r>
        <w:t xml:space="preserve"> Schedule 40</w:t>
      </w:r>
      <w:r w:rsidR="00420A40">
        <w:t xml:space="preserve"> revenue allocation,</w:t>
      </w:r>
      <w:r>
        <w:t xml:space="preserve"> tariff and rates, with the possible conclusion of moving the customers to other schedules.</w:t>
      </w:r>
    </w:p>
    <w:p w:rsidR="009F0FD5" w:rsidRPr="00BE1FAD" w:rsidRDefault="009F0FD5" w:rsidP="009F0FD5"/>
    <w:p w:rsidR="00A338BB" w:rsidRPr="004837F7" w:rsidRDefault="00A338BB" w:rsidP="004837F7">
      <w:pPr>
        <w:pStyle w:val="Heading2"/>
        <w:ind w:hanging="720"/>
        <w:jc w:val="left"/>
        <w:rPr>
          <w:u w:val="none"/>
        </w:rPr>
      </w:pPr>
      <w:bookmarkStart w:id="4" w:name="_Toc310842160"/>
      <w:r w:rsidRPr="004837F7">
        <w:rPr>
          <w:u w:val="none"/>
        </w:rPr>
        <w:t>Electric Rate Design</w:t>
      </w:r>
      <w:bookmarkEnd w:id="4"/>
    </w:p>
    <w:p w:rsidR="005F663A" w:rsidRDefault="005F663A" w:rsidP="00BD1E74"/>
    <w:p w:rsidR="009F0FD5" w:rsidRPr="00280EA0" w:rsidRDefault="00285519" w:rsidP="00FA4626">
      <w:pPr>
        <w:pStyle w:val="Heading3"/>
      </w:pPr>
      <w:r>
        <w:t>Q.</w:t>
      </w:r>
      <w:r>
        <w:tab/>
      </w:r>
      <w:r w:rsidR="00851520">
        <w:t>P</w:t>
      </w:r>
      <w:r w:rsidR="009F0FD5">
        <w:t>lease describe the basic</w:t>
      </w:r>
      <w:r w:rsidR="009F0FD5" w:rsidRPr="009D1512">
        <w:t xml:space="preserve"> </w:t>
      </w:r>
      <w:r w:rsidR="009F0FD5">
        <w:t xml:space="preserve">concept of </w:t>
      </w:r>
      <w:r w:rsidR="00851520">
        <w:t>rate design</w:t>
      </w:r>
      <w:r w:rsidR="009F0FD5" w:rsidRPr="00280EA0">
        <w:t>.</w:t>
      </w:r>
    </w:p>
    <w:p w:rsidR="009F0FD5" w:rsidRDefault="009F0FD5" w:rsidP="00FA4626">
      <w:pPr>
        <w:rPr>
          <w:b/>
        </w:rPr>
      </w:pPr>
      <w:r w:rsidRPr="00BE1FAD">
        <w:t>A.</w:t>
      </w:r>
      <w:r w:rsidRPr="00BE1FAD">
        <w:tab/>
        <w:t xml:space="preserve">Rate design concerns the various </w:t>
      </w:r>
      <w:r>
        <w:t xml:space="preserve">rate </w:t>
      </w:r>
      <w:r w:rsidRPr="00BE1FAD">
        <w:t xml:space="preserve">elements within a rate schedule.  These elements </w:t>
      </w:r>
      <w:r w:rsidR="006F1425">
        <w:t xml:space="preserve">may </w:t>
      </w:r>
      <w:r w:rsidRPr="00BE1FAD">
        <w:t xml:space="preserve">include the monthly basic charge, demand charges, reactive power charges, and energy charges.  </w:t>
      </w:r>
    </w:p>
    <w:p w:rsidR="009F0FD5" w:rsidRDefault="009F0FD5" w:rsidP="00254B4E">
      <w:pPr>
        <w:pStyle w:val="BodyTextIndent"/>
        <w:ind w:left="0" w:firstLine="0"/>
        <w:rPr>
          <w:b/>
        </w:rPr>
      </w:pPr>
    </w:p>
    <w:p w:rsidR="00BA09DE" w:rsidRDefault="00BA09DE" w:rsidP="009E6520">
      <w:pPr>
        <w:pStyle w:val="Heading3"/>
        <w:keepNext/>
      </w:pPr>
      <w:r>
        <w:lastRenderedPageBreak/>
        <w:t>Q.</w:t>
      </w:r>
      <w:r>
        <w:tab/>
        <w:t>What are the principles of sound rate design?</w:t>
      </w:r>
    </w:p>
    <w:p w:rsidR="00BA09DE" w:rsidRDefault="00BA09DE" w:rsidP="00735463">
      <w:r>
        <w:t>A.</w:t>
      </w:r>
      <w:r>
        <w:tab/>
        <w:t>Sound rate design should be guided by the following policy objectives: simplicity, encouraging conservation, stability, gradualism, fairness, justness, reasonableness, and sufficiency.</w:t>
      </w:r>
      <w:r>
        <w:rPr>
          <w:rStyle w:val="FootnoteReference"/>
        </w:rPr>
        <w:footnoteReference w:id="3"/>
      </w:r>
    </w:p>
    <w:p w:rsidR="00BA09DE" w:rsidRDefault="00BA09DE" w:rsidP="00735463">
      <w:r>
        <w:tab/>
      </w:r>
      <w:r>
        <w:tab/>
        <w:t xml:space="preserve">Simple rates are made up of units of service like kilowatt hours or therms that are easy for customers to understand. </w:t>
      </w:r>
      <w:r w:rsidR="00851520">
        <w:t xml:space="preserve"> </w:t>
      </w:r>
      <w:r>
        <w:t xml:space="preserve">If rates are complicated, the price signal may get lost in the noise. </w:t>
      </w:r>
      <w:r w:rsidR="00851520">
        <w:t xml:space="preserve"> </w:t>
      </w:r>
      <w:r>
        <w:t xml:space="preserve">Different rate designs are appropriate for customers with different levels of sophistication. </w:t>
      </w:r>
      <w:r w:rsidR="00851520">
        <w:t xml:space="preserve"> </w:t>
      </w:r>
      <w:r>
        <w:t>Residential customers may be best served by a fixed monthly charge and a charge per unit of use, where</w:t>
      </w:r>
      <w:r w:rsidR="004A6148">
        <w:t>as</w:t>
      </w:r>
      <w:r>
        <w:t xml:space="preserve"> large commercial customers may be best served by per unit charges for both demand and energy. </w:t>
      </w:r>
    </w:p>
    <w:p w:rsidR="00BA09DE" w:rsidRDefault="00BA09DE" w:rsidP="00735463">
      <w:r>
        <w:tab/>
      </w:r>
      <w:r>
        <w:tab/>
        <w:t xml:space="preserve">Fair rates should create a system where each customer and each customer class pays for the costs they impose on the system. </w:t>
      </w:r>
      <w:r w:rsidR="00851520">
        <w:t xml:space="preserve"> </w:t>
      </w:r>
      <w:r>
        <w:t xml:space="preserve">This principle, also called cost causation, is actually very difficult to achieve, because customers within a given class have similar but not identical </w:t>
      </w:r>
      <w:r w:rsidR="008850CA">
        <w:t>use</w:t>
      </w:r>
      <w:r>
        <w:t xml:space="preserve"> characteristics. </w:t>
      </w:r>
      <w:r w:rsidR="00851520">
        <w:t xml:space="preserve"> </w:t>
      </w:r>
      <w:r>
        <w:t xml:space="preserve">It is also difficult to keep fair rates simple. </w:t>
      </w:r>
      <w:r w:rsidR="00851520">
        <w:t xml:space="preserve"> </w:t>
      </w:r>
      <w:r>
        <w:t xml:space="preserve">For example, rate designs that include demand charges increase the number of elements that make up a customer bill. </w:t>
      </w:r>
      <w:r w:rsidR="00851520">
        <w:t xml:space="preserve"> </w:t>
      </w:r>
      <w:r>
        <w:t>This complicates the bill, but more accurately reflects the costs imposed on the system by a particular customer.</w:t>
      </w:r>
    </w:p>
    <w:p w:rsidR="00BA09DE" w:rsidRDefault="00BA09DE" w:rsidP="00735463">
      <w:r>
        <w:tab/>
      </w:r>
      <w:r>
        <w:tab/>
        <w:t xml:space="preserve">Gradualism means that changes in rates to achieve a particular goal are made in steps, rather than all at once, thus mitigating substantial impacts to any one rate schedule or customer within a schedule. </w:t>
      </w:r>
      <w:r w:rsidR="00851520">
        <w:t xml:space="preserve"> </w:t>
      </w:r>
      <w:r>
        <w:t>The idea of gradualism may be used to evaluate overall bill changes as well as changes in components of bills, such as the customer basic charge.</w:t>
      </w:r>
    </w:p>
    <w:p w:rsidR="00BA09DE" w:rsidRDefault="00BA09DE" w:rsidP="00735463">
      <w:r>
        <w:lastRenderedPageBreak/>
        <w:tab/>
      </w:r>
      <w:r>
        <w:tab/>
        <w:t xml:space="preserve">Sufficiency means that rates provide a reasonable opportunity for a utility to recover its costs of providing service plus a fair return on its investment. </w:t>
      </w:r>
      <w:r w:rsidR="00851520">
        <w:t xml:space="preserve"> </w:t>
      </w:r>
      <w:r>
        <w:t>The Commission has suggested that the right balance point for recovery of fixed costs via the customer basic charge is about one-fourth of the fixed costs allocated to residential customers, or about eight to ten percent of a customer’s average annual bill.</w:t>
      </w:r>
      <w:r>
        <w:rPr>
          <w:rStyle w:val="FootnoteReference"/>
        </w:rPr>
        <w:footnoteReference w:id="4"/>
      </w:r>
    </w:p>
    <w:p w:rsidR="00BA09DE" w:rsidRDefault="00BA09DE" w:rsidP="00735463">
      <w:r>
        <w:tab/>
      </w:r>
      <w:r>
        <w:tab/>
        <w:t>As the costs of the electric</w:t>
      </w:r>
      <w:r w:rsidR="00047C0D">
        <w:t xml:space="preserve"> system</w:t>
      </w:r>
      <w:r>
        <w:t xml:space="preserve"> increase, more attention has been directed toward energy efficiency through the exploration of rate designs that encourage customers to use the least amount of energy possible to achieve the same desired comfort levels. </w:t>
      </w:r>
      <w:r w:rsidR="00851520">
        <w:t xml:space="preserve"> Utilities</w:t>
      </w:r>
      <w:r>
        <w:t xml:space="preserve"> </w:t>
      </w:r>
      <w:r w:rsidR="00851520">
        <w:t>are</w:t>
      </w:r>
      <w:r>
        <w:t xml:space="preserve"> encouraged to increase the per unit charge as much as possible, with the idea that customers will reduce their use when they see their bills increase.</w:t>
      </w:r>
      <w:r w:rsidR="00851520">
        <w:t xml:space="preserve"> </w:t>
      </w:r>
      <w:r>
        <w:t xml:space="preserve"> This effect, also called price elasticity, is hard to measure and even harder to predict. </w:t>
      </w:r>
    </w:p>
    <w:p w:rsidR="00BA09DE" w:rsidRDefault="00BA09DE" w:rsidP="00735463"/>
    <w:p w:rsidR="006F1425" w:rsidRDefault="00A338BB" w:rsidP="00763C3C">
      <w:pPr>
        <w:pStyle w:val="Heading3"/>
      </w:pPr>
      <w:r>
        <w:t>Q.</w:t>
      </w:r>
      <w:r>
        <w:tab/>
      </w:r>
      <w:r w:rsidR="006F1425">
        <w:t>Is there a standard format for</w:t>
      </w:r>
      <w:r w:rsidR="00047C0D">
        <w:t xml:space="preserve"> residential</w:t>
      </w:r>
      <w:r w:rsidR="006F1425">
        <w:t xml:space="preserve"> electric rate design?</w:t>
      </w:r>
    </w:p>
    <w:p w:rsidR="00C06A3D" w:rsidRDefault="006F1425" w:rsidP="00BD1E74">
      <w:r>
        <w:t>A.</w:t>
      </w:r>
      <w:r>
        <w:tab/>
        <w:t>Yes, the standard format is a</w:t>
      </w:r>
      <w:r w:rsidR="00A338BB">
        <w:t xml:space="preserve"> </w:t>
      </w:r>
      <w:r w:rsidR="0006641A" w:rsidRPr="00FD7A64">
        <w:t>two-part rate tariff, consisting of a small basic charge and volumetric rates that recover both fixed and variable costs</w:t>
      </w:r>
      <w:r>
        <w:t>.</w:t>
      </w:r>
    </w:p>
    <w:p w:rsidR="00A338BB" w:rsidRDefault="00A338BB" w:rsidP="00735463"/>
    <w:p w:rsidR="00A338BB" w:rsidRDefault="00A338BB" w:rsidP="00735463">
      <w:pPr>
        <w:pStyle w:val="Heading3"/>
      </w:pPr>
      <w:r>
        <w:t>Q.</w:t>
      </w:r>
      <w:r>
        <w:tab/>
        <w:t xml:space="preserve">What factors should be considered in reviewing price signals </w:t>
      </w:r>
      <w:r w:rsidR="00285519">
        <w:t>resulting from rate design</w:t>
      </w:r>
      <w:r>
        <w:t>?</w:t>
      </w:r>
    </w:p>
    <w:p w:rsidR="00A338BB" w:rsidRDefault="00A338BB" w:rsidP="00735463">
      <w:r>
        <w:t>A.</w:t>
      </w:r>
      <w:r>
        <w:tab/>
        <w:t>A review of price signals should consider low, high, and average use customer experience under the current tariff</w:t>
      </w:r>
      <w:r w:rsidR="00B360DA">
        <w:t>,</w:t>
      </w:r>
      <w:r>
        <w:t xml:space="preserve"> and what happens to typical customer bills under </w:t>
      </w:r>
      <w:r>
        <w:lastRenderedPageBreak/>
        <w:t xml:space="preserve">multiple conservation scenarios.  It should also compare price signals under other rate designs. </w:t>
      </w:r>
      <w:r w:rsidR="00851520">
        <w:t xml:space="preserve"> </w:t>
      </w:r>
      <w:r>
        <w:t xml:space="preserve">The review should also compare the message the customer gets from the price signal to the impact of that price signal on </w:t>
      </w:r>
      <w:r w:rsidR="00B360DA">
        <w:t>a c</w:t>
      </w:r>
      <w:r>
        <w:t xml:space="preserve">ompany.  </w:t>
      </w:r>
      <w:r w:rsidR="00B360DA">
        <w:t xml:space="preserve">PSE </w:t>
      </w:r>
      <w:r>
        <w:t xml:space="preserve">does not provide this kind of analysis. </w:t>
      </w:r>
    </w:p>
    <w:p w:rsidR="00A338BB" w:rsidRPr="006F1425" w:rsidRDefault="00A338BB" w:rsidP="00735463">
      <w:r>
        <w:tab/>
      </w:r>
      <w:r>
        <w:tab/>
        <w:t xml:space="preserve">Proponents of decoupling mechanisms suggest that maintaining higher </w:t>
      </w:r>
      <w:r w:rsidR="008850CA">
        <w:t>use</w:t>
      </w:r>
      <w:r>
        <w:t xml:space="preserve"> charges are a stronger incentive for customers to conserve, even though that very situation has the opposite effect on </w:t>
      </w:r>
      <w:r w:rsidR="00B360DA">
        <w:t>a c</w:t>
      </w:r>
      <w:r>
        <w:t xml:space="preserve">ompany’s incentive to invest in conservation measures.  It is very difficult, however, to generalize about incentives to conserve, even among the same class of customers. </w:t>
      </w:r>
      <w:r w:rsidR="00285519">
        <w:t>Among</w:t>
      </w:r>
      <w:r>
        <w:t xml:space="preserve"> </w:t>
      </w:r>
      <w:r w:rsidR="00B360DA">
        <w:t>PSE</w:t>
      </w:r>
      <w:r>
        <w:t xml:space="preserve">’s </w:t>
      </w:r>
      <w:r w:rsidR="00285519">
        <w:t>residential customers</w:t>
      </w:r>
      <w:r>
        <w:t>, for example, customer use varies from a</w:t>
      </w:r>
      <w:r w:rsidR="00851520">
        <w:t>s</w:t>
      </w:r>
      <w:r>
        <w:t xml:space="preserve"> low </w:t>
      </w:r>
      <w:r w:rsidR="00851520">
        <w:t>as 10 kilowatt-hours</w:t>
      </w:r>
      <w:r>
        <w:t xml:space="preserve"> per month to a high of </w:t>
      </w:r>
      <w:r w:rsidR="00851520">
        <w:t xml:space="preserve">400,000 kilowatt-hours per month.  </w:t>
      </w:r>
      <w:r w:rsidR="0006641A" w:rsidRPr="00FD7A64">
        <w:t>PSE Response to Staff Data Request 96, Attachment A.</w:t>
      </w:r>
    </w:p>
    <w:p w:rsidR="00A338BB" w:rsidRPr="00BE23ED" w:rsidRDefault="00A338BB" w:rsidP="00735463"/>
    <w:p w:rsidR="009F0FD5" w:rsidRPr="00280EA0" w:rsidRDefault="009F0FD5" w:rsidP="00FA4626">
      <w:pPr>
        <w:pStyle w:val="Heading3"/>
      </w:pPr>
      <w:r w:rsidRPr="00280EA0">
        <w:t>Q.</w:t>
      </w:r>
      <w:r w:rsidRPr="00280EA0">
        <w:tab/>
        <w:t>Did Staff review</w:t>
      </w:r>
      <w:r>
        <w:t xml:space="preserve"> PSE</w:t>
      </w:r>
      <w:r w:rsidRPr="00280EA0">
        <w:t xml:space="preserve">’s proposed </w:t>
      </w:r>
      <w:r>
        <w:t xml:space="preserve">electric </w:t>
      </w:r>
      <w:r w:rsidRPr="00280EA0">
        <w:t>rate design?</w:t>
      </w:r>
    </w:p>
    <w:p w:rsidR="009F0FD5" w:rsidRPr="0063058C" w:rsidRDefault="009F0FD5" w:rsidP="00FA4626">
      <w:pPr>
        <w:rPr>
          <w:b/>
        </w:rPr>
      </w:pPr>
      <w:r w:rsidRPr="00BE1FAD">
        <w:t>A.</w:t>
      </w:r>
      <w:r w:rsidRPr="00BE1FAD">
        <w:tab/>
        <w:t xml:space="preserve">Yes.  </w:t>
      </w:r>
      <w:r>
        <w:t>The Company</w:t>
      </w:r>
      <w:r w:rsidRPr="00BE1FAD">
        <w:t xml:space="preserve">’s proposed rate design is </w:t>
      </w:r>
      <w:r>
        <w:t xml:space="preserve">presented by </w:t>
      </w:r>
      <w:r w:rsidR="006F1425">
        <w:t xml:space="preserve">Mr. </w:t>
      </w:r>
      <w:r w:rsidR="00BD4EB9">
        <w:t>Piliaris</w:t>
      </w:r>
      <w:r>
        <w:t xml:space="preserve"> at </w:t>
      </w:r>
      <w:r w:rsidRPr="00BE1FAD">
        <w:t>Exhibit</w:t>
      </w:r>
      <w:r>
        <w:t xml:space="preserve"> No. </w:t>
      </w:r>
      <w:r w:rsidR="006F1425">
        <w:t>__ (</w:t>
      </w:r>
      <w:r w:rsidR="00BD4EB9">
        <w:t>JAP</w:t>
      </w:r>
      <w:r w:rsidRPr="00BE1FAD">
        <w:t>-1T</w:t>
      </w:r>
      <w:r w:rsidR="006F1425">
        <w:t>)</w:t>
      </w:r>
      <w:r w:rsidR="00BD4EB9">
        <w:t>, beginning at page 20</w:t>
      </w:r>
      <w:r w:rsidRPr="00BE1FAD">
        <w:t>.</w:t>
      </w:r>
      <w:r w:rsidR="00CE78CA">
        <w:t xml:space="preserve">  The Company’s revised rates are presented in </w:t>
      </w:r>
      <w:r w:rsidR="006F1425">
        <w:t xml:space="preserve">Mr. </w:t>
      </w:r>
      <w:r w:rsidR="00CE78CA">
        <w:t xml:space="preserve">Piliaris’ Exhibit No. </w:t>
      </w:r>
      <w:r w:rsidR="006F1425">
        <w:t>__ (</w:t>
      </w:r>
      <w:r w:rsidR="00CE78CA">
        <w:t>JAP-23</w:t>
      </w:r>
      <w:r w:rsidR="006F1425">
        <w:t>)</w:t>
      </w:r>
      <w:r w:rsidR="00CE78CA">
        <w:t>.</w:t>
      </w:r>
      <w:r w:rsidRPr="00BE1FAD">
        <w:t xml:space="preserve"> </w:t>
      </w:r>
    </w:p>
    <w:p w:rsidR="009F0FD5" w:rsidRDefault="009F0FD5" w:rsidP="009F0FD5">
      <w:pPr>
        <w:pStyle w:val="BodyTextIndent"/>
      </w:pPr>
    </w:p>
    <w:p w:rsidR="009F0FD5" w:rsidRPr="00280EA0" w:rsidRDefault="009F0FD5" w:rsidP="00FA4626">
      <w:pPr>
        <w:pStyle w:val="Heading3"/>
      </w:pPr>
      <w:r w:rsidRPr="00280EA0">
        <w:t>Q.</w:t>
      </w:r>
      <w:r w:rsidRPr="00280EA0">
        <w:tab/>
        <w:t xml:space="preserve">Please </w:t>
      </w:r>
      <w:r>
        <w:t>summarize</w:t>
      </w:r>
      <w:r w:rsidRPr="00280EA0">
        <w:t xml:space="preserve"> the Company’s proposed electric rate design.</w:t>
      </w:r>
    </w:p>
    <w:p w:rsidR="009F0FD5" w:rsidRDefault="009F0FD5" w:rsidP="00D72A98">
      <w:r>
        <w:t>A.</w:t>
      </w:r>
      <w:r>
        <w:tab/>
        <w:t xml:space="preserve">PSE proposes an equal percentage increase to all elements of rates for all schedules with minor exceptions, as described in Mr. </w:t>
      </w:r>
      <w:r w:rsidR="00CE78CA">
        <w:t>Piliaris’</w:t>
      </w:r>
      <w:r>
        <w:t xml:space="preserve"> testimony. </w:t>
      </w:r>
    </w:p>
    <w:p w:rsidR="00B360DA" w:rsidRDefault="00B360DA" w:rsidP="009F0FD5">
      <w:pPr>
        <w:pStyle w:val="BodyTextIndent"/>
      </w:pPr>
    </w:p>
    <w:p w:rsidR="009F0FD5" w:rsidRPr="00280EA0" w:rsidRDefault="009F0FD5" w:rsidP="009E6520">
      <w:pPr>
        <w:pStyle w:val="Heading3"/>
        <w:keepNext/>
      </w:pPr>
      <w:r w:rsidRPr="00280EA0">
        <w:lastRenderedPageBreak/>
        <w:t>Q.</w:t>
      </w:r>
      <w:r w:rsidRPr="00280EA0">
        <w:tab/>
        <w:t xml:space="preserve">Does Staff </w:t>
      </w:r>
      <w:r>
        <w:t>accept the Company’s rate design proposal</w:t>
      </w:r>
      <w:r w:rsidRPr="00280EA0">
        <w:t>?</w:t>
      </w:r>
    </w:p>
    <w:p w:rsidR="009F0FD5" w:rsidRDefault="009F0FD5" w:rsidP="00265593">
      <w:r>
        <w:t>A.</w:t>
      </w:r>
      <w:r>
        <w:tab/>
      </w:r>
      <w:r w:rsidR="00B360DA">
        <w:t xml:space="preserve">Yes.  </w:t>
      </w:r>
      <w:r>
        <w:t>Staff accepts the equal percentage increase to all components of rate design in this case</w:t>
      </w:r>
      <w:r w:rsidR="00921704">
        <w:t xml:space="preserve">, with the understanding that Schedule 40 should be </w:t>
      </w:r>
      <w:r w:rsidR="00BC0F00">
        <w:t xml:space="preserve">evaluated further and </w:t>
      </w:r>
      <w:r w:rsidR="00921704">
        <w:t>revised in the next rate case</w:t>
      </w:r>
      <w:r w:rsidR="00336727">
        <w:t xml:space="preserve">. </w:t>
      </w:r>
      <w:r w:rsidR="00265593">
        <w:t xml:space="preserve"> </w:t>
      </w:r>
      <w:r w:rsidR="00336727">
        <w:t>An equal percentage increase to all components of rate design maintains the ratio of revenues collected by each rate component.  An equal percentage increase also brings each rate class even closer to parity without causing rate shock and yields a reasonable compensation for the service rendered.</w:t>
      </w:r>
    </w:p>
    <w:p w:rsidR="00CE32E3" w:rsidRDefault="00CE32E3" w:rsidP="009F0FD5">
      <w:pPr>
        <w:pStyle w:val="BodyTextIndent"/>
      </w:pPr>
    </w:p>
    <w:p w:rsidR="00302846" w:rsidRPr="00C375F7" w:rsidRDefault="00FA4626" w:rsidP="004D6DD3">
      <w:pPr>
        <w:pStyle w:val="Heading1"/>
      </w:pPr>
      <w:bookmarkStart w:id="5" w:name="_Toc310842161"/>
      <w:r>
        <w:t>CONSERVATION SAVINGS ADJUSTMENT RATE</w:t>
      </w:r>
      <w:bookmarkEnd w:id="5"/>
      <w:r>
        <w:t xml:space="preserve"> </w:t>
      </w:r>
    </w:p>
    <w:p w:rsidR="00302846" w:rsidRDefault="00302846" w:rsidP="00BD1E74"/>
    <w:p w:rsidR="00302846" w:rsidRDefault="00302846" w:rsidP="004D6DD3">
      <w:pPr>
        <w:pStyle w:val="Heading3"/>
      </w:pPr>
      <w:r>
        <w:t>Q.</w:t>
      </w:r>
      <w:r>
        <w:tab/>
        <w:t>Have you reviewed PSE’s proposed Conservation Savings Adjustment Rate (</w:t>
      </w:r>
      <w:r w:rsidR="00C70451">
        <w:t>“</w:t>
      </w:r>
      <w:r>
        <w:t>CSA</w:t>
      </w:r>
      <w:r w:rsidR="00C70451">
        <w:t>”</w:t>
      </w:r>
      <w:r>
        <w:t xml:space="preserve">)?  </w:t>
      </w:r>
    </w:p>
    <w:p w:rsidR="00302846" w:rsidRDefault="00302846" w:rsidP="004D6DD3">
      <w:r>
        <w:t>A.</w:t>
      </w:r>
      <w:r>
        <w:tab/>
        <w:t xml:space="preserve">Yes.  </w:t>
      </w:r>
    </w:p>
    <w:p w:rsidR="00302846" w:rsidRDefault="00302846" w:rsidP="00735463"/>
    <w:p w:rsidR="00302846" w:rsidRDefault="00302846" w:rsidP="004D6DD3">
      <w:pPr>
        <w:pStyle w:val="Heading3"/>
      </w:pPr>
      <w:r>
        <w:t>Q.</w:t>
      </w:r>
      <w:r>
        <w:tab/>
        <w:t xml:space="preserve">Please describe that mechanism.  </w:t>
      </w:r>
    </w:p>
    <w:p w:rsidR="008D6D08" w:rsidRDefault="00302846" w:rsidP="004D6DD3">
      <w:r>
        <w:t>A.</w:t>
      </w:r>
      <w:r>
        <w:tab/>
        <w:t xml:space="preserve">The CSA is a hybrid adjustment mechanism intended to recover the revenue “lost” due to customers conserving electricity or gas pursuant to the Company’s conservation </w:t>
      </w:r>
      <w:r w:rsidRPr="008D6D08">
        <w:t>programs</w:t>
      </w:r>
      <w:r w:rsidR="00C70451" w:rsidRPr="008D6D08">
        <w:t>.  The CSA is a</w:t>
      </w:r>
      <w:r w:rsidRPr="008D6D08">
        <w:t xml:space="preserve">n ongoing annual </w:t>
      </w:r>
      <w:r w:rsidR="00DD5CD3" w:rsidRPr="008D6D08">
        <w:t>rider for both electric and gas operations</w:t>
      </w:r>
      <w:r w:rsidRPr="008D6D08">
        <w:t>.</w:t>
      </w:r>
      <w:r w:rsidR="008D6D08" w:rsidRPr="008D6D08">
        <w:t xml:space="preserve">  </w:t>
      </w:r>
      <w:r w:rsidR="0006641A" w:rsidRPr="00FD7A64">
        <w:t>Exhibit No. __ (JAP-1T) at 32:12 to 35:2.</w:t>
      </w:r>
      <w:r w:rsidR="008D6D08">
        <w:t xml:space="preserve">  </w:t>
      </w:r>
      <w:r w:rsidRPr="00C70451">
        <w:t xml:space="preserve">  </w:t>
      </w:r>
    </w:p>
    <w:p w:rsidR="00AE3442" w:rsidRDefault="00AE3442" w:rsidP="004D6DD3"/>
    <w:p w:rsidR="00AE3442" w:rsidRPr="00942240" w:rsidRDefault="00AE3442" w:rsidP="00BD1E74">
      <w:pPr>
        <w:pStyle w:val="Heading3"/>
      </w:pPr>
      <w:r w:rsidRPr="00BD1E74">
        <w:t>Q.</w:t>
      </w:r>
      <w:r w:rsidRPr="00BD1E74">
        <w:tab/>
        <w:t xml:space="preserve">How is the CSA </w:t>
      </w:r>
      <w:r>
        <w:t xml:space="preserve">rate </w:t>
      </w:r>
      <w:r w:rsidRPr="00BD1E74">
        <w:t>calculated under the Company’s proposal?</w:t>
      </w:r>
    </w:p>
    <w:p w:rsidR="00302846" w:rsidRPr="008D6D08" w:rsidRDefault="00AE3442" w:rsidP="004D6DD3">
      <w:r>
        <w:t>A.</w:t>
      </w:r>
      <w:r>
        <w:tab/>
      </w:r>
      <w:r w:rsidR="00302846">
        <w:t xml:space="preserve">The total amount of the annual adjustment is based on multiplying a fixed-cost-recovery rate from the most recent general rate case test period by the verified </w:t>
      </w:r>
      <w:r w:rsidR="00302846">
        <w:lastRenderedPageBreak/>
        <w:t xml:space="preserve">energy savings estimates from </w:t>
      </w:r>
      <w:r w:rsidR="008D6D08">
        <w:t>PSE’s</w:t>
      </w:r>
      <w:r w:rsidR="00302846">
        <w:t xml:space="preserve"> conservation programs.  </w:t>
      </w:r>
      <w:r w:rsidR="0006641A" w:rsidRPr="00FD7A64">
        <w:t xml:space="preserve">Exhibit No. </w:t>
      </w:r>
      <w:r w:rsidR="008D6D08">
        <w:t>__ (</w:t>
      </w:r>
      <w:r w:rsidR="0006641A" w:rsidRPr="00FD7A64">
        <w:t>JAP-1T</w:t>
      </w:r>
      <w:r w:rsidR="008D6D08">
        <w:t>)</w:t>
      </w:r>
      <w:r w:rsidR="0006641A" w:rsidRPr="00FD7A64">
        <w:t xml:space="preserve"> at 35:4 to 43:10.  </w:t>
      </w:r>
      <w:r w:rsidR="00302846">
        <w:t xml:space="preserve">Mr. Piliaris discusses the impact of conservation savings on the </w:t>
      </w:r>
      <w:r w:rsidR="008D6D08">
        <w:t>C</w:t>
      </w:r>
      <w:r w:rsidR="00302846">
        <w:t xml:space="preserve">ompany not only for the test year (2010), but also for future periods.  </w:t>
      </w:r>
      <w:r w:rsidR="0006641A" w:rsidRPr="00FD7A64">
        <w:t xml:space="preserve">Exhibit No. </w:t>
      </w:r>
      <w:r w:rsidR="008D6D08">
        <w:t>___ (</w:t>
      </w:r>
      <w:r w:rsidR="0006641A" w:rsidRPr="00FD7A64">
        <w:t>JAP-1T</w:t>
      </w:r>
      <w:r w:rsidR="008D6D08">
        <w:t>)</w:t>
      </w:r>
      <w:r w:rsidR="0006641A" w:rsidRPr="00FD7A64">
        <w:t xml:space="preserve"> at 27:7 to 29:19.</w:t>
      </w:r>
    </w:p>
    <w:p w:rsidR="00302846" w:rsidRDefault="00302846" w:rsidP="00735463">
      <w:r>
        <w:tab/>
      </w:r>
      <w:r>
        <w:tab/>
        <w:t>Although the CSA does not add revenues to the overall requested revenue requirement, the Company forecasts that the CSA will provide $9,800,000 in additional electric revenues and $2,000,000 in additional gas revenues during the rate year, which begin</w:t>
      </w:r>
      <w:r w:rsidR="008D6D08">
        <w:t>s</w:t>
      </w:r>
      <w:r>
        <w:t xml:space="preserve"> in May, 2012</w:t>
      </w:r>
      <w:r w:rsidRPr="008D6D08">
        <w:t xml:space="preserve">. </w:t>
      </w:r>
      <w:r w:rsidR="00AE3442">
        <w:t xml:space="preserve"> </w:t>
      </w:r>
      <w:r w:rsidR="0006641A" w:rsidRPr="00FD7A64">
        <w:t>Exhibit No. __ (JAP-1T) at 38 and 39, Tables 4 and 5.</w:t>
      </w:r>
      <w:r>
        <w:t xml:space="preserve">  </w:t>
      </w:r>
    </w:p>
    <w:p w:rsidR="00302846" w:rsidRDefault="00302846" w:rsidP="00735463"/>
    <w:p w:rsidR="00302846" w:rsidRDefault="00302846" w:rsidP="004D6DD3">
      <w:pPr>
        <w:pStyle w:val="Heading3"/>
      </w:pPr>
      <w:r>
        <w:t>Q.</w:t>
      </w:r>
      <w:r>
        <w:tab/>
        <w:t xml:space="preserve">Please summarize your </w:t>
      </w:r>
      <w:r w:rsidR="008D6D08">
        <w:t>recommendation</w:t>
      </w:r>
      <w:r>
        <w:t xml:space="preserve"> on the </w:t>
      </w:r>
      <w:r w:rsidR="008D6D08">
        <w:t xml:space="preserve">proposed </w:t>
      </w:r>
      <w:r>
        <w:t>CSA.</w:t>
      </w:r>
    </w:p>
    <w:p w:rsidR="00302846" w:rsidRDefault="00302846" w:rsidP="004D6DD3">
      <w:r>
        <w:t>A.</w:t>
      </w:r>
      <w:r>
        <w:tab/>
        <w:t xml:space="preserve">The Commission should reject the CSA because PSE’s direct case fails </w:t>
      </w:r>
      <w:r w:rsidR="00336727">
        <w:t>a threshold requirement to</w:t>
      </w:r>
      <w:r>
        <w:t xml:space="preserve"> </w:t>
      </w:r>
      <w:r w:rsidR="008D6D08">
        <w:t>evaluate the proposal</w:t>
      </w:r>
      <w:r>
        <w:t xml:space="preserve"> pursuant to the Commission’s Decoupling Policy Statement</w:t>
      </w:r>
      <w:r w:rsidR="008D6D08">
        <w:t>.</w:t>
      </w:r>
      <w:r w:rsidR="00571D18">
        <w:t xml:space="preserve"> </w:t>
      </w:r>
      <w:r>
        <w:t xml:space="preserve"> </w:t>
      </w:r>
    </w:p>
    <w:p w:rsidR="00302846" w:rsidRDefault="00302846" w:rsidP="004D6DD3">
      <w:pPr>
        <w:rPr>
          <w:b/>
        </w:rPr>
      </w:pPr>
      <w:r>
        <w:tab/>
      </w:r>
      <w:r w:rsidR="004D6DD3">
        <w:tab/>
      </w:r>
      <w:r>
        <w:t xml:space="preserve">Should the Commission go further in its analysis, it should reject the CSA because the CSA is </w:t>
      </w:r>
      <w:r w:rsidR="00AE3442">
        <w:t xml:space="preserve">a form of </w:t>
      </w:r>
      <w:r>
        <w:t>limited decoupling applicable to electric operations, and the Decoupling Policy Statement confines limited decoupling to natural gas operations.  Moreover, each of the reasons the Commission gives in its Decoupling Policy Statement for confining limited decoupling to natural gas operations appl</w:t>
      </w:r>
      <w:r w:rsidR="008D6D08">
        <w:t>ies</w:t>
      </w:r>
      <w:r>
        <w:t xml:space="preserve"> to the CSA. </w:t>
      </w:r>
      <w:r w:rsidR="008D6D08">
        <w:t xml:space="preserve"> </w:t>
      </w:r>
      <w:r>
        <w:t xml:space="preserve">Lastly, the Commission should reject the </w:t>
      </w:r>
      <w:r w:rsidR="00336727">
        <w:t xml:space="preserve">Company’s proposed calculation of the </w:t>
      </w:r>
      <w:r>
        <w:t>CSA.</w:t>
      </w:r>
    </w:p>
    <w:p w:rsidR="00302846" w:rsidRDefault="00302846" w:rsidP="00727A18">
      <w:pPr>
        <w:pStyle w:val="BodyTextIndent"/>
        <w:ind w:left="0" w:firstLine="0"/>
      </w:pPr>
    </w:p>
    <w:p w:rsidR="00285519" w:rsidRPr="009E6520" w:rsidRDefault="00285519" w:rsidP="009E6520">
      <w:pPr>
        <w:pStyle w:val="Heading2"/>
        <w:numPr>
          <w:ilvl w:val="0"/>
          <w:numId w:val="38"/>
        </w:numPr>
        <w:ind w:hanging="720"/>
        <w:jc w:val="left"/>
        <w:rPr>
          <w:u w:val="none"/>
        </w:rPr>
      </w:pPr>
      <w:bookmarkStart w:id="6" w:name="_Toc310842162"/>
      <w:r w:rsidRPr="009E6520">
        <w:rPr>
          <w:u w:val="none"/>
        </w:rPr>
        <w:lastRenderedPageBreak/>
        <w:t>Decoupling Background</w:t>
      </w:r>
      <w:bookmarkEnd w:id="6"/>
    </w:p>
    <w:p w:rsidR="00285519" w:rsidRDefault="00285519" w:rsidP="00285519"/>
    <w:p w:rsidR="00285519" w:rsidRDefault="00285519" w:rsidP="00735463">
      <w:pPr>
        <w:pStyle w:val="Heading3"/>
      </w:pPr>
      <w:r>
        <w:t>Q.</w:t>
      </w:r>
      <w:r>
        <w:tab/>
        <w:t>What is a revenue</w:t>
      </w:r>
      <w:r w:rsidRPr="00BA7C5F">
        <w:t xml:space="preserve"> decoupling</w:t>
      </w:r>
      <w:r>
        <w:t xml:space="preserve"> mechanism</w:t>
      </w:r>
      <w:r w:rsidRPr="00BA7C5F">
        <w:t>?</w:t>
      </w:r>
    </w:p>
    <w:p w:rsidR="00285519" w:rsidRDefault="00285519" w:rsidP="00735463">
      <w:r>
        <w:t>A.</w:t>
      </w:r>
      <w:r>
        <w:tab/>
        <w:t>A decoupling mechanism renders revenue levels immune to changes in sales</w:t>
      </w:r>
      <w:r w:rsidR="0087330A">
        <w:t>.  This is done</w:t>
      </w:r>
      <w:r>
        <w:t xml:space="preserve"> by adjusting retail rates either upwards or downwards depending upon how revenues collected through </w:t>
      </w:r>
      <w:r w:rsidR="008850CA">
        <w:t>use</w:t>
      </w:r>
      <w:r>
        <w:t xml:space="preserve"> charges for the recovery of fixed costs compare </w:t>
      </w:r>
      <w:r w:rsidR="0087330A">
        <w:t xml:space="preserve">over a certain </w:t>
      </w:r>
      <w:r w:rsidR="00AE3442">
        <w:t xml:space="preserve">time </w:t>
      </w:r>
      <w:r w:rsidR="0087330A">
        <w:t xml:space="preserve">period </w:t>
      </w:r>
      <w:r>
        <w:t>with those fixed costs authorized under the decoupling mechanism.</w:t>
      </w:r>
      <w:r>
        <w:rPr>
          <w:rStyle w:val="FootnoteReference"/>
        </w:rPr>
        <w:footnoteReference w:id="5"/>
      </w:r>
      <w:r>
        <w:t xml:space="preserve"> </w:t>
      </w:r>
      <w:r w:rsidR="0087330A">
        <w:t xml:space="preserve">Under </w:t>
      </w:r>
      <w:r w:rsidR="00AE3442">
        <w:t>“</w:t>
      </w:r>
      <w:r w:rsidR="0087330A">
        <w:t>full</w:t>
      </w:r>
      <w:r w:rsidR="00AE3442">
        <w:t>”</w:t>
      </w:r>
      <w:r w:rsidR="0087330A">
        <w:t xml:space="preserve"> decoupling, t</w:t>
      </w:r>
      <w:r>
        <w:t xml:space="preserve">hese differences between collected and authorized revenues may be the result of changes in weather, increases in customer numbers, or changes in energy efficiency behavior by either the company or </w:t>
      </w:r>
      <w:r w:rsidR="0087330A">
        <w:t>its</w:t>
      </w:r>
      <w:r>
        <w:t xml:space="preserve"> customers.  </w:t>
      </w:r>
      <w:r w:rsidR="00AE3442">
        <w:t>“</w:t>
      </w:r>
      <w:r>
        <w:t>Limited</w:t>
      </w:r>
      <w:r w:rsidR="00AE3442">
        <w:t>”</w:t>
      </w:r>
      <w:r>
        <w:t xml:space="preserve"> decoupling mechanisms isolate and remove individual causes of the differences, such as weather.  </w:t>
      </w:r>
      <w:r w:rsidR="00AE3442">
        <w:t>“</w:t>
      </w:r>
      <w:r>
        <w:t>Partial</w:t>
      </w:r>
      <w:r w:rsidR="00AE3442">
        <w:t>”</w:t>
      </w:r>
      <w:r>
        <w:t xml:space="preserve"> decoupling mechanisms allow the recovery of only part of the difference</w:t>
      </w:r>
      <w:r w:rsidR="00AE3442" w:rsidRPr="00AE3442">
        <w:t xml:space="preserve"> </w:t>
      </w:r>
      <w:r w:rsidR="00AE3442">
        <w:t>between collected and authorized revenues</w:t>
      </w:r>
      <w:r>
        <w:t>.</w:t>
      </w:r>
    </w:p>
    <w:p w:rsidR="00285519" w:rsidRDefault="00285519" w:rsidP="00735463"/>
    <w:p w:rsidR="00285519" w:rsidRDefault="00285519" w:rsidP="00735463">
      <w:pPr>
        <w:pStyle w:val="Heading3"/>
      </w:pPr>
      <w:r>
        <w:t>Q.</w:t>
      </w:r>
      <w:r>
        <w:tab/>
        <w:t>What is the intended effect of a revenue decoupling mechanism?</w:t>
      </w:r>
    </w:p>
    <w:p w:rsidR="00285519" w:rsidRDefault="00285519" w:rsidP="00735463">
      <w:r>
        <w:t>A.</w:t>
      </w:r>
      <w:r>
        <w:tab/>
        <w:t>It is intended to encourage the company to increase its investment in conservation.</w:t>
      </w:r>
    </w:p>
    <w:p w:rsidR="00285519" w:rsidRPr="00627B74" w:rsidRDefault="00285519" w:rsidP="00735463"/>
    <w:p w:rsidR="00285519" w:rsidRDefault="00285519" w:rsidP="00735463">
      <w:pPr>
        <w:pStyle w:val="Heading3"/>
      </w:pPr>
      <w:r>
        <w:t>Q.</w:t>
      </w:r>
      <w:r>
        <w:tab/>
        <w:t xml:space="preserve">Has the Commission </w:t>
      </w:r>
      <w:r w:rsidR="00AE3442">
        <w:t xml:space="preserve">in other cases </w:t>
      </w:r>
      <w:r>
        <w:t>considered decoupling and other rate design modifications to encourage conservation?</w:t>
      </w:r>
    </w:p>
    <w:p w:rsidR="00285519" w:rsidRPr="009C3B0B" w:rsidRDefault="00285519" w:rsidP="00735463">
      <w:r>
        <w:t>A.</w:t>
      </w:r>
      <w:r>
        <w:tab/>
      </w:r>
      <w:r w:rsidR="0087330A">
        <w:t xml:space="preserve">Yes.  </w:t>
      </w:r>
      <w:r w:rsidRPr="00782D9B">
        <w:t>The Commission has considered rate design modifications</w:t>
      </w:r>
      <w:r>
        <w:t xml:space="preserve"> to encourage conservation for both electric and natural gas utilities.</w:t>
      </w:r>
      <w:r w:rsidRPr="00782D9B">
        <w:t xml:space="preserve"> </w:t>
      </w:r>
      <w:r>
        <w:t xml:space="preserve"> </w:t>
      </w:r>
      <w:r w:rsidRPr="00782D9B">
        <w:t xml:space="preserve">In Docket UE-060266, the </w:t>
      </w:r>
      <w:r w:rsidRPr="00782D9B">
        <w:lastRenderedPageBreak/>
        <w:t>Commission adopted an electric conservation incentive program for PSE.</w:t>
      </w:r>
      <w:r w:rsidRPr="00782D9B">
        <w:rPr>
          <w:rStyle w:val="FootnoteReference"/>
        </w:rPr>
        <w:footnoteReference w:id="6"/>
      </w:r>
      <w:r w:rsidRPr="00782D9B">
        <w:t xml:space="preserve"> </w:t>
      </w:r>
      <w:r w:rsidR="0087330A">
        <w:t xml:space="preserve"> </w:t>
      </w:r>
      <w:r w:rsidRPr="00782D9B">
        <w:t xml:space="preserve">In Docket UE-050684, the Commission provided guidance regarding the necessary elements of a proposal to decouple rates from </w:t>
      </w:r>
      <w:r w:rsidR="008850CA">
        <w:t>use</w:t>
      </w:r>
      <w:r w:rsidRPr="00782D9B">
        <w:t xml:space="preserve"> charges.</w:t>
      </w:r>
      <w:r w:rsidRPr="00782D9B">
        <w:rPr>
          <w:rStyle w:val="FootnoteReference"/>
        </w:rPr>
        <w:footnoteReference w:id="7"/>
      </w:r>
      <w:r>
        <w:t xml:space="preserve">  Docket UG-050369 was a rulemaking where</w:t>
      </w:r>
      <w:r w:rsidRPr="009C3B0B">
        <w:t xml:space="preserve"> the Commission considered policies to remove the recovery of fixed costs from customers’ </w:t>
      </w:r>
      <w:r w:rsidR="008850CA">
        <w:t>use</w:t>
      </w:r>
      <w:r w:rsidRPr="009C3B0B">
        <w:t xml:space="preserve"> charges.</w:t>
      </w:r>
      <w:r>
        <w:t xml:space="preserve"> </w:t>
      </w:r>
      <w:r w:rsidRPr="009C3B0B">
        <w:t xml:space="preserve"> The Commission closed the rulemaking without adopting new rules, concluding instead:</w:t>
      </w:r>
    </w:p>
    <w:p w:rsidR="00C06A3D" w:rsidRDefault="00285519" w:rsidP="00FD7A64">
      <w:pPr>
        <w:spacing w:line="240" w:lineRule="auto"/>
        <w:ind w:left="1440"/>
      </w:pPr>
      <w:r>
        <w:tab/>
      </w:r>
      <w:r w:rsidRPr="009C3B0B">
        <w:t>The Commission believes that the wide variety of alternative approaches to decoupling make it more efficient to address these issues in the context of specific utility proposals included in general rate case filings rather than through a generic rulemaking.</w:t>
      </w:r>
      <w:r w:rsidRPr="00114C75">
        <w:rPr>
          <w:rStyle w:val="Style"/>
        </w:rPr>
        <w:footnoteReference w:id="8"/>
      </w:r>
    </w:p>
    <w:p w:rsidR="00C06A3D" w:rsidRDefault="00285519" w:rsidP="00FD7A64">
      <w:pPr>
        <w:spacing w:line="240" w:lineRule="auto"/>
      </w:pPr>
      <w:r>
        <w:tab/>
      </w:r>
    </w:p>
    <w:p w:rsidR="00285519" w:rsidRDefault="0087330A" w:rsidP="0087330A">
      <w:r>
        <w:tab/>
      </w:r>
      <w:r>
        <w:tab/>
      </w:r>
      <w:r w:rsidR="00285519" w:rsidRPr="009C3B0B">
        <w:t xml:space="preserve">Since the close of that rulemaking, the Commission has ruled on natural gas decoupling proposals in </w:t>
      </w:r>
      <w:r w:rsidR="00285519">
        <w:t xml:space="preserve">three </w:t>
      </w:r>
      <w:r w:rsidR="00285519" w:rsidRPr="009C3B0B">
        <w:t xml:space="preserve">additional proceedings. </w:t>
      </w:r>
      <w:r w:rsidR="00285519">
        <w:t xml:space="preserve"> </w:t>
      </w:r>
      <w:r w:rsidR="00285519" w:rsidRPr="009C3B0B">
        <w:t>In Docket UG-060267, the Commission rejected PSE’s request for a natural gas decoupling mechanism</w:t>
      </w:r>
      <w:r w:rsidR="00285519">
        <w:t xml:space="preserve"> because its conservation program was already well-developed</w:t>
      </w:r>
      <w:r w:rsidR="00285519" w:rsidRPr="009C3B0B">
        <w:t>.</w:t>
      </w:r>
      <w:r w:rsidR="00285519" w:rsidRPr="00114C75">
        <w:rPr>
          <w:rStyle w:val="Style"/>
        </w:rPr>
        <w:footnoteReference w:id="9"/>
      </w:r>
      <w:r w:rsidR="00285519" w:rsidRPr="009C3B0B">
        <w:rPr>
          <w:sz w:val="25"/>
          <w:szCs w:val="25"/>
        </w:rPr>
        <w:t xml:space="preserve"> </w:t>
      </w:r>
      <w:r w:rsidR="00285519">
        <w:rPr>
          <w:sz w:val="25"/>
          <w:szCs w:val="25"/>
        </w:rPr>
        <w:t xml:space="preserve"> </w:t>
      </w:r>
      <w:r w:rsidR="00285519" w:rsidRPr="009C3B0B">
        <w:t>In Docket UG-060256, the Commission adopted, with modification, Cascade’s decoupling pilot program.</w:t>
      </w:r>
      <w:r w:rsidR="00285519" w:rsidRPr="00114C75">
        <w:rPr>
          <w:rStyle w:val="Style"/>
        </w:rPr>
        <w:footnoteReference w:id="10"/>
      </w:r>
      <w:r w:rsidR="00285519">
        <w:t xml:space="preserve">  </w:t>
      </w:r>
      <w:r>
        <w:t>And i</w:t>
      </w:r>
      <w:r w:rsidR="00285519">
        <w:t>n Docket UG-060518, the Commission adopted, with modification, Avista’s natural gas decoupling pilot program.</w:t>
      </w:r>
      <w:r w:rsidR="00285519">
        <w:rPr>
          <w:rStyle w:val="FootnoteReference"/>
        </w:rPr>
        <w:footnoteReference w:id="11"/>
      </w:r>
      <w:r w:rsidR="00285519">
        <w:t xml:space="preserve">  Avista’s natural gas decoupling program has since been approved permanently.</w:t>
      </w:r>
      <w:r w:rsidR="00285519">
        <w:rPr>
          <w:rStyle w:val="FootnoteReference"/>
        </w:rPr>
        <w:footnoteReference w:id="12"/>
      </w:r>
    </w:p>
    <w:p w:rsidR="00DD5CD3" w:rsidRDefault="0087330A" w:rsidP="00735463">
      <w:r>
        <w:tab/>
      </w:r>
      <w:r>
        <w:tab/>
        <w:t xml:space="preserve">Last, and as discussed in more detail below, the Commission issued its Decoupling Policy Statement in Docket </w:t>
      </w:r>
      <w:r w:rsidRPr="004D0B85">
        <w:t>U-100522</w:t>
      </w:r>
      <w:r w:rsidR="00AE3442">
        <w:t xml:space="preserve"> </w:t>
      </w:r>
      <w:r>
        <w:t>in 2010.</w:t>
      </w:r>
    </w:p>
    <w:p w:rsidR="0087330A" w:rsidRPr="009C3B0B" w:rsidRDefault="0087330A" w:rsidP="00735463"/>
    <w:p w:rsidR="00285519" w:rsidRPr="009E6520" w:rsidRDefault="00DD5CD3" w:rsidP="009E6520">
      <w:pPr>
        <w:pStyle w:val="Heading2"/>
        <w:ind w:hanging="720"/>
        <w:jc w:val="left"/>
        <w:rPr>
          <w:u w:val="none"/>
        </w:rPr>
      </w:pPr>
      <w:bookmarkStart w:id="7" w:name="_Toc310842163"/>
      <w:r w:rsidRPr="009E6520">
        <w:rPr>
          <w:u w:val="none"/>
        </w:rPr>
        <w:t>The CSA and the Decoupling Policy Statement</w:t>
      </w:r>
      <w:bookmarkEnd w:id="7"/>
    </w:p>
    <w:p w:rsidR="00DD5CD3" w:rsidRPr="00DD5CD3" w:rsidRDefault="00DD5CD3" w:rsidP="00DD5CD3"/>
    <w:p w:rsidR="00302846" w:rsidRDefault="00302846" w:rsidP="004D6DD3">
      <w:pPr>
        <w:pStyle w:val="Heading3"/>
      </w:pPr>
      <w:r>
        <w:t>Q.</w:t>
      </w:r>
      <w:r>
        <w:tab/>
        <w:t>How does the Commission’s Decoupling Policy Statement categorize the CSA?</w:t>
      </w:r>
    </w:p>
    <w:p w:rsidR="00302846" w:rsidRDefault="00302846" w:rsidP="004D6DD3">
      <w:r w:rsidRPr="007C48CD">
        <w:t>A.</w:t>
      </w:r>
      <w:r w:rsidRPr="007C48CD">
        <w:tab/>
        <w:t>The Decoupling Policy Statement categorize</w:t>
      </w:r>
      <w:r>
        <w:t>s</w:t>
      </w:r>
      <w:r w:rsidRPr="007C48CD">
        <w:t xml:space="preserve"> the </w:t>
      </w:r>
      <w:r>
        <w:t xml:space="preserve">CSA as a hybrid of “limited decoupling” and an “incentive mechanism”.    </w:t>
      </w:r>
    </w:p>
    <w:p w:rsidR="00302846" w:rsidRDefault="00302846" w:rsidP="00735463">
      <w:pPr>
        <w:pStyle w:val="BodyTextIndent"/>
      </w:pPr>
    </w:p>
    <w:p w:rsidR="00302846" w:rsidRDefault="00302846" w:rsidP="004D6DD3">
      <w:pPr>
        <w:pStyle w:val="Heading3"/>
      </w:pPr>
      <w:r>
        <w:t>Q.</w:t>
      </w:r>
      <w:r>
        <w:tab/>
        <w:t>How is the CSA like “limited decoupling”?</w:t>
      </w:r>
    </w:p>
    <w:p w:rsidR="00302846" w:rsidRDefault="00302846" w:rsidP="004D6DD3">
      <w:r w:rsidRPr="007C48CD">
        <w:t>A.</w:t>
      </w:r>
      <w:r w:rsidRPr="007C48CD">
        <w:tab/>
      </w:r>
      <w:r>
        <w:t>The Commission defines “limited decoupling</w:t>
      </w:r>
      <w:r w:rsidR="00A263BA">
        <w:t>”</w:t>
      </w:r>
      <w:r>
        <w:t xml:space="preserve"> as a “lost margin recovery mechanism” that permits the utility to “recover lost margin due only to the conservation efforts of the utility</w:t>
      </w:r>
      <w:r w:rsidR="00F13762">
        <w:t>.</w:t>
      </w:r>
      <w:r>
        <w:t>”</w:t>
      </w:r>
      <w:r>
        <w:rPr>
          <w:rStyle w:val="FootnoteReference"/>
        </w:rPr>
        <w:footnoteReference w:id="13"/>
      </w:r>
      <w:r>
        <w:t xml:space="preserve">  </w:t>
      </w:r>
      <w:r w:rsidRPr="007C48CD">
        <w:t xml:space="preserve">The </w:t>
      </w:r>
      <w:r>
        <w:t>CSA does not rely on “lost margin”, defined by the Commission</w:t>
      </w:r>
      <w:r w:rsidR="00F13762">
        <w:t xml:space="preserve"> </w:t>
      </w:r>
      <w:r w:rsidRPr="00597C85">
        <w:t xml:space="preserve">as </w:t>
      </w:r>
      <w:r>
        <w:t>“</w:t>
      </w:r>
      <w:r w:rsidRPr="00597C85">
        <w:t xml:space="preserve">a reduction in revenue during a rate-effective period due to a reduction in </w:t>
      </w:r>
      <w:r w:rsidR="008850CA">
        <w:t>use</w:t>
      </w:r>
      <w:r w:rsidRPr="00597C85">
        <w:t xml:space="preserve">, from the level of </w:t>
      </w:r>
      <w:r w:rsidR="008850CA">
        <w:t>use</w:t>
      </w:r>
      <w:r w:rsidRPr="00597C85">
        <w:t xml:space="preserve"> determined using a modified historic test year in a general rate case.</w:t>
      </w:r>
      <w:r>
        <w:t>”</w:t>
      </w:r>
      <w:r>
        <w:rPr>
          <w:rStyle w:val="FootnoteReference"/>
        </w:rPr>
        <w:footnoteReference w:id="14"/>
      </w:r>
      <w:r>
        <w:t xml:space="preserve">  Instead, to identify the reduction in </w:t>
      </w:r>
      <w:r w:rsidR="008850CA">
        <w:t>use</w:t>
      </w:r>
      <w:r>
        <w:t>, the CSA substitutes the conservation savings estimates from the Company’s conservation programs.</w:t>
      </w:r>
    </w:p>
    <w:p w:rsidR="00D90059" w:rsidRDefault="00D90059" w:rsidP="004D6DD3"/>
    <w:p w:rsidR="00D90059" w:rsidRPr="00942240" w:rsidRDefault="00D90059" w:rsidP="00BD1E74">
      <w:pPr>
        <w:pStyle w:val="Heading3"/>
      </w:pPr>
      <w:r w:rsidRPr="00BD1E74">
        <w:t>Q.</w:t>
      </w:r>
      <w:r w:rsidRPr="00BD1E74">
        <w:tab/>
        <w:t>Does that difference mean tha</w:t>
      </w:r>
      <w:r w:rsidRPr="00942240">
        <w:t>t the CSA is not a form of limited decoupling?</w:t>
      </w:r>
    </w:p>
    <w:p w:rsidR="00D90059" w:rsidRDefault="00D90059" w:rsidP="004D6DD3">
      <w:r>
        <w:t>A.</w:t>
      </w:r>
      <w:r>
        <w:tab/>
        <w:t>No</w:t>
      </w:r>
      <w:r w:rsidR="00047C0D">
        <w:t xml:space="preserve">.  The CSA shares enough other characteristics of limited decoupling to be classified as a modified form of limited decoupling.  It has a true-up mechanism, </w:t>
      </w:r>
      <w:r w:rsidR="005B4782">
        <w:t xml:space="preserve">it </w:t>
      </w:r>
      <w:r w:rsidR="00047C0D">
        <w:t xml:space="preserve">attempts to capture only one cause of changes in use, and </w:t>
      </w:r>
      <w:r w:rsidR="005B4782">
        <w:t xml:space="preserve">it </w:t>
      </w:r>
      <w:r w:rsidR="00047C0D">
        <w:t>has an earnings test.</w:t>
      </w:r>
      <w:r>
        <w:t xml:space="preserve"> </w:t>
      </w:r>
    </w:p>
    <w:p w:rsidR="00302846" w:rsidRDefault="00302846" w:rsidP="00735463">
      <w:pPr>
        <w:pStyle w:val="BodyTextIndent"/>
      </w:pPr>
    </w:p>
    <w:p w:rsidR="00302846" w:rsidRDefault="00302846" w:rsidP="004D6DD3">
      <w:pPr>
        <w:pStyle w:val="Heading3"/>
      </w:pPr>
      <w:r>
        <w:lastRenderedPageBreak/>
        <w:t>Q.</w:t>
      </w:r>
      <w:r>
        <w:tab/>
        <w:t>How is the CSA like a “direct conservation incentive”?</w:t>
      </w:r>
    </w:p>
    <w:p w:rsidR="00302846" w:rsidRDefault="00302846" w:rsidP="004D6DD3">
      <w:r w:rsidRPr="007C48CD">
        <w:t>A.</w:t>
      </w:r>
      <w:r w:rsidRPr="007C48CD">
        <w:tab/>
      </w:r>
      <w:r>
        <w:t xml:space="preserve">The Decoupling Policy Statement describes a “direct conservation incentive” as a mechanism that encourages </w:t>
      </w:r>
      <w:r w:rsidR="00D90059">
        <w:t>a c</w:t>
      </w:r>
      <w:r>
        <w:t>ompany to exceed its electric conservation targets and to invest in additional gas</w:t>
      </w:r>
      <w:r w:rsidR="005F663A">
        <w:t xml:space="preserve"> conservation</w:t>
      </w:r>
      <w:r>
        <w:t xml:space="preserve"> programs.</w:t>
      </w:r>
      <w:r>
        <w:rPr>
          <w:rStyle w:val="FootnoteReference"/>
        </w:rPr>
        <w:footnoteReference w:id="15"/>
      </w:r>
      <w:r>
        <w:t xml:space="preserve">  In fact, PSE’s previous and current direct conservation incentives are explicitly mentioned.</w:t>
      </w:r>
      <w:r>
        <w:rPr>
          <w:rStyle w:val="FootnoteReference"/>
        </w:rPr>
        <w:footnoteReference w:id="16"/>
      </w:r>
      <w:r>
        <w:t xml:space="preserve">  These mechanisms, like the CSA, all rel</w:t>
      </w:r>
      <w:r w:rsidR="00F13762">
        <w:t>y</w:t>
      </w:r>
      <w:r>
        <w:t xml:space="preserve"> on the conservation savings estimates to calculate a direct conservation incentive.</w:t>
      </w:r>
    </w:p>
    <w:p w:rsidR="00302846" w:rsidRDefault="00302846" w:rsidP="00735463">
      <w:pPr>
        <w:pStyle w:val="BodyTextIndent"/>
      </w:pPr>
    </w:p>
    <w:p w:rsidR="00302846" w:rsidRDefault="00302846" w:rsidP="004D6DD3">
      <w:pPr>
        <w:pStyle w:val="Heading3"/>
      </w:pPr>
      <w:r>
        <w:t>Q.</w:t>
      </w:r>
      <w:r>
        <w:tab/>
        <w:t xml:space="preserve">Does PSE justify the CSA based on the Commission’s Decoupling Policy Statement? </w:t>
      </w:r>
    </w:p>
    <w:p w:rsidR="00302846" w:rsidRDefault="00302846" w:rsidP="004D6DD3">
      <w:pPr>
        <w:rPr>
          <w:b/>
        </w:rPr>
      </w:pPr>
      <w:r>
        <w:t>A.</w:t>
      </w:r>
      <w:r>
        <w:tab/>
        <w:t xml:space="preserve">No.  In fact, Mr. De Boer concludes that “none of the specific mechanisms discussed by the Commission meet PSE’s needs.” </w:t>
      </w:r>
      <w:r w:rsidRPr="00850095">
        <w:rPr>
          <w:i/>
        </w:rPr>
        <w:t xml:space="preserve"> </w:t>
      </w:r>
      <w:r w:rsidR="0006641A" w:rsidRPr="00FD7A64">
        <w:t>Exhibit No. __  (TAD-1T) at 10:15-16.</w:t>
      </w:r>
    </w:p>
    <w:p w:rsidR="00302846" w:rsidRDefault="00302846" w:rsidP="00735463">
      <w:pPr>
        <w:pStyle w:val="BodyTextIndent"/>
      </w:pPr>
    </w:p>
    <w:p w:rsidR="00302846" w:rsidRDefault="00302846" w:rsidP="004D6DD3">
      <w:pPr>
        <w:pStyle w:val="Heading3"/>
      </w:pPr>
      <w:r>
        <w:t>Q.</w:t>
      </w:r>
      <w:r>
        <w:tab/>
        <w:t xml:space="preserve">Should PSE have </w:t>
      </w:r>
      <w:r w:rsidR="005B4782">
        <w:t xml:space="preserve">attempted to </w:t>
      </w:r>
      <w:r>
        <w:t>justif</w:t>
      </w:r>
      <w:r w:rsidR="005B4782">
        <w:t>y</w:t>
      </w:r>
      <w:r>
        <w:t xml:space="preserve"> the CSA based on the Commission’s Decoupling Policy Statement?</w:t>
      </w:r>
    </w:p>
    <w:p w:rsidR="00302846" w:rsidRDefault="00302846" w:rsidP="004D6DD3">
      <w:r>
        <w:t>A.</w:t>
      </w:r>
      <w:r>
        <w:tab/>
        <w:t>Yes.  In the Decoupling Policy Statement the Commission states it expects utilities “to propose limited decoupling or full decoupling mechanisms in the context of a general rate case” “</w:t>
      </w:r>
      <w:r w:rsidRPr="002C7F79">
        <w:rPr>
          <w:i/>
        </w:rPr>
        <w:t>within the parameters</w:t>
      </w:r>
      <w:r>
        <w:t xml:space="preserve"> [of the Policy Statement].”</w:t>
      </w:r>
      <w:r>
        <w:rPr>
          <w:rStyle w:val="FootnoteReference"/>
        </w:rPr>
        <w:footnoteReference w:id="17"/>
      </w:r>
    </w:p>
    <w:p w:rsidR="00C35A8A" w:rsidRDefault="00C35A8A" w:rsidP="004D6DD3"/>
    <w:p w:rsidR="00C35A8A" w:rsidRDefault="00C35A8A" w:rsidP="00C35A8A">
      <w:pPr>
        <w:pStyle w:val="Heading3"/>
      </w:pPr>
      <w:r>
        <w:t>Q.</w:t>
      </w:r>
      <w:r>
        <w:tab/>
        <w:t>What information should PSE have provided under the Decoupling Policy Statement, but failed to provide?</w:t>
      </w:r>
    </w:p>
    <w:p w:rsidR="00C35A8A" w:rsidRDefault="00C35A8A" w:rsidP="00C35A8A">
      <w:r>
        <w:lastRenderedPageBreak/>
        <w:t>A.</w:t>
      </w:r>
      <w:r>
        <w:tab/>
        <w:t>PSE should have: (1) provided an analysis of the CSA’s impact on rate of return, (2) provided a discussion of offsets or found margin, (3) provided an explanation of the impact of weather on the mechanism, (4) described the incremental conservation to be achieved as a result of the CSA, and (5) demonstrated whether or not its conservation programs provide roughly comparable benefits to low-income rate-payers.</w:t>
      </w:r>
    </w:p>
    <w:p w:rsidR="00C35A8A" w:rsidRPr="00193CDE" w:rsidRDefault="00C35A8A" w:rsidP="00C35A8A">
      <w:pPr>
        <w:pStyle w:val="BodyTextIndent"/>
      </w:pPr>
    </w:p>
    <w:p w:rsidR="00C35A8A" w:rsidRDefault="00C35A8A" w:rsidP="00C35A8A">
      <w:pPr>
        <w:pStyle w:val="Heading3"/>
      </w:pPr>
      <w:r>
        <w:t>Q.</w:t>
      </w:r>
      <w:r>
        <w:tab/>
        <w:t>W</w:t>
      </w:r>
      <w:r w:rsidR="005B4782">
        <w:t>ill</w:t>
      </w:r>
      <w:r>
        <w:t xml:space="preserve"> the CSA affect the risk experienced by PSE</w:t>
      </w:r>
      <w:r w:rsidR="005B4782">
        <w:t xml:space="preserve"> if adopted</w:t>
      </w:r>
      <w:r>
        <w:t>?</w:t>
      </w:r>
    </w:p>
    <w:p w:rsidR="00C35A8A" w:rsidRDefault="00C35A8A" w:rsidP="004D6DD3">
      <w:r>
        <w:t>A.</w:t>
      </w:r>
      <w:r>
        <w:tab/>
        <w:t xml:space="preserve">Yes.  </w:t>
      </w:r>
      <w:r w:rsidR="005B4782">
        <w:t>If adopted, t</w:t>
      </w:r>
      <w:r>
        <w:t>he CSA w</w:t>
      </w:r>
      <w:r w:rsidR="005B4782">
        <w:t>ill</w:t>
      </w:r>
      <w:r>
        <w:t xml:space="preserve"> reduce the risk of revenue decline feared by PSE.</w:t>
      </w:r>
      <w:r w:rsidR="007A0232">
        <w:t xml:space="preserve">  Exhibit No. __ (TAD-1T) at 5:1-3.</w:t>
      </w:r>
      <w:r>
        <w:t xml:space="preserve">  Unlike a full decoupling mechanism, which may either increase or decrease a company’s revenue, the CSA is designed to only increase revenue.  Mr. Piliaris suggests that PSE “would have ‘added to net income or created a cash buffer’ in the absence of conservation.”  </w:t>
      </w:r>
      <w:r w:rsidRPr="00FD7A64">
        <w:t xml:space="preserve">Exhibit No. </w:t>
      </w:r>
      <w:r w:rsidR="007A0232">
        <w:t>__ (</w:t>
      </w:r>
      <w:r w:rsidRPr="00FD7A64">
        <w:t>JAP-1T</w:t>
      </w:r>
      <w:r w:rsidR="007A0232">
        <w:t>)</w:t>
      </w:r>
      <w:r w:rsidR="005B4782">
        <w:t xml:space="preserve"> </w:t>
      </w:r>
      <w:r w:rsidRPr="00FD7A64">
        <w:t xml:space="preserve">at 27:3-4. </w:t>
      </w:r>
      <w:r w:rsidR="007A27BE">
        <w:t xml:space="preserve"> </w:t>
      </w:r>
      <w:r>
        <w:t>The CSA w</w:t>
      </w:r>
      <w:r w:rsidR="005B4782">
        <w:t xml:space="preserve">ill </w:t>
      </w:r>
      <w:r>
        <w:t>certainly add to net income.</w:t>
      </w:r>
    </w:p>
    <w:p w:rsidR="00302846" w:rsidRDefault="00302846" w:rsidP="00735463">
      <w:pPr>
        <w:pStyle w:val="BodyTextIndent"/>
      </w:pPr>
    </w:p>
    <w:p w:rsidR="00302846" w:rsidRPr="00C375F7" w:rsidRDefault="00302846" w:rsidP="009E6520">
      <w:pPr>
        <w:pStyle w:val="Heading3"/>
        <w:keepNext/>
      </w:pPr>
      <w:r>
        <w:t>Q.</w:t>
      </w:r>
      <w:r>
        <w:tab/>
        <w:t>When did the Commission issue the Decoupling Policy Statement?</w:t>
      </w:r>
    </w:p>
    <w:p w:rsidR="00302846" w:rsidRDefault="00302846" w:rsidP="004D6DD3">
      <w:r>
        <w:t>A.</w:t>
      </w:r>
      <w:r>
        <w:tab/>
        <w:t>The Commission issued the Decoupling Policy Statement on November 4, 2010</w:t>
      </w:r>
      <w:r w:rsidR="00D90059">
        <w:t xml:space="preserve">. </w:t>
      </w:r>
    </w:p>
    <w:p w:rsidR="00302846" w:rsidRDefault="00302846" w:rsidP="00735463">
      <w:pPr>
        <w:pStyle w:val="BodyTextIndent"/>
      </w:pPr>
    </w:p>
    <w:p w:rsidR="00302846" w:rsidRDefault="00302846" w:rsidP="004D6DD3">
      <w:pPr>
        <w:pStyle w:val="Heading3"/>
      </w:pPr>
      <w:r>
        <w:t>Q.</w:t>
      </w:r>
      <w:r>
        <w:tab/>
        <w:t>Was PSE a party to the docket in which the Commission developed the Decoupling Policy Statement?</w:t>
      </w:r>
    </w:p>
    <w:p w:rsidR="00302846" w:rsidRDefault="00302846" w:rsidP="004D6DD3">
      <w:pPr>
        <w:rPr>
          <w:b/>
        </w:rPr>
      </w:pPr>
      <w:r>
        <w:t>A.</w:t>
      </w:r>
      <w:r>
        <w:tab/>
        <w:t xml:space="preserve">Yes.  PSE participated fully in that docket.  </w:t>
      </w:r>
      <w:r w:rsidR="0006641A" w:rsidRPr="00FD7A64">
        <w:t>Exhibit No. __ (TAD-1T) at 10:2-4</w:t>
      </w:r>
      <w:r w:rsidRPr="00BD4EB9">
        <w:rPr>
          <w:i/>
        </w:rPr>
        <w:t>.</w:t>
      </w:r>
    </w:p>
    <w:p w:rsidR="00302846" w:rsidRDefault="00302846" w:rsidP="00735463">
      <w:pPr>
        <w:pStyle w:val="BodyTextIndent"/>
      </w:pPr>
    </w:p>
    <w:p w:rsidR="00302846" w:rsidRDefault="00302846" w:rsidP="004D6DD3">
      <w:pPr>
        <w:pStyle w:val="Heading3"/>
      </w:pPr>
      <w:r>
        <w:lastRenderedPageBreak/>
        <w:t>Q.</w:t>
      </w:r>
      <w:r>
        <w:tab/>
        <w:t>Is there any reason why PSE could not address the CSA in the context of the Decoupling Policy Statement?</w:t>
      </w:r>
    </w:p>
    <w:p w:rsidR="00302846" w:rsidRPr="00A32EA1" w:rsidRDefault="00302846" w:rsidP="004D6DD3">
      <w:r>
        <w:t>A.</w:t>
      </w:r>
      <w:r>
        <w:tab/>
        <w:t xml:space="preserve">No.  </w:t>
      </w:r>
      <w:r w:rsidR="00D90059">
        <w:t xml:space="preserve">The Decoupling Policy Statement was issued approximately </w:t>
      </w:r>
      <w:r w:rsidR="007A0232">
        <w:t>seven</w:t>
      </w:r>
      <w:r w:rsidR="00D90059">
        <w:t xml:space="preserve"> months before the Company filed its general rate case in these dockets.  I can see no reason why the Company failed to address the parameters of Decoupling Policy Statement, as the Commission directed.</w:t>
      </w:r>
    </w:p>
    <w:p w:rsidR="00C06A3D" w:rsidRDefault="00C06A3D" w:rsidP="00FD7A64">
      <w:pPr>
        <w:pStyle w:val="BodyTextIndent"/>
        <w:ind w:left="0" w:firstLine="0"/>
      </w:pPr>
    </w:p>
    <w:p w:rsidR="00C06A3D" w:rsidRPr="00BD1E74" w:rsidRDefault="0006641A" w:rsidP="00FD7A64">
      <w:pPr>
        <w:pStyle w:val="Heading3"/>
      </w:pPr>
      <w:r w:rsidRPr="00FD7A64">
        <w:t>Q.</w:t>
      </w:r>
      <w:r w:rsidRPr="00FD7A64">
        <w:tab/>
      </w:r>
      <w:r w:rsidR="005B4782">
        <w:t>S</w:t>
      </w:r>
      <w:r w:rsidRPr="00047C0D">
        <w:t>hould the Commission reject the CSA</w:t>
      </w:r>
      <w:r w:rsidR="00D90059">
        <w:t xml:space="preserve"> </w:t>
      </w:r>
      <w:r w:rsidRPr="00FD7A64">
        <w:t xml:space="preserve">given the Company’s failure to abide by the Commission’s </w:t>
      </w:r>
      <w:r w:rsidR="005B4782">
        <w:t xml:space="preserve">threshold </w:t>
      </w:r>
      <w:r w:rsidRPr="00FD7A64">
        <w:t>requirement to address the proposal in the context of the Decoupling Poli</w:t>
      </w:r>
      <w:r w:rsidR="00F13762">
        <w:t>c</w:t>
      </w:r>
      <w:r w:rsidRPr="00FD7A64">
        <w:t>y Statement?</w:t>
      </w:r>
    </w:p>
    <w:p w:rsidR="00C06A3D" w:rsidRDefault="00F13762" w:rsidP="00FD7A64">
      <w:pPr>
        <w:pStyle w:val="BodyTextIndent"/>
        <w:ind w:hanging="720"/>
      </w:pPr>
      <w:r>
        <w:t>A.</w:t>
      </w:r>
      <w:r>
        <w:tab/>
        <w:t>Yes.</w:t>
      </w:r>
    </w:p>
    <w:p w:rsidR="00C35A8A" w:rsidRDefault="00C35A8A" w:rsidP="00735463"/>
    <w:p w:rsidR="00302846" w:rsidRDefault="00302846" w:rsidP="004D6DD3">
      <w:pPr>
        <w:pStyle w:val="Heading3"/>
      </w:pPr>
      <w:r>
        <w:t>Q.</w:t>
      </w:r>
      <w:r>
        <w:tab/>
        <w:t>As a</w:t>
      </w:r>
      <w:r w:rsidR="00C35A8A">
        <w:t>nother</w:t>
      </w:r>
      <w:r>
        <w:t xml:space="preserve"> threshold matter, d</w:t>
      </w:r>
      <w:r w:rsidR="00C35A8A">
        <w:t>id</w:t>
      </w:r>
      <w:r>
        <w:t xml:space="preserve"> the </w:t>
      </w:r>
      <w:r w:rsidR="00C35A8A">
        <w:t>Decoupling Policy Statement</w:t>
      </w:r>
      <w:r>
        <w:t xml:space="preserve"> approve “limited decoupling” mechanisms for electric utilities?</w:t>
      </w:r>
    </w:p>
    <w:p w:rsidR="00302846" w:rsidRDefault="00302846" w:rsidP="004D6DD3">
      <w:r>
        <w:t>A.</w:t>
      </w:r>
      <w:r>
        <w:tab/>
        <w:t xml:space="preserve">No.  While the Commission approved </w:t>
      </w:r>
      <w:r w:rsidRPr="00265593">
        <w:rPr>
          <w:i/>
        </w:rPr>
        <w:t>full</w:t>
      </w:r>
      <w:r>
        <w:t xml:space="preserve"> decoupling for electric utilities, the Commission stated it would “propose to confine the limited decoupling option to natural gas utilities.”</w:t>
      </w:r>
      <w:r>
        <w:rPr>
          <w:rStyle w:val="FootnoteReference"/>
        </w:rPr>
        <w:footnoteReference w:id="18"/>
      </w:r>
      <w:r>
        <w:t xml:space="preserve">  </w:t>
      </w:r>
    </w:p>
    <w:p w:rsidR="00302846" w:rsidRDefault="00302846" w:rsidP="00735463">
      <w:pPr>
        <w:pStyle w:val="BodyTextIndent"/>
      </w:pPr>
    </w:p>
    <w:p w:rsidR="00302846" w:rsidRDefault="00302846" w:rsidP="004D6DD3">
      <w:pPr>
        <w:pStyle w:val="Heading3"/>
      </w:pPr>
      <w:r>
        <w:t>Q.</w:t>
      </w:r>
      <w:r>
        <w:tab/>
        <w:t>Should the Commission reject the CSA</w:t>
      </w:r>
      <w:r w:rsidR="00062651">
        <w:t xml:space="preserve"> for the Company’s electric operations</w:t>
      </w:r>
      <w:r>
        <w:t xml:space="preserve"> on that basis?</w:t>
      </w:r>
    </w:p>
    <w:p w:rsidR="00302846" w:rsidRPr="00193CDE" w:rsidRDefault="00302846" w:rsidP="004D6DD3">
      <w:r>
        <w:t>A.</w:t>
      </w:r>
      <w:r>
        <w:tab/>
        <w:t xml:space="preserve">Yes.  </w:t>
      </w:r>
    </w:p>
    <w:p w:rsidR="00302846" w:rsidRDefault="00302846" w:rsidP="00735463">
      <w:pPr>
        <w:pStyle w:val="BodyTextIndent"/>
      </w:pPr>
    </w:p>
    <w:p w:rsidR="00302846" w:rsidRDefault="00302846" w:rsidP="004D6DD3">
      <w:pPr>
        <w:pStyle w:val="Heading3"/>
      </w:pPr>
      <w:r>
        <w:lastRenderedPageBreak/>
        <w:t>Q.</w:t>
      </w:r>
      <w:r>
        <w:tab/>
        <w:t xml:space="preserve">Should the Commission elect to evaluate the reasons it gave for confining limited decoupling </w:t>
      </w:r>
      <w:r w:rsidR="008D1F0B">
        <w:t>to</w:t>
      </w:r>
      <w:r>
        <w:t xml:space="preserve"> natural gas operations, do those reasons justify the Commission rejecting the CSA in this case?</w:t>
      </w:r>
    </w:p>
    <w:p w:rsidR="00302846" w:rsidRDefault="00302846" w:rsidP="004D6DD3">
      <w:pPr>
        <w:rPr>
          <w:b/>
        </w:rPr>
      </w:pPr>
      <w:r>
        <w:t>A.</w:t>
      </w:r>
      <w:r>
        <w:tab/>
        <w:t>Yes.</w:t>
      </w:r>
      <w:r>
        <w:rPr>
          <w:b/>
        </w:rPr>
        <w:t xml:space="preserve"> </w:t>
      </w:r>
    </w:p>
    <w:p w:rsidR="00F846C1" w:rsidRPr="00193CDE" w:rsidRDefault="00F846C1" w:rsidP="004D6DD3">
      <w:pPr>
        <w:rPr>
          <w:b/>
        </w:rPr>
      </w:pPr>
    </w:p>
    <w:p w:rsidR="00302846" w:rsidRPr="009E6520" w:rsidRDefault="00DD5CD3" w:rsidP="009E6520">
      <w:pPr>
        <w:pStyle w:val="Heading2"/>
        <w:ind w:hanging="720"/>
        <w:jc w:val="left"/>
        <w:rPr>
          <w:u w:val="none"/>
        </w:rPr>
      </w:pPr>
      <w:bookmarkStart w:id="8" w:name="_Toc310842164"/>
      <w:r w:rsidRPr="009E6520">
        <w:rPr>
          <w:u w:val="none"/>
        </w:rPr>
        <w:t>Use Per Customer Analysis</w:t>
      </w:r>
      <w:bookmarkEnd w:id="8"/>
    </w:p>
    <w:p w:rsidR="00F846C1" w:rsidRDefault="00F846C1" w:rsidP="00BD1E74"/>
    <w:p w:rsidR="00302846" w:rsidRPr="009E6DE9" w:rsidRDefault="00302846" w:rsidP="004D6DD3">
      <w:pPr>
        <w:pStyle w:val="Heading3"/>
      </w:pPr>
      <w:r>
        <w:t>Q.</w:t>
      </w:r>
      <w:r>
        <w:tab/>
        <w:t xml:space="preserve">What reasons did the Commission give for confining limited decoupling to natural gas operations? </w:t>
      </w:r>
    </w:p>
    <w:p w:rsidR="00302846" w:rsidRDefault="00302846" w:rsidP="004D6DD3">
      <w:r>
        <w:t>A.</w:t>
      </w:r>
      <w:r>
        <w:tab/>
        <w:t>The Commission gave three reasons.  The “[F]irst, and most important” reason is that limited decoupling “only makes sense when sales to existing customers are declining.”</w:t>
      </w:r>
      <w:r>
        <w:rPr>
          <w:rStyle w:val="FootnoteReference"/>
        </w:rPr>
        <w:footnoteReference w:id="19"/>
      </w:r>
      <w:r>
        <w:t xml:space="preserve">  </w:t>
      </w:r>
    </w:p>
    <w:p w:rsidR="00302846" w:rsidRDefault="00302846" w:rsidP="00735463">
      <w:pPr>
        <w:pStyle w:val="BodyTextIndent"/>
      </w:pPr>
    </w:p>
    <w:p w:rsidR="007551C2" w:rsidRDefault="007551C2" w:rsidP="007551C2">
      <w:pPr>
        <w:pStyle w:val="Heading3"/>
      </w:pPr>
      <w:r>
        <w:t>Q.</w:t>
      </w:r>
      <w:r>
        <w:tab/>
        <w:t xml:space="preserve">Does the Commission expect limited decoupling to account for only one cause of declining </w:t>
      </w:r>
      <w:r w:rsidR="008850CA">
        <w:t>use</w:t>
      </w:r>
      <w:r>
        <w:t>?</w:t>
      </w:r>
    </w:p>
    <w:p w:rsidR="00302846" w:rsidRDefault="007551C2" w:rsidP="00265593">
      <w:pPr>
        <w:pStyle w:val="BodyTextIndent"/>
        <w:ind w:hanging="720"/>
      </w:pPr>
      <w:r>
        <w:t>A.</w:t>
      </w:r>
      <w:r>
        <w:tab/>
        <w:t>Yes.  The Commission’s Decoupling Policy Statement says “l</w:t>
      </w:r>
      <w:r w:rsidRPr="005A2035">
        <w:t>imited decoupling</w:t>
      </w:r>
      <w:r>
        <w:t xml:space="preserve"> […]</w:t>
      </w:r>
      <w:r w:rsidRPr="005A2035">
        <w:t xml:space="preserve"> would permit the utility</w:t>
      </w:r>
      <w:r>
        <w:t xml:space="preserve"> […]</w:t>
      </w:r>
      <w:r w:rsidRPr="005A2035">
        <w:t xml:space="preserve"> to recover lost margin </w:t>
      </w:r>
      <w:r w:rsidRPr="00CE6EF8">
        <w:rPr>
          <w:i/>
        </w:rPr>
        <w:t>due only</w:t>
      </w:r>
      <w:r w:rsidRPr="005A2035">
        <w:t xml:space="preserve"> to the conservation efforts of the utility including educational and informational efforts</w:t>
      </w:r>
      <w:r>
        <w:t>.”</w:t>
      </w:r>
      <w:r>
        <w:rPr>
          <w:rStyle w:val="FootnoteReference"/>
        </w:rPr>
        <w:footnoteReference w:id="20"/>
      </w:r>
      <w:r>
        <w:t xml:space="preserve">  Limited decoupling for gas or electricity </w:t>
      </w:r>
      <w:r w:rsidR="008D1F0B">
        <w:t xml:space="preserve">service </w:t>
      </w:r>
      <w:r>
        <w:t>would be very difficult to design for PSE since</w:t>
      </w:r>
      <w:r w:rsidR="008D1F0B">
        <w:t>, while sales have declined,</w:t>
      </w:r>
      <w:r>
        <w:t xml:space="preserve"> there appear to be other causes for the decline in </w:t>
      </w:r>
      <w:r w:rsidR="008850CA">
        <w:t>use</w:t>
      </w:r>
      <w:r>
        <w:t>.</w:t>
      </w:r>
    </w:p>
    <w:p w:rsidR="008D1F0B" w:rsidRDefault="008D1F0B" w:rsidP="00735463">
      <w:pPr>
        <w:pStyle w:val="BodyTextIndent"/>
      </w:pPr>
    </w:p>
    <w:p w:rsidR="00302846" w:rsidRDefault="00302846" w:rsidP="004D6DD3">
      <w:pPr>
        <w:pStyle w:val="Heading3"/>
      </w:pPr>
      <w:r>
        <w:lastRenderedPageBreak/>
        <w:t>Q.</w:t>
      </w:r>
      <w:r>
        <w:tab/>
        <w:t xml:space="preserve">Have you prepared a table showing </w:t>
      </w:r>
      <w:r w:rsidR="008D1F0B">
        <w:t xml:space="preserve">a decline in </w:t>
      </w:r>
      <w:r w:rsidR="007551C2">
        <w:t xml:space="preserve">electric </w:t>
      </w:r>
      <w:r w:rsidR="008850CA">
        <w:t>use</w:t>
      </w:r>
      <w:r>
        <w:t xml:space="preserve"> per customer for PSE?</w:t>
      </w:r>
    </w:p>
    <w:p w:rsidR="00302846" w:rsidRDefault="00302846" w:rsidP="004D6DD3">
      <w:r>
        <w:t>A.</w:t>
      </w:r>
      <w:r>
        <w:tab/>
        <w:t xml:space="preserve">Yes.  The table below provides </w:t>
      </w:r>
      <w:r w:rsidR="00607EEF">
        <w:t>annual</w:t>
      </w:r>
      <w:r w:rsidR="00F65678">
        <w:t xml:space="preserve"> average mega</w:t>
      </w:r>
      <w:r>
        <w:t xml:space="preserve">watt-hour </w:t>
      </w:r>
      <w:r w:rsidR="008850CA">
        <w:t>use</w:t>
      </w:r>
      <w:r>
        <w:t xml:space="preserve"> per customer from 2001 to 2010.  This information was provided by PSE in its </w:t>
      </w:r>
      <w:r w:rsidR="00F65678">
        <w:t>annual reports</w:t>
      </w:r>
      <w:r w:rsidR="007551C2">
        <w:t>.</w:t>
      </w:r>
    </w:p>
    <w:p w:rsidR="00FF10F1" w:rsidRPr="00215CF0" w:rsidRDefault="00FF10F1" w:rsidP="00FF10F1">
      <w:pPr>
        <w:pStyle w:val="Heading4"/>
      </w:pPr>
      <w:r>
        <w:t xml:space="preserve">Average </w:t>
      </w:r>
      <w:r w:rsidR="008850CA">
        <w:t>Use</w:t>
      </w:r>
      <w:r w:rsidR="00F65678">
        <w:t xml:space="preserve"> Per Electric Customer in Mega</w:t>
      </w:r>
      <w:r>
        <w:t>watt-hours</w:t>
      </w:r>
      <w:r w:rsidR="00236A8C">
        <w:rPr>
          <w:rStyle w:val="FootnoteReference"/>
        </w:rPr>
        <w:footnoteReference w:id="21"/>
      </w:r>
    </w:p>
    <w:tbl>
      <w:tblPr>
        <w:tblW w:w="5880" w:type="dxa"/>
        <w:jc w:val="center"/>
        <w:tblLook w:val="04A0" w:firstRow="1" w:lastRow="0" w:firstColumn="1" w:lastColumn="0" w:noHBand="0" w:noVBand="1"/>
      </w:tblPr>
      <w:tblGrid>
        <w:gridCol w:w="960"/>
        <w:gridCol w:w="1113"/>
        <w:gridCol w:w="1190"/>
        <w:gridCol w:w="936"/>
        <w:gridCol w:w="1101"/>
        <w:gridCol w:w="1008"/>
      </w:tblGrid>
      <w:tr w:rsidR="00F65678" w:rsidRPr="00F65678" w:rsidTr="00236A8C">
        <w:trPr>
          <w:cantSplit/>
          <w:jc w:val="center"/>
        </w:trPr>
        <w:tc>
          <w:tcPr>
            <w:tcW w:w="960" w:type="dxa"/>
            <w:tcBorders>
              <w:top w:val="nil"/>
              <w:left w:val="nil"/>
              <w:bottom w:val="nil"/>
              <w:right w:val="single" w:sz="4" w:space="0" w:color="auto"/>
            </w:tcBorders>
            <w:shd w:val="clear" w:color="auto" w:fill="auto"/>
            <w:noWrap/>
            <w:vAlign w:val="bottom"/>
            <w:hideMark/>
          </w:tcPr>
          <w:p w:rsidR="00F65678" w:rsidRPr="00F65678" w:rsidRDefault="00F65678" w:rsidP="00F65678">
            <w:pPr>
              <w:tabs>
                <w:tab w:val="clear" w:pos="-1440"/>
              </w:tabs>
              <w:spacing w:line="240" w:lineRule="auto"/>
              <w:ind w:left="0" w:firstLine="0"/>
              <w:jc w:val="center"/>
              <w:rPr>
                <w:rFonts w:ascii="Calibri" w:hAnsi="Calibri" w:cs="Calibri"/>
                <w:color w:val="000000"/>
                <w:sz w:val="20"/>
                <w:szCs w:val="20"/>
              </w:rPr>
            </w:pPr>
          </w:p>
        </w:tc>
        <w:tc>
          <w:tcPr>
            <w:tcW w:w="927" w:type="dxa"/>
            <w:tcBorders>
              <w:top w:val="nil"/>
              <w:left w:val="single" w:sz="4" w:space="0" w:color="auto"/>
              <w:bottom w:val="nil"/>
              <w:right w:val="nil"/>
            </w:tcBorders>
            <w:shd w:val="clear" w:color="auto" w:fill="auto"/>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Residential</w:t>
            </w:r>
          </w:p>
        </w:tc>
        <w:tc>
          <w:tcPr>
            <w:tcW w:w="1004" w:type="dxa"/>
            <w:tcBorders>
              <w:top w:val="nil"/>
              <w:left w:val="nil"/>
              <w:bottom w:val="nil"/>
              <w:right w:val="nil"/>
            </w:tcBorders>
            <w:shd w:val="clear" w:color="auto" w:fill="auto"/>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Commercial and Industrial</w:t>
            </w:r>
          </w:p>
        </w:tc>
        <w:tc>
          <w:tcPr>
            <w:tcW w:w="936" w:type="dxa"/>
            <w:tcBorders>
              <w:top w:val="nil"/>
              <w:left w:val="nil"/>
              <w:bottom w:val="nil"/>
              <w:right w:val="nil"/>
            </w:tcBorders>
            <w:shd w:val="clear" w:color="auto" w:fill="auto"/>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Public Street &amp; Highway Lighting</w:t>
            </w:r>
          </w:p>
        </w:tc>
        <w:tc>
          <w:tcPr>
            <w:tcW w:w="1101" w:type="dxa"/>
            <w:tcBorders>
              <w:top w:val="nil"/>
              <w:left w:val="nil"/>
              <w:bottom w:val="nil"/>
              <w:right w:val="nil"/>
            </w:tcBorders>
            <w:shd w:val="clear" w:color="auto" w:fill="auto"/>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Resale</w:t>
            </w:r>
          </w:p>
        </w:tc>
        <w:tc>
          <w:tcPr>
            <w:tcW w:w="952" w:type="dxa"/>
            <w:tcBorders>
              <w:top w:val="nil"/>
              <w:left w:val="nil"/>
              <w:bottom w:val="nil"/>
              <w:right w:val="nil"/>
            </w:tcBorders>
            <w:shd w:val="clear" w:color="auto" w:fill="auto"/>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System MWh per Customer</w:t>
            </w:r>
          </w:p>
        </w:tc>
      </w:tr>
      <w:tr w:rsidR="00F65678" w:rsidRPr="00F65678" w:rsidTr="00236A8C">
        <w:trPr>
          <w:cantSplit/>
          <w:trHeight w:val="276"/>
          <w:jc w:val="center"/>
        </w:trPr>
        <w:tc>
          <w:tcPr>
            <w:tcW w:w="960" w:type="dxa"/>
            <w:tcBorders>
              <w:top w:val="nil"/>
              <w:left w:val="nil"/>
              <w:bottom w:val="nil"/>
              <w:right w:val="single" w:sz="4" w:space="0" w:color="auto"/>
            </w:tcBorders>
            <w:shd w:val="clear" w:color="auto" w:fill="auto"/>
            <w:noWrap/>
            <w:vAlign w:val="bottom"/>
            <w:hideMark/>
          </w:tcPr>
          <w:p w:rsidR="00F65678" w:rsidRPr="00F65678" w:rsidRDefault="00F65678" w:rsidP="00F65678">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2001</w:t>
            </w:r>
          </w:p>
        </w:tc>
        <w:tc>
          <w:tcPr>
            <w:tcW w:w="927" w:type="dxa"/>
            <w:tcBorders>
              <w:top w:val="nil"/>
              <w:left w:val="single" w:sz="4" w:space="0" w:color="auto"/>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11</w:t>
            </w:r>
          </w:p>
        </w:tc>
        <w:tc>
          <w:tcPr>
            <w:tcW w:w="1004"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99</w:t>
            </w:r>
          </w:p>
        </w:tc>
        <w:tc>
          <w:tcPr>
            <w:tcW w:w="936"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44</w:t>
            </w:r>
          </w:p>
        </w:tc>
        <w:tc>
          <w:tcPr>
            <w:tcW w:w="1101"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841335</w:t>
            </w:r>
          </w:p>
        </w:tc>
        <w:tc>
          <w:tcPr>
            <w:tcW w:w="952"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31</w:t>
            </w:r>
          </w:p>
        </w:tc>
      </w:tr>
      <w:tr w:rsidR="00F65678" w:rsidRPr="00F65678" w:rsidTr="00236A8C">
        <w:trPr>
          <w:cantSplit/>
          <w:trHeight w:val="276"/>
          <w:jc w:val="center"/>
        </w:trPr>
        <w:tc>
          <w:tcPr>
            <w:tcW w:w="960" w:type="dxa"/>
            <w:tcBorders>
              <w:top w:val="nil"/>
              <w:left w:val="nil"/>
              <w:bottom w:val="nil"/>
              <w:right w:val="single" w:sz="4" w:space="0" w:color="auto"/>
            </w:tcBorders>
            <w:shd w:val="clear" w:color="auto" w:fill="auto"/>
            <w:noWrap/>
            <w:vAlign w:val="bottom"/>
            <w:hideMark/>
          </w:tcPr>
          <w:p w:rsidR="00F65678" w:rsidRPr="00F65678" w:rsidRDefault="00F65678" w:rsidP="00F65678">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2002</w:t>
            </w:r>
          </w:p>
        </w:tc>
        <w:tc>
          <w:tcPr>
            <w:tcW w:w="927" w:type="dxa"/>
            <w:tcBorders>
              <w:top w:val="nil"/>
              <w:left w:val="single" w:sz="4" w:space="0" w:color="auto"/>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12</w:t>
            </w:r>
          </w:p>
        </w:tc>
        <w:tc>
          <w:tcPr>
            <w:tcW w:w="1004"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87</w:t>
            </w:r>
          </w:p>
        </w:tc>
        <w:tc>
          <w:tcPr>
            <w:tcW w:w="936"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43</w:t>
            </w:r>
          </w:p>
        </w:tc>
        <w:tc>
          <w:tcPr>
            <w:tcW w:w="1101"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674606</w:t>
            </w:r>
          </w:p>
        </w:tc>
        <w:tc>
          <w:tcPr>
            <w:tcW w:w="952"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28</w:t>
            </w:r>
          </w:p>
        </w:tc>
      </w:tr>
      <w:tr w:rsidR="00F65678" w:rsidRPr="00F65678" w:rsidTr="00236A8C">
        <w:trPr>
          <w:cantSplit/>
          <w:trHeight w:val="276"/>
          <w:jc w:val="center"/>
        </w:trPr>
        <w:tc>
          <w:tcPr>
            <w:tcW w:w="960" w:type="dxa"/>
            <w:tcBorders>
              <w:top w:val="nil"/>
              <w:left w:val="nil"/>
              <w:bottom w:val="nil"/>
              <w:right w:val="single" w:sz="4" w:space="0" w:color="auto"/>
            </w:tcBorders>
            <w:shd w:val="clear" w:color="auto" w:fill="auto"/>
            <w:noWrap/>
            <w:vAlign w:val="bottom"/>
            <w:hideMark/>
          </w:tcPr>
          <w:p w:rsidR="00F65678" w:rsidRPr="00F65678" w:rsidRDefault="00F65678" w:rsidP="00F65678">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2003</w:t>
            </w:r>
          </w:p>
        </w:tc>
        <w:tc>
          <w:tcPr>
            <w:tcW w:w="927" w:type="dxa"/>
            <w:tcBorders>
              <w:top w:val="nil"/>
              <w:left w:val="single" w:sz="4" w:space="0" w:color="auto"/>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12</w:t>
            </w:r>
          </w:p>
        </w:tc>
        <w:tc>
          <w:tcPr>
            <w:tcW w:w="1004"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86</w:t>
            </w:r>
          </w:p>
        </w:tc>
        <w:tc>
          <w:tcPr>
            <w:tcW w:w="936"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42</w:t>
            </w:r>
          </w:p>
        </w:tc>
        <w:tc>
          <w:tcPr>
            <w:tcW w:w="1101"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575365</w:t>
            </w:r>
          </w:p>
        </w:tc>
        <w:tc>
          <w:tcPr>
            <w:tcW w:w="952"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27</w:t>
            </w:r>
          </w:p>
        </w:tc>
      </w:tr>
      <w:tr w:rsidR="00F65678" w:rsidRPr="00F65678" w:rsidTr="00236A8C">
        <w:trPr>
          <w:cantSplit/>
          <w:trHeight w:val="276"/>
          <w:jc w:val="center"/>
        </w:trPr>
        <w:tc>
          <w:tcPr>
            <w:tcW w:w="960" w:type="dxa"/>
            <w:tcBorders>
              <w:top w:val="nil"/>
              <w:left w:val="nil"/>
              <w:bottom w:val="nil"/>
              <w:right w:val="single" w:sz="4" w:space="0" w:color="auto"/>
            </w:tcBorders>
            <w:shd w:val="clear" w:color="auto" w:fill="auto"/>
            <w:noWrap/>
            <w:vAlign w:val="bottom"/>
            <w:hideMark/>
          </w:tcPr>
          <w:p w:rsidR="00F65678" w:rsidRPr="00F65678" w:rsidRDefault="00F65678" w:rsidP="00F65678">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2004</w:t>
            </w:r>
          </w:p>
        </w:tc>
        <w:tc>
          <w:tcPr>
            <w:tcW w:w="927" w:type="dxa"/>
            <w:tcBorders>
              <w:top w:val="nil"/>
              <w:left w:val="single" w:sz="4" w:space="0" w:color="auto"/>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11</w:t>
            </w:r>
          </w:p>
        </w:tc>
        <w:tc>
          <w:tcPr>
            <w:tcW w:w="1004"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86</w:t>
            </w:r>
          </w:p>
        </w:tc>
        <w:tc>
          <w:tcPr>
            <w:tcW w:w="936"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40</w:t>
            </w:r>
          </w:p>
        </w:tc>
        <w:tc>
          <w:tcPr>
            <w:tcW w:w="1101"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302420</w:t>
            </w:r>
          </w:p>
        </w:tc>
        <w:tc>
          <w:tcPr>
            <w:tcW w:w="952"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24</w:t>
            </w:r>
          </w:p>
        </w:tc>
      </w:tr>
      <w:tr w:rsidR="00F65678" w:rsidRPr="00F65678" w:rsidTr="00236A8C">
        <w:trPr>
          <w:cantSplit/>
          <w:trHeight w:val="276"/>
          <w:jc w:val="center"/>
        </w:trPr>
        <w:tc>
          <w:tcPr>
            <w:tcW w:w="960" w:type="dxa"/>
            <w:tcBorders>
              <w:top w:val="nil"/>
              <w:left w:val="nil"/>
              <w:bottom w:val="nil"/>
              <w:right w:val="single" w:sz="4" w:space="0" w:color="auto"/>
            </w:tcBorders>
            <w:shd w:val="clear" w:color="auto" w:fill="auto"/>
            <w:noWrap/>
            <w:vAlign w:val="bottom"/>
            <w:hideMark/>
          </w:tcPr>
          <w:p w:rsidR="00F65678" w:rsidRPr="00F65678" w:rsidRDefault="00F65678" w:rsidP="00F65678">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2005</w:t>
            </w:r>
          </w:p>
        </w:tc>
        <w:tc>
          <w:tcPr>
            <w:tcW w:w="927" w:type="dxa"/>
            <w:tcBorders>
              <w:top w:val="nil"/>
              <w:left w:val="single" w:sz="4" w:space="0" w:color="auto"/>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12</w:t>
            </w:r>
          </w:p>
        </w:tc>
        <w:tc>
          <w:tcPr>
            <w:tcW w:w="1004"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87</w:t>
            </w:r>
          </w:p>
        </w:tc>
        <w:tc>
          <w:tcPr>
            <w:tcW w:w="936"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41</w:t>
            </w:r>
          </w:p>
        </w:tc>
        <w:tc>
          <w:tcPr>
            <w:tcW w:w="1101"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350841</w:t>
            </w:r>
          </w:p>
        </w:tc>
        <w:tc>
          <w:tcPr>
            <w:tcW w:w="952"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25</w:t>
            </w:r>
          </w:p>
        </w:tc>
      </w:tr>
      <w:tr w:rsidR="00F65678" w:rsidRPr="00F65678" w:rsidTr="00236A8C">
        <w:trPr>
          <w:cantSplit/>
          <w:trHeight w:val="276"/>
          <w:jc w:val="center"/>
        </w:trPr>
        <w:tc>
          <w:tcPr>
            <w:tcW w:w="960" w:type="dxa"/>
            <w:tcBorders>
              <w:top w:val="nil"/>
              <w:left w:val="nil"/>
              <w:bottom w:val="nil"/>
              <w:right w:val="single" w:sz="4" w:space="0" w:color="auto"/>
            </w:tcBorders>
            <w:shd w:val="clear" w:color="auto" w:fill="auto"/>
            <w:noWrap/>
            <w:vAlign w:val="bottom"/>
            <w:hideMark/>
          </w:tcPr>
          <w:p w:rsidR="00F65678" w:rsidRPr="00F65678" w:rsidRDefault="00F65678" w:rsidP="00F65678">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2006</w:t>
            </w:r>
          </w:p>
        </w:tc>
        <w:tc>
          <w:tcPr>
            <w:tcW w:w="927" w:type="dxa"/>
            <w:tcBorders>
              <w:top w:val="nil"/>
              <w:left w:val="single" w:sz="4" w:space="0" w:color="auto"/>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12</w:t>
            </w:r>
          </w:p>
        </w:tc>
        <w:tc>
          <w:tcPr>
            <w:tcW w:w="1004"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90</w:t>
            </w:r>
          </w:p>
        </w:tc>
        <w:tc>
          <w:tcPr>
            <w:tcW w:w="936"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27</w:t>
            </w:r>
          </w:p>
        </w:tc>
        <w:tc>
          <w:tcPr>
            <w:tcW w:w="1101"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499627</w:t>
            </w:r>
          </w:p>
        </w:tc>
        <w:tc>
          <w:tcPr>
            <w:tcW w:w="952"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26</w:t>
            </w:r>
          </w:p>
        </w:tc>
      </w:tr>
      <w:tr w:rsidR="00F65678" w:rsidRPr="00F65678" w:rsidTr="00236A8C">
        <w:trPr>
          <w:cantSplit/>
          <w:trHeight w:val="276"/>
          <w:jc w:val="center"/>
        </w:trPr>
        <w:tc>
          <w:tcPr>
            <w:tcW w:w="960" w:type="dxa"/>
            <w:tcBorders>
              <w:top w:val="nil"/>
              <w:left w:val="nil"/>
              <w:bottom w:val="nil"/>
              <w:right w:val="single" w:sz="4" w:space="0" w:color="auto"/>
            </w:tcBorders>
            <w:shd w:val="clear" w:color="auto" w:fill="auto"/>
            <w:noWrap/>
            <w:vAlign w:val="bottom"/>
            <w:hideMark/>
          </w:tcPr>
          <w:p w:rsidR="00F65678" w:rsidRPr="00F65678" w:rsidRDefault="00F65678" w:rsidP="00F65678">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2007</w:t>
            </w:r>
          </w:p>
        </w:tc>
        <w:tc>
          <w:tcPr>
            <w:tcW w:w="927" w:type="dxa"/>
            <w:tcBorders>
              <w:top w:val="nil"/>
              <w:left w:val="single" w:sz="4" w:space="0" w:color="auto"/>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12</w:t>
            </w:r>
          </w:p>
        </w:tc>
        <w:tc>
          <w:tcPr>
            <w:tcW w:w="1004"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89</w:t>
            </w:r>
          </w:p>
        </w:tc>
        <w:tc>
          <w:tcPr>
            <w:tcW w:w="936"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30</w:t>
            </w:r>
          </w:p>
        </w:tc>
        <w:tc>
          <w:tcPr>
            <w:tcW w:w="1101"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492263</w:t>
            </w:r>
          </w:p>
        </w:tc>
        <w:tc>
          <w:tcPr>
            <w:tcW w:w="952"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26</w:t>
            </w:r>
          </w:p>
        </w:tc>
      </w:tr>
      <w:tr w:rsidR="00F65678" w:rsidRPr="00F65678" w:rsidTr="00236A8C">
        <w:trPr>
          <w:cantSplit/>
          <w:trHeight w:val="276"/>
          <w:jc w:val="center"/>
        </w:trPr>
        <w:tc>
          <w:tcPr>
            <w:tcW w:w="960" w:type="dxa"/>
            <w:tcBorders>
              <w:top w:val="nil"/>
              <w:left w:val="nil"/>
              <w:bottom w:val="nil"/>
              <w:right w:val="single" w:sz="4" w:space="0" w:color="auto"/>
            </w:tcBorders>
            <w:shd w:val="clear" w:color="auto" w:fill="auto"/>
            <w:noWrap/>
            <w:vAlign w:val="bottom"/>
            <w:hideMark/>
          </w:tcPr>
          <w:p w:rsidR="00F65678" w:rsidRPr="00F65678" w:rsidRDefault="00F65678" w:rsidP="00F65678">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2008</w:t>
            </w:r>
          </w:p>
        </w:tc>
        <w:tc>
          <w:tcPr>
            <w:tcW w:w="927" w:type="dxa"/>
            <w:tcBorders>
              <w:top w:val="nil"/>
              <w:left w:val="single" w:sz="4" w:space="0" w:color="auto"/>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12</w:t>
            </w:r>
          </w:p>
        </w:tc>
        <w:tc>
          <w:tcPr>
            <w:tcW w:w="1004"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89</w:t>
            </w:r>
          </w:p>
        </w:tc>
        <w:tc>
          <w:tcPr>
            <w:tcW w:w="936"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29</w:t>
            </w:r>
          </w:p>
        </w:tc>
        <w:tc>
          <w:tcPr>
            <w:tcW w:w="1101"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347906</w:t>
            </w:r>
          </w:p>
        </w:tc>
        <w:tc>
          <w:tcPr>
            <w:tcW w:w="952"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25</w:t>
            </w:r>
          </w:p>
        </w:tc>
      </w:tr>
      <w:tr w:rsidR="00F65678" w:rsidRPr="00F65678" w:rsidTr="00236A8C">
        <w:trPr>
          <w:cantSplit/>
          <w:trHeight w:val="276"/>
          <w:jc w:val="center"/>
        </w:trPr>
        <w:tc>
          <w:tcPr>
            <w:tcW w:w="960" w:type="dxa"/>
            <w:tcBorders>
              <w:top w:val="nil"/>
              <w:left w:val="nil"/>
              <w:bottom w:val="nil"/>
              <w:right w:val="single" w:sz="4" w:space="0" w:color="auto"/>
            </w:tcBorders>
            <w:shd w:val="clear" w:color="auto" w:fill="auto"/>
            <w:noWrap/>
            <w:vAlign w:val="bottom"/>
            <w:hideMark/>
          </w:tcPr>
          <w:p w:rsidR="00F65678" w:rsidRPr="00F65678" w:rsidRDefault="00F65678" w:rsidP="00F65678">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2009</w:t>
            </w:r>
          </w:p>
        </w:tc>
        <w:tc>
          <w:tcPr>
            <w:tcW w:w="927" w:type="dxa"/>
            <w:tcBorders>
              <w:top w:val="nil"/>
              <w:left w:val="single" w:sz="4" w:space="0" w:color="auto"/>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12</w:t>
            </w:r>
          </w:p>
        </w:tc>
        <w:tc>
          <w:tcPr>
            <w:tcW w:w="1004"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87</w:t>
            </w:r>
          </w:p>
        </w:tc>
        <w:tc>
          <w:tcPr>
            <w:tcW w:w="936"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28</w:t>
            </w:r>
          </w:p>
        </w:tc>
        <w:tc>
          <w:tcPr>
            <w:tcW w:w="1101"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681640</w:t>
            </w:r>
          </w:p>
        </w:tc>
        <w:tc>
          <w:tcPr>
            <w:tcW w:w="952"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28</w:t>
            </w:r>
          </w:p>
        </w:tc>
      </w:tr>
      <w:tr w:rsidR="00F65678" w:rsidRPr="00F65678" w:rsidTr="00236A8C">
        <w:trPr>
          <w:cantSplit/>
          <w:trHeight w:val="276"/>
          <w:jc w:val="center"/>
        </w:trPr>
        <w:tc>
          <w:tcPr>
            <w:tcW w:w="960" w:type="dxa"/>
            <w:tcBorders>
              <w:top w:val="nil"/>
              <w:left w:val="nil"/>
              <w:bottom w:val="nil"/>
              <w:right w:val="single" w:sz="4" w:space="0" w:color="auto"/>
            </w:tcBorders>
            <w:shd w:val="clear" w:color="auto" w:fill="auto"/>
            <w:noWrap/>
            <w:vAlign w:val="bottom"/>
            <w:hideMark/>
          </w:tcPr>
          <w:p w:rsidR="00F65678" w:rsidRPr="00F65678" w:rsidRDefault="00F65678" w:rsidP="00F65678">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2010</w:t>
            </w:r>
          </w:p>
        </w:tc>
        <w:tc>
          <w:tcPr>
            <w:tcW w:w="927" w:type="dxa"/>
            <w:tcBorders>
              <w:top w:val="nil"/>
              <w:left w:val="single" w:sz="4" w:space="0" w:color="auto"/>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11</w:t>
            </w:r>
          </w:p>
        </w:tc>
        <w:tc>
          <w:tcPr>
            <w:tcW w:w="1004"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83</w:t>
            </w:r>
          </w:p>
        </w:tc>
        <w:tc>
          <w:tcPr>
            <w:tcW w:w="936"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27</w:t>
            </w:r>
          </w:p>
        </w:tc>
        <w:tc>
          <w:tcPr>
            <w:tcW w:w="1101"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left="0" w:firstLine="0"/>
              <w:jc w:val="center"/>
              <w:rPr>
                <w:rFonts w:ascii="Calibri" w:hAnsi="Calibri" w:cs="Calibri"/>
                <w:color w:val="000000"/>
                <w:sz w:val="20"/>
                <w:szCs w:val="20"/>
              </w:rPr>
            </w:pPr>
            <w:r w:rsidRPr="00F65678">
              <w:rPr>
                <w:rFonts w:ascii="Calibri" w:hAnsi="Calibri" w:cs="Calibri"/>
                <w:color w:val="000000"/>
                <w:sz w:val="20"/>
                <w:szCs w:val="20"/>
              </w:rPr>
              <w:t>705965</w:t>
            </w:r>
          </w:p>
        </w:tc>
        <w:tc>
          <w:tcPr>
            <w:tcW w:w="952" w:type="dxa"/>
            <w:tcBorders>
              <w:top w:val="nil"/>
              <w:left w:val="nil"/>
              <w:bottom w:val="nil"/>
              <w:right w:val="nil"/>
            </w:tcBorders>
            <w:shd w:val="clear" w:color="auto" w:fill="auto"/>
            <w:noWrap/>
            <w:vAlign w:val="bottom"/>
            <w:hideMark/>
          </w:tcPr>
          <w:p w:rsidR="00F65678" w:rsidRPr="00F65678" w:rsidRDefault="00F65678" w:rsidP="00236A8C">
            <w:pPr>
              <w:tabs>
                <w:tab w:val="clear" w:pos="-1440"/>
              </w:tabs>
              <w:spacing w:line="240" w:lineRule="auto"/>
              <w:ind w:hangingChars="360"/>
              <w:jc w:val="center"/>
              <w:rPr>
                <w:rFonts w:ascii="Calibri" w:hAnsi="Calibri" w:cs="Calibri"/>
                <w:color w:val="000000"/>
                <w:sz w:val="20"/>
                <w:szCs w:val="20"/>
              </w:rPr>
            </w:pPr>
            <w:r w:rsidRPr="00F65678">
              <w:rPr>
                <w:rFonts w:ascii="Calibri" w:hAnsi="Calibri" w:cs="Calibri"/>
                <w:color w:val="000000"/>
                <w:sz w:val="20"/>
                <w:szCs w:val="20"/>
              </w:rPr>
              <w:t>25</w:t>
            </w:r>
          </w:p>
        </w:tc>
      </w:tr>
    </w:tbl>
    <w:p w:rsidR="00302846" w:rsidRDefault="00302846" w:rsidP="00735463">
      <w:pPr>
        <w:pStyle w:val="BodyTextIndent"/>
      </w:pPr>
    </w:p>
    <w:p w:rsidR="007551C2" w:rsidRDefault="00302846" w:rsidP="00FD7A64">
      <w:r>
        <w:tab/>
      </w:r>
      <w:r w:rsidR="004D6DD3">
        <w:tab/>
      </w:r>
      <w:r>
        <w:t xml:space="preserve">As the table shows, </w:t>
      </w:r>
      <w:r w:rsidR="00E81E53">
        <w:t>the system has</w:t>
      </w:r>
      <w:r>
        <w:t xml:space="preserve"> shown steady decline in</w:t>
      </w:r>
      <w:r w:rsidR="00E81E53">
        <w:t xml:space="preserve"> average</w:t>
      </w:r>
      <w:r>
        <w:t xml:space="preserve"> </w:t>
      </w:r>
      <w:r w:rsidR="008850CA">
        <w:t>use</w:t>
      </w:r>
      <w:r>
        <w:t xml:space="preserve"> per customer, declining</w:t>
      </w:r>
      <w:r w:rsidR="002F6C07">
        <w:t xml:space="preserve"> </w:t>
      </w:r>
      <w:r w:rsidR="008850CA">
        <w:t>2.4</w:t>
      </w:r>
      <w:r w:rsidR="002F6C07">
        <w:t xml:space="preserve"> percent per year</w:t>
      </w:r>
      <w:r>
        <w:t xml:space="preserve"> from about </w:t>
      </w:r>
      <w:r w:rsidR="00F65678">
        <w:t>31 mega</w:t>
      </w:r>
      <w:r>
        <w:t xml:space="preserve">watt-hours per </w:t>
      </w:r>
      <w:r w:rsidR="00F65678">
        <w:t>year</w:t>
      </w:r>
      <w:r>
        <w:t xml:space="preserve"> in 200</w:t>
      </w:r>
      <w:r w:rsidR="00F65678">
        <w:t>1</w:t>
      </w:r>
      <w:r>
        <w:t xml:space="preserve"> to </w:t>
      </w:r>
      <w:r w:rsidR="00E81E53">
        <w:t>about</w:t>
      </w:r>
      <w:r>
        <w:t xml:space="preserve"> </w:t>
      </w:r>
      <w:r w:rsidR="00F65678">
        <w:t>25 mega</w:t>
      </w:r>
      <w:r>
        <w:t xml:space="preserve">watt-hours per </w:t>
      </w:r>
      <w:r w:rsidR="008850CA">
        <w:t>year</w:t>
      </w:r>
      <w:r>
        <w:t xml:space="preserve"> in 2010.  </w:t>
      </w:r>
    </w:p>
    <w:p w:rsidR="007551C2" w:rsidRDefault="007551C2" w:rsidP="00FD7A64"/>
    <w:p w:rsidR="007551C2" w:rsidRPr="00AA7256" w:rsidRDefault="007551C2" w:rsidP="00FD7A64">
      <w:pPr>
        <w:pStyle w:val="Heading3"/>
      </w:pPr>
      <w:r w:rsidRPr="00BD1E74">
        <w:t>Q.</w:t>
      </w:r>
      <w:r w:rsidRPr="00BD1E74">
        <w:tab/>
        <w:t xml:space="preserve">Is </w:t>
      </w:r>
      <w:r w:rsidR="007A27BE">
        <w:t>C</w:t>
      </w:r>
      <w:r w:rsidR="00E235D1">
        <w:t xml:space="preserve">ompany-sponsored </w:t>
      </w:r>
      <w:r w:rsidRPr="00BD1E74">
        <w:t xml:space="preserve">conservation the only cause for these declines in electricity </w:t>
      </w:r>
      <w:r w:rsidR="008850CA">
        <w:t>use</w:t>
      </w:r>
      <w:r w:rsidR="00296628">
        <w:t xml:space="preserve"> per customer</w:t>
      </w:r>
      <w:r w:rsidRPr="00BD1E74">
        <w:t>?</w:t>
      </w:r>
    </w:p>
    <w:p w:rsidR="00302846" w:rsidRDefault="007551C2" w:rsidP="007C77AA">
      <w:r>
        <w:t>A.</w:t>
      </w:r>
      <w:r>
        <w:tab/>
        <w:t xml:space="preserve">No.  </w:t>
      </w:r>
      <w:r w:rsidR="007C77AA">
        <w:t>The current economic slowdown is likely having an effect.</w:t>
      </w:r>
      <w:r w:rsidR="002F6C07">
        <w:t xml:space="preserve">  In fact, during the 2010 test period, PSE </w:t>
      </w:r>
      <w:r w:rsidR="00FF10F1">
        <w:t xml:space="preserve">showed a </w:t>
      </w:r>
      <w:r>
        <w:t xml:space="preserve">customer </w:t>
      </w:r>
      <w:r w:rsidR="00FF10F1">
        <w:t>loss of</w:t>
      </w:r>
      <w:r w:rsidR="002F6C07">
        <w:t xml:space="preserve"> 20 percent </w:t>
      </w:r>
      <w:r>
        <w:t>o</w:t>
      </w:r>
      <w:r w:rsidR="002F6C07">
        <w:t xml:space="preserve">n </w:t>
      </w:r>
      <w:r w:rsidR="007C77AA">
        <w:t>certain industrial</w:t>
      </w:r>
      <w:r w:rsidR="002F6C07">
        <w:t xml:space="preserve"> </w:t>
      </w:r>
      <w:r w:rsidR="002F6C07">
        <w:lastRenderedPageBreak/>
        <w:t>schedules</w:t>
      </w:r>
      <w:r w:rsidR="00FF10F1">
        <w:t xml:space="preserve">, a fact that could be attributed </w:t>
      </w:r>
      <w:r>
        <w:t xml:space="preserve">easily </w:t>
      </w:r>
      <w:r w:rsidR="00FF10F1">
        <w:t xml:space="preserve">to the economic </w:t>
      </w:r>
      <w:r>
        <w:t>slowdown</w:t>
      </w:r>
      <w:r w:rsidR="002F6C07">
        <w:t>.</w:t>
      </w:r>
      <w:r w:rsidR="00FF10F1">
        <w:rPr>
          <w:rStyle w:val="FootnoteReference"/>
        </w:rPr>
        <w:footnoteReference w:id="22"/>
      </w:r>
      <w:r w:rsidR="00302846">
        <w:t xml:space="preserve">  </w:t>
      </w:r>
      <w:r w:rsidR="008D1F0B">
        <w:t>Certainly it could not be attributed exclusively to conservation.</w:t>
      </w:r>
      <w:r w:rsidR="00302846">
        <w:t xml:space="preserve">  </w:t>
      </w:r>
    </w:p>
    <w:p w:rsidR="003B5FED" w:rsidRDefault="003B5FED" w:rsidP="00AA7256"/>
    <w:p w:rsidR="00EF1AFC" w:rsidRDefault="00EF1AFC" w:rsidP="00EF1AFC">
      <w:pPr>
        <w:pStyle w:val="Heading3"/>
      </w:pPr>
      <w:r>
        <w:t>Q.</w:t>
      </w:r>
      <w:r>
        <w:tab/>
        <w:t>Are PSE’s sales to natural gas customers declining?</w:t>
      </w:r>
    </w:p>
    <w:p w:rsidR="00EF1AFC" w:rsidRDefault="00EF1AFC" w:rsidP="00EF1AFC">
      <w:r>
        <w:t>A.</w:t>
      </w:r>
      <w:r>
        <w:tab/>
        <w:t xml:space="preserve">Yes.  However, </w:t>
      </w:r>
      <w:r w:rsidR="00E43751">
        <w:t>large industrial use per customer has only been declining since about 2007, while the number of large natural gas customers on the system has been steadily declining</w:t>
      </w:r>
      <w:r w:rsidR="00BB69B8">
        <w:t xml:space="preserve"> 1.4 percent</w:t>
      </w:r>
      <w:r w:rsidR="00E43751">
        <w:t xml:space="preserve"> </w:t>
      </w:r>
      <w:r w:rsidR="00BB69B8">
        <w:t xml:space="preserve">from year to year </w:t>
      </w:r>
      <w:r w:rsidR="00E43751">
        <w:t xml:space="preserve">since 1999.  </w:t>
      </w:r>
      <w:r w:rsidR="00BB69B8">
        <w:t>The reasons for this are not clear.  Large customers may</w:t>
      </w:r>
      <w:r>
        <w:t xml:space="preserve"> have left the system to be transportation-only customers.  </w:t>
      </w:r>
      <w:r w:rsidR="00BB69B8">
        <w:t xml:space="preserve">Regardless of the reason, it </w:t>
      </w:r>
      <w:r>
        <w:t>skews the</w:t>
      </w:r>
      <w:r w:rsidR="009C28B7">
        <w:t xml:space="preserve"> system-level</w:t>
      </w:r>
      <w:r>
        <w:t xml:space="preserve"> analysis.</w:t>
      </w:r>
    </w:p>
    <w:p w:rsidR="00EF1AFC" w:rsidRDefault="00EF1AFC" w:rsidP="00735463">
      <w:pPr>
        <w:pStyle w:val="BodyTextIndent"/>
      </w:pPr>
    </w:p>
    <w:p w:rsidR="00236A8C" w:rsidRDefault="00236A8C" w:rsidP="00236A8C">
      <w:pPr>
        <w:pStyle w:val="Heading3"/>
      </w:pPr>
      <w:r>
        <w:t>Q.</w:t>
      </w:r>
      <w:r>
        <w:tab/>
        <w:t xml:space="preserve">Have you prepared a table showing </w:t>
      </w:r>
      <w:r w:rsidR="007C77AA">
        <w:t>gas</w:t>
      </w:r>
      <w:r>
        <w:t xml:space="preserve"> </w:t>
      </w:r>
      <w:r w:rsidR="008850CA">
        <w:t>use</w:t>
      </w:r>
      <w:r>
        <w:t xml:space="preserve"> per customer for PSE?</w:t>
      </w:r>
    </w:p>
    <w:p w:rsidR="00236A8C" w:rsidRDefault="00236A8C" w:rsidP="00236A8C">
      <w:r>
        <w:t>A.</w:t>
      </w:r>
      <w:r>
        <w:tab/>
        <w:t xml:space="preserve">Yes.  The table below provides annual average therm </w:t>
      </w:r>
      <w:r w:rsidR="008850CA">
        <w:t>use</w:t>
      </w:r>
      <w:r>
        <w:t xml:space="preserve"> per customer from 2001 to 2010.  This information was provided by PSE in its annual reports.</w:t>
      </w:r>
    </w:p>
    <w:p w:rsidR="00236A8C" w:rsidRPr="00215CF0" w:rsidRDefault="00236A8C" w:rsidP="00236A8C">
      <w:pPr>
        <w:pStyle w:val="Heading4"/>
      </w:pPr>
      <w:r>
        <w:t xml:space="preserve">Average </w:t>
      </w:r>
      <w:r w:rsidR="008850CA">
        <w:t>Use</w:t>
      </w:r>
      <w:r>
        <w:t xml:space="preserve"> Per Gas Customer in Therms</w:t>
      </w:r>
      <w:r>
        <w:rPr>
          <w:rStyle w:val="FootnoteReference"/>
        </w:rPr>
        <w:footnoteReference w:id="23"/>
      </w:r>
    </w:p>
    <w:tbl>
      <w:tblPr>
        <w:tblW w:w="6925" w:type="dxa"/>
        <w:jc w:val="center"/>
        <w:tblInd w:w="93" w:type="dxa"/>
        <w:tblLook w:val="04A0" w:firstRow="1" w:lastRow="0" w:firstColumn="1" w:lastColumn="0" w:noHBand="0" w:noVBand="1"/>
      </w:tblPr>
      <w:tblGrid>
        <w:gridCol w:w="948"/>
        <w:gridCol w:w="1113"/>
        <w:gridCol w:w="1190"/>
        <w:gridCol w:w="1112"/>
        <w:gridCol w:w="1429"/>
        <w:gridCol w:w="1133"/>
      </w:tblGrid>
      <w:tr w:rsidR="00236A8C" w:rsidRPr="00236A8C" w:rsidTr="008850CA">
        <w:trPr>
          <w:cantSplit/>
          <w:jc w:val="center"/>
        </w:trPr>
        <w:tc>
          <w:tcPr>
            <w:tcW w:w="948" w:type="dxa"/>
            <w:tcBorders>
              <w:top w:val="nil"/>
              <w:left w:val="nil"/>
              <w:bottom w:val="single" w:sz="4" w:space="0" w:color="auto"/>
              <w:right w:val="single" w:sz="4" w:space="0" w:color="auto"/>
            </w:tcBorders>
            <w:shd w:val="clear" w:color="auto" w:fill="auto"/>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Pr>
                <w:rFonts w:ascii="Calibri" w:hAnsi="Calibri" w:cs="Calibri"/>
                <w:color w:val="000000"/>
                <w:sz w:val="20"/>
                <w:szCs w:val="20"/>
              </w:rPr>
              <w:t>Year</w:t>
            </w:r>
          </w:p>
        </w:tc>
        <w:tc>
          <w:tcPr>
            <w:tcW w:w="1113" w:type="dxa"/>
            <w:tcBorders>
              <w:top w:val="nil"/>
              <w:left w:val="single" w:sz="4" w:space="0" w:color="auto"/>
              <w:bottom w:val="single" w:sz="4" w:space="0" w:color="auto"/>
              <w:right w:val="nil"/>
            </w:tcBorders>
            <w:shd w:val="clear" w:color="auto" w:fill="auto"/>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Residential Sales</w:t>
            </w:r>
          </w:p>
        </w:tc>
        <w:tc>
          <w:tcPr>
            <w:tcW w:w="1190" w:type="dxa"/>
            <w:tcBorders>
              <w:top w:val="nil"/>
              <w:left w:val="nil"/>
              <w:bottom w:val="single" w:sz="4" w:space="0" w:color="auto"/>
              <w:right w:val="nil"/>
            </w:tcBorders>
            <w:shd w:val="clear" w:color="auto" w:fill="auto"/>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Commercial Sales</w:t>
            </w:r>
          </w:p>
        </w:tc>
        <w:tc>
          <w:tcPr>
            <w:tcW w:w="1112" w:type="dxa"/>
            <w:tcBorders>
              <w:top w:val="nil"/>
              <w:left w:val="nil"/>
              <w:bottom w:val="single" w:sz="4" w:space="0" w:color="auto"/>
              <w:right w:val="nil"/>
            </w:tcBorders>
            <w:shd w:val="clear" w:color="auto" w:fill="auto"/>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Industrial Sales</w:t>
            </w:r>
          </w:p>
        </w:tc>
        <w:tc>
          <w:tcPr>
            <w:tcW w:w="1429" w:type="dxa"/>
            <w:tcBorders>
              <w:top w:val="nil"/>
              <w:left w:val="nil"/>
              <w:bottom w:val="single" w:sz="4" w:space="0" w:color="auto"/>
              <w:right w:val="nil"/>
            </w:tcBorders>
            <w:shd w:val="clear" w:color="auto" w:fill="auto"/>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Transportation of Gas for Others</w:t>
            </w:r>
          </w:p>
        </w:tc>
        <w:tc>
          <w:tcPr>
            <w:tcW w:w="1133" w:type="dxa"/>
            <w:tcBorders>
              <w:top w:val="nil"/>
              <w:left w:val="nil"/>
              <w:bottom w:val="single" w:sz="4" w:space="0" w:color="auto"/>
              <w:right w:val="nil"/>
            </w:tcBorders>
            <w:shd w:val="clear" w:color="auto" w:fill="auto"/>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System Therms per Customer</w:t>
            </w:r>
          </w:p>
        </w:tc>
      </w:tr>
      <w:tr w:rsidR="00236A8C" w:rsidRPr="00236A8C" w:rsidTr="008850CA">
        <w:trPr>
          <w:trHeight w:val="276"/>
          <w:jc w:val="center"/>
        </w:trPr>
        <w:tc>
          <w:tcPr>
            <w:tcW w:w="948" w:type="dxa"/>
            <w:tcBorders>
              <w:top w:val="single" w:sz="4" w:space="0" w:color="auto"/>
              <w:left w:val="nil"/>
              <w:bottom w:val="nil"/>
              <w:right w:val="single" w:sz="4" w:space="0" w:color="auto"/>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2001</w:t>
            </w:r>
          </w:p>
        </w:tc>
        <w:tc>
          <w:tcPr>
            <w:tcW w:w="1113" w:type="dxa"/>
            <w:tcBorders>
              <w:top w:val="single" w:sz="4" w:space="0" w:color="auto"/>
              <w:left w:val="single" w:sz="4" w:space="0" w:color="auto"/>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902</w:t>
            </w:r>
          </w:p>
        </w:tc>
        <w:tc>
          <w:tcPr>
            <w:tcW w:w="1190" w:type="dxa"/>
            <w:tcBorders>
              <w:top w:val="single" w:sz="4" w:space="0" w:color="auto"/>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6365</w:t>
            </w:r>
          </w:p>
        </w:tc>
        <w:tc>
          <w:tcPr>
            <w:tcW w:w="1112" w:type="dxa"/>
            <w:tcBorders>
              <w:top w:val="single" w:sz="4" w:space="0" w:color="auto"/>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20436</w:t>
            </w:r>
          </w:p>
        </w:tc>
        <w:tc>
          <w:tcPr>
            <w:tcW w:w="1429" w:type="dxa"/>
            <w:tcBorders>
              <w:top w:val="single" w:sz="4" w:space="0" w:color="auto"/>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1680320</w:t>
            </w:r>
          </w:p>
        </w:tc>
        <w:tc>
          <w:tcPr>
            <w:tcW w:w="1133" w:type="dxa"/>
            <w:tcBorders>
              <w:top w:val="single" w:sz="4" w:space="0" w:color="auto"/>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hangingChars="360"/>
              <w:jc w:val="center"/>
              <w:rPr>
                <w:rFonts w:ascii="Calibri" w:hAnsi="Calibri" w:cs="Calibri"/>
                <w:color w:val="000000"/>
                <w:sz w:val="20"/>
                <w:szCs w:val="20"/>
              </w:rPr>
            </w:pPr>
            <w:r w:rsidRPr="00236A8C">
              <w:rPr>
                <w:rFonts w:ascii="Calibri" w:hAnsi="Calibri" w:cs="Calibri"/>
                <w:color w:val="000000"/>
                <w:sz w:val="20"/>
                <w:szCs w:val="20"/>
              </w:rPr>
              <w:t>1736</w:t>
            </w:r>
          </w:p>
        </w:tc>
      </w:tr>
      <w:tr w:rsidR="00236A8C" w:rsidRPr="00236A8C" w:rsidTr="008850CA">
        <w:trPr>
          <w:trHeight w:val="276"/>
          <w:jc w:val="center"/>
        </w:trPr>
        <w:tc>
          <w:tcPr>
            <w:tcW w:w="948" w:type="dxa"/>
            <w:tcBorders>
              <w:top w:val="nil"/>
              <w:left w:val="nil"/>
              <w:bottom w:val="nil"/>
              <w:right w:val="single" w:sz="4" w:space="0" w:color="auto"/>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2002</w:t>
            </w:r>
          </w:p>
        </w:tc>
        <w:tc>
          <w:tcPr>
            <w:tcW w:w="1113" w:type="dxa"/>
            <w:tcBorders>
              <w:top w:val="nil"/>
              <w:left w:val="single" w:sz="4" w:space="0" w:color="auto"/>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886</w:t>
            </w:r>
          </w:p>
        </w:tc>
        <w:tc>
          <w:tcPr>
            <w:tcW w:w="1190"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6195</w:t>
            </w:r>
          </w:p>
        </w:tc>
        <w:tc>
          <w:tcPr>
            <w:tcW w:w="1112"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18297</w:t>
            </w:r>
          </w:p>
        </w:tc>
        <w:tc>
          <w:tcPr>
            <w:tcW w:w="1429"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1703702</w:t>
            </w:r>
          </w:p>
        </w:tc>
        <w:tc>
          <w:tcPr>
            <w:tcW w:w="1133"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hangingChars="360"/>
              <w:jc w:val="center"/>
              <w:rPr>
                <w:rFonts w:ascii="Calibri" w:hAnsi="Calibri" w:cs="Calibri"/>
                <w:color w:val="000000"/>
                <w:sz w:val="20"/>
                <w:szCs w:val="20"/>
              </w:rPr>
            </w:pPr>
            <w:r w:rsidRPr="00236A8C">
              <w:rPr>
                <w:rFonts w:ascii="Calibri" w:hAnsi="Calibri" w:cs="Calibri"/>
                <w:color w:val="000000"/>
                <w:sz w:val="20"/>
                <w:szCs w:val="20"/>
              </w:rPr>
              <w:t>1705</w:t>
            </w:r>
          </w:p>
        </w:tc>
      </w:tr>
      <w:tr w:rsidR="00236A8C" w:rsidRPr="00236A8C" w:rsidTr="008850CA">
        <w:trPr>
          <w:trHeight w:val="276"/>
          <w:jc w:val="center"/>
        </w:trPr>
        <w:tc>
          <w:tcPr>
            <w:tcW w:w="948" w:type="dxa"/>
            <w:tcBorders>
              <w:top w:val="nil"/>
              <w:left w:val="nil"/>
              <w:bottom w:val="nil"/>
              <w:right w:val="single" w:sz="4" w:space="0" w:color="auto"/>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2003</w:t>
            </w:r>
          </w:p>
        </w:tc>
        <w:tc>
          <w:tcPr>
            <w:tcW w:w="1113" w:type="dxa"/>
            <w:tcBorders>
              <w:top w:val="nil"/>
              <w:left w:val="single" w:sz="4" w:space="0" w:color="auto"/>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857</w:t>
            </w:r>
          </w:p>
        </w:tc>
        <w:tc>
          <w:tcPr>
            <w:tcW w:w="1190"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5662</w:t>
            </w:r>
          </w:p>
        </w:tc>
        <w:tc>
          <w:tcPr>
            <w:tcW w:w="1112"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17374</w:t>
            </w:r>
          </w:p>
        </w:tc>
        <w:tc>
          <w:tcPr>
            <w:tcW w:w="1429"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1563414</w:t>
            </w:r>
          </w:p>
        </w:tc>
        <w:tc>
          <w:tcPr>
            <w:tcW w:w="1133"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hangingChars="360"/>
              <w:jc w:val="center"/>
              <w:rPr>
                <w:rFonts w:ascii="Calibri" w:hAnsi="Calibri" w:cs="Calibri"/>
                <w:color w:val="000000"/>
                <w:sz w:val="20"/>
                <w:szCs w:val="20"/>
              </w:rPr>
            </w:pPr>
            <w:r w:rsidRPr="00236A8C">
              <w:rPr>
                <w:rFonts w:ascii="Calibri" w:hAnsi="Calibri" w:cs="Calibri"/>
                <w:color w:val="000000"/>
                <w:sz w:val="20"/>
                <w:szCs w:val="20"/>
              </w:rPr>
              <w:t>1618</w:t>
            </w:r>
          </w:p>
        </w:tc>
      </w:tr>
      <w:tr w:rsidR="00236A8C" w:rsidRPr="00236A8C" w:rsidTr="008850CA">
        <w:trPr>
          <w:trHeight w:val="276"/>
          <w:jc w:val="center"/>
        </w:trPr>
        <w:tc>
          <w:tcPr>
            <w:tcW w:w="948" w:type="dxa"/>
            <w:tcBorders>
              <w:top w:val="nil"/>
              <w:left w:val="nil"/>
              <w:bottom w:val="nil"/>
              <w:right w:val="single" w:sz="4" w:space="0" w:color="auto"/>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2004</w:t>
            </w:r>
          </w:p>
        </w:tc>
        <w:tc>
          <w:tcPr>
            <w:tcW w:w="1113" w:type="dxa"/>
            <w:tcBorders>
              <w:top w:val="nil"/>
              <w:left w:val="single" w:sz="4" w:space="0" w:color="auto"/>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808</w:t>
            </w:r>
          </w:p>
        </w:tc>
        <w:tc>
          <w:tcPr>
            <w:tcW w:w="1190"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5516</w:t>
            </w:r>
          </w:p>
        </w:tc>
        <w:tc>
          <w:tcPr>
            <w:tcW w:w="1112"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18161</w:t>
            </w:r>
          </w:p>
        </w:tc>
        <w:tc>
          <w:tcPr>
            <w:tcW w:w="1429"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1563113</w:t>
            </w:r>
          </w:p>
        </w:tc>
        <w:tc>
          <w:tcPr>
            <w:tcW w:w="1133"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hangingChars="360"/>
              <w:jc w:val="center"/>
              <w:rPr>
                <w:rFonts w:ascii="Calibri" w:hAnsi="Calibri" w:cs="Calibri"/>
                <w:color w:val="000000"/>
                <w:sz w:val="20"/>
                <w:szCs w:val="20"/>
              </w:rPr>
            </w:pPr>
            <w:r w:rsidRPr="00236A8C">
              <w:rPr>
                <w:rFonts w:ascii="Calibri" w:hAnsi="Calibri" w:cs="Calibri"/>
                <w:color w:val="000000"/>
                <w:sz w:val="20"/>
                <w:szCs w:val="20"/>
              </w:rPr>
              <w:t>1537</w:t>
            </w:r>
          </w:p>
        </w:tc>
      </w:tr>
      <w:tr w:rsidR="00236A8C" w:rsidRPr="00236A8C" w:rsidTr="008850CA">
        <w:trPr>
          <w:trHeight w:val="276"/>
          <w:jc w:val="center"/>
        </w:trPr>
        <w:tc>
          <w:tcPr>
            <w:tcW w:w="948" w:type="dxa"/>
            <w:tcBorders>
              <w:top w:val="nil"/>
              <w:left w:val="nil"/>
              <w:bottom w:val="nil"/>
              <w:right w:val="single" w:sz="4" w:space="0" w:color="auto"/>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2005</w:t>
            </w:r>
          </w:p>
        </w:tc>
        <w:tc>
          <w:tcPr>
            <w:tcW w:w="1113" w:type="dxa"/>
            <w:tcBorders>
              <w:top w:val="nil"/>
              <w:left w:val="single" w:sz="4" w:space="0" w:color="auto"/>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810</w:t>
            </w:r>
          </w:p>
        </w:tc>
        <w:tc>
          <w:tcPr>
            <w:tcW w:w="1190"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5445</w:t>
            </w:r>
          </w:p>
        </w:tc>
        <w:tc>
          <w:tcPr>
            <w:tcW w:w="1112"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18649</w:t>
            </w:r>
          </w:p>
        </w:tc>
        <w:tc>
          <w:tcPr>
            <w:tcW w:w="1429"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1538788</w:t>
            </w:r>
          </w:p>
        </w:tc>
        <w:tc>
          <w:tcPr>
            <w:tcW w:w="1133"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hangingChars="360"/>
              <w:jc w:val="center"/>
              <w:rPr>
                <w:rFonts w:ascii="Calibri" w:hAnsi="Calibri" w:cs="Calibri"/>
                <w:color w:val="000000"/>
                <w:sz w:val="20"/>
                <w:szCs w:val="20"/>
              </w:rPr>
            </w:pPr>
            <w:r w:rsidRPr="00236A8C">
              <w:rPr>
                <w:rFonts w:ascii="Calibri" w:hAnsi="Calibri" w:cs="Calibri"/>
                <w:color w:val="000000"/>
                <w:sz w:val="20"/>
                <w:szCs w:val="20"/>
              </w:rPr>
              <w:t>1514</w:t>
            </w:r>
          </w:p>
        </w:tc>
      </w:tr>
      <w:tr w:rsidR="00236A8C" w:rsidRPr="00236A8C" w:rsidTr="008850CA">
        <w:trPr>
          <w:trHeight w:val="276"/>
          <w:jc w:val="center"/>
        </w:trPr>
        <w:tc>
          <w:tcPr>
            <w:tcW w:w="948" w:type="dxa"/>
            <w:tcBorders>
              <w:top w:val="nil"/>
              <w:left w:val="nil"/>
              <w:bottom w:val="nil"/>
              <w:right w:val="single" w:sz="4" w:space="0" w:color="auto"/>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2006</w:t>
            </w:r>
          </w:p>
        </w:tc>
        <w:tc>
          <w:tcPr>
            <w:tcW w:w="1113" w:type="dxa"/>
            <w:tcBorders>
              <w:top w:val="nil"/>
              <w:left w:val="single" w:sz="4" w:space="0" w:color="auto"/>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821</w:t>
            </w:r>
          </w:p>
        </w:tc>
        <w:tc>
          <w:tcPr>
            <w:tcW w:w="1190"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5658</w:t>
            </w:r>
          </w:p>
        </w:tc>
        <w:tc>
          <w:tcPr>
            <w:tcW w:w="1112"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19588</w:t>
            </w:r>
          </w:p>
        </w:tc>
        <w:tc>
          <w:tcPr>
            <w:tcW w:w="1429"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1691535</w:t>
            </w:r>
          </w:p>
        </w:tc>
        <w:tc>
          <w:tcPr>
            <w:tcW w:w="1133"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hangingChars="360"/>
              <w:jc w:val="center"/>
              <w:rPr>
                <w:rFonts w:ascii="Calibri" w:hAnsi="Calibri" w:cs="Calibri"/>
                <w:color w:val="000000"/>
                <w:sz w:val="20"/>
                <w:szCs w:val="20"/>
              </w:rPr>
            </w:pPr>
            <w:r w:rsidRPr="00236A8C">
              <w:rPr>
                <w:rFonts w:ascii="Calibri" w:hAnsi="Calibri" w:cs="Calibri"/>
                <w:color w:val="000000"/>
                <w:sz w:val="20"/>
                <w:szCs w:val="20"/>
              </w:rPr>
              <w:t>1539</w:t>
            </w:r>
          </w:p>
        </w:tc>
      </w:tr>
      <w:tr w:rsidR="00236A8C" w:rsidRPr="00236A8C" w:rsidTr="008850CA">
        <w:trPr>
          <w:trHeight w:val="276"/>
          <w:jc w:val="center"/>
        </w:trPr>
        <w:tc>
          <w:tcPr>
            <w:tcW w:w="948" w:type="dxa"/>
            <w:tcBorders>
              <w:top w:val="nil"/>
              <w:left w:val="nil"/>
              <w:bottom w:val="nil"/>
              <w:right w:val="single" w:sz="4" w:space="0" w:color="auto"/>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2007</w:t>
            </w:r>
          </w:p>
        </w:tc>
        <w:tc>
          <w:tcPr>
            <w:tcW w:w="1113" w:type="dxa"/>
            <w:tcBorders>
              <w:top w:val="nil"/>
              <w:left w:val="single" w:sz="4" w:space="0" w:color="auto"/>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835</w:t>
            </w:r>
          </w:p>
        </w:tc>
        <w:tc>
          <w:tcPr>
            <w:tcW w:w="1190"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5773</w:t>
            </w:r>
          </w:p>
        </w:tc>
        <w:tc>
          <w:tcPr>
            <w:tcW w:w="1112"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19317</w:t>
            </w:r>
          </w:p>
        </w:tc>
        <w:tc>
          <w:tcPr>
            <w:tcW w:w="1429"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1722113</w:t>
            </w:r>
          </w:p>
        </w:tc>
        <w:tc>
          <w:tcPr>
            <w:tcW w:w="1133"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hangingChars="360"/>
              <w:jc w:val="center"/>
              <w:rPr>
                <w:rFonts w:ascii="Calibri" w:hAnsi="Calibri" w:cs="Calibri"/>
                <w:color w:val="000000"/>
                <w:sz w:val="20"/>
                <w:szCs w:val="20"/>
              </w:rPr>
            </w:pPr>
            <w:r w:rsidRPr="00236A8C">
              <w:rPr>
                <w:rFonts w:ascii="Calibri" w:hAnsi="Calibri" w:cs="Calibri"/>
                <w:color w:val="000000"/>
                <w:sz w:val="20"/>
                <w:szCs w:val="20"/>
              </w:rPr>
              <w:t>1557</w:t>
            </w:r>
          </w:p>
        </w:tc>
      </w:tr>
      <w:tr w:rsidR="00236A8C" w:rsidRPr="00236A8C" w:rsidTr="008850CA">
        <w:trPr>
          <w:trHeight w:val="276"/>
          <w:jc w:val="center"/>
        </w:trPr>
        <w:tc>
          <w:tcPr>
            <w:tcW w:w="948" w:type="dxa"/>
            <w:tcBorders>
              <w:top w:val="nil"/>
              <w:left w:val="nil"/>
              <w:bottom w:val="nil"/>
              <w:right w:val="single" w:sz="4" w:space="0" w:color="auto"/>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2008</w:t>
            </w:r>
          </w:p>
        </w:tc>
        <w:tc>
          <w:tcPr>
            <w:tcW w:w="1113" w:type="dxa"/>
            <w:tcBorders>
              <w:top w:val="nil"/>
              <w:left w:val="single" w:sz="4" w:space="0" w:color="auto"/>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865</w:t>
            </w:r>
          </w:p>
        </w:tc>
        <w:tc>
          <w:tcPr>
            <w:tcW w:w="1190"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6142</w:t>
            </w:r>
          </w:p>
        </w:tc>
        <w:tc>
          <w:tcPr>
            <w:tcW w:w="1112"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15369</w:t>
            </w:r>
          </w:p>
        </w:tc>
        <w:tc>
          <w:tcPr>
            <w:tcW w:w="1429"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1701359</w:t>
            </w:r>
          </w:p>
        </w:tc>
        <w:tc>
          <w:tcPr>
            <w:tcW w:w="1133"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hangingChars="360"/>
              <w:jc w:val="center"/>
              <w:rPr>
                <w:rFonts w:ascii="Calibri" w:hAnsi="Calibri" w:cs="Calibri"/>
                <w:color w:val="000000"/>
                <w:sz w:val="20"/>
                <w:szCs w:val="20"/>
              </w:rPr>
            </w:pPr>
            <w:r w:rsidRPr="00236A8C">
              <w:rPr>
                <w:rFonts w:ascii="Calibri" w:hAnsi="Calibri" w:cs="Calibri"/>
                <w:color w:val="000000"/>
                <w:sz w:val="20"/>
                <w:szCs w:val="20"/>
              </w:rPr>
              <w:t>1597</w:t>
            </w:r>
          </w:p>
        </w:tc>
      </w:tr>
      <w:tr w:rsidR="00236A8C" w:rsidRPr="00236A8C" w:rsidTr="008850CA">
        <w:trPr>
          <w:trHeight w:val="276"/>
          <w:jc w:val="center"/>
        </w:trPr>
        <w:tc>
          <w:tcPr>
            <w:tcW w:w="948" w:type="dxa"/>
            <w:tcBorders>
              <w:top w:val="nil"/>
              <w:left w:val="nil"/>
              <w:bottom w:val="nil"/>
              <w:right w:val="single" w:sz="4" w:space="0" w:color="auto"/>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2009</w:t>
            </w:r>
          </w:p>
        </w:tc>
        <w:tc>
          <w:tcPr>
            <w:tcW w:w="1113" w:type="dxa"/>
            <w:tcBorders>
              <w:top w:val="nil"/>
              <w:left w:val="single" w:sz="4" w:space="0" w:color="auto"/>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849</w:t>
            </w:r>
          </w:p>
        </w:tc>
        <w:tc>
          <w:tcPr>
            <w:tcW w:w="1190"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5590</w:t>
            </w:r>
          </w:p>
        </w:tc>
        <w:tc>
          <w:tcPr>
            <w:tcW w:w="1112"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13697</w:t>
            </w:r>
          </w:p>
        </w:tc>
        <w:tc>
          <w:tcPr>
            <w:tcW w:w="1429"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1501739</w:t>
            </w:r>
          </w:p>
        </w:tc>
        <w:tc>
          <w:tcPr>
            <w:tcW w:w="1133"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hangingChars="360"/>
              <w:jc w:val="center"/>
              <w:rPr>
                <w:rFonts w:ascii="Calibri" w:hAnsi="Calibri" w:cs="Calibri"/>
                <w:color w:val="000000"/>
                <w:sz w:val="20"/>
                <w:szCs w:val="20"/>
              </w:rPr>
            </w:pPr>
            <w:r w:rsidRPr="00236A8C">
              <w:rPr>
                <w:rFonts w:ascii="Calibri" w:hAnsi="Calibri" w:cs="Calibri"/>
                <w:color w:val="000000"/>
                <w:sz w:val="20"/>
                <w:szCs w:val="20"/>
              </w:rPr>
              <w:t>1520</w:t>
            </w:r>
          </w:p>
        </w:tc>
      </w:tr>
      <w:tr w:rsidR="00236A8C" w:rsidRPr="00236A8C" w:rsidTr="008850CA">
        <w:trPr>
          <w:trHeight w:val="276"/>
          <w:jc w:val="center"/>
        </w:trPr>
        <w:tc>
          <w:tcPr>
            <w:tcW w:w="948" w:type="dxa"/>
            <w:tcBorders>
              <w:top w:val="nil"/>
              <w:left w:val="nil"/>
              <w:bottom w:val="nil"/>
              <w:right w:val="single" w:sz="4" w:space="0" w:color="auto"/>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2010</w:t>
            </w:r>
          </w:p>
        </w:tc>
        <w:tc>
          <w:tcPr>
            <w:tcW w:w="1113" w:type="dxa"/>
            <w:tcBorders>
              <w:top w:val="nil"/>
              <w:left w:val="single" w:sz="4" w:space="0" w:color="auto"/>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749</w:t>
            </w:r>
          </w:p>
        </w:tc>
        <w:tc>
          <w:tcPr>
            <w:tcW w:w="1190"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5326</w:t>
            </w:r>
          </w:p>
        </w:tc>
        <w:tc>
          <w:tcPr>
            <w:tcW w:w="1112"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13699</w:t>
            </w:r>
          </w:p>
        </w:tc>
        <w:tc>
          <w:tcPr>
            <w:tcW w:w="1429"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left="0" w:firstLine="0"/>
              <w:jc w:val="center"/>
              <w:rPr>
                <w:rFonts w:ascii="Calibri" w:hAnsi="Calibri" w:cs="Calibri"/>
                <w:color w:val="000000"/>
                <w:sz w:val="20"/>
                <w:szCs w:val="20"/>
              </w:rPr>
            </w:pPr>
            <w:r w:rsidRPr="00236A8C">
              <w:rPr>
                <w:rFonts w:ascii="Calibri" w:hAnsi="Calibri" w:cs="Calibri"/>
                <w:color w:val="000000"/>
                <w:sz w:val="20"/>
                <w:szCs w:val="20"/>
              </w:rPr>
              <w:t>1352075</w:t>
            </w:r>
          </w:p>
        </w:tc>
        <w:tc>
          <w:tcPr>
            <w:tcW w:w="1133" w:type="dxa"/>
            <w:tcBorders>
              <w:top w:val="nil"/>
              <w:left w:val="nil"/>
              <w:bottom w:val="nil"/>
              <w:right w:val="nil"/>
            </w:tcBorders>
            <w:shd w:val="clear" w:color="auto" w:fill="auto"/>
            <w:noWrap/>
            <w:vAlign w:val="bottom"/>
            <w:hideMark/>
          </w:tcPr>
          <w:p w:rsidR="00236A8C" w:rsidRPr="00236A8C" w:rsidRDefault="00236A8C" w:rsidP="00236A8C">
            <w:pPr>
              <w:tabs>
                <w:tab w:val="clear" w:pos="-1440"/>
              </w:tabs>
              <w:spacing w:line="240" w:lineRule="auto"/>
              <w:ind w:hangingChars="360"/>
              <w:jc w:val="center"/>
              <w:rPr>
                <w:rFonts w:ascii="Calibri" w:hAnsi="Calibri" w:cs="Calibri"/>
                <w:color w:val="000000"/>
                <w:sz w:val="20"/>
                <w:szCs w:val="20"/>
              </w:rPr>
            </w:pPr>
            <w:r w:rsidRPr="00236A8C">
              <w:rPr>
                <w:rFonts w:ascii="Calibri" w:hAnsi="Calibri" w:cs="Calibri"/>
                <w:color w:val="000000"/>
                <w:sz w:val="20"/>
                <w:szCs w:val="20"/>
              </w:rPr>
              <w:t>1395</w:t>
            </w:r>
          </w:p>
        </w:tc>
      </w:tr>
    </w:tbl>
    <w:p w:rsidR="008850CA" w:rsidRDefault="008850CA" w:rsidP="008850CA"/>
    <w:p w:rsidR="00236A8C" w:rsidRDefault="008850CA" w:rsidP="008850CA">
      <w:r>
        <w:lastRenderedPageBreak/>
        <w:tab/>
      </w:r>
      <w:r>
        <w:tab/>
        <w:t>As the table shows, the system has shown steady decline in average use per customer, declining 2.4 percent per year from about 1736 therms per year in 2001 to about 1395 therms per year in 2010.</w:t>
      </w:r>
    </w:p>
    <w:p w:rsidR="00236A8C" w:rsidRDefault="00236A8C" w:rsidP="00735463">
      <w:pPr>
        <w:pStyle w:val="BodyTextIndent"/>
      </w:pPr>
    </w:p>
    <w:p w:rsidR="00E77FAA" w:rsidRDefault="00E77FAA" w:rsidP="00735463">
      <w:pPr>
        <w:pStyle w:val="Heading3"/>
      </w:pPr>
      <w:r>
        <w:t>Q.</w:t>
      </w:r>
      <w:r>
        <w:tab/>
      </w:r>
      <w:r w:rsidR="008850CA">
        <w:t xml:space="preserve">Is </w:t>
      </w:r>
      <w:r w:rsidR="007A27BE">
        <w:t>C</w:t>
      </w:r>
      <w:r w:rsidR="00E235D1">
        <w:t xml:space="preserve">ompany-sponsored </w:t>
      </w:r>
      <w:r w:rsidR="008850CA">
        <w:t xml:space="preserve">conservation the only cause for these declines in </w:t>
      </w:r>
      <w:r>
        <w:t>natural gas use per customer?</w:t>
      </w:r>
    </w:p>
    <w:p w:rsidR="00E77FAA" w:rsidRPr="00475D6D" w:rsidRDefault="00E77FAA" w:rsidP="00735463">
      <w:r>
        <w:t>A.</w:t>
      </w:r>
      <w:r>
        <w:tab/>
      </w:r>
      <w:r w:rsidR="00485C36">
        <w:t xml:space="preserve">Probably not.  </w:t>
      </w:r>
      <w:r>
        <w:t xml:space="preserve">These declines can be </w:t>
      </w:r>
      <w:r w:rsidRPr="00735463">
        <w:t>attributed</w:t>
      </w:r>
      <w:r>
        <w:t xml:space="preserve"> to technological improvements in energy codes, customer response to increasing natural gas prices (elasticity), and </w:t>
      </w:r>
      <w:r w:rsidR="007551C2">
        <w:t>C</w:t>
      </w:r>
      <w:r>
        <w:t>ompany</w:t>
      </w:r>
      <w:r w:rsidR="007551C2">
        <w:t>-</w:t>
      </w:r>
      <w:r>
        <w:t>sponsored demand-side management programs.  Natural replacement of failed equipment results in energy use reductions because new equipment must meet new standards.  Even when a customer buys a minimum efficiency appliance by today’s standards, it is typically much better than what she is replacing.  Today’s building codes reduce energy intensity, or use per square foot, in new housing stock compared to old stock.  Therefore, even though housing sizes have been increasing (2,400 square feet</w:t>
      </w:r>
      <w:r>
        <w:rPr>
          <w:rStyle w:val="FootnoteReference"/>
        </w:rPr>
        <w:footnoteReference w:id="24"/>
      </w:r>
      <w:r>
        <w:t xml:space="preserve"> for new stock versus 2250 square feet</w:t>
      </w:r>
      <w:r>
        <w:rPr>
          <w:rStyle w:val="FootnoteReference"/>
        </w:rPr>
        <w:footnoteReference w:id="25"/>
      </w:r>
      <w:r>
        <w:t xml:space="preserve"> for all stock)</w:t>
      </w:r>
      <w:r w:rsidR="007551C2">
        <w:t>,</w:t>
      </w:r>
      <w:r>
        <w:t xml:space="preserve"> the improvement in energy intensity per square foot over time has probably contributed to the declining natural gas use per customer, and will probably continue to contribute to its decline.  </w:t>
      </w:r>
    </w:p>
    <w:p w:rsidR="00E77FAA" w:rsidRDefault="00E77FAA" w:rsidP="00735463"/>
    <w:p w:rsidR="00302846" w:rsidRDefault="00302846" w:rsidP="004D6DD3">
      <w:pPr>
        <w:pStyle w:val="Heading3"/>
      </w:pPr>
      <w:r>
        <w:t>Q.</w:t>
      </w:r>
      <w:r>
        <w:tab/>
        <w:t>Are PSE’s sales to existing customers different from PSE’s sales to new customers?</w:t>
      </w:r>
    </w:p>
    <w:p w:rsidR="00302846" w:rsidRDefault="00302846" w:rsidP="004D6DD3">
      <w:r w:rsidRPr="003339AB">
        <w:lastRenderedPageBreak/>
        <w:t>A.</w:t>
      </w:r>
      <w:r w:rsidRPr="003339AB">
        <w:tab/>
      </w:r>
      <w:r>
        <w:t xml:space="preserve">It appears so.  High-level-analysis of 2010 electric use per customer shows that residential electric customers added to the system between 2000 and 2009 used about </w:t>
      </w:r>
      <w:r w:rsidR="003D299E">
        <w:t>12</w:t>
      </w:r>
      <w:r>
        <w:t xml:space="preserve"> percent less energy than customers on the system before 2000.</w:t>
      </w:r>
      <w:r>
        <w:rPr>
          <w:rStyle w:val="FootnoteReference"/>
        </w:rPr>
        <w:footnoteReference w:id="26"/>
      </w:r>
      <w:r>
        <w:t xml:space="preserve">  Because it was not possible to weather-normalize subgroups of customers </w:t>
      </w:r>
      <w:r w:rsidR="000E6D54">
        <w:t>within</w:t>
      </w:r>
      <w:r>
        <w:t xml:space="preserve"> rate classes, </w:t>
      </w:r>
      <w:r w:rsidR="00EC7632">
        <w:t>S</w:t>
      </w:r>
      <w:r>
        <w:t xml:space="preserve">taff did not attempt to interpret this relationship beyond the simple identification of its existence.  Further analysis by the Company to take into account differences between existing and new customers would need to be performed before the Commission could accept any decoupling mechanism, including the CSA.  A similar analysis of 2010 gas </w:t>
      </w:r>
      <w:r w:rsidR="008850CA">
        <w:t>use</w:t>
      </w:r>
      <w:r>
        <w:t xml:space="preserve"> per customer showed that residential gas customers added to the system between 2000 and 2009 used about </w:t>
      </w:r>
      <w:r w:rsidR="003B5FED">
        <w:t>8</w:t>
      </w:r>
      <w:r>
        <w:t xml:space="preserve"> percent less energy than customers on the system before 2000.</w:t>
      </w:r>
    </w:p>
    <w:p w:rsidR="00346C45" w:rsidRDefault="00346C45" w:rsidP="004D6DD3"/>
    <w:p w:rsidR="00346C45" w:rsidRDefault="00346C45" w:rsidP="004D6DD3">
      <w:pPr>
        <w:rPr>
          <w:b/>
        </w:rPr>
      </w:pPr>
      <w:r w:rsidRPr="00265593">
        <w:rPr>
          <w:b/>
        </w:rPr>
        <w:t>Q.</w:t>
      </w:r>
      <w:r w:rsidRPr="00265593">
        <w:rPr>
          <w:b/>
        </w:rPr>
        <w:tab/>
        <w:t>What do you conclude about the CSA with respect to the Commission’s policy that limited decoupling should be available only for declining sales caused by company conservation programs?</w:t>
      </w:r>
    </w:p>
    <w:p w:rsidR="00346C45" w:rsidRPr="00346C45" w:rsidRDefault="00346C45" w:rsidP="004D6DD3">
      <w:r>
        <w:t>A.</w:t>
      </w:r>
      <w:r>
        <w:tab/>
        <w:t>I conclude that PSE’s decline in electricity and gas sales is not related solely to its conservation programs.</w:t>
      </w:r>
      <w:r w:rsidR="009B7F7B">
        <w:t xml:space="preserve"> </w:t>
      </w:r>
      <w:r>
        <w:t xml:space="preserve"> Therefore, even on the merits, the CSA</w:t>
      </w:r>
      <w:r w:rsidR="009B7F7B">
        <w:t xml:space="preserve"> for both electric and gas operations</w:t>
      </w:r>
      <w:r>
        <w:t xml:space="preserve"> should be rejected.</w:t>
      </w:r>
    </w:p>
    <w:p w:rsidR="00F846C1" w:rsidRDefault="00F846C1" w:rsidP="00735463">
      <w:pPr>
        <w:pStyle w:val="BodyTextIndent"/>
      </w:pPr>
    </w:p>
    <w:p w:rsidR="00302846" w:rsidRPr="009E6520" w:rsidRDefault="00F846C1" w:rsidP="009E6520">
      <w:pPr>
        <w:pStyle w:val="Heading2"/>
        <w:ind w:hanging="720"/>
        <w:jc w:val="left"/>
        <w:rPr>
          <w:u w:val="none"/>
        </w:rPr>
      </w:pPr>
      <w:bookmarkStart w:id="9" w:name="_Toc310842165"/>
      <w:r w:rsidRPr="009E6520">
        <w:rPr>
          <w:u w:val="none"/>
        </w:rPr>
        <w:lastRenderedPageBreak/>
        <w:t>Offsetting Revenues for Electric Operations</w:t>
      </w:r>
      <w:bookmarkEnd w:id="9"/>
    </w:p>
    <w:p w:rsidR="00F846C1" w:rsidRDefault="00F846C1" w:rsidP="00727A18">
      <w:pPr>
        <w:pStyle w:val="BodyTextIndent"/>
        <w:keepNext/>
      </w:pPr>
    </w:p>
    <w:p w:rsidR="00302846" w:rsidRPr="00193CDE" w:rsidRDefault="00302846" w:rsidP="004D6DD3">
      <w:pPr>
        <w:pStyle w:val="Heading3"/>
      </w:pPr>
      <w:r>
        <w:t>Q.</w:t>
      </w:r>
      <w:r>
        <w:tab/>
        <w:t>Please state and discuss the second reason the Commission g</w:t>
      </w:r>
      <w:r w:rsidR="00364456">
        <w:t>ives in the Decoupling Policy Statement</w:t>
      </w:r>
      <w:r>
        <w:t xml:space="preserve"> for confining limited decoupling to natural gas utilities. </w:t>
      </w:r>
    </w:p>
    <w:p w:rsidR="00364456" w:rsidRDefault="00302846" w:rsidP="004D6DD3">
      <w:r>
        <w:t>A.</w:t>
      </w:r>
      <w:r>
        <w:tab/>
        <w:t xml:space="preserve">The </w:t>
      </w:r>
      <w:r w:rsidR="00364456">
        <w:t xml:space="preserve">Commission’s </w:t>
      </w:r>
      <w:r>
        <w:t xml:space="preserve">second reason </w:t>
      </w:r>
      <w:r w:rsidR="00346C45">
        <w:t xml:space="preserve">to limit decoupling to natural gas utilities </w:t>
      </w:r>
      <w:r>
        <w:t>is that electric utilities enjoy the potential for offsetting revenues either through “enabling electricity sales” or “avoiding purchases”.</w:t>
      </w:r>
      <w:r>
        <w:rPr>
          <w:rStyle w:val="FootnoteReference"/>
        </w:rPr>
        <w:footnoteReference w:id="27"/>
      </w:r>
      <w:r>
        <w:t xml:space="preserve">  For natural gas utilities, 100</w:t>
      </w:r>
      <w:r w:rsidR="00364456">
        <w:t xml:space="preserve"> percent</w:t>
      </w:r>
      <w:r>
        <w:t xml:space="preserve"> of the costs of purchased gas and pipeline service are included in the purchased gas adjustment mechanism (</w:t>
      </w:r>
      <w:r w:rsidR="00364456">
        <w:t>“</w:t>
      </w:r>
      <w:r>
        <w:t>PGA</w:t>
      </w:r>
      <w:r w:rsidR="00364456">
        <w:t>”</w:t>
      </w:r>
      <w:r>
        <w:t xml:space="preserve">), so that any increased or decreased costs for gas are borne by ratepayers.  </w:t>
      </w:r>
    </w:p>
    <w:p w:rsidR="00302846" w:rsidRPr="00954C7B" w:rsidRDefault="00364456" w:rsidP="004D6DD3">
      <w:r>
        <w:tab/>
      </w:r>
      <w:r>
        <w:tab/>
        <w:t>In contrast, f</w:t>
      </w:r>
      <w:r w:rsidR="00302846">
        <w:t>or PSE’s electric operations, under its Power Cost Adjustment mechanism (</w:t>
      </w:r>
      <w:r>
        <w:t>“</w:t>
      </w:r>
      <w:r w:rsidR="00302846">
        <w:t>PCA</w:t>
      </w:r>
      <w:r>
        <w:t>”</w:t>
      </w:r>
      <w:r w:rsidR="00302846">
        <w:t xml:space="preserve">), the Company retains up to $20 million of the benefit of avoided power costs or increased off-system sales revenues when power is freed up by lower customer </w:t>
      </w:r>
      <w:r w:rsidR="008850CA">
        <w:t>use</w:t>
      </w:r>
      <w:r w:rsidR="00302846">
        <w:t xml:space="preserve">.  </w:t>
      </w:r>
      <w:r>
        <w:t xml:space="preserve">PSE </w:t>
      </w:r>
      <w:r w:rsidR="00302846">
        <w:t xml:space="preserve">claims that it has a greater opportunity to recover its costs through retail sales than through sales in the market. </w:t>
      </w:r>
      <w:r>
        <w:rPr>
          <w:i/>
        </w:rPr>
        <w:t xml:space="preserve"> </w:t>
      </w:r>
      <w:r w:rsidR="00302846" w:rsidRPr="00FD7A64">
        <w:t xml:space="preserve">Exhibit No. </w:t>
      </w:r>
      <w:r>
        <w:t>__ (</w:t>
      </w:r>
      <w:r w:rsidR="00302846" w:rsidRPr="00FD7A64">
        <w:t>TAD-1T</w:t>
      </w:r>
      <w:r>
        <w:t>)</w:t>
      </w:r>
      <w:r w:rsidR="00302846" w:rsidRPr="00FD7A64">
        <w:t xml:space="preserve"> at 20:17-19.</w:t>
      </w:r>
      <w:r w:rsidR="00302846">
        <w:rPr>
          <w:i/>
        </w:rPr>
        <w:t xml:space="preserve">  </w:t>
      </w:r>
    </w:p>
    <w:p w:rsidR="00302846" w:rsidRDefault="00302846" w:rsidP="00735463">
      <w:pPr>
        <w:pStyle w:val="BodyTextIndent"/>
        <w:rPr>
          <w:highlight w:val="yellow"/>
        </w:rPr>
      </w:pPr>
    </w:p>
    <w:p w:rsidR="00302846" w:rsidRPr="00C52A59" w:rsidRDefault="00302846" w:rsidP="004D6DD3">
      <w:pPr>
        <w:pStyle w:val="Heading3"/>
      </w:pPr>
      <w:r w:rsidRPr="00C52A59">
        <w:t>Q.</w:t>
      </w:r>
      <w:r w:rsidRPr="00C52A59">
        <w:tab/>
        <w:t xml:space="preserve">What is the </w:t>
      </w:r>
      <w:r>
        <w:t>Power Cost Adjustment mechanism</w:t>
      </w:r>
      <w:r w:rsidRPr="00C52A59">
        <w:t>?</w:t>
      </w:r>
    </w:p>
    <w:p w:rsidR="00302846" w:rsidRPr="00C52A59" w:rsidRDefault="00302846" w:rsidP="004D6DD3">
      <w:r w:rsidRPr="00C52A59">
        <w:t>A.</w:t>
      </w:r>
      <w:r w:rsidRPr="00C52A59">
        <w:tab/>
        <w:t xml:space="preserve">The </w:t>
      </w:r>
      <w:r>
        <w:t>PCA</w:t>
      </w:r>
      <w:r w:rsidRPr="00C52A59">
        <w:t xml:space="preserve"> is an accounting method used to </w:t>
      </w:r>
      <w:r>
        <w:t>record</w:t>
      </w:r>
      <w:r w:rsidRPr="00C52A59">
        <w:t xml:space="preserve"> certain differences between actual net power supply costs and the amount included in base retail rates for Washington </w:t>
      </w:r>
      <w:r w:rsidRPr="00C52A59">
        <w:lastRenderedPageBreak/>
        <w:t>customers</w:t>
      </w:r>
      <w:r>
        <w:t>, and to flow a portion of cost changes to consumers under certain circumstances</w:t>
      </w:r>
      <w:r w:rsidRPr="00C52A59">
        <w:t>.</w:t>
      </w:r>
      <w:r w:rsidRPr="00C52A59">
        <w:rPr>
          <w:rStyle w:val="FootnoteReference"/>
        </w:rPr>
        <w:footnoteReference w:id="28"/>
      </w:r>
      <w:r w:rsidR="000310A6">
        <w:t xml:space="preserve">  </w:t>
      </w:r>
    </w:p>
    <w:p w:rsidR="00302846" w:rsidRDefault="00302846" w:rsidP="00735463">
      <w:pPr>
        <w:pStyle w:val="BodyTextIndent"/>
      </w:pPr>
    </w:p>
    <w:p w:rsidR="00302846" w:rsidRPr="00C52A59" w:rsidRDefault="00302846" w:rsidP="004D6DD3">
      <w:pPr>
        <w:pStyle w:val="Heading3"/>
      </w:pPr>
      <w:r w:rsidRPr="00C52A59">
        <w:t>Q.</w:t>
      </w:r>
      <w:r w:rsidRPr="00C52A59">
        <w:tab/>
        <w:t xml:space="preserve">How does the </w:t>
      </w:r>
      <w:r>
        <w:t>PCA</w:t>
      </w:r>
      <w:r w:rsidRPr="00C52A59">
        <w:t xml:space="preserve"> work?</w:t>
      </w:r>
    </w:p>
    <w:p w:rsidR="00302846" w:rsidRDefault="00302846" w:rsidP="004D6DD3">
      <w:r w:rsidRPr="00C52A59">
        <w:t>A.</w:t>
      </w:r>
      <w:r w:rsidRPr="00C52A59">
        <w:tab/>
      </w:r>
      <w:r>
        <w:t xml:space="preserve">A base level of power supply costs is included in base rates in </w:t>
      </w:r>
      <w:r w:rsidR="00364456">
        <w:t>a</w:t>
      </w:r>
      <w:r>
        <w:t xml:space="preserve"> general rate case.  If actual power costs differ from the estimated amount above or below a deadband level, the difference is recorded in a deferral account.  </w:t>
      </w:r>
      <w:r w:rsidR="00817B43">
        <w:t>W</w:t>
      </w:r>
      <w:r>
        <w:t>hen the deferral amount exceeds $30 million</w:t>
      </w:r>
      <w:r w:rsidR="00817B43">
        <w:t>, a customer surcharge or rebate is established</w:t>
      </w:r>
      <w:r>
        <w:t>.</w:t>
      </w:r>
    </w:p>
    <w:p w:rsidR="00302846" w:rsidRDefault="004D6DD3" w:rsidP="004D6DD3">
      <w:r>
        <w:tab/>
      </w:r>
      <w:r>
        <w:tab/>
      </w:r>
      <w:r w:rsidR="00302846" w:rsidRPr="00C52A59">
        <w:t xml:space="preserve">The initial amount of power supply costs </w:t>
      </w:r>
      <w:r w:rsidR="00364456">
        <w:t>above</w:t>
      </w:r>
      <w:r w:rsidR="00302846" w:rsidRPr="00C52A59">
        <w:t xml:space="preserve"> or below the level in retail rates, which the </w:t>
      </w:r>
      <w:r w:rsidR="00364456">
        <w:t>C</w:t>
      </w:r>
      <w:r w:rsidR="00302846" w:rsidRPr="00C52A59">
        <w:t xml:space="preserve">ompany either incurs the cost of, or receives the benefit from, is referred to as the </w:t>
      </w:r>
      <w:r w:rsidR="00364456">
        <w:t>“</w:t>
      </w:r>
      <w:r w:rsidR="00302846" w:rsidRPr="00C52A59">
        <w:t>deadband</w:t>
      </w:r>
      <w:r w:rsidR="00364456">
        <w:t>”</w:t>
      </w:r>
      <w:r w:rsidR="00302846" w:rsidRPr="00C52A59">
        <w:t>.</w:t>
      </w:r>
      <w:r w:rsidR="00302846">
        <w:t xml:space="preserve"> </w:t>
      </w:r>
      <w:r w:rsidR="00302846" w:rsidRPr="00C52A59">
        <w:t xml:space="preserve"> The annual deadband amount is currently $</w:t>
      </w:r>
      <w:r w:rsidR="00302846">
        <w:t>20</w:t>
      </w:r>
      <w:r w:rsidR="00302846" w:rsidRPr="00C52A59">
        <w:t xml:space="preserve">.0 million. </w:t>
      </w:r>
      <w:r w:rsidR="00364456">
        <w:t>PSE</w:t>
      </w:r>
      <w:r w:rsidR="00302846" w:rsidRPr="00C52A59">
        <w:t xml:space="preserve"> will incur the cost of, or receive the benefit from</w:t>
      </w:r>
      <w:r w:rsidR="00364456">
        <w:t>,</w:t>
      </w:r>
      <w:r w:rsidR="00302846" w:rsidRPr="00C52A59">
        <w:t xml:space="preserve"> 100 percent of this initial power supply cost variance. </w:t>
      </w:r>
      <w:r w:rsidR="00302846">
        <w:t xml:space="preserve"> If power cost deviations exceed this deadband, then customers share in the cost or benefit.  </w:t>
      </w:r>
    </w:p>
    <w:p w:rsidR="00302846" w:rsidRDefault="004D6DD3" w:rsidP="004D6DD3">
      <w:r>
        <w:tab/>
      </w:r>
      <w:r>
        <w:tab/>
      </w:r>
      <w:r w:rsidR="00364456">
        <w:t xml:space="preserve">PSE </w:t>
      </w:r>
      <w:r w:rsidR="00302846">
        <w:t xml:space="preserve">is at risk for all variances within the initial $20.0 million deadband amount and </w:t>
      </w:r>
      <w:r w:rsidR="00302846" w:rsidRPr="00C52A59">
        <w:t xml:space="preserve">shares annual power supply cost variances </w:t>
      </w:r>
      <w:r w:rsidR="00302846">
        <w:t>above</w:t>
      </w:r>
      <w:r w:rsidR="00302846" w:rsidRPr="00C52A59">
        <w:t xml:space="preserve"> $</w:t>
      </w:r>
      <w:r w:rsidR="00302846">
        <w:t>20</w:t>
      </w:r>
      <w:r w:rsidR="00302846" w:rsidRPr="00C52A59">
        <w:t>.0 million with its customers</w:t>
      </w:r>
      <w:r w:rsidR="00302846">
        <w:t xml:space="preserve"> according to a graduated scale</w:t>
      </w:r>
      <w:r w:rsidR="00302846" w:rsidRPr="00C52A59">
        <w:t>.</w:t>
      </w:r>
      <w:r w:rsidR="000310A6">
        <w:t xml:space="preserve"> </w:t>
      </w:r>
      <w:r w:rsidR="00302846" w:rsidRPr="00C52A59">
        <w:t xml:space="preserve"> </w:t>
      </w:r>
      <w:r w:rsidR="000310A6" w:rsidRPr="00FD7A64">
        <w:t xml:space="preserve">Exhibit No. </w:t>
      </w:r>
      <w:r w:rsidR="00364456" w:rsidRPr="00FD7A64">
        <w:t>__ (</w:t>
      </w:r>
      <w:r w:rsidR="000310A6" w:rsidRPr="00FD7A64">
        <w:t>SA-1CT</w:t>
      </w:r>
      <w:r w:rsidR="00364456" w:rsidRPr="00FD7A64">
        <w:t>)</w:t>
      </w:r>
      <w:r w:rsidR="000310A6" w:rsidRPr="00FD7A64">
        <w:t xml:space="preserve"> at 5.</w:t>
      </w:r>
    </w:p>
    <w:p w:rsidR="00302846" w:rsidRDefault="00302846" w:rsidP="00735463">
      <w:pPr>
        <w:pStyle w:val="BodyTextIndent"/>
      </w:pPr>
    </w:p>
    <w:p w:rsidR="00302846" w:rsidRPr="00EA308C" w:rsidRDefault="00302846" w:rsidP="004D6DD3">
      <w:pPr>
        <w:pStyle w:val="Heading3"/>
      </w:pPr>
      <w:r w:rsidRPr="00EA308C">
        <w:t>Q.</w:t>
      </w:r>
      <w:r w:rsidRPr="00EA308C">
        <w:tab/>
      </w:r>
      <w:r>
        <w:t>How are the effects of energy efficiency incorporated into the PCA</w:t>
      </w:r>
      <w:r w:rsidRPr="00EA308C">
        <w:t>?</w:t>
      </w:r>
    </w:p>
    <w:p w:rsidR="00302846" w:rsidRDefault="00302846" w:rsidP="004D6DD3">
      <w:r>
        <w:t>A.</w:t>
      </w:r>
      <w:r>
        <w:tab/>
        <w:t>They are not.  The</w:t>
      </w:r>
      <w:r w:rsidRPr="00C52A59">
        <w:t xml:space="preserve"> </w:t>
      </w:r>
      <w:r>
        <w:t xml:space="preserve">small deviations in customer </w:t>
      </w:r>
      <w:r w:rsidR="008850CA">
        <w:t>use</w:t>
      </w:r>
      <w:r>
        <w:t xml:space="preserve"> caused by energy efficiency efforts, whether or not supported by the utility’s energy efficiency programs, are not expected, by themselves, to result in deviations outside the deadband.  Therefore</w:t>
      </w:r>
      <w:r w:rsidR="00364456">
        <w:t>,</w:t>
      </w:r>
      <w:r>
        <w:t xml:space="preserve"> without some treatment of the avoided power costs due to energy efficiency, a </w:t>
      </w:r>
      <w:r>
        <w:lastRenderedPageBreak/>
        <w:t xml:space="preserve">mechanism like the CSA would essentially allow </w:t>
      </w:r>
      <w:r w:rsidR="00364456">
        <w:t xml:space="preserve">PSE </w:t>
      </w:r>
      <w:r>
        <w:t>to retain both the foregone rate revenue (through decoupling) and the avoided power cost (through lower purchases, lower fuel consumption, or greater off-system sales).</w:t>
      </w:r>
    </w:p>
    <w:p w:rsidR="009B7F7B" w:rsidRDefault="009B7F7B" w:rsidP="004D6DD3"/>
    <w:p w:rsidR="009B7F7B" w:rsidRDefault="009B7F7B" w:rsidP="009B7F7B">
      <w:pPr>
        <w:rPr>
          <w:b/>
        </w:rPr>
      </w:pPr>
      <w:r>
        <w:rPr>
          <w:b/>
        </w:rPr>
        <w:t>Q.</w:t>
      </w:r>
      <w:r>
        <w:rPr>
          <w:b/>
        </w:rPr>
        <w:tab/>
      </w:r>
      <w:r w:rsidRPr="00265593">
        <w:rPr>
          <w:b/>
        </w:rPr>
        <w:t xml:space="preserve">What do you conclude about the CSA with respect to the Commission’s policy that limited decoupling should </w:t>
      </w:r>
      <w:r>
        <w:rPr>
          <w:b/>
        </w:rPr>
        <w:t>account for offsetting revenues</w:t>
      </w:r>
      <w:r w:rsidRPr="00265593">
        <w:rPr>
          <w:b/>
        </w:rPr>
        <w:t>?</w:t>
      </w:r>
    </w:p>
    <w:p w:rsidR="009B7F7B" w:rsidRPr="00346C45" w:rsidRDefault="009B7F7B" w:rsidP="009B7F7B">
      <w:r>
        <w:t>A.</w:t>
      </w:r>
      <w:r>
        <w:tab/>
        <w:t>I conclude that PSE’s current PCA does not account for offsetting revenues.  Therefore, even on the merits, the CSA for electric operations should be rejected.</w:t>
      </w:r>
    </w:p>
    <w:p w:rsidR="00302846" w:rsidRDefault="00302846" w:rsidP="00727A18">
      <w:pPr>
        <w:pStyle w:val="BodyTextIndent"/>
        <w:ind w:left="0" w:firstLine="0"/>
      </w:pPr>
    </w:p>
    <w:p w:rsidR="00F846C1" w:rsidRPr="009E6520" w:rsidRDefault="00F846C1" w:rsidP="00727A18">
      <w:pPr>
        <w:pStyle w:val="Heading2"/>
        <w:ind w:hanging="720"/>
        <w:jc w:val="left"/>
        <w:rPr>
          <w:u w:val="none"/>
        </w:rPr>
      </w:pPr>
      <w:bookmarkStart w:id="10" w:name="_Toc310842166"/>
      <w:r w:rsidRPr="009E6520">
        <w:rPr>
          <w:u w:val="none"/>
        </w:rPr>
        <w:t>Incentive to Invest in</w:t>
      </w:r>
      <w:r w:rsidR="000F498A" w:rsidRPr="009E6520">
        <w:rPr>
          <w:u w:val="none"/>
        </w:rPr>
        <w:t xml:space="preserve"> Additional</w:t>
      </w:r>
      <w:r w:rsidR="00062651" w:rsidRPr="009E6520">
        <w:rPr>
          <w:u w:val="none"/>
        </w:rPr>
        <w:t xml:space="preserve"> </w:t>
      </w:r>
      <w:r w:rsidRPr="009E6520">
        <w:rPr>
          <w:u w:val="none"/>
        </w:rPr>
        <w:t>Conservation</w:t>
      </w:r>
      <w:bookmarkEnd w:id="10"/>
    </w:p>
    <w:p w:rsidR="00F846C1" w:rsidRDefault="00F846C1" w:rsidP="00735463">
      <w:pPr>
        <w:pStyle w:val="BodyTextIndent"/>
      </w:pPr>
    </w:p>
    <w:p w:rsidR="00302846" w:rsidRDefault="00302846" w:rsidP="004D6DD3">
      <w:pPr>
        <w:pStyle w:val="Heading3"/>
      </w:pPr>
      <w:r>
        <w:t>Q.</w:t>
      </w:r>
      <w:r>
        <w:tab/>
        <w:t xml:space="preserve">Please state and discuss the third reason the Commission gives </w:t>
      </w:r>
      <w:r w:rsidR="00364456">
        <w:t xml:space="preserve">in </w:t>
      </w:r>
      <w:r w:rsidR="00364456" w:rsidRPr="002C7F79">
        <w:t xml:space="preserve">Decoupling Policy Statement </w:t>
      </w:r>
      <w:r>
        <w:t>for confining limited decoupling to natural gas utilities.</w:t>
      </w:r>
    </w:p>
    <w:p w:rsidR="00302846" w:rsidRDefault="00302846" w:rsidP="004D6DD3">
      <w:r>
        <w:t>A.</w:t>
      </w:r>
      <w:r>
        <w:tab/>
        <w:t xml:space="preserve">The </w:t>
      </w:r>
      <w:r w:rsidR="00382E63">
        <w:t xml:space="preserve">Commission’s </w:t>
      </w:r>
      <w:r>
        <w:t>third reason is that</w:t>
      </w:r>
      <w:r w:rsidR="00382E63">
        <w:t>,</w:t>
      </w:r>
      <w:r>
        <w:t xml:space="preserve"> because the Energy Independence Act (</w:t>
      </w:r>
      <w:r w:rsidR="00382E63">
        <w:t>“</w:t>
      </w:r>
      <w:r>
        <w:t>EIA</w:t>
      </w:r>
      <w:r w:rsidR="00382E63">
        <w:t>”</w:t>
      </w:r>
      <w:r>
        <w:t>) provides “ample incentive” for electric utilities to acquire cost-effective conservation, there is “less of a need to provide an incentive to electric utilities” via limited decoupling.</w:t>
      </w:r>
      <w:r>
        <w:rPr>
          <w:rStyle w:val="FootnoteReference"/>
        </w:rPr>
        <w:footnoteReference w:id="29"/>
      </w:r>
      <w:r>
        <w:t xml:space="preserve">  </w:t>
      </w:r>
      <w:r>
        <w:tab/>
        <w:t>Even before the EIA, PSE had an obligation to acquire feasible, cost-effective conservation under the Commission’s Integrated Resource Planning (</w:t>
      </w:r>
      <w:r w:rsidR="00382E63">
        <w:t>“</w:t>
      </w:r>
      <w:r>
        <w:t>IRP</w:t>
      </w:r>
      <w:r w:rsidR="00382E63">
        <w:t>”</w:t>
      </w:r>
      <w:r>
        <w:t>) rules, which require</w:t>
      </w:r>
      <w:r w:rsidR="000F498A">
        <w:t xml:space="preserve"> both</w:t>
      </w:r>
      <w:r>
        <w:t xml:space="preserve"> electric</w:t>
      </w:r>
      <w:r w:rsidR="000F498A">
        <w:t xml:space="preserve"> and gas</w:t>
      </w:r>
      <w:r>
        <w:t xml:space="preserve"> utilities, such as PSE, to plan to acquire the lowest cost resources, including conservation.  </w:t>
      </w:r>
      <w:r w:rsidR="000F498A">
        <w:t xml:space="preserve">WAC 480-90-238 and </w:t>
      </w:r>
      <w:r>
        <w:t xml:space="preserve">WAC 480-100-238.  </w:t>
      </w:r>
    </w:p>
    <w:p w:rsidR="00302846" w:rsidRDefault="00302846" w:rsidP="004D6DD3">
      <w:r>
        <w:lastRenderedPageBreak/>
        <w:tab/>
      </w:r>
      <w:r>
        <w:tab/>
        <w:t>The important point is that the CSA would be redundant to the incentives already in place for PSE to acquire cost-effective conservation.  PSE has had ample incentives to do so in rule and/or statute for many years.</w:t>
      </w:r>
    </w:p>
    <w:p w:rsidR="00302846" w:rsidRDefault="00302846" w:rsidP="00735463">
      <w:pPr>
        <w:pStyle w:val="BodyTextIndent"/>
      </w:pPr>
    </w:p>
    <w:p w:rsidR="00302846" w:rsidRPr="003000A6" w:rsidRDefault="00302846" w:rsidP="004D6DD3">
      <w:pPr>
        <w:pStyle w:val="Heading3"/>
      </w:pPr>
      <w:r>
        <w:t>Q.</w:t>
      </w:r>
      <w:r>
        <w:tab/>
        <w:t xml:space="preserve">Is the CSA </w:t>
      </w:r>
      <w:r w:rsidR="00BB1038">
        <w:t>in</w:t>
      </w:r>
      <w:r>
        <w:t xml:space="preserve">consistent with the </w:t>
      </w:r>
      <w:r w:rsidRPr="00D61B5B">
        <w:t>Commission’s Decoupling Policy Statement</w:t>
      </w:r>
      <w:r>
        <w:t xml:space="preserve"> that additional incentives are less necessary for electric utilities?</w:t>
      </w:r>
    </w:p>
    <w:p w:rsidR="00302846" w:rsidRDefault="00302846" w:rsidP="004D6DD3">
      <w:r>
        <w:t>A.</w:t>
      </w:r>
      <w:r>
        <w:tab/>
      </w:r>
      <w:r w:rsidR="00BB1038">
        <w:t>Yes</w:t>
      </w:r>
      <w:r>
        <w:t xml:space="preserve">.  The design of the CSA </w:t>
      </w:r>
      <w:r w:rsidR="00BB1038">
        <w:t xml:space="preserve">actually </w:t>
      </w:r>
      <w:r>
        <w:t xml:space="preserve">creates an incentive to pursue conservation in several ways. </w:t>
      </w:r>
      <w:r w:rsidR="005A6F3A">
        <w:t xml:space="preserve"> </w:t>
      </w:r>
      <w:r>
        <w:t xml:space="preserve">First, the design is </w:t>
      </w:r>
      <w:r w:rsidR="00047C0D">
        <w:t>a modified form of</w:t>
      </w:r>
      <w:r w:rsidR="00382E63">
        <w:t xml:space="preserve"> </w:t>
      </w:r>
      <w:r>
        <w:t>“limited decoupling”, which, because it typically results in only positive rate adjustments, is certainly a positive effect on the revenue received by the Company.  In addition, because the calculation of the CSA relies directly on the conservation savings estimates, the Company can directly increase the amount of money it recovers under the CSA by increasing its conservation savings.  In the Decoupling Policy Statement, the Commission is quite clear that direct conservation incentives should only encourage additional investment in conservation.</w:t>
      </w:r>
      <w:r>
        <w:rPr>
          <w:rStyle w:val="FootnoteReference"/>
        </w:rPr>
        <w:footnoteReference w:id="30"/>
      </w:r>
    </w:p>
    <w:p w:rsidR="009B7F7B" w:rsidRDefault="009B7F7B" w:rsidP="009B7F7B">
      <w:pPr>
        <w:rPr>
          <w:b/>
        </w:rPr>
      </w:pPr>
    </w:p>
    <w:p w:rsidR="009B7F7B" w:rsidRDefault="009B7F7B" w:rsidP="009B7F7B">
      <w:pPr>
        <w:rPr>
          <w:b/>
        </w:rPr>
      </w:pPr>
      <w:r>
        <w:rPr>
          <w:b/>
        </w:rPr>
        <w:t>Q.</w:t>
      </w:r>
      <w:r>
        <w:rPr>
          <w:b/>
        </w:rPr>
        <w:tab/>
      </w:r>
      <w:r w:rsidRPr="00265593">
        <w:rPr>
          <w:b/>
        </w:rPr>
        <w:t xml:space="preserve">What do you conclude about the CSA with respect to the Commission’s policy that limited decoupling should </w:t>
      </w:r>
      <w:r>
        <w:rPr>
          <w:b/>
        </w:rPr>
        <w:t>only encourage additional investment in conservation</w:t>
      </w:r>
      <w:r w:rsidRPr="00265593">
        <w:rPr>
          <w:b/>
        </w:rPr>
        <w:t>?</w:t>
      </w:r>
    </w:p>
    <w:p w:rsidR="009B7F7B" w:rsidRPr="00346C45" w:rsidRDefault="009B7F7B" w:rsidP="009B7F7B">
      <w:r>
        <w:t>A.</w:t>
      </w:r>
      <w:r>
        <w:tab/>
        <w:t xml:space="preserve">I conclude that PSE’s proposed CSA would reward PSE for meeting its conservation target, rather than rewarding it for only incremental conservation above the target.  Therefore, even on the merits, the CSA for </w:t>
      </w:r>
      <w:r w:rsidR="000F498A">
        <w:t xml:space="preserve">both electric and gas </w:t>
      </w:r>
      <w:r>
        <w:t>operations should be rejected.</w:t>
      </w:r>
    </w:p>
    <w:p w:rsidR="00302846" w:rsidRDefault="00302846" w:rsidP="00735463">
      <w:pPr>
        <w:pStyle w:val="BodyTextIndent"/>
      </w:pPr>
    </w:p>
    <w:p w:rsidR="00F846C1" w:rsidRPr="009E6520" w:rsidRDefault="00F846C1" w:rsidP="009E6520">
      <w:pPr>
        <w:pStyle w:val="Heading2"/>
        <w:ind w:hanging="720"/>
        <w:jc w:val="left"/>
        <w:rPr>
          <w:u w:val="none"/>
        </w:rPr>
      </w:pPr>
      <w:bookmarkStart w:id="11" w:name="_Toc310842167"/>
      <w:r w:rsidRPr="009E6520">
        <w:rPr>
          <w:u w:val="none"/>
        </w:rPr>
        <w:t>Known and Measurable Conservation Effects Not Present</w:t>
      </w:r>
      <w:bookmarkEnd w:id="11"/>
    </w:p>
    <w:p w:rsidR="00F846C1" w:rsidRDefault="00F846C1" w:rsidP="00735463">
      <w:pPr>
        <w:pStyle w:val="BodyTextIndent"/>
      </w:pPr>
    </w:p>
    <w:p w:rsidR="00302846" w:rsidRPr="0086753B" w:rsidRDefault="00302846" w:rsidP="004D6DD3">
      <w:pPr>
        <w:pStyle w:val="Heading3"/>
      </w:pPr>
      <w:r w:rsidRPr="0086753B">
        <w:t>Q.</w:t>
      </w:r>
      <w:r w:rsidRPr="0086753B">
        <w:tab/>
        <w:t xml:space="preserve">Are there other problems with </w:t>
      </w:r>
      <w:r>
        <w:t>PSE</w:t>
      </w:r>
      <w:r w:rsidRPr="0086753B">
        <w:t xml:space="preserve">’s </w:t>
      </w:r>
      <w:r>
        <w:t>CSA proposal</w:t>
      </w:r>
      <w:r w:rsidRPr="0086753B">
        <w:t>?</w:t>
      </w:r>
    </w:p>
    <w:p w:rsidR="00302846" w:rsidRDefault="00302846" w:rsidP="004D6DD3">
      <w:r>
        <w:t>A.</w:t>
      </w:r>
      <w:r>
        <w:tab/>
        <w:t xml:space="preserve">Yes.  The Company’s calculations of “mandated savings” due to </w:t>
      </w:r>
      <w:r w:rsidR="00382E63">
        <w:t>PSE</w:t>
      </w:r>
      <w:r>
        <w:t xml:space="preserve">’s energy efficiency programs referred to in Mr. Piliaris’ testimony are not known and measurable.  This is because the Company’s calculations of the targets are based on savings estimates and conservation potential assessments that are generally intended </w:t>
      </w:r>
      <w:r w:rsidR="00382E63">
        <w:t xml:space="preserve">only </w:t>
      </w:r>
      <w:r>
        <w:t xml:space="preserve">for planning purposes.  This has been acceptable </w:t>
      </w:r>
      <w:r w:rsidR="00382E63">
        <w:t xml:space="preserve">for planning </w:t>
      </w:r>
      <w:r>
        <w:t xml:space="preserve">because the cost-effectiveness benefit-to-cost ratio for PSE’s programs has typically been well above 1.0.  This provides some comfort that the estimates PSE uses for program planning are conservative enough to conclude that particular measures are, on average, contributing savings to the program, even though we may not know exactly how much energy was saved from the installation of an individual measure.  </w:t>
      </w:r>
    </w:p>
    <w:p w:rsidR="00302846" w:rsidRDefault="00302846" w:rsidP="004D6DD3">
      <w:r>
        <w:tab/>
      </w:r>
      <w:r>
        <w:tab/>
        <w:t>In other words, the Company’s CSA adjustment is calculated with a precision that is not justified by the underlying data.</w:t>
      </w:r>
    </w:p>
    <w:p w:rsidR="00302846" w:rsidRDefault="00302846" w:rsidP="00735463">
      <w:pPr>
        <w:pStyle w:val="BodyTextIndent"/>
      </w:pPr>
    </w:p>
    <w:p w:rsidR="00302846" w:rsidRDefault="00302846" w:rsidP="004D6DD3">
      <w:pPr>
        <w:pStyle w:val="Heading3"/>
      </w:pPr>
      <w:r>
        <w:t>Q.</w:t>
      </w:r>
      <w:r>
        <w:tab/>
        <w:t>Does Staff customarily review the Company’s energy efficiency programs and tariffs on an ongoing basis?</w:t>
      </w:r>
    </w:p>
    <w:p w:rsidR="00302846" w:rsidRPr="00931C96" w:rsidRDefault="00302846" w:rsidP="004D6DD3">
      <w:r>
        <w:t>A.</w:t>
      </w:r>
      <w:r>
        <w:tab/>
        <w:t>Yes.  Among other things, Staff reviews the tariffs when they are proposed, and Staff reviews the costs PSE incurs for these programs when the Company seeks to recover to those costs in rates.</w:t>
      </w:r>
    </w:p>
    <w:p w:rsidR="00302846" w:rsidRDefault="00302846" w:rsidP="00735463">
      <w:pPr>
        <w:pStyle w:val="BodyTextIndent"/>
      </w:pPr>
    </w:p>
    <w:p w:rsidR="00302846" w:rsidRPr="00931C96" w:rsidRDefault="00302846" w:rsidP="004D6DD3">
      <w:pPr>
        <w:pStyle w:val="Heading3"/>
      </w:pPr>
      <w:r>
        <w:lastRenderedPageBreak/>
        <w:t>Q.</w:t>
      </w:r>
      <w:r>
        <w:tab/>
        <w:t xml:space="preserve">Do these Staff reviews provide sufficient </w:t>
      </w:r>
      <w:r w:rsidR="00382E63">
        <w:t>certainty</w:t>
      </w:r>
      <w:r>
        <w:t xml:space="preserve"> to support the Company’s calculation of the CSA? </w:t>
      </w:r>
    </w:p>
    <w:p w:rsidR="00302846" w:rsidRDefault="00302846" w:rsidP="004D6DD3">
      <w:r>
        <w:t>A.</w:t>
      </w:r>
      <w:r>
        <w:tab/>
        <w:t>No.  When Staff reviews PSE tariff filings for recovery of energy efficiency program costs, Staff focuses on program delivery, and whether the Company has met its budget in terms of program participation.  Staff does not attempt to calculate the energy savings actually achieved by each of those programs.</w:t>
      </w:r>
      <w:r>
        <w:rPr>
          <w:rStyle w:val="FootnoteReference"/>
        </w:rPr>
        <w:footnoteReference w:id="31"/>
      </w:r>
    </w:p>
    <w:p w:rsidR="00EB3D4E" w:rsidRDefault="00EB3D4E" w:rsidP="004D6DD3"/>
    <w:p w:rsidR="00E77FAA" w:rsidRPr="00A762FE" w:rsidRDefault="00E77FAA" w:rsidP="004D6DD3">
      <w:pPr>
        <w:pStyle w:val="Heading3"/>
      </w:pPr>
      <w:r w:rsidRPr="00A762FE">
        <w:t>Q.</w:t>
      </w:r>
      <w:r w:rsidRPr="00A762FE">
        <w:tab/>
        <w:t>Are the Company’s estimates of energy savings rigorous enough for rate</w:t>
      </w:r>
      <w:r>
        <w:t xml:space="preserve">making </w:t>
      </w:r>
      <w:r w:rsidRPr="00A762FE">
        <w:t>purposes?</w:t>
      </w:r>
    </w:p>
    <w:p w:rsidR="00E77FAA" w:rsidRDefault="00E77FAA" w:rsidP="004D6DD3">
      <w:r w:rsidRPr="007700D7">
        <w:t>A.</w:t>
      </w:r>
      <w:r w:rsidRPr="007700D7">
        <w:tab/>
        <w:t>No.  The Company’s estimates of energy savings are not rigorous enough for rate</w:t>
      </w:r>
      <w:r>
        <w:t xml:space="preserve"> </w:t>
      </w:r>
      <w:r w:rsidRPr="007700D7">
        <w:t>making.  Each individual installation of energy efficient equipment has specific energy savings estimates associated with it.  The specific energy savings estimates come from several places (the Regional Technical Forum and engineering calculations, among others) and the</w:t>
      </w:r>
      <w:r>
        <w:t xml:space="preserve"> </w:t>
      </w:r>
      <w:r w:rsidRPr="007700D7">
        <w:t xml:space="preserve">estimates are routinely used for program planning and for calculations of </w:t>
      </w:r>
      <w:r w:rsidR="00382E63">
        <w:t xml:space="preserve">the </w:t>
      </w:r>
      <w:r w:rsidRPr="007700D7">
        <w:t>cost-effectiveness of particular measures.  However, the estimates do not represent what actually happened after the installation</w:t>
      </w:r>
      <w:r w:rsidR="00382E63">
        <w:t xml:space="preserve"> itself</w:t>
      </w:r>
      <w:r w:rsidRPr="007700D7">
        <w:t xml:space="preserve">.  </w:t>
      </w:r>
    </w:p>
    <w:p w:rsidR="00E77FAA" w:rsidRDefault="00E77FAA" w:rsidP="00735463">
      <w:pPr>
        <w:pStyle w:val="BodyTextIndent"/>
      </w:pPr>
    </w:p>
    <w:p w:rsidR="00E77FAA" w:rsidRPr="007700D7" w:rsidRDefault="00E77FAA" w:rsidP="004D6DD3">
      <w:pPr>
        <w:pStyle w:val="Heading3"/>
      </w:pPr>
      <w:r w:rsidRPr="007700D7">
        <w:t>Q.</w:t>
      </w:r>
      <w:r w:rsidRPr="007700D7">
        <w:tab/>
        <w:t>Isn’t it correct, though, that conservation does reduce electricity consumption?</w:t>
      </w:r>
    </w:p>
    <w:p w:rsidR="00E77FAA" w:rsidRPr="007700D7" w:rsidRDefault="00E77FAA" w:rsidP="004D6DD3">
      <w:r w:rsidRPr="007700D7">
        <w:t>A.</w:t>
      </w:r>
      <w:r w:rsidRPr="007700D7">
        <w:tab/>
        <w:t xml:space="preserve">Yes.  Conservation savings are made up of thousands of individual installations of energy efficient equipment for which the Company pays customers.  These individual installations occur over the course of a year.  </w:t>
      </w:r>
      <w:r w:rsidR="00382E63">
        <w:t xml:space="preserve">The problem, however, is measuring the savings with enough accuracy to be appropriate for </w:t>
      </w:r>
      <w:r w:rsidR="00DD0F39">
        <w:t>ratemaking purposes.</w:t>
      </w:r>
    </w:p>
    <w:p w:rsidR="00E77FAA" w:rsidRDefault="00E77FAA" w:rsidP="00735463">
      <w:pPr>
        <w:pStyle w:val="BodyTextIndent"/>
      </w:pPr>
    </w:p>
    <w:p w:rsidR="00E77FAA" w:rsidRDefault="00E77FAA" w:rsidP="00735463">
      <w:pPr>
        <w:pStyle w:val="Heading3"/>
      </w:pPr>
      <w:r>
        <w:t>Q.</w:t>
      </w:r>
      <w:r>
        <w:tab/>
      </w:r>
      <w:r w:rsidRPr="00CA565E">
        <w:t>Could significant investment in conservation have an eventual effect?</w:t>
      </w:r>
    </w:p>
    <w:p w:rsidR="00E77FAA" w:rsidRDefault="00E77FAA" w:rsidP="00735463">
      <w:r>
        <w:t>A.</w:t>
      </w:r>
      <w:r>
        <w:tab/>
        <w:t>Yes.  There will always be a probability that significant investment in conservation w</w:t>
      </w:r>
      <w:r w:rsidR="00DD0F39">
        <w:t>ill</w:t>
      </w:r>
      <w:r>
        <w:t xml:space="preserve"> reduce </w:t>
      </w:r>
      <w:r w:rsidR="00DD0F39">
        <w:t>C</w:t>
      </w:r>
      <w:r>
        <w:t>ompany revenues</w:t>
      </w:r>
      <w:r w:rsidRPr="00115ED0">
        <w:t xml:space="preserve"> </w:t>
      </w:r>
      <w:r>
        <w:t xml:space="preserve">because a portion of fixed costs are recovered in the </w:t>
      </w:r>
      <w:r w:rsidR="008850CA">
        <w:t>use</w:t>
      </w:r>
      <w:r>
        <w:t xml:space="preserve"> charge.  However, this would happen over time.  Frequent rate cases, with rates reset based on most recent load levels, have been the </w:t>
      </w:r>
      <w:r w:rsidR="00DD0F39">
        <w:t>C</w:t>
      </w:r>
      <w:r>
        <w:t xml:space="preserve">ompany’s response to this problem.    </w:t>
      </w:r>
    </w:p>
    <w:p w:rsidR="00E77FAA" w:rsidRDefault="00E77FAA" w:rsidP="00735463"/>
    <w:p w:rsidR="00E77FAA" w:rsidRDefault="00E77FAA" w:rsidP="004D6DD3">
      <w:pPr>
        <w:pStyle w:val="Heading3"/>
      </w:pPr>
      <w:r>
        <w:t>Q.</w:t>
      </w:r>
      <w:r>
        <w:tab/>
        <w:t xml:space="preserve">How should the actual energy savings from these energy efficiency programs be determined to support a CSA-type adjustment?    </w:t>
      </w:r>
    </w:p>
    <w:p w:rsidR="00E77FAA" w:rsidRDefault="00E77FAA" w:rsidP="004D6DD3">
      <w:r>
        <w:t xml:space="preserve">A.  </w:t>
      </w:r>
      <w:r>
        <w:tab/>
      </w:r>
      <w:r w:rsidRPr="007700D7">
        <w:t>In order to have savings values that meet the “known and measurable” standard for ratemaking, the Company must have its energy savings independently verified and evaluated.  This must include</w:t>
      </w:r>
      <w:r>
        <w:t xml:space="preserve"> statistically significant</w:t>
      </w:r>
      <w:r w:rsidRPr="007700D7">
        <w:t xml:space="preserve"> post-installation analysis.</w:t>
      </w:r>
      <w:r>
        <w:t xml:space="preserve"> </w:t>
      </w:r>
    </w:p>
    <w:p w:rsidR="00E77FAA" w:rsidRPr="00A762FE" w:rsidRDefault="00E77FAA" w:rsidP="00735463">
      <w:pPr>
        <w:pStyle w:val="ListParagraph"/>
      </w:pPr>
    </w:p>
    <w:p w:rsidR="00302846" w:rsidRPr="00A762FE" w:rsidRDefault="00302846" w:rsidP="004D6DD3">
      <w:pPr>
        <w:pStyle w:val="Heading3"/>
      </w:pPr>
      <w:r w:rsidRPr="00A762FE">
        <w:t>Q.</w:t>
      </w:r>
      <w:r w:rsidRPr="00A762FE">
        <w:tab/>
        <w:t xml:space="preserve">Is the </w:t>
      </w:r>
      <w:r>
        <w:t>CSA</w:t>
      </w:r>
      <w:r w:rsidRPr="00A762FE">
        <w:t xml:space="preserve"> necessary?</w:t>
      </w:r>
    </w:p>
    <w:p w:rsidR="00302846" w:rsidRDefault="00302846" w:rsidP="004D6DD3">
      <w:r w:rsidRPr="007700D7">
        <w:t>A.</w:t>
      </w:r>
      <w:r w:rsidRPr="007700D7">
        <w:tab/>
        <w:t xml:space="preserve">No.  </w:t>
      </w:r>
      <w:r>
        <w:t>A</w:t>
      </w:r>
      <w:r w:rsidRPr="007700D7">
        <w:t xml:space="preserve">nnualizing adjustments should capture significant changes in </w:t>
      </w:r>
      <w:r w:rsidR="008850CA">
        <w:t>use</w:t>
      </w:r>
      <w:r w:rsidRPr="007700D7">
        <w:t xml:space="preserve"> patterns of existing customers.  </w:t>
      </w:r>
      <w:r>
        <w:t xml:space="preserve">The calculated </w:t>
      </w:r>
      <w:r w:rsidRPr="007700D7">
        <w:t xml:space="preserve">changes in </w:t>
      </w:r>
      <w:r w:rsidR="008850CA">
        <w:t>use</w:t>
      </w:r>
      <w:r w:rsidRPr="007700D7">
        <w:t xml:space="preserve"> </w:t>
      </w:r>
      <w:r w:rsidRPr="002627CA">
        <w:t xml:space="preserve">patterns from </w:t>
      </w:r>
      <w:r>
        <w:t>energy efficiency</w:t>
      </w:r>
      <w:r w:rsidRPr="002627CA">
        <w:t xml:space="preserve"> only c</w:t>
      </w:r>
      <w:r>
        <w:t xml:space="preserve">hanged the </w:t>
      </w:r>
      <w:r w:rsidR="00691932">
        <w:t xml:space="preserve">electric </w:t>
      </w:r>
      <w:r>
        <w:t xml:space="preserve">revenue requirement </w:t>
      </w:r>
      <w:r w:rsidR="00691932">
        <w:t>0.21</w:t>
      </w:r>
      <w:r w:rsidRPr="002627CA">
        <w:t xml:space="preserve"> percent</w:t>
      </w:r>
      <w:r w:rsidR="00DD0F39">
        <w:t>,</w:t>
      </w:r>
      <w:r w:rsidR="00691932">
        <w:t xml:space="preserve"> or $4.5 million</w:t>
      </w:r>
      <w:r w:rsidR="00DD0F39">
        <w:t>,</w:t>
      </w:r>
      <w:r w:rsidR="00691932">
        <w:t xml:space="preserve"> and the gas revenue requirement 0.09 percent</w:t>
      </w:r>
      <w:r w:rsidR="00DD0F39">
        <w:t>,</w:t>
      </w:r>
      <w:r w:rsidR="00691932">
        <w:t xml:space="preserve"> or $0.9 million</w:t>
      </w:r>
      <w:r>
        <w:t>.</w:t>
      </w:r>
      <w:r w:rsidR="0079504B">
        <w:rPr>
          <w:rStyle w:val="FootnoteReference"/>
        </w:rPr>
        <w:footnoteReference w:id="32"/>
      </w:r>
      <w:r w:rsidR="00DD0F39">
        <w:t xml:space="preserve">  </w:t>
      </w:r>
    </w:p>
    <w:p w:rsidR="00302846" w:rsidRDefault="00302846" w:rsidP="00735463"/>
    <w:p w:rsidR="00302846" w:rsidRDefault="005846F6" w:rsidP="004D6DD3">
      <w:pPr>
        <w:pStyle w:val="Heading3"/>
      </w:pPr>
      <w:r>
        <w:t>Q.</w:t>
      </w:r>
      <w:r>
        <w:tab/>
      </w:r>
      <w:r w:rsidR="00302846">
        <w:t>Please summarize your testimony on the CSA.</w:t>
      </w:r>
    </w:p>
    <w:p w:rsidR="00302846" w:rsidRDefault="005846F6" w:rsidP="005846F6">
      <w:r>
        <w:rPr>
          <w:bCs/>
        </w:rPr>
        <w:t>A.</w:t>
      </w:r>
      <w:r>
        <w:rPr>
          <w:bCs/>
        </w:rPr>
        <w:tab/>
      </w:r>
      <w:r w:rsidR="00302846">
        <w:rPr>
          <w:bCs/>
        </w:rPr>
        <w:t xml:space="preserve">The Company’s case for the CSA is insufficient, and </w:t>
      </w:r>
      <w:r w:rsidR="00302846">
        <w:t xml:space="preserve">the Commission should therefore reject the CSA.  First, PSE failed to satisfy the Commission’s requirement that the Company address limited decoupling proposals in the context of the Commission’s Decoupling Policy Statement.  </w:t>
      </w:r>
    </w:p>
    <w:p w:rsidR="00302846" w:rsidRDefault="005846F6" w:rsidP="005846F6">
      <w:r>
        <w:tab/>
      </w:r>
      <w:r>
        <w:tab/>
      </w:r>
      <w:r w:rsidR="00302846">
        <w:t>Should the Commission see the need to go further, it should reject the CSA because the CSA is limited decoupling applied to electric operations, and as a matter of Commission policy, limited decoupling is confined to natural gas operations.  Should the Commission evaluate the reasons underlying that Commission policy, each such reason applies to the CSA</w:t>
      </w:r>
      <w:r w:rsidR="00BB1038">
        <w:t xml:space="preserve"> and supports rejection of the CSA</w:t>
      </w:r>
      <w:r w:rsidR="00302846">
        <w:t xml:space="preserve">.  Finally, the Commission should reject the CSA because the Company has not adequately supported the calculation of the adjustment. </w:t>
      </w:r>
    </w:p>
    <w:p w:rsidR="00DD0F39" w:rsidRDefault="00DD0F39" w:rsidP="005846F6"/>
    <w:p w:rsidR="00DD0F39" w:rsidRPr="00540219" w:rsidRDefault="00DD0F39" w:rsidP="00DD0F39">
      <w:pPr>
        <w:pStyle w:val="Heading3"/>
      </w:pPr>
      <w:r w:rsidRPr="00540219">
        <w:t>Q.</w:t>
      </w:r>
      <w:r w:rsidRPr="00540219">
        <w:tab/>
        <w:t xml:space="preserve">Does the Commission offer alternatives </w:t>
      </w:r>
      <w:r>
        <w:t xml:space="preserve">to </w:t>
      </w:r>
      <w:r w:rsidRPr="00540219">
        <w:t xml:space="preserve">decoupling in its </w:t>
      </w:r>
      <w:r>
        <w:t xml:space="preserve">Decoupling </w:t>
      </w:r>
      <w:r w:rsidRPr="00540219">
        <w:t>Policy Statement?</w:t>
      </w:r>
    </w:p>
    <w:p w:rsidR="00BB1038" w:rsidRDefault="00DD0F39" w:rsidP="00DD0F39">
      <w:r>
        <w:t>A.</w:t>
      </w:r>
      <w:r>
        <w:tab/>
        <w:t xml:space="preserve">Yes.  At page 21, paragraph 33 of the Decoupling Policy Statement, the Commission states that companies may file for direct conservation incentives along with their conservation target filings. </w:t>
      </w:r>
      <w:r w:rsidR="000F498A">
        <w:t xml:space="preserve"> </w:t>
      </w:r>
      <w:r>
        <w:t xml:space="preserve">PSE has chosen </w:t>
      </w:r>
      <w:r w:rsidR="00BB1038">
        <w:t xml:space="preserve">not </w:t>
      </w:r>
      <w:r>
        <w:t xml:space="preserve">to take advantage of this opportunity as of this date.  </w:t>
      </w:r>
    </w:p>
    <w:p w:rsidR="00621F95" w:rsidRDefault="00BB1038" w:rsidP="00E235D1">
      <w:r>
        <w:tab/>
      </w:r>
      <w:r>
        <w:tab/>
      </w:r>
      <w:r w:rsidR="00DD0F39">
        <w:t xml:space="preserve">At paragraph 34, the Commission </w:t>
      </w:r>
      <w:r>
        <w:t xml:space="preserve">also </w:t>
      </w:r>
      <w:r w:rsidR="00DD0F39">
        <w:t>specifically mentions attrition adjustments as another possible alternative to decoupling that it would consider</w:t>
      </w:r>
      <w:r>
        <w:t xml:space="preserve">.  </w:t>
      </w:r>
      <w:r w:rsidR="000F498A">
        <w:t xml:space="preserve">Staff witness </w:t>
      </w:r>
      <w:r w:rsidR="00DD0F39">
        <w:t xml:space="preserve">Mr. Elgin provides an extensive discussion of attrition adjustments.  He also describes an expedited </w:t>
      </w:r>
      <w:r w:rsidR="000F498A">
        <w:t>process</w:t>
      </w:r>
      <w:r w:rsidR="00621F95">
        <w:t xml:space="preserve"> as an alternative for the Company to add</w:t>
      </w:r>
      <w:r w:rsidR="00BA6786">
        <w:t>r</w:t>
      </w:r>
      <w:r w:rsidR="00621F95">
        <w:t>ess regulatory lag.</w:t>
      </w:r>
      <w:r w:rsidR="00302846">
        <w:tab/>
        <w:t xml:space="preserve"> </w:t>
      </w:r>
    </w:p>
    <w:p w:rsidR="005F663A" w:rsidRDefault="005F663A" w:rsidP="00735463">
      <w:pPr>
        <w:pStyle w:val="BodyTextIndent"/>
      </w:pPr>
    </w:p>
    <w:p w:rsidR="00285519" w:rsidRDefault="00285519" w:rsidP="005846F6">
      <w:pPr>
        <w:pStyle w:val="Heading3"/>
      </w:pPr>
      <w:r>
        <w:t>Q.</w:t>
      </w:r>
      <w:r>
        <w:tab/>
        <w:t>Does this conclude your testimony?</w:t>
      </w:r>
    </w:p>
    <w:p w:rsidR="00285519" w:rsidRDefault="00285519" w:rsidP="00735463">
      <w:r>
        <w:t>A.</w:t>
      </w:r>
      <w:r>
        <w:tab/>
        <w:t>Yes.</w:t>
      </w:r>
    </w:p>
    <w:p w:rsidR="00727A18" w:rsidRDefault="00727A18" w:rsidP="00735463">
      <w:bookmarkStart w:id="12" w:name="_GoBack"/>
      <w:bookmarkEnd w:id="12"/>
    </w:p>
    <w:sectPr w:rsidR="00727A18" w:rsidSect="004837F7">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7F7" w:rsidRDefault="004837F7" w:rsidP="00735463">
      <w:r>
        <w:separator/>
      </w:r>
    </w:p>
    <w:p w:rsidR="004837F7" w:rsidRDefault="004837F7" w:rsidP="00735463"/>
    <w:p w:rsidR="004837F7" w:rsidRDefault="004837F7" w:rsidP="00735463"/>
  </w:endnote>
  <w:endnote w:type="continuationSeparator" w:id="0">
    <w:p w:rsidR="004837F7" w:rsidRDefault="004837F7" w:rsidP="00735463">
      <w:r>
        <w:continuationSeparator/>
      </w:r>
    </w:p>
    <w:p w:rsidR="004837F7" w:rsidRDefault="004837F7" w:rsidP="00735463"/>
    <w:p w:rsidR="004837F7" w:rsidRDefault="004837F7" w:rsidP="00735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7F7" w:rsidRPr="004837F7" w:rsidRDefault="004837F7" w:rsidP="004837F7">
    <w:pPr>
      <w:pStyle w:val="Footer"/>
      <w:rPr>
        <w:sz w:val="20"/>
        <w:szCs w:val="20"/>
      </w:rPr>
    </w:pPr>
  </w:p>
  <w:p w:rsidR="004837F7" w:rsidRPr="004837F7" w:rsidRDefault="004837F7" w:rsidP="004837F7">
    <w:pPr>
      <w:pStyle w:val="Footer"/>
      <w:tabs>
        <w:tab w:val="clear" w:pos="9360"/>
        <w:tab w:val="right" w:pos="8820"/>
      </w:tabs>
      <w:rPr>
        <w:sz w:val="20"/>
        <w:szCs w:val="20"/>
      </w:rPr>
    </w:pPr>
    <w:r w:rsidRPr="004837F7">
      <w:rPr>
        <w:sz w:val="20"/>
        <w:szCs w:val="20"/>
      </w:rPr>
      <w:t>TESTIMONY OF DEBORAH J. REYNOLDS</w:t>
    </w:r>
    <w:r w:rsidRPr="004837F7">
      <w:rPr>
        <w:sz w:val="20"/>
        <w:szCs w:val="20"/>
      </w:rPr>
      <w:tab/>
    </w:r>
    <w:r w:rsidRPr="004837F7">
      <w:rPr>
        <w:sz w:val="20"/>
        <w:szCs w:val="20"/>
      </w:rPr>
      <w:tab/>
      <w:t>Exhibit No. ___ T (DJR-1T)</w:t>
    </w:r>
  </w:p>
  <w:p w:rsidR="004837F7" w:rsidRPr="004837F7" w:rsidRDefault="004837F7" w:rsidP="004837F7">
    <w:pPr>
      <w:tabs>
        <w:tab w:val="right" w:pos="8820"/>
      </w:tabs>
      <w:spacing w:line="240" w:lineRule="auto"/>
      <w:ind w:left="0" w:firstLine="0"/>
      <w:rPr>
        <w:sz w:val="20"/>
        <w:szCs w:val="20"/>
        <w:lang w:val="fr-FR"/>
      </w:rPr>
    </w:pPr>
    <w:r w:rsidRPr="004837F7">
      <w:rPr>
        <w:sz w:val="20"/>
        <w:szCs w:val="20"/>
      </w:rPr>
      <w:t>Dockets</w:t>
    </w:r>
    <w:r w:rsidRPr="004837F7">
      <w:rPr>
        <w:sz w:val="20"/>
        <w:szCs w:val="20"/>
        <w:lang w:val="fr-FR"/>
      </w:rPr>
      <w:t xml:space="preserve"> UE-111048/UG-111049</w:t>
    </w:r>
    <w:r w:rsidRPr="004837F7">
      <w:rPr>
        <w:sz w:val="20"/>
        <w:szCs w:val="20"/>
        <w:lang w:val="fr-FR"/>
      </w:rPr>
      <w:tab/>
      <w:t xml:space="preserve">Page </w:t>
    </w:r>
    <w:r w:rsidRPr="004837F7">
      <w:rPr>
        <w:rStyle w:val="PageNumber"/>
        <w:sz w:val="20"/>
        <w:szCs w:val="20"/>
      </w:rPr>
      <w:fldChar w:fldCharType="begin"/>
    </w:r>
    <w:r w:rsidRPr="004837F7">
      <w:rPr>
        <w:rStyle w:val="PageNumber"/>
        <w:sz w:val="20"/>
        <w:szCs w:val="20"/>
        <w:lang w:val="fr-FR"/>
      </w:rPr>
      <w:instrText xml:space="preserve"> PAGE </w:instrText>
    </w:r>
    <w:r w:rsidRPr="004837F7">
      <w:rPr>
        <w:rStyle w:val="PageNumber"/>
        <w:sz w:val="20"/>
        <w:szCs w:val="20"/>
      </w:rPr>
      <w:fldChar w:fldCharType="separate"/>
    </w:r>
    <w:r w:rsidR="00C31C60">
      <w:rPr>
        <w:rStyle w:val="PageNumber"/>
        <w:noProof/>
        <w:sz w:val="20"/>
        <w:szCs w:val="20"/>
        <w:lang w:val="fr-FR"/>
      </w:rPr>
      <w:t>i</w:t>
    </w:r>
    <w:r w:rsidRPr="004837F7">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7F7" w:rsidRDefault="004837F7" w:rsidP="00254B4E">
      <w:pPr>
        <w:spacing w:line="240" w:lineRule="auto"/>
      </w:pPr>
      <w:r>
        <w:separator/>
      </w:r>
    </w:p>
  </w:footnote>
  <w:footnote w:type="continuationSeparator" w:id="0">
    <w:p w:rsidR="004837F7" w:rsidRDefault="004837F7" w:rsidP="00735463">
      <w:r>
        <w:continuationSeparator/>
      </w:r>
    </w:p>
    <w:p w:rsidR="004837F7" w:rsidRDefault="004837F7" w:rsidP="00735463"/>
    <w:p w:rsidR="004837F7" w:rsidRDefault="004837F7" w:rsidP="00735463"/>
  </w:footnote>
  <w:footnote w:id="1">
    <w:p w:rsidR="00571D18" w:rsidRDefault="00571D18" w:rsidP="00571D18">
      <w:pPr>
        <w:pStyle w:val="FootnoteText"/>
      </w:pPr>
      <w:r w:rsidRPr="00FD7A64">
        <w:rPr>
          <w:rStyle w:val="FootnoteReference"/>
          <w:i/>
        </w:rPr>
        <w:footnoteRef/>
      </w:r>
      <w:r w:rsidRPr="00FD7A64">
        <w:rPr>
          <w:i/>
        </w:rPr>
        <w:t xml:space="preserve"> In the Matter of the Washington </w:t>
      </w:r>
      <w:r w:rsidRPr="00AE3442">
        <w:rPr>
          <w:i/>
        </w:rPr>
        <w:t>Utilities</w:t>
      </w:r>
      <w:r w:rsidRPr="004D0B85">
        <w:rPr>
          <w:i/>
        </w:rPr>
        <w:t xml:space="preserve"> </w:t>
      </w:r>
      <w:r>
        <w:rPr>
          <w:i/>
        </w:rPr>
        <w:t>and</w:t>
      </w:r>
      <w:r w:rsidRPr="004D0B85">
        <w:rPr>
          <w:i/>
        </w:rPr>
        <w:t xml:space="preserve"> Transp</w:t>
      </w:r>
      <w:r>
        <w:rPr>
          <w:i/>
        </w:rPr>
        <w:t>ortation</w:t>
      </w:r>
      <w:r w:rsidRPr="004D0B85">
        <w:rPr>
          <w:i/>
        </w:rPr>
        <w:t xml:space="preserve"> Com</w:t>
      </w:r>
      <w:r>
        <w:rPr>
          <w:i/>
        </w:rPr>
        <w:t>mission’s Investigation into Energy Conservation Incentives.</w:t>
      </w:r>
      <w:r w:rsidRPr="004D0B85">
        <w:t xml:space="preserve"> Docket U-100522, Report and Policy Statement on Regulatory Mechanisms, Including Decoupling, to Encourage Utilities to Meet or Exceed Their Conservation Targets (November 4, 2010)</w:t>
      </w:r>
      <w:r>
        <w:t xml:space="preserve"> </w:t>
      </w:r>
      <w:r w:rsidRPr="004D0B85">
        <w:t>(</w:t>
      </w:r>
      <w:r>
        <w:t>“</w:t>
      </w:r>
      <w:r w:rsidRPr="004D0B85">
        <w:t>Decoupling Policy Statement</w:t>
      </w:r>
      <w:r>
        <w:t>”</w:t>
      </w:r>
      <w:r w:rsidRPr="004D0B85">
        <w:t>).</w:t>
      </w:r>
    </w:p>
  </w:footnote>
  <w:footnote w:id="2">
    <w:p w:rsidR="004837F7" w:rsidRDefault="004837F7" w:rsidP="00114C75">
      <w:pPr>
        <w:pStyle w:val="FootnoteText"/>
      </w:pPr>
      <w:r>
        <w:rPr>
          <w:rStyle w:val="FootnoteReference"/>
        </w:rPr>
        <w:footnoteRef/>
      </w:r>
      <w:r>
        <w:t xml:space="preserve"> Schedules 448 and 449 are also outside the five percent band, and could be included in the discussion on Schedule 40.</w:t>
      </w:r>
      <w:r w:rsidR="00114C75">
        <w:t xml:space="preserve"> </w:t>
      </w:r>
    </w:p>
  </w:footnote>
  <w:footnote w:id="3">
    <w:p w:rsidR="004837F7" w:rsidRPr="00C47592" w:rsidRDefault="004837F7" w:rsidP="00114C75">
      <w:pPr>
        <w:pStyle w:val="FootnoteText"/>
      </w:pPr>
      <w:r w:rsidRPr="00C47592">
        <w:rPr>
          <w:rStyle w:val="FootnoteReference"/>
        </w:rPr>
        <w:footnoteRef/>
      </w:r>
      <w:r w:rsidRPr="00C47592">
        <w:t xml:space="preserve"> </w:t>
      </w:r>
      <w:r>
        <w:t xml:space="preserve">James C. </w:t>
      </w:r>
      <w:r w:rsidRPr="00C47592">
        <w:t xml:space="preserve">Bonbright, </w:t>
      </w:r>
      <w:r w:rsidRPr="00265593">
        <w:rPr>
          <w:i/>
        </w:rPr>
        <w:t>et al</w:t>
      </w:r>
      <w:r>
        <w:t>.</w:t>
      </w:r>
      <w:r w:rsidRPr="00C47592">
        <w:t xml:space="preserve"> </w:t>
      </w:r>
      <w:r w:rsidRPr="00C47592">
        <w:rPr>
          <w:i/>
        </w:rPr>
        <w:t>Principles of Public Utility Rates</w:t>
      </w:r>
      <w:r w:rsidRPr="00C47592">
        <w:t xml:space="preserve"> </w:t>
      </w:r>
      <w:r>
        <w:t xml:space="preserve">382-388 </w:t>
      </w:r>
      <w:r w:rsidRPr="00C47592">
        <w:t>(</w:t>
      </w:r>
      <w:r>
        <w:t xml:space="preserve">2nd ed. </w:t>
      </w:r>
      <w:r w:rsidRPr="00C47592">
        <w:t>1988).</w:t>
      </w:r>
    </w:p>
  </w:footnote>
  <w:footnote w:id="4">
    <w:p w:rsidR="004837F7" w:rsidRPr="00C47592" w:rsidRDefault="004837F7" w:rsidP="00114C75">
      <w:pPr>
        <w:pStyle w:val="FootnoteText"/>
      </w:pPr>
      <w:r w:rsidRPr="00C47592">
        <w:rPr>
          <w:rStyle w:val="FootnoteReference"/>
        </w:rPr>
        <w:footnoteRef/>
      </w:r>
      <w:r w:rsidRPr="00C47592">
        <w:t xml:space="preserve"> </w:t>
      </w:r>
      <w:r w:rsidRPr="00C47592">
        <w:rPr>
          <w:i/>
        </w:rPr>
        <w:t>WUTC v. Puget Sound Energy, Inc.,</w:t>
      </w:r>
      <w:r w:rsidRPr="00C47592">
        <w:t xml:space="preserve"> Dockets UE-060266 and UG-060267, Order 08, ¶¶ 139 (January 5, 2007).</w:t>
      </w:r>
    </w:p>
  </w:footnote>
  <w:footnote w:id="5">
    <w:p w:rsidR="004837F7" w:rsidRPr="00C47592" w:rsidRDefault="004837F7" w:rsidP="00114C75">
      <w:pPr>
        <w:pStyle w:val="FootnoteText"/>
      </w:pPr>
      <w:r w:rsidRPr="00C47592">
        <w:rPr>
          <w:rStyle w:val="FootnoteReference"/>
        </w:rPr>
        <w:footnoteRef/>
      </w:r>
      <w:r w:rsidRPr="00C47592">
        <w:t xml:space="preserve"> </w:t>
      </w:r>
      <w:r>
        <w:t xml:space="preserve">Peter </w:t>
      </w:r>
      <w:r w:rsidRPr="00C47592">
        <w:t>Cappers, et al.</w:t>
      </w:r>
      <w:r>
        <w:t>,</w:t>
      </w:r>
      <w:r w:rsidRPr="00C47592">
        <w:t xml:space="preserve"> </w:t>
      </w:r>
      <w:r w:rsidRPr="00265593">
        <w:t>Financial Analysis of Incentive Mechanisms to Promote Energy Efficiency: Case Study of a Prototypical Southwest Utility</w:t>
      </w:r>
      <w:r>
        <w:t xml:space="preserve"> at 7,</w:t>
      </w:r>
      <w:r w:rsidRPr="00C47592">
        <w:t xml:space="preserve"> Ernest Orlando Lawrence Berkeley National Laboratory </w:t>
      </w:r>
      <w:r>
        <w:t>(</w:t>
      </w:r>
      <w:r w:rsidRPr="00C47592">
        <w:t>March 2009</w:t>
      </w:r>
      <w:r>
        <w:t>)</w:t>
      </w:r>
      <w:r w:rsidRPr="00C47592">
        <w:t xml:space="preserve">. LBNL-1598E. </w:t>
      </w:r>
    </w:p>
  </w:footnote>
  <w:footnote w:id="6">
    <w:p w:rsidR="004837F7" w:rsidRDefault="004837F7" w:rsidP="00114C75">
      <w:pPr>
        <w:pStyle w:val="FootnoteText"/>
      </w:pPr>
      <w:r w:rsidRPr="00C47592">
        <w:rPr>
          <w:rStyle w:val="FootnoteReference"/>
        </w:rPr>
        <w:footnoteRef/>
      </w:r>
      <w:r w:rsidRPr="00C47592">
        <w:t xml:space="preserve"> </w:t>
      </w:r>
      <w:r w:rsidRPr="00C47592">
        <w:rPr>
          <w:i/>
        </w:rPr>
        <w:t>WUTC v. Puget Sound Energy, Inc.,</w:t>
      </w:r>
      <w:r w:rsidRPr="00C47592">
        <w:t xml:space="preserve"> Dockets UE-060266 and UG-060267, Order 08 at ¶¶145-158 (January 5, 2007).</w:t>
      </w:r>
    </w:p>
  </w:footnote>
  <w:footnote w:id="7">
    <w:p w:rsidR="004837F7" w:rsidRDefault="004837F7" w:rsidP="00114C75">
      <w:pPr>
        <w:pStyle w:val="FootnoteText"/>
      </w:pPr>
      <w:r w:rsidRPr="00C47592">
        <w:rPr>
          <w:rStyle w:val="FootnoteReference"/>
        </w:rPr>
        <w:footnoteRef/>
      </w:r>
      <w:r w:rsidRPr="00C47592">
        <w:t xml:space="preserve"> </w:t>
      </w:r>
      <w:r w:rsidRPr="00C47592">
        <w:rPr>
          <w:i/>
        </w:rPr>
        <w:t>WUTC v. PacifiCorp,</w:t>
      </w:r>
      <w:r w:rsidRPr="00C47592">
        <w:t xml:space="preserve"> Docket UE-050684, Order 05 at ¶¶ 103-110 (June 28, 2006).</w:t>
      </w:r>
    </w:p>
  </w:footnote>
  <w:footnote w:id="8">
    <w:p w:rsidR="004837F7" w:rsidRDefault="004837F7" w:rsidP="00114C75">
      <w:pPr>
        <w:pStyle w:val="FootnoteText"/>
      </w:pPr>
      <w:r w:rsidRPr="00C47592">
        <w:rPr>
          <w:rStyle w:val="FootnoteReference"/>
        </w:rPr>
        <w:footnoteRef/>
      </w:r>
      <w:r w:rsidRPr="00C47592">
        <w:rPr>
          <w:i/>
        </w:rPr>
        <w:t>Rulemaking to Review Natural Gas Decoupling</w:t>
      </w:r>
      <w:r w:rsidRPr="00C47592">
        <w:t>, Docket UG-050369, Notice of Withdrawal of Rulemaking (October 17, 2005).</w:t>
      </w:r>
    </w:p>
  </w:footnote>
  <w:footnote w:id="9">
    <w:p w:rsidR="004837F7" w:rsidRDefault="004837F7" w:rsidP="00114C75">
      <w:pPr>
        <w:pStyle w:val="FootnoteText"/>
      </w:pPr>
      <w:r w:rsidRPr="00732550">
        <w:rPr>
          <w:rStyle w:val="FootnoteReference"/>
        </w:rPr>
        <w:footnoteRef/>
      </w:r>
      <w:r w:rsidRPr="00732550">
        <w:rPr>
          <w:i/>
        </w:rPr>
        <w:t>WUTC v. Puget Sound Energy, Inc.,</w:t>
      </w:r>
      <w:r w:rsidRPr="00732550">
        <w:t xml:space="preserve"> Dockets UE-060266 and UG-060267, Order 08, ¶¶ 59-63 (January 5, 2007).</w:t>
      </w:r>
    </w:p>
  </w:footnote>
  <w:footnote w:id="10">
    <w:p w:rsidR="004837F7" w:rsidRDefault="004837F7" w:rsidP="00114C75">
      <w:pPr>
        <w:pStyle w:val="FootnoteText"/>
      </w:pPr>
      <w:r w:rsidRPr="00732550">
        <w:rPr>
          <w:rStyle w:val="FootnoteReference"/>
        </w:rPr>
        <w:footnoteRef/>
      </w:r>
      <w:r w:rsidRPr="00732550">
        <w:rPr>
          <w:i/>
        </w:rPr>
        <w:t>WUTC v. Cascade Natural Gas Corporation</w:t>
      </w:r>
      <w:r w:rsidRPr="00732550">
        <w:t xml:space="preserve">, Docket UG-060256, Order 06, ¶¶ 67-85 (January 12, 2007). </w:t>
      </w:r>
    </w:p>
  </w:footnote>
  <w:footnote w:id="11">
    <w:p w:rsidR="004837F7" w:rsidRDefault="004837F7" w:rsidP="00114C75">
      <w:pPr>
        <w:pStyle w:val="FootnoteText"/>
      </w:pPr>
      <w:r w:rsidRPr="00C47592">
        <w:rPr>
          <w:rStyle w:val="FootnoteReference"/>
        </w:rPr>
        <w:footnoteRef/>
      </w:r>
      <w:r w:rsidRPr="00C47592">
        <w:t xml:space="preserve"> </w:t>
      </w:r>
      <w:r w:rsidRPr="00C47592">
        <w:rPr>
          <w:i/>
        </w:rPr>
        <w:t>WUTC v. Avista Utilities,</w:t>
      </w:r>
      <w:r w:rsidRPr="00C47592">
        <w:t xml:space="preserve"> Docket UG-060518, Order 04, ¶¶ 1-49 (February 1, 2007).</w:t>
      </w:r>
    </w:p>
  </w:footnote>
  <w:footnote w:id="12">
    <w:p w:rsidR="004837F7" w:rsidRDefault="004837F7" w:rsidP="00114C75">
      <w:pPr>
        <w:pStyle w:val="FootnoteText"/>
      </w:pPr>
      <w:r>
        <w:rPr>
          <w:rStyle w:val="FootnoteReference"/>
        </w:rPr>
        <w:footnoteRef/>
      </w:r>
      <w:r>
        <w:t xml:space="preserve"> </w:t>
      </w:r>
      <w:r w:rsidRPr="00C47592">
        <w:rPr>
          <w:i/>
        </w:rPr>
        <w:t>WUTC v. Avista Utilities,</w:t>
      </w:r>
      <w:r w:rsidRPr="00C47592">
        <w:t xml:space="preserve"> Docket</w:t>
      </w:r>
      <w:r>
        <w:t>s</w:t>
      </w:r>
      <w:r w:rsidRPr="00C47592">
        <w:t xml:space="preserve"> </w:t>
      </w:r>
      <w:r>
        <w:t xml:space="preserve">UE-090134, UG-090135 and </w:t>
      </w:r>
      <w:r w:rsidRPr="00C47592">
        <w:t>UG-060518,</w:t>
      </w:r>
      <w:r>
        <w:t xml:space="preserve"> </w:t>
      </w:r>
      <w:r w:rsidRPr="00C47592">
        <w:t xml:space="preserve">Order </w:t>
      </w:r>
      <w:r>
        <w:t>10</w:t>
      </w:r>
      <w:r w:rsidRPr="00C47592">
        <w:t xml:space="preserve">, ¶¶ </w:t>
      </w:r>
      <w:r>
        <w:t>236-309</w:t>
      </w:r>
      <w:r w:rsidRPr="00C47592">
        <w:t xml:space="preserve"> (</w:t>
      </w:r>
      <w:r>
        <w:t>December 22, 2009</w:t>
      </w:r>
      <w:r w:rsidRPr="00C47592">
        <w:t>).</w:t>
      </w:r>
    </w:p>
  </w:footnote>
  <w:footnote w:id="13">
    <w:p w:rsidR="004837F7" w:rsidRDefault="004837F7" w:rsidP="00114C75">
      <w:pPr>
        <w:pStyle w:val="FootnoteText"/>
      </w:pPr>
      <w:r>
        <w:rPr>
          <w:rStyle w:val="FootnoteReference"/>
        </w:rPr>
        <w:footnoteRef/>
      </w:r>
      <w:r>
        <w:t xml:space="preserve"> Decoupling Policy Statement at 8, ¶ 12, Item 1. </w:t>
      </w:r>
    </w:p>
  </w:footnote>
  <w:footnote w:id="14">
    <w:p w:rsidR="004837F7" w:rsidRDefault="004837F7" w:rsidP="00114C75">
      <w:pPr>
        <w:pStyle w:val="FootnoteText"/>
      </w:pPr>
      <w:r>
        <w:rPr>
          <w:rStyle w:val="FootnoteReference"/>
        </w:rPr>
        <w:footnoteRef/>
      </w:r>
      <w:r>
        <w:t xml:space="preserve"> Decoupling Policy Statement at 6, ¶ 9.</w:t>
      </w:r>
    </w:p>
  </w:footnote>
  <w:footnote w:id="15">
    <w:p w:rsidR="004837F7" w:rsidRDefault="004837F7" w:rsidP="00114C75">
      <w:pPr>
        <w:pStyle w:val="FootnoteText"/>
      </w:pPr>
      <w:r>
        <w:rPr>
          <w:rStyle w:val="FootnoteReference"/>
        </w:rPr>
        <w:footnoteRef/>
      </w:r>
      <w:r>
        <w:t xml:space="preserve"> Decoupling Policy Statement at 21, ¶ 33.  RCW 80.28.260(2) states that the Commission may adopt incentive rates of return or other policies to encourage investment in </w:t>
      </w:r>
      <w:r w:rsidRPr="005B4782">
        <w:t>“</w:t>
      </w:r>
      <w:r w:rsidRPr="00265593">
        <w:t>additional”</w:t>
      </w:r>
      <w:r>
        <w:t xml:space="preserve"> energy efficiency programs. </w:t>
      </w:r>
    </w:p>
  </w:footnote>
  <w:footnote w:id="16">
    <w:p w:rsidR="004837F7" w:rsidRDefault="004837F7" w:rsidP="00114C75">
      <w:pPr>
        <w:pStyle w:val="FootnoteText"/>
      </w:pPr>
      <w:r>
        <w:rPr>
          <w:rStyle w:val="FootnoteReference"/>
        </w:rPr>
        <w:footnoteRef/>
      </w:r>
      <w:r>
        <w:t xml:space="preserve"> Decoupling Policy Statement at 19, 20 ¶ 30.  </w:t>
      </w:r>
    </w:p>
  </w:footnote>
  <w:footnote w:id="17">
    <w:p w:rsidR="004837F7" w:rsidRDefault="004837F7" w:rsidP="00114C75">
      <w:pPr>
        <w:pStyle w:val="FootnoteText"/>
      </w:pPr>
      <w:r w:rsidRPr="002C7F79">
        <w:rPr>
          <w:rStyle w:val="FootnoteReference"/>
        </w:rPr>
        <w:footnoteRef/>
      </w:r>
      <w:r w:rsidRPr="002C7F79">
        <w:t xml:space="preserve"> Decoupling Policy Statement at 23, ¶ 36</w:t>
      </w:r>
      <w:r>
        <w:t xml:space="preserve"> (emphasis added)</w:t>
      </w:r>
      <w:r w:rsidRPr="002C7F79">
        <w:t>.</w:t>
      </w:r>
    </w:p>
  </w:footnote>
  <w:footnote w:id="18">
    <w:p w:rsidR="004837F7" w:rsidRDefault="004837F7" w:rsidP="00114C75">
      <w:pPr>
        <w:pStyle w:val="FootnoteText"/>
      </w:pPr>
      <w:r>
        <w:rPr>
          <w:rStyle w:val="FootnoteReference"/>
        </w:rPr>
        <w:footnoteRef/>
      </w:r>
      <w:r>
        <w:t xml:space="preserve"> </w:t>
      </w:r>
      <w:r w:rsidRPr="002C7F79">
        <w:t xml:space="preserve">Decoupling Policy Statement at </w:t>
      </w:r>
      <w:r>
        <w:t>13</w:t>
      </w:r>
      <w:r w:rsidRPr="002C7F79">
        <w:t xml:space="preserve">, ¶ </w:t>
      </w:r>
      <w:r>
        <w:t>19</w:t>
      </w:r>
      <w:r w:rsidRPr="002C7F79">
        <w:t>.</w:t>
      </w:r>
    </w:p>
  </w:footnote>
  <w:footnote w:id="19">
    <w:p w:rsidR="004837F7" w:rsidRDefault="004837F7" w:rsidP="00114C75">
      <w:pPr>
        <w:pStyle w:val="FootnoteText"/>
      </w:pPr>
      <w:r>
        <w:rPr>
          <w:rStyle w:val="FootnoteReference"/>
        </w:rPr>
        <w:footnoteRef/>
      </w:r>
      <w:r>
        <w:t xml:space="preserve"> </w:t>
      </w:r>
      <w:r w:rsidRPr="002C7F79">
        <w:t xml:space="preserve">Decoupling Policy Statement at </w:t>
      </w:r>
      <w:r>
        <w:t>13</w:t>
      </w:r>
      <w:r w:rsidRPr="002C7F79">
        <w:t xml:space="preserve">, ¶ </w:t>
      </w:r>
      <w:r>
        <w:t>20.</w:t>
      </w:r>
    </w:p>
  </w:footnote>
  <w:footnote w:id="20">
    <w:p w:rsidR="004837F7" w:rsidRDefault="004837F7" w:rsidP="00114C75">
      <w:pPr>
        <w:pStyle w:val="FootnoteText"/>
      </w:pPr>
      <w:r>
        <w:rPr>
          <w:rStyle w:val="FootnoteReference"/>
        </w:rPr>
        <w:footnoteRef/>
      </w:r>
      <w:r>
        <w:t xml:space="preserve"> </w:t>
      </w:r>
      <w:r w:rsidRPr="002C7F79">
        <w:t xml:space="preserve">Decoupling Policy Statement at </w:t>
      </w:r>
      <w:r>
        <w:t>8</w:t>
      </w:r>
      <w:r w:rsidRPr="002C7F79">
        <w:t xml:space="preserve">, ¶ </w:t>
      </w:r>
      <w:r>
        <w:t>12</w:t>
      </w:r>
      <w:r w:rsidRPr="002C7F79">
        <w:t>.</w:t>
      </w:r>
      <w:r>
        <w:t xml:space="preserve">  (</w:t>
      </w:r>
      <w:r w:rsidRPr="00CE6EF8">
        <w:rPr>
          <w:i/>
        </w:rPr>
        <w:t>Emphasis added</w:t>
      </w:r>
      <w:r>
        <w:rPr>
          <w:i/>
        </w:rPr>
        <w:t>)</w:t>
      </w:r>
      <w:r w:rsidRPr="00CE6EF8">
        <w:rPr>
          <w:i/>
        </w:rPr>
        <w:t>.</w:t>
      </w:r>
    </w:p>
  </w:footnote>
  <w:footnote w:id="21">
    <w:p w:rsidR="004837F7" w:rsidRDefault="004837F7" w:rsidP="00114C75">
      <w:pPr>
        <w:pStyle w:val="FootnoteText"/>
      </w:pPr>
      <w:r>
        <w:rPr>
          <w:rStyle w:val="FootnoteReference"/>
        </w:rPr>
        <w:footnoteRef/>
      </w:r>
      <w:r>
        <w:t xml:space="preserve">  </w:t>
      </w:r>
      <w:hyperlink r:id="rId1" w:history="1">
        <w:r w:rsidRPr="00884EB0">
          <w:rPr>
            <w:rStyle w:val="Hyperlink"/>
          </w:rPr>
          <w:t>http://www.utc.wa.gov/regulatedIndustries/utilities/energy/Pages/financialDataForElectricCompanies.aspx</w:t>
        </w:r>
      </w:hyperlink>
      <w:r>
        <w:t xml:space="preserve"> </w:t>
      </w:r>
    </w:p>
  </w:footnote>
  <w:footnote w:id="22">
    <w:p w:rsidR="004837F7" w:rsidRDefault="004837F7" w:rsidP="00114C75">
      <w:pPr>
        <w:pStyle w:val="FootnoteText"/>
      </w:pPr>
      <w:r>
        <w:rPr>
          <w:rStyle w:val="FootnoteReference"/>
        </w:rPr>
        <w:footnoteRef/>
      </w:r>
      <w:r>
        <w:t xml:space="preserve"> PSE Response to Staff Data Request 96, Attachment A.</w:t>
      </w:r>
    </w:p>
  </w:footnote>
  <w:footnote w:id="23">
    <w:p w:rsidR="004837F7" w:rsidRDefault="004837F7" w:rsidP="00114C75">
      <w:pPr>
        <w:pStyle w:val="FootnoteText"/>
      </w:pPr>
      <w:r>
        <w:rPr>
          <w:rStyle w:val="FootnoteReference"/>
        </w:rPr>
        <w:footnoteRef/>
      </w:r>
      <w:r>
        <w:t xml:space="preserve"> </w:t>
      </w:r>
      <w:hyperlink r:id="rId2" w:history="1">
        <w:r w:rsidRPr="00884EB0">
          <w:rPr>
            <w:rStyle w:val="Hyperlink"/>
          </w:rPr>
          <w:t>http://www.utc.wa.gov/regulatedIndustries/utilities/energy/Pages/financialDataForGasCompanies.aspx</w:t>
        </w:r>
      </w:hyperlink>
      <w:r>
        <w:t xml:space="preserve"> </w:t>
      </w:r>
    </w:p>
  </w:footnote>
  <w:footnote w:id="24">
    <w:p w:rsidR="004837F7" w:rsidRDefault="004837F7" w:rsidP="00114C75">
      <w:pPr>
        <w:pStyle w:val="FootnoteText"/>
      </w:pPr>
      <w:r w:rsidRPr="00C47592">
        <w:rPr>
          <w:rStyle w:val="FootnoteReference"/>
        </w:rPr>
        <w:footnoteRef/>
      </w:r>
      <w:r w:rsidRPr="00C47592">
        <w:t xml:space="preserve"> RLW Analytics, Inc., </w:t>
      </w:r>
      <w:r w:rsidRPr="00C47592">
        <w:rPr>
          <w:i/>
        </w:rPr>
        <w:t>Residential New Construction (Single and Multi-Family) Billing Analysis</w:t>
      </w:r>
      <w:r w:rsidRPr="00C47592">
        <w:t xml:space="preserve"> (Portland, OR: Northwest Energy Efficiency Alliance)</w:t>
      </w:r>
      <w:r>
        <w:t>,</w:t>
      </w:r>
      <w:r w:rsidRPr="007551C2">
        <w:rPr>
          <w:szCs w:val="22"/>
        </w:rPr>
        <w:t xml:space="preserve"> </w:t>
      </w:r>
      <w:hyperlink r:id="rId3" w:history="1">
        <w:r w:rsidRPr="00FD7A64">
          <w:rPr>
            <w:rStyle w:val="Hyperlink"/>
            <w:szCs w:val="22"/>
          </w:rPr>
          <w:t>http://www.nwalliance.org</w:t>
        </w:r>
      </w:hyperlink>
      <w:r w:rsidRPr="00C47592">
        <w:t xml:space="preserve"> </w:t>
      </w:r>
      <w:r>
        <w:t>(</w:t>
      </w:r>
      <w:r w:rsidRPr="00C47592">
        <w:t>October 11, 2007</w:t>
      </w:r>
      <w:r>
        <w:t>)</w:t>
      </w:r>
      <w:r w:rsidRPr="00C47592">
        <w:t>.</w:t>
      </w:r>
    </w:p>
  </w:footnote>
  <w:footnote w:id="25">
    <w:p w:rsidR="004837F7" w:rsidRDefault="004837F7" w:rsidP="00114C75">
      <w:pPr>
        <w:pStyle w:val="FootnoteText"/>
      </w:pPr>
      <w:r w:rsidRPr="00C47592">
        <w:rPr>
          <w:rStyle w:val="FootnoteReference"/>
        </w:rPr>
        <w:footnoteRef/>
      </w:r>
      <w:r w:rsidRPr="00C47592">
        <w:t xml:space="preserve"> Calculated from Puget Sound Energy’s conservation potential assessment, available in Docket UE-080949.</w:t>
      </w:r>
    </w:p>
  </w:footnote>
  <w:footnote w:id="26">
    <w:p w:rsidR="004837F7" w:rsidRDefault="004837F7" w:rsidP="00114C75">
      <w:pPr>
        <w:pStyle w:val="FootnoteText"/>
      </w:pPr>
      <w:r>
        <w:rPr>
          <w:rStyle w:val="FootnoteReference"/>
        </w:rPr>
        <w:footnoteRef/>
      </w:r>
      <w:r>
        <w:t xml:space="preserve"> PSE Response to Staff Data Request 95, Attachments A - C.</w:t>
      </w:r>
    </w:p>
  </w:footnote>
  <w:footnote w:id="27">
    <w:p w:rsidR="004837F7" w:rsidRDefault="004837F7" w:rsidP="00114C75">
      <w:pPr>
        <w:pStyle w:val="FootnoteText"/>
      </w:pPr>
      <w:r>
        <w:rPr>
          <w:rStyle w:val="FootnoteReference"/>
        </w:rPr>
        <w:footnoteRef/>
      </w:r>
      <w:r>
        <w:t xml:space="preserve"> </w:t>
      </w:r>
      <w:r w:rsidRPr="002C7F79">
        <w:t xml:space="preserve">Decoupling Policy Statement at </w:t>
      </w:r>
      <w:r>
        <w:t>15</w:t>
      </w:r>
      <w:r w:rsidRPr="002C7F79">
        <w:t xml:space="preserve">, ¶ </w:t>
      </w:r>
      <w:r>
        <w:t>23.</w:t>
      </w:r>
    </w:p>
  </w:footnote>
  <w:footnote w:id="28">
    <w:p w:rsidR="004837F7" w:rsidRDefault="004837F7" w:rsidP="00114C75">
      <w:pPr>
        <w:pStyle w:val="FootnoteText"/>
      </w:pPr>
      <w:r>
        <w:rPr>
          <w:rStyle w:val="FootnoteReference"/>
        </w:rPr>
        <w:footnoteRef/>
      </w:r>
      <w:r>
        <w:t xml:space="preserve"> PSE 2010/Q4 FERC Form No. 1, pages 123.4-123.5, April 15, 2011.</w:t>
      </w:r>
    </w:p>
  </w:footnote>
  <w:footnote w:id="29">
    <w:p w:rsidR="004837F7" w:rsidRDefault="004837F7" w:rsidP="00114C75">
      <w:pPr>
        <w:pStyle w:val="FootnoteText"/>
      </w:pPr>
      <w:r>
        <w:rPr>
          <w:rStyle w:val="FootnoteReference"/>
        </w:rPr>
        <w:footnoteRef/>
      </w:r>
      <w:r>
        <w:t xml:space="preserve"> </w:t>
      </w:r>
      <w:r w:rsidRPr="002C7F79">
        <w:t xml:space="preserve">Decoupling Policy Statement at </w:t>
      </w:r>
      <w:r>
        <w:t>15</w:t>
      </w:r>
      <w:r w:rsidRPr="002C7F79">
        <w:t xml:space="preserve">, ¶ </w:t>
      </w:r>
      <w:r>
        <w:t>24.</w:t>
      </w:r>
    </w:p>
  </w:footnote>
  <w:footnote w:id="30">
    <w:p w:rsidR="004837F7" w:rsidRDefault="004837F7" w:rsidP="00114C75">
      <w:pPr>
        <w:pStyle w:val="FootnoteText"/>
      </w:pPr>
      <w:r>
        <w:rPr>
          <w:rStyle w:val="FootnoteReference"/>
        </w:rPr>
        <w:footnoteRef/>
      </w:r>
      <w:r>
        <w:t xml:space="preserve"> </w:t>
      </w:r>
      <w:r w:rsidRPr="002C7F79">
        <w:t xml:space="preserve">Decoupling Policy Statement at </w:t>
      </w:r>
      <w:r>
        <w:t>21</w:t>
      </w:r>
      <w:r w:rsidRPr="002C7F79">
        <w:t xml:space="preserve">, ¶ </w:t>
      </w:r>
      <w:r>
        <w:t>33.</w:t>
      </w:r>
    </w:p>
  </w:footnote>
  <w:footnote w:id="31">
    <w:p w:rsidR="004837F7" w:rsidRDefault="004837F7" w:rsidP="00114C75">
      <w:pPr>
        <w:pStyle w:val="FootnoteText"/>
      </w:pPr>
      <w:r>
        <w:rPr>
          <w:rStyle w:val="FootnoteReference"/>
        </w:rPr>
        <w:footnoteRef/>
      </w:r>
      <w:r>
        <w:t xml:space="preserve"> See Staff Open Meeting Memo, Docket UG-110790, June 30, 2011.  </w:t>
      </w:r>
      <w:hyperlink r:id="rId4" w:history="1">
        <w:r w:rsidRPr="00884EB0">
          <w:rPr>
            <w:rStyle w:val="Hyperlink"/>
          </w:rPr>
          <w:t>http://www.wutc.wa.gov/rms2.nsf/177d98baa5918c7388256a550064a61e/49bf6f43e61f6e28882578bc007c1bbd!OpenDocument</w:t>
        </w:r>
      </w:hyperlink>
      <w:r>
        <w:t xml:space="preserve"> </w:t>
      </w:r>
    </w:p>
  </w:footnote>
  <w:footnote w:id="32">
    <w:p w:rsidR="004837F7" w:rsidRDefault="004837F7" w:rsidP="00114C75">
      <w:pPr>
        <w:pStyle w:val="FootnoteText"/>
      </w:pPr>
      <w:r>
        <w:rPr>
          <w:rStyle w:val="FootnoteReference"/>
        </w:rPr>
        <w:footnoteRef/>
      </w:r>
      <w:r>
        <w:t xml:space="preserve"> This calculation was performed by multiplying the proportion of total use reduction from the conservation savings estimates presented in Exhibits JAP-11 and JAP-12 and applying it to the rate case revenue and expenses presented in Exhibit JHS-4 and Exhibit MSJ-03.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4D17C1F"/>
    <w:multiLevelType w:val="hybridMultilevel"/>
    <w:tmpl w:val="1D06D0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4">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6">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10">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1">
    <w:nsid w:val="1B9F6312"/>
    <w:multiLevelType w:val="hybridMultilevel"/>
    <w:tmpl w:val="E4842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30CD6FFA"/>
    <w:multiLevelType w:val="hybridMultilevel"/>
    <w:tmpl w:val="27DA1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19">
    <w:nsid w:val="3F124C83"/>
    <w:multiLevelType w:val="hybridMultilevel"/>
    <w:tmpl w:val="C428CF10"/>
    <w:lvl w:ilvl="0" w:tplc="89CAB22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2">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4">
    <w:nsid w:val="45AA6066"/>
    <w:multiLevelType w:val="hybridMultilevel"/>
    <w:tmpl w:val="5A20FCE4"/>
    <w:lvl w:ilvl="0" w:tplc="4D9CD244">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7">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8">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29">
    <w:nsid w:val="540E6AFA"/>
    <w:multiLevelType w:val="hybridMultilevel"/>
    <w:tmpl w:val="C038C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1">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2">
    <w:nsid w:val="5F434654"/>
    <w:multiLevelType w:val="hybridMultilevel"/>
    <w:tmpl w:val="84FA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35">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8">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38"/>
  </w:num>
  <w:num w:numId="2">
    <w:abstractNumId w:val="28"/>
  </w:num>
  <w:num w:numId="3">
    <w:abstractNumId w:val="21"/>
  </w:num>
  <w:num w:numId="4">
    <w:abstractNumId w:val="3"/>
  </w:num>
  <w:num w:numId="5">
    <w:abstractNumId w:val="23"/>
  </w:num>
  <w:num w:numId="6">
    <w:abstractNumId w:val="18"/>
  </w:num>
  <w:num w:numId="7">
    <w:abstractNumId w:val="1"/>
  </w:num>
  <w:num w:numId="8">
    <w:abstractNumId w:val="10"/>
  </w:num>
  <w:num w:numId="9">
    <w:abstractNumId w:val="26"/>
  </w:num>
  <w:num w:numId="10">
    <w:abstractNumId w:val="5"/>
  </w:num>
  <w:num w:numId="11">
    <w:abstractNumId w:val="27"/>
  </w:num>
  <w:num w:numId="12">
    <w:abstractNumId w:val="34"/>
  </w:num>
  <w:num w:numId="13">
    <w:abstractNumId w:val="30"/>
  </w:num>
  <w:num w:numId="14">
    <w:abstractNumId w:val="9"/>
  </w:num>
  <w:num w:numId="15">
    <w:abstractNumId w:val="24"/>
  </w:num>
  <w:num w:numId="16">
    <w:abstractNumId w:val="31"/>
  </w:num>
  <w:num w:numId="17">
    <w:abstractNumId w:val="37"/>
  </w:num>
  <w:num w:numId="18">
    <w:abstractNumId w:val="12"/>
  </w:num>
  <w:num w:numId="19">
    <w:abstractNumId w:val="22"/>
  </w:num>
  <w:num w:numId="20">
    <w:abstractNumId w:val="16"/>
  </w:num>
  <w:num w:numId="21">
    <w:abstractNumId w:val="8"/>
  </w:num>
  <w:num w:numId="22">
    <w:abstractNumId w:val="0"/>
  </w:num>
  <w:num w:numId="23">
    <w:abstractNumId w:val="36"/>
  </w:num>
  <w:num w:numId="24">
    <w:abstractNumId w:val="20"/>
  </w:num>
  <w:num w:numId="25">
    <w:abstractNumId w:val="17"/>
  </w:num>
  <w:num w:numId="26">
    <w:abstractNumId w:val="33"/>
  </w:num>
  <w:num w:numId="27">
    <w:abstractNumId w:val="7"/>
  </w:num>
  <w:num w:numId="28">
    <w:abstractNumId w:val="35"/>
  </w:num>
  <w:num w:numId="29">
    <w:abstractNumId w:val="4"/>
  </w:num>
  <w:num w:numId="30">
    <w:abstractNumId w:val="14"/>
  </w:num>
  <w:num w:numId="31">
    <w:abstractNumId w:val="13"/>
  </w:num>
  <w:num w:numId="32">
    <w:abstractNumId w:val="19"/>
  </w:num>
  <w:num w:numId="33">
    <w:abstractNumId w:val="6"/>
  </w:num>
  <w:num w:numId="34">
    <w:abstractNumId w:val="25"/>
  </w:num>
  <w:num w:numId="35">
    <w:abstractNumId w:val="29"/>
  </w:num>
  <w:num w:numId="36">
    <w:abstractNumId w:val="11"/>
  </w:num>
  <w:num w:numId="37">
    <w:abstractNumId w:val="2"/>
  </w:num>
  <w:num w:numId="38">
    <w:abstractNumId w:val="19"/>
    <w:lvlOverride w:ilvl="0">
      <w:startOverride w:val="1"/>
    </w:lvlOverride>
  </w:num>
  <w:num w:numId="39">
    <w:abstractNumId w:val="3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45"/>
    <w:rsid w:val="00000B82"/>
    <w:rsid w:val="00000C41"/>
    <w:rsid w:val="00006524"/>
    <w:rsid w:val="00010BCB"/>
    <w:rsid w:val="00011C15"/>
    <w:rsid w:val="00012ACD"/>
    <w:rsid w:val="00012C47"/>
    <w:rsid w:val="0002210A"/>
    <w:rsid w:val="00025AD6"/>
    <w:rsid w:val="00026C24"/>
    <w:rsid w:val="000310A6"/>
    <w:rsid w:val="00033210"/>
    <w:rsid w:val="00034BAA"/>
    <w:rsid w:val="00042501"/>
    <w:rsid w:val="00047B93"/>
    <w:rsid w:val="00047C0D"/>
    <w:rsid w:val="00050D12"/>
    <w:rsid w:val="0006260D"/>
    <w:rsid w:val="00062651"/>
    <w:rsid w:val="0006604A"/>
    <w:rsid w:val="0006641A"/>
    <w:rsid w:val="00070168"/>
    <w:rsid w:val="00095125"/>
    <w:rsid w:val="0009774D"/>
    <w:rsid w:val="000A182E"/>
    <w:rsid w:val="000B173E"/>
    <w:rsid w:val="000B189D"/>
    <w:rsid w:val="000B2EEF"/>
    <w:rsid w:val="000B3DF2"/>
    <w:rsid w:val="000B4B34"/>
    <w:rsid w:val="000B7B28"/>
    <w:rsid w:val="000C46F3"/>
    <w:rsid w:val="000C7774"/>
    <w:rsid w:val="000D3ADB"/>
    <w:rsid w:val="000E6D54"/>
    <w:rsid w:val="000E7D80"/>
    <w:rsid w:val="000F2FF0"/>
    <w:rsid w:val="000F3D92"/>
    <w:rsid w:val="000F498A"/>
    <w:rsid w:val="000F524B"/>
    <w:rsid w:val="000F774F"/>
    <w:rsid w:val="00103512"/>
    <w:rsid w:val="00106C33"/>
    <w:rsid w:val="00106CDE"/>
    <w:rsid w:val="00111B2D"/>
    <w:rsid w:val="001127FB"/>
    <w:rsid w:val="00113061"/>
    <w:rsid w:val="00114C75"/>
    <w:rsid w:val="00115ED0"/>
    <w:rsid w:val="00122FEE"/>
    <w:rsid w:val="0013092E"/>
    <w:rsid w:val="00136C92"/>
    <w:rsid w:val="0014201D"/>
    <w:rsid w:val="00154470"/>
    <w:rsid w:val="00157B8E"/>
    <w:rsid w:val="00157DFA"/>
    <w:rsid w:val="001677A6"/>
    <w:rsid w:val="00170900"/>
    <w:rsid w:val="00171A74"/>
    <w:rsid w:val="00171F31"/>
    <w:rsid w:val="00174BB0"/>
    <w:rsid w:val="0017652B"/>
    <w:rsid w:val="00176691"/>
    <w:rsid w:val="00194585"/>
    <w:rsid w:val="00194BA1"/>
    <w:rsid w:val="00194DDB"/>
    <w:rsid w:val="001954C3"/>
    <w:rsid w:val="00195FE8"/>
    <w:rsid w:val="001A6B1B"/>
    <w:rsid w:val="001B0C8A"/>
    <w:rsid w:val="001C34CE"/>
    <w:rsid w:val="001D00F9"/>
    <w:rsid w:val="001D53CF"/>
    <w:rsid w:val="001D727C"/>
    <w:rsid w:val="001E28AF"/>
    <w:rsid w:val="001E67C8"/>
    <w:rsid w:val="001E6C82"/>
    <w:rsid w:val="001E6E76"/>
    <w:rsid w:val="001F30DF"/>
    <w:rsid w:val="001F608D"/>
    <w:rsid w:val="00204AB9"/>
    <w:rsid w:val="002051D2"/>
    <w:rsid w:val="002156E2"/>
    <w:rsid w:val="00217547"/>
    <w:rsid w:val="002227CE"/>
    <w:rsid w:val="002245FC"/>
    <w:rsid w:val="0023038B"/>
    <w:rsid w:val="00236A8C"/>
    <w:rsid w:val="00237241"/>
    <w:rsid w:val="00244A9E"/>
    <w:rsid w:val="00245484"/>
    <w:rsid w:val="002458B3"/>
    <w:rsid w:val="002466CB"/>
    <w:rsid w:val="00247F5A"/>
    <w:rsid w:val="0025428D"/>
    <w:rsid w:val="00254B4E"/>
    <w:rsid w:val="00261485"/>
    <w:rsid w:val="002646EA"/>
    <w:rsid w:val="00265593"/>
    <w:rsid w:val="00265A27"/>
    <w:rsid w:val="00267565"/>
    <w:rsid w:val="002757CF"/>
    <w:rsid w:val="002847C8"/>
    <w:rsid w:val="002847D3"/>
    <w:rsid w:val="00285519"/>
    <w:rsid w:val="00285F13"/>
    <w:rsid w:val="0028785C"/>
    <w:rsid w:val="00287D7E"/>
    <w:rsid w:val="00296628"/>
    <w:rsid w:val="002970F9"/>
    <w:rsid w:val="002A0469"/>
    <w:rsid w:val="002A1E65"/>
    <w:rsid w:val="002A4BCC"/>
    <w:rsid w:val="002B42A0"/>
    <w:rsid w:val="002B7A2B"/>
    <w:rsid w:val="002C32C0"/>
    <w:rsid w:val="002C36C4"/>
    <w:rsid w:val="002C5C65"/>
    <w:rsid w:val="002D1242"/>
    <w:rsid w:val="002D333A"/>
    <w:rsid w:val="002D4D77"/>
    <w:rsid w:val="002D4E71"/>
    <w:rsid w:val="002E0D2C"/>
    <w:rsid w:val="002F6C07"/>
    <w:rsid w:val="00301E74"/>
    <w:rsid w:val="00302846"/>
    <w:rsid w:val="00305F14"/>
    <w:rsid w:val="00306778"/>
    <w:rsid w:val="00307CFF"/>
    <w:rsid w:val="00313F92"/>
    <w:rsid w:val="00315A06"/>
    <w:rsid w:val="00315D18"/>
    <w:rsid w:val="00322C5A"/>
    <w:rsid w:val="003238C3"/>
    <w:rsid w:val="003272FB"/>
    <w:rsid w:val="003324CA"/>
    <w:rsid w:val="00336727"/>
    <w:rsid w:val="0034305F"/>
    <w:rsid w:val="00346C45"/>
    <w:rsid w:val="00354AB9"/>
    <w:rsid w:val="00361171"/>
    <w:rsid w:val="00361B78"/>
    <w:rsid w:val="00364456"/>
    <w:rsid w:val="00382E63"/>
    <w:rsid w:val="0039402D"/>
    <w:rsid w:val="00396C6F"/>
    <w:rsid w:val="00396F82"/>
    <w:rsid w:val="003A41DC"/>
    <w:rsid w:val="003A43E6"/>
    <w:rsid w:val="003A75C2"/>
    <w:rsid w:val="003B2C52"/>
    <w:rsid w:val="003B5FED"/>
    <w:rsid w:val="003C7EC6"/>
    <w:rsid w:val="003D253D"/>
    <w:rsid w:val="003D299E"/>
    <w:rsid w:val="003D681B"/>
    <w:rsid w:val="003E2DE6"/>
    <w:rsid w:val="003E7515"/>
    <w:rsid w:val="003F0610"/>
    <w:rsid w:val="003F1097"/>
    <w:rsid w:val="003F7692"/>
    <w:rsid w:val="00407489"/>
    <w:rsid w:val="0041413F"/>
    <w:rsid w:val="004144B7"/>
    <w:rsid w:val="00415799"/>
    <w:rsid w:val="00415DFE"/>
    <w:rsid w:val="004169F7"/>
    <w:rsid w:val="00417321"/>
    <w:rsid w:val="00420A40"/>
    <w:rsid w:val="00420EDD"/>
    <w:rsid w:val="00422305"/>
    <w:rsid w:val="00426929"/>
    <w:rsid w:val="00431DEA"/>
    <w:rsid w:val="004327CC"/>
    <w:rsid w:val="0043347F"/>
    <w:rsid w:val="00434778"/>
    <w:rsid w:val="004360BB"/>
    <w:rsid w:val="00436949"/>
    <w:rsid w:val="00436FF2"/>
    <w:rsid w:val="0044124A"/>
    <w:rsid w:val="004444A0"/>
    <w:rsid w:val="0045243D"/>
    <w:rsid w:val="00455266"/>
    <w:rsid w:val="00462095"/>
    <w:rsid w:val="004650E1"/>
    <w:rsid w:val="00465146"/>
    <w:rsid w:val="004675A9"/>
    <w:rsid w:val="0047046A"/>
    <w:rsid w:val="0047462C"/>
    <w:rsid w:val="00474E69"/>
    <w:rsid w:val="00475D6D"/>
    <w:rsid w:val="0047703B"/>
    <w:rsid w:val="00481A03"/>
    <w:rsid w:val="00482BD8"/>
    <w:rsid w:val="004837F7"/>
    <w:rsid w:val="00485C36"/>
    <w:rsid w:val="004877F0"/>
    <w:rsid w:val="0049220E"/>
    <w:rsid w:val="004931CA"/>
    <w:rsid w:val="00494209"/>
    <w:rsid w:val="00497CD4"/>
    <w:rsid w:val="004A3603"/>
    <w:rsid w:val="004A3836"/>
    <w:rsid w:val="004A6148"/>
    <w:rsid w:val="004B2467"/>
    <w:rsid w:val="004B58A9"/>
    <w:rsid w:val="004B7859"/>
    <w:rsid w:val="004C0365"/>
    <w:rsid w:val="004C1DA4"/>
    <w:rsid w:val="004C2016"/>
    <w:rsid w:val="004C38F5"/>
    <w:rsid w:val="004C3D46"/>
    <w:rsid w:val="004C5E3E"/>
    <w:rsid w:val="004C7A55"/>
    <w:rsid w:val="004D0379"/>
    <w:rsid w:val="004D13B2"/>
    <w:rsid w:val="004D4684"/>
    <w:rsid w:val="004D4CF0"/>
    <w:rsid w:val="004D5BCA"/>
    <w:rsid w:val="004D6DD3"/>
    <w:rsid w:val="004E7ADA"/>
    <w:rsid w:val="004F0383"/>
    <w:rsid w:val="004F03B6"/>
    <w:rsid w:val="004F1F14"/>
    <w:rsid w:val="005024AA"/>
    <w:rsid w:val="00503BF7"/>
    <w:rsid w:val="00507E59"/>
    <w:rsid w:val="0051150B"/>
    <w:rsid w:val="00511EB3"/>
    <w:rsid w:val="00514CE5"/>
    <w:rsid w:val="00531A8F"/>
    <w:rsid w:val="00535B6D"/>
    <w:rsid w:val="005376BE"/>
    <w:rsid w:val="00537DE0"/>
    <w:rsid w:val="00541DB1"/>
    <w:rsid w:val="00545DC0"/>
    <w:rsid w:val="0054677A"/>
    <w:rsid w:val="00565F4C"/>
    <w:rsid w:val="005662B4"/>
    <w:rsid w:val="00567D1D"/>
    <w:rsid w:val="00571D18"/>
    <w:rsid w:val="00580B1A"/>
    <w:rsid w:val="00580DA4"/>
    <w:rsid w:val="005846F6"/>
    <w:rsid w:val="00591942"/>
    <w:rsid w:val="00592062"/>
    <w:rsid w:val="00592EB5"/>
    <w:rsid w:val="005A03FC"/>
    <w:rsid w:val="005A2035"/>
    <w:rsid w:val="005A6E32"/>
    <w:rsid w:val="005A6F3A"/>
    <w:rsid w:val="005B4782"/>
    <w:rsid w:val="005C47FD"/>
    <w:rsid w:val="005C65ED"/>
    <w:rsid w:val="005C6F1B"/>
    <w:rsid w:val="005C75F7"/>
    <w:rsid w:val="005D5554"/>
    <w:rsid w:val="005E3639"/>
    <w:rsid w:val="005E4A92"/>
    <w:rsid w:val="005F073B"/>
    <w:rsid w:val="005F0D48"/>
    <w:rsid w:val="005F1B90"/>
    <w:rsid w:val="005F4E50"/>
    <w:rsid w:val="005F663A"/>
    <w:rsid w:val="005F6EFC"/>
    <w:rsid w:val="00607EEF"/>
    <w:rsid w:val="0061431F"/>
    <w:rsid w:val="00621F75"/>
    <w:rsid w:val="00621F95"/>
    <w:rsid w:val="00627B74"/>
    <w:rsid w:val="00630502"/>
    <w:rsid w:val="00632B9F"/>
    <w:rsid w:val="00662164"/>
    <w:rsid w:val="006621FE"/>
    <w:rsid w:val="00663909"/>
    <w:rsid w:val="006646D2"/>
    <w:rsid w:val="00667FF4"/>
    <w:rsid w:val="006700B0"/>
    <w:rsid w:val="00670FDB"/>
    <w:rsid w:val="0067238C"/>
    <w:rsid w:val="0067519A"/>
    <w:rsid w:val="00675655"/>
    <w:rsid w:val="00675DA8"/>
    <w:rsid w:val="0068032D"/>
    <w:rsid w:val="00687B8E"/>
    <w:rsid w:val="00691932"/>
    <w:rsid w:val="0069616D"/>
    <w:rsid w:val="006A0695"/>
    <w:rsid w:val="006A6851"/>
    <w:rsid w:val="006A7266"/>
    <w:rsid w:val="006A7D42"/>
    <w:rsid w:val="006B11B6"/>
    <w:rsid w:val="006B369C"/>
    <w:rsid w:val="006B7A49"/>
    <w:rsid w:val="006C0278"/>
    <w:rsid w:val="006D0619"/>
    <w:rsid w:val="006F1425"/>
    <w:rsid w:val="006F1CDA"/>
    <w:rsid w:val="006F22AE"/>
    <w:rsid w:val="006F2EEC"/>
    <w:rsid w:val="00700CDF"/>
    <w:rsid w:val="00701E93"/>
    <w:rsid w:val="00706A68"/>
    <w:rsid w:val="00714745"/>
    <w:rsid w:val="00715A30"/>
    <w:rsid w:val="007167B6"/>
    <w:rsid w:val="0072230B"/>
    <w:rsid w:val="00727A18"/>
    <w:rsid w:val="00732550"/>
    <w:rsid w:val="00735463"/>
    <w:rsid w:val="007356EB"/>
    <w:rsid w:val="00737489"/>
    <w:rsid w:val="00740919"/>
    <w:rsid w:val="00745236"/>
    <w:rsid w:val="00746A97"/>
    <w:rsid w:val="00751929"/>
    <w:rsid w:val="0075486A"/>
    <w:rsid w:val="007551C2"/>
    <w:rsid w:val="007609D2"/>
    <w:rsid w:val="00762A90"/>
    <w:rsid w:val="00763C3C"/>
    <w:rsid w:val="00765B85"/>
    <w:rsid w:val="00765CC1"/>
    <w:rsid w:val="0077462A"/>
    <w:rsid w:val="00781953"/>
    <w:rsid w:val="00784C57"/>
    <w:rsid w:val="00786903"/>
    <w:rsid w:val="007869FF"/>
    <w:rsid w:val="00790D92"/>
    <w:rsid w:val="00791C7F"/>
    <w:rsid w:val="0079504B"/>
    <w:rsid w:val="007A0232"/>
    <w:rsid w:val="007A27BE"/>
    <w:rsid w:val="007A4F36"/>
    <w:rsid w:val="007B130D"/>
    <w:rsid w:val="007B15C6"/>
    <w:rsid w:val="007B178F"/>
    <w:rsid w:val="007B2940"/>
    <w:rsid w:val="007B444A"/>
    <w:rsid w:val="007C1892"/>
    <w:rsid w:val="007C4323"/>
    <w:rsid w:val="007C77AA"/>
    <w:rsid w:val="007D0013"/>
    <w:rsid w:val="007D7ADA"/>
    <w:rsid w:val="007E504D"/>
    <w:rsid w:val="007F0CE9"/>
    <w:rsid w:val="007F3799"/>
    <w:rsid w:val="007F763D"/>
    <w:rsid w:val="007F7FE3"/>
    <w:rsid w:val="00805B06"/>
    <w:rsid w:val="008132E3"/>
    <w:rsid w:val="00813A49"/>
    <w:rsid w:val="00816081"/>
    <w:rsid w:val="00817385"/>
    <w:rsid w:val="00817B43"/>
    <w:rsid w:val="00820DA6"/>
    <w:rsid w:val="00821546"/>
    <w:rsid w:val="00821A0B"/>
    <w:rsid w:val="00821DAF"/>
    <w:rsid w:val="008247FC"/>
    <w:rsid w:val="008256CD"/>
    <w:rsid w:val="00826FA2"/>
    <w:rsid w:val="00830789"/>
    <w:rsid w:val="00830CE0"/>
    <w:rsid w:val="00843640"/>
    <w:rsid w:val="00850152"/>
    <w:rsid w:val="00851520"/>
    <w:rsid w:val="0085678F"/>
    <w:rsid w:val="0085683D"/>
    <w:rsid w:val="008646D5"/>
    <w:rsid w:val="008714C1"/>
    <w:rsid w:val="0087330A"/>
    <w:rsid w:val="00874334"/>
    <w:rsid w:val="00874AC9"/>
    <w:rsid w:val="00875307"/>
    <w:rsid w:val="00883AC8"/>
    <w:rsid w:val="008850CA"/>
    <w:rsid w:val="00890993"/>
    <w:rsid w:val="008951E6"/>
    <w:rsid w:val="008953B4"/>
    <w:rsid w:val="00895CC2"/>
    <w:rsid w:val="00895FDD"/>
    <w:rsid w:val="00897AFF"/>
    <w:rsid w:val="008A0104"/>
    <w:rsid w:val="008A5F2D"/>
    <w:rsid w:val="008B140C"/>
    <w:rsid w:val="008B2D89"/>
    <w:rsid w:val="008B4AA8"/>
    <w:rsid w:val="008B5F9C"/>
    <w:rsid w:val="008C50C6"/>
    <w:rsid w:val="008D1F0B"/>
    <w:rsid w:val="008D37E8"/>
    <w:rsid w:val="008D6D08"/>
    <w:rsid w:val="008D7CBA"/>
    <w:rsid w:val="008E7A98"/>
    <w:rsid w:val="008F0DED"/>
    <w:rsid w:val="008F410D"/>
    <w:rsid w:val="0090316C"/>
    <w:rsid w:val="009124C0"/>
    <w:rsid w:val="009130EC"/>
    <w:rsid w:val="009169F8"/>
    <w:rsid w:val="00917FC1"/>
    <w:rsid w:val="00921704"/>
    <w:rsid w:val="00922B53"/>
    <w:rsid w:val="009234CF"/>
    <w:rsid w:val="00930084"/>
    <w:rsid w:val="009311AA"/>
    <w:rsid w:val="00931564"/>
    <w:rsid w:val="009347A3"/>
    <w:rsid w:val="00942240"/>
    <w:rsid w:val="00943132"/>
    <w:rsid w:val="009474D7"/>
    <w:rsid w:val="00954FE8"/>
    <w:rsid w:val="0096046A"/>
    <w:rsid w:val="009631A6"/>
    <w:rsid w:val="009640BF"/>
    <w:rsid w:val="00971B7D"/>
    <w:rsid w:val="0097594C"/>
    <w:rsid w:val="00986612"/>
    <w:rsid w:val="009879D9"/>
    <w:rsid w:val="00992F5C"/>
    <w:rsid w:val="009A53E2"/>
    <w:rsid w:val="009A7D8C"/>
    <w:rsid w:val="009B2B04"/>
    <w:rsid w:val="009B5E44"/>
    <w:rsid w:val="009B7F7B"/>
    <w:rsid w:val="009C1A07"/>
    <w:rsid w:val="009C26F0"/>
    <w:rsid w:val="009C28B7"/>
    <w:rsid w:val="009C757F"/>
    <w:rsid w:val="009C799D"/>
    <w:rsid w:val="009D2D9E"/>
    <w:rsid w:val="009D342C"/>
    <w:rsid w:val="009D586D"/>
    <w:rsid w:val="009E6520"/>
    <w:rsid w:val="009E6CE4"/>
    <w:rsid w:val="009F0FD5"/>
    <w:rsid w:val="00A0151E"/>
    <w:rsid w:val="00A11403"/>
    <w:rsid w:val="00A12BC8"/>
    <w:rsid w:val="00A13CF2"/>
    <w:rsid w:val="00A14AED"/>
    <w:rsid w:val="00A164E7"/>
    <w:rsid w:val="00A214CE"/>
    <w:rsid w:val="00A24023"/>
    <w:rsid w:val="00A251C0"/>
    <w:rsid w:val="00A263BA"/>
    <w:rsid w:val="00A31F31"/>
    <w:rsid w:val="00A32FC4"/>
    <w:rsid w:val="00A338BB"/>
    <w:rsid w:val="00A35EBA"/>
    <w:rsid w:val="00A42274"/>
    <w:rsid w:val="00A466DE"/>
    <w:rsid w:val="00A52FBA"/>
    <w:rsid w:val="00A5357D"/>
    <w:rsid w:val="00A54D4C"/>
    <w:rsid w:val="00A56755"/>
    <w:rsid w:val="00A56927"/>
    <w:rsid w:val="00A57CA7"/>
    <w:rsid w:val="00A6360B"/>
    <w:rsid w:val="00A64AAD"/>
    <w:rsid w:val="00A65113"/>
    <w:rsid w:val="00A73F8A"/>
    <w:rsid w:val="00A8188F"/>
    <w:rsid w:val="00A87DD1"/>
    <w:rsid w:val="00A90338"/>
    <w:rsid w:val="00A9774B"/>
    <w:rsid w:val="00AA10FC"/>
    <w:rsid w:val="00AA12CE"/>
    <w:rsid w:val="00AA6051"/>
    <w:rsid w:val="00AA7256"/>
    <w:rsid w:val="00AB04FD"/>
    <w:rsid w:val="00AB0501"/>
    <w:rsid w:val="00AB6A70"/>
    <w:rsid w:val="00AC559C"/>
    <w:rsid w:val="00AC696A"/>
    <w:rsid w:val="00AD25C4"/>
    <w:rsid w:val="00AD6B64"/>
    <w:rsid w:val="00AD7D42"/>
    <w:rsid w:val="00AE1A5B"/>
    <w:rsid w:val="00AE3442"/>
    <w:rsid w:val="00AF047B"/>
    <w:rsid w:val="00AF58EF"/>
    <w:rsid w:val="00AF6644"/>
    <w:rsid w:val="00B02BCB"/>
    <w:rsid w:val="00B0321E"/>
    <w:rsid w:val="00B11ADD"/>
    <w:rsid w:val="00B1350E"/>
    <w:rsid w:val="00B20533"/>
    <w:rsid w:val="00B22BFB"/>
    <w:rsid w:val="00B26D99"/>
    <w:rsid w:val="00B2765A"/>
    <w:rsid w:val="00B32D4D"/>
    <w:rsid w:val="00B360DA"/>
    <w:rsid w:val="00B3631B"/>
    <w:rsid w:val="00B36D8C"/>
    <w:rsid w:val="00B36E31"/>
    <w:rsid w:val="00B40496"/>
    <w:rsid w:val="00B42432"/>
    <w:rsid w:val="00B432FC"/>
    <w:rsid w:val="00B44758"/>
    <w:rsid w:val="00B51C3C"/>
    <w:rsid w:val="00B5217A"/>
    <w:rsid w:val="00B5223D"/>
    <w:rsid w:val="00B6062A"/>
    <w:rsid w:val="00B664B9"/>
    <w:rsid w:val="00B718A0"/>
    <w:rsid w:val="00B73521"/>
    <w:rsid w:val="00B764FA"/>
    <w:rsid w:val="00B82492"/>
    <w:rsid w:val="00B830BB"/>
    <w:rsid w:val="00B872D2"/>
    <w:rsid w:val="00B916D8"/>
    <w:rsid w:val="00BA09DE"/>
    <w:rsid w:val="00BA6786"/>
    <w:rsid w:val="00BB1038"/>
    <w:rsid w:val="00BB565E"/>
    <w:rsid w:val="00BB6060"/>
    <w:rsid w:val="00BB69B8"/>
    <w:rsid w:val="00BC0B46"/>
    <w:rsid w:val="00BC0F00"/>
    <w:rsid w:val="00BC6261"/>
    <w:rsid w:val="00BD1E74"/>
    <w:rsid w:val="00BD28D0"/>
    <w:rsid w:val="00BD3CD9"/>
    <w:rsid w:val="00BD4420"/>
    <w:rsid w:val="00BD4EB9"/>
    <w:rsid w:val="00BE2225"/>
    <w:rsid w:val="00BE23ED"/>
    <w:rsid w:val="00BE5529"/>
    <w:rsid w:val="00BE56FD"/>
    <w:rsid w:val="00BF2257"/>
    <w:rsid w:val="00C06A3D"/>
    <w:rsid w:val="00C070CF"/>
    <w:rsid w:val="00C114C7"/>
    <w:rsid w:val="00C14F0F"/>
    <w:rsid w:val="00C14F95"/>
    <w:rsid w:val="00C22171"/>
    <w:rsid w:val="00C2235D"/>
    <w:rsid w:val="00C250F5"/>
    <w:rsid w:val="00C27E6A"/>
    <w:rsid w:val="00C31C60"/>
    <w:rsid w:val="00C35A8A"/>
    <w:rsid w:val="00C47592"/>
    <w:rsid w:val="00C578FD"/>
    <w:rsid w:val="00C57CFC"/>
    <w:rsid w:val="00C612C9"/>
    <w:rsid w:val="00C62959"/>
    <w:rsid w:val="00C65CB6"/>
    <w:rsid w:val="00C66BE5"/>
    <w:rsid w:val="00C67C64"/>
    <w:rsid w:val="00C70355"/>
    <w:rsid w:val="00C70451"/>
    <w:rsid w:val="00C71C99"/>
    <w:rsid w:val="00C744BA"/>
    <w:rsid w:val="00C84676"/>
    <w:rsid w:val="00C8595B"/>
    <w:rsid w:val="00C85F41"/>
    <w:rsid w:val="00C87F97"/>
    <w:rsid w:val="00C907CB"/>
    <w:rsid w:val="00CA4577"/>
    <w:rsid w:val="00CA56CD"/>
    <w:rsid w:val="00CB2EDA"/>
    <w:rsid w:val="00CB31F4"/>
    <w:rsid w:val="00CB705F"/>
    <w:rsid w:val="00CC0814"/>
    <w:rsid w:val="00CC0A3C"/>
    <w:rsid w:val="00CC20AE"/>
    <w:rsid w:val="00CC63B4"/>
    <w:rsid w:val="00CD4347"/>
    <w:rsid w:val="00CD5FD7"/>
    <w:rsid w:val="00CE32E3"/>
    <w:rsid w:val="00CE3ECF"/>
    <w:rsid w:val="00CE6EF8"/>
    <w:rsid w:val="00CE78CA"/>
    <w:rsid w:val="00D00B45"/>
    <w:rsid w:val="00D12CC1"/>
    <w:rsid w:val="00D1528C"/>
    <w:rsid w:val="00D162DD"/>
    <w:rsid w:val="00D17119"/>
    <w:rsid w:val="00D2221B"/>
    <w:rsid w:val="00D30225"/>
    <w:rsid w:val="00D31423"/>
    <w:rsid w:val="00D40BC0"/>
    <w:rsid w:val="00D428D2"/>
    <w:rsid w:val="00D4443B"/>
    <w:rsid w:val="00D44F8E"/>
    <w:rsid w:val="00D453A9"/>
    <w:rsid w:val="00D50065"/>
    <w:rsid w:val="00D52B13"/>
    <w:rsid w:val="00D558E4"/>
    <w:rsid w:val="00D62C02"/>
    <w:rsid w:val="00D635AE"/>
    <w:rsid w:val="00D63F87"/>
    <w:rsid w:val="00D65029"/>
    <w:rsid w:val="00D709D7"/>
    <w:rsid w:val="00D72A98"/>
    <w:rsid w:val="00D72AAB"/>
    <w:rsid w:val="00D737CF"/>
    <w:rsid w:val="00D77338"/>
    <w:rsid w:val="00D80062"/>
    <w:rsid w:val="00D80428"/>
    <w:rsid w:val="00D81881"/>
    <w:rsid w:val="00D84099"/>
    <w:rsid w:val="00D90059"/>
    <w:rsid w:val="00DA187F"/>
    <w:rsid w:val="00DA2ACF"/>
    <w:rsid w:val="00DA6B44"/>
    <w:rsid w:val="00DB3916"/>
    <w:rsid w:val="00DB5223"/>
    <w:rsid w:val="00DB5700"/>
    <w:rsid w:val="00DC23D5"/>
    <w:rsid w:val="00DC2425"/>
    <w:rsid w:val="00DC3999"/>
    <w:rsid w:val="00DC7543"/>
    <w:rsid w:val="00DC7A1D"/>
    <w:rsid w:val="00DD0042"/>
    <w:rsid w:val="00DD0F39"/>
    <w:rsid w:val="00DD3262"/>
    <w:rsid w:val="00DD5554"/>
    <w:rsid w:val="00DD5CD3"/>
    <w:rsid w:val="00DD69DA"/>
    <w:rsid w:val="00DF032E"/>
    <w:rsid w:val="00DF0B60"/>
    <w:rsid w:val="00DF2446"/>
    <w:rsid w:val="00DF2D1B"/>
    <w:rsid w:val="00DF3300"/>
    <w:rsid w:val="00E02E86"/>
    <w:rsid w:val="00E03D53"/>
    <w:rsid w:val="00E06AA2"/>
    <w:rsid w:val="00E11BAD"/>
    <w:rsid w:val="00E13E5D"/>
    <w:rsid w:val="00E20C0E"/>
    <w:rsid w:val="00E22C5B"/>
    <w:rsid w:val="00E235D1"/>
    <w:rsid w:val="00E33421"/>
    <w:rsid w:val="00E4006D"/>
    <w:rsid w:val="00E411F8"/>
    <w:rsid w:val="00E43751"/>
    <w:rsid w:val="00E46F89"/>
    <w:rsid w:val="00E47DD9"/>
    <w:rsid w:val="00E506D7"/>
    <w:rsid w:val="00E50859"/>
    <w:rsid w:val="00E50DEC"/>
    <w:rsid w:val="00E5230C"/>
    <w:rsid w:val="00E54086"/>
    <w:rsid w:val="00E61F05"/>
    <w:rsid w:val="00E63021"/>
    <w:rsid w:val="00E66C2A"/>
    <w:rsid w:val="00E7069E"/>
    <w:rsid w:val="00E710C6"/>
    <w:rsid w:val="00E773D5"/>
    <w:rsid w:val="00E77FAA"/>
    <w:rsid w:val="00E80483"/>
    <w:rsid w:val="00E80544"/>
    <w:rsid w:val="00E80DC6"/>
    <w:rsid w:val="00E81E53"/>
    <w:rsid w:val="00E82899"/>
    <w:rsid w:val="00E82A9B"/>
    <w:rsid w:val="00E845CD"/>
    <w:rsid w:val="00E84F5A"/>
    <w:rsid w:val="00E9356F"/>
    <w:rsid w:val="00E94F5F"/>
    <w:rsid w:val="00EA37D5"/>
    <w:rsid w:val="00EA4C48"/>
    <w:rsid w:val="00EA53A3"/>
    <w:rsid w:val="00EA5C52"/>
    <w:rsid w:val="00EB088B"/>
    <w:rsid w:val="00EB0DE1"/>
    <w:rsid w:val="00EB2144"/>
    <w:rsid w:val="00EB3D4E"/>
    <w:rsid w:val="00EC2D37"/>
    <w:rsid w:val="00EC5C5B"/>
    <w:rsid w:val="00EC7632"/>
    <w:rsid w:val="00ED1147"/>
    <w:rsid w:val="00ED4D02"/>
    <w:rsid w:val="00ED53B1"/>
    <w:rsid w:val="00ED793A"/>
    <w:rsid w:val="00EE3635"/>
    <w:rsid w:val="00EE44C5"/>
    <w:rsid w:val="00EF05CE"/>
    <w:rsid w:val="00EF1AFC"/>
    <w:rsid w:val="00EF5983"/>
    <w:rsid w:val="00EF6630"/>
    <w:rsid w:val="00F00517"/>
    <w:rsid w:val="00F021E3"/>
    <w:rsid w:val="00F047A5"/>
    <w:rsid w:val="00F05E46"/>
    <w:rsid w:val="00F06973"/>
    <w:rsid w:val="00F13762"/>
    <w:rsid w:val="00F25751"/>
    <w:rsid w:val="00F34328"/>
    <w:rsid w:val="00F42CA7"/>
    <w:rsid w:val="00F47EA8"/>
    <w:rsid w:val="00F52927"/>
    <w:rsid w:val="00F56385"/>
    <w:rsid w:val="00F614BC"/>
    <w:rsid w:val="00F65678"/>
    <w:rsid w:val="00F73192"/>
    <w:rsid w:val="00F73F41"/>
    <w:rsid w:val="00F81964"/>
    <w:rsid w:val="00F83081"/>
    <w:rsid w:val="00F846C1"/>
    <w:rsid w:val="00F87E11"/>
    <w:rsid w:val="00F90336"/>
    <w:rsid w:val="00F921E8"/>
    <w:rsid w:val="00FA1961"/>
    <w:rsid w:val="00FA4289"/>
    <w:rsid w:val="00FA4626"/>
    <w:rsid w:val="00FA5383"/>
    <w:rsid w:val="00FA67B5"/>
    <w:rsid w:val="00FA7AEE"/>
    <w:rsid w:val="00FB3419"/>
    <w:rsid w:val="00FC699C"/>
    <w:rsid w:val="00FD43AA"/>
    <w:rsid w:val="00FD55E6"/>
    <w:rsid w:val="00FD7272"/>
    <w:rsid w:val="00FD7A64"/>
    <w:rsid w:val="00FE6C26"/>
    <w:rsid w:val="00FF0A0E"/>
    <w:rsid w:val="00FF10F1"/>
    <w:rsid w:val="00FF1BA2"/>
    <w:rsid w:val="00FF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463"/>
    <w:pPr>
      <w:tabs>
        <w:tab w:val="left" w:pos="-1440"/>
      </w:tabs>
      <w:spacing w:line="480" w:lineRule="auto"/>
      <w:ind w:left="720" w:hanging="720"/>
    </w:pPr>
    <w:rPr>
      <w:sz w:val="24"/>
      <w:szCs w:val="24"/>
    </w:rPr>
  </w:style>
  <w:style w:type="paragraph" w:styleId="Heading1">
    <w:name w:val="heading 1"/>
    <w:basedOn w:val="Normal"/>
    <w:next w:val="Normal"/>
    <w:qFormat/>
    <w:rsid w:val="00735463"/>
    <w:pPr>
      <w:numPr>
        <w:numId w:val="15"/>
      </w:numPr>
      <w:ind w:left="0" w:firstLine="0"/>
      <w:jc w:val="center"/>
      <w:outlineLvl w:val="0"/>
    </w:pPr>
    <w:rPr>
      <w:b/>
    </w:rPr>
  </w:style>
  <w:style w:type="paragraph" w:styleId="Heading2">
    <w:name w:val="heading 2"/>
    <w:basedOn w:val="Normal"/>
    <w:next w:val="Normal"/>
    <w:qFormat/>
    <w:rsid w:val="00735463"/>
    <w:pPr>
      <w:keepNext/>
      <w:numPr>
        <w:numId w:val="32"/>
      </w:numPr>
      <w:jc w:val="center"/>
      <w:outlineLvl w:val="1"/>
    </w:pPr>
    <w:rPr>
      <w:b/>
      <w:u w:val="single"/>
    </w:rPr>
  </w:style>
  <w:style w:type="paragraph" w:styleId="Heading3">
    <w:name w:val="heading 3"/>
    <w:basedOn w:val="Normal"/>
    <w:next w:val="Normal"/>
    <w:qFormat/>
    <w:rsid w:val="00735463"/>
    <w:pPr>
      <w:outlineLvl w:val="2"/>
    </w:pPr>
    <w:rPr>
      <w:b/>
      <w:bCs/>
    </w:rPr>
  </w:style>
  <w:style w:type="paragraph" w:styleId="Heading4">
    <w:name w:val="heading 4"/>
    <w:basedOn w:val="Normal"/>
    <w:next w:val="Normal"/>
    <w:qFormat/>
    <w:rsid w:val="00C14F0F"/>
    <w:pPr>
      <w:keepNext/>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5846F6"/>
    <w:pPr>
      <w:tabs>
        <w:tab w:val="center" w:pos="4320"/>
        <w:tab w:val="right" w:pos="9360"/>
      </w:tabs>
      <w:spacing w:line="240" w:lineRule="auto"/>
    </w:pPr>
    <w:rPr>
      <w:sz w:val="22"/>
      <w:szCs w:val="22"/>
    </w:rPr>
  </w:style>
  <w:style w:type="paragraph" w:styleId="BodyTextIndent">
    <w:name w:val="Body Text Indent"/>
    <w:basedOn w:val="Normal"/>
    <w:rsid w:val="00176691"/>
    <w:pPr>
      <w:tabs>
        <w:tab w:val="num" w:pos="0"/>
      </w:tabs>
      <w:ind w:firstLine="360"/>
    </w:pPr>
  </w:style>
  <w:style w:type="paragraph" w:styleId="BodyTextIndent2">
    <w:name w:val="Body Text Indent 2"/>
    <w:basedOn w:val="Normal"/>
    <w:link w:val="BodyTextIndent2Char"/>
    <w:rsid w:val="00176691"/>
    <w:pPr>
      <w:ind w:hanging="360"/>
    </w:pPr>
  </w:style>
  <w:style w:type="character" w:customStyle="1" w:styleId="QAAnswer">
    <w:name w:val="Q&amp;AAnswer"/>
    <w:rsid w:val="00176691"/>
  </w:style>
  <w:style w:type="paragraph" w:styleId="BodyTextIndent3">
    <w:name w:val="Body Text Indent 3"/>
    <w:basedOn w:val="Normal"/>
    <w:rsid w:val="00176691"/>
    <w:pPr>
      <w:tabs>
        <w:tab w:val="num" w:pos="0"/>
      </w:tabs>
      <w:ind w:firstLine="360"/>
    </w:pPr>
  </w:style>
  <w:style w:type="paragraph" w:styleId="BlockText">
    <w:name w:val="Block Text"/>
    <w:basedOn w:val="Normal"/>
    <w:rsid w:val="00176691"/>
    <w:pPr>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autoRedefine/>
    <w:qFormat/>
    <w:rsid w:val="00114C75"/>
    <w:pPr>
      <w:spacing w:line="240" w:lineRule="auto"/>
      <w:ind w:left="0" w:firstLine="0"/>
      <w:contextualSpacing/>
    </w:pPr>
    <w:rPr>
      <w:sz w:val="20"/>
      <w:szCs w:val="20"/>
    </w:rPr>
  </w:style>
  <w:style w:type="character" w:styleId="FootnoteReference">
    <w:name w:val="footnote reference"/>
    <w:basedOn w:val="DefaultParagraphFont"/>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ind w:right="187"/>
    </w:pPr>
    <w:rPr>
      <w:b/>
      <w:caps/>
      <w:szCs w:val="20"/>
    </w:rPr>
  </w:style>
  <w:style w:type="paragraph" w:customStyle="1" w:styleId="Answer">
    <w:name w:val="Answer"/>
    <w:basedOn w:val="Normal"/>
    <w:rsid w:val="00176691"/>
    <w:pPr>
      <w:spacing w:after="360"/>
      <w:jc w:val="both"/>
    </w:pPr>
    <w:rPr>
      <w:szCs w:val="20"/>
    </w:rPr>
  </w:style>
  <w:style w:type="paragraph" w:styleId="BodyText">
    <w:name w:val="Body Text"/>
    <w:basedOn w:val="Normal"/>
    <w:rsid w:val="00176691"/>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rPr>
      <w:rFonts w:ascii="Palatino Linotype" w:hAnsi="Palatino Linotype"/>
      <w:szCs w:val="24"/>
    </w:rPr>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rsid w:val="00114C75"/>
  </w:style>
  <w:style w:type="paragraph" w:customStyle="1" w:styleId="P106">
    <w:name w:val="P106"/>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pPr>
    <w:rPr>
      <w:rFonts w:ascii="Courier" w:hAnsi="Courier" w:cs="Courier"/>
      <w:b/>
      <w:szCs w:val="20"/>
    </w:rPr>
  </w:style>
  <w:style w:type="paragraph" w:styleId="ListParagraph">
    <w:name w:val="List Paragraph"/>
    <w:basedOn w:val="Normal"/>
    <w:uiPriority w:val="34"/>
    <w:qFormat/>
    <w:rsid w:val="009A53E2"/>
  </w:style>
  <w:style w:type="paragraph" w:styleId="TOCHeading">
    <w:name w:val="TOC Heading"/>
    <w:basedOn w:val="Heading1"/>
    <w:next w:val="Normal"/>
    <w:uiPriority w:val="39"/>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4837F7"/>
    <w:pPr>
      <w:tabs>
        <w:tab w:val="left" w:pos="720"/>
        <w:tab w:val="left" w:pos="1440"/>
        <w:tab w:val="left" w:pos="2160"/>
        <w:tab w:val="left" w:pos="2880"/>
        <w:tab w:val="right" w:leader="dot" w:pos="8910"/>
      </w:tabs>
      <w:spacing w:after="240" w:line="240" w:lineRule="auto"/>
      <w:ind w:left="0" w:firstLine="0"/>
    </w:pPr>
  </w:style>
  <w:style w:type="paragraph" w:styleId="TOC2">
    <w:name w:val="toc 2"/>
    <w:basedOn w:val="Normal"/>
    <w:next w:val="Normal"/>
    <w:autoRedefine/>
    <w:uiPriority w:val="39"/>
    <w:rsid w:val="004837F7"/>
    <w:pPr>
      <w:tabs>
        <w:tab w:val="left" w:pos="1440"/>
        <w:tab w:val="right" w:leader="dot" w:pos="8918"/>
      </w:tabs>
      <w:spacing w:after="100"/>
      <w:ind w:left="144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paragraph" w:styleId="NoSpacing">
    <w:name w:val="No Spacing"/>
    <w:link w:val="NoSpacingChar"/>
    <w:uiPriority w:val="1"/>
    <w:qFormat/>
    <w:rsid w:val="00735463"/>
    <w:pPr>
      <w:tabs>
        <w:tab w:val="left" w:pos="-1440"/>
      </w:tabs>
      <w:ind w:left="720" w:hanging="720"/>
    </w:pPr>
    <w:rPr>
      <w:sz w:val="24"/>
      <w:szCs w:val="24"/>
    </w:rPr>
  </w:style>
  <w:style w:type="paragraph" w:customStyle="1" w:styleId="tabletext">
    <w:name w:val="table text"/>
    <w:basedOn w:val="NoSpacing"/>
    <w:link w:val="tabletextChar"/>
    <w:qFormat/>
    <w:rsid w:val="00735463"/>
    <w:pPr>
      <w:ind w:left="0" w:firstLine="0"/>
    </w:pPr>
    <w:rPr>
      <w:b/>
      <w:bCs/>
      <w:color w:val="000000" w:themeColor="text1" w:themeShade="BF"/>
    </w:rPr>
  </w:style>
  <w:style w:type="character" w:customStyle="1" w:styleId="NoSpacingChar">
    <w:name w:val="No Spacing Char"/>
    <w:basedOn w:val="DefaultParagraphFont"/>
    <w:link w:val="NoSpacing"/>
    <w:uiPriority w:val="1"/>
    <w:rsid w:val="00735463"/>
    <w:rPr>
      <w:sz w:val="24"/>
      <w:szCs w:val="24"/>
    </w:rPr>
  </w:style>
  <w:style w:type="character" w:customStyle="1" w:styleId="tabletextChar">
    <w:name w:val="table text Char"/>
    <w:basedOn w:val="NoSpacingChar"/>
    <w:link w:val="tabletext"/>
    <w:rsid w:val="00735463"/>
    <w:rPr>
      <w:b/>
      <w:bCs/>
      <w:color w:val="000000" w:themeColor="text1" w:themeShade="BF"/>
      <w:sz w:val="24"/>
      <w:szCs w:val="24"/>
    </w:rPr>
  </w:style>
  <w:style w:type="character" w:customStyle="1" w:styleId="Style">
    <w:name w:val="Style"/>
    <w:basedOn w:val="FootnoteReference"/>
    <w:rsid w:val="00114C75"/>
    <w:rPr>
      <w:sz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463"/>
    <w:pPr>
      <w:tabs>
        <w:tab w:val="left" w:pos="-1440"/>
      </w:tabs>
      <w:spacing w:line="480" w:lineRule="auto"/>
      <w:ind w:left="720" w:hanging="720"/>
    </w:pPr>
    <w:rPr>
      <w:sz w:val="24"/>
      <w:szCs w:val="24"/>
    </w:rPr>
  </w:style>
  <w:style w:type="paragraph" w:styleId="Heading1">
    <w:name w:val="heading 1"/>
    <w:basedOn w:val="Normal"/>
    <w:next w:val="Normal"/>
    <w:qFormat/>
    <w:rsid w:val="00735463"/>
    <w:pPr>
      <w:numPr>
        <w:numId w:val="15"/>
      </w:numPr>
      <w:ind w:left="0" w:firstLine="0"/>
      <w:jc w:val="center"/>
      <w:outlineLvl w:val="0"/>
    </w:pPr>
    <w:rPr>
      <w:b/>
    </w:rPr>
  </w:style>
  <w:style w:type="paragraph" w:styleId="Heading2">
    <w:name w:val="heading 2"/>
    <w:basedOn w:val="Normal"/>
    <w:next w:val="Normal"/>
    <w:qFormat/>
    <w:rsid w:val="00735463"/>
    <w:pPr>
      <w:keepNext/>
      <w:numPr>
        <w:numId w:val="32"/>
      </w:numPr>
      <w:jc w:val="center"/>
      <w:outlineLvl w:val="1"/>
    </w:pPr>
    <w:rPr>
      <w:b/>
      <w:u w:val="single"/>
    </w:rPr>
  </w:style>
  <w:style w:type="paragraph" w:styleId="Heading3">
    <w:name w:val="heading 3"/>
    <w:basedOn w:val="Normal"/>
    <w:next w:val="Normal"/>
    <w:qFormat/>
    <w:rsid w:val="00735463"/>
    <w:pPr>
      <w:outlineLvl w:val="2"/>
    </w:pPr>
    <w:rPr>
      <w:b/>
      <w:bCs/>
    </w:rPr>
  </w:style>
  <w:style w:type="paragraph" w:styleId="Heading4">
    <w:name w:val="heading 4"/>
    <w:basedOn w:val="Normal"/>
    <w:next w:val="Normal"/>
    <w:qFormat/>
    <w:rsid w:val="00C14F0F"/>
    <w:pPr>
      <w:keepNext/>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5846F6"/>
    <w:pPr>
      <w:tabs>
        <w:tab w:val="center" w:pos="4320"/>
        <w:tab w:val="right" w:pos="9360"/>
      </w:tabs>
      <w:spacing w:line="240" w:lineRule="auto"/>
    </w:pPr>
    <w:rPr>
      <w:sz w:val="22"/>
      <w:szCs w:val="22"/>
    </w:rPr>
  </w:style>
  <w:style w:type="paragraph" w:styleId="BodyTextIndent">
    <w:name w:val="Body Text Indent"/>
    <w:basedOn w:val="Normal"/>
    <w:rsid w:val="00176691"/>
    <w:pPr>
      <w:tabs>
        <w:tab w:val="num" w:pos="0"/>
      </w:tabs>
      <w:ind w:firstLine="360"/>
    </w:pPr>
  </w:style>
  <w:style w:type="paragraph" w:styleId="BodyTextIndent2">
    <w:name w:val="Body Text Indent 2"/>
    <w:basedOn w:val="Normal"/>
    <w:link w:val="BodyTextIndent2Char"/>
    <w:rsid w:val="00176691"/>
    <w:pPr>
      <w:ind w:hanging="360"/>
    </w:pPr>
  </w:style>
  <w:style w:type="character" w:customStyle="1" w:styleId="QAAnswer">
    <w:name w:val="Q&amp;AAnswer"/>
    <w:rsid w:val="00176691"/>
  </w:style>
  <w:style w:type="paragraph" w:styleId="BodyTextIndent3">
    <w:name w:val="Body Text Indent 3"/>
    <w:basedOn w:val="Normal"/>
    <w:rsid w:val="00176691"/>
    <w:pPr>
      <w:tabs>
        <w:tab w:val="num" w:pos="0"/>
      </w:tabs>
      <w:ind w:firstLine="360"/>
    </w:pPr>
  </w:style>
  <w:style w:type="paragraph" w:styleId="BlockText">
    <w:name w:val="Block Text"/>
    <w:basedOn w:val="Normal"/>
    <w:rsid w:val="00176691"/>
    <w:pPr>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autoRedefine/>
    <w:qFormat/>
    <w:rsid w:val="00114C75"/>
    <w:pPr>
      <w:spacing w:line="240" w:lineRule="auto"/>
      <w:ind w:left="0" w:firstLine="0"/>
      <w:contextualSpacing/>
    </w:pPr>
    <w:rPr>
      <w:sz w:val="20"/>
      <w:szCs w:val="20"/>
    </w:rPr>
  </w:style>
  <w:style w:type="character" w:styleId="FootnoteReference">
    <w:name w:val="footnote reference"/>
    <w:basedOn w:val="DefaultParagraphFont"/>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ind w:right="187"/>
    </w:pPr>
    <w:rPr>
      <w:b/>
      <w:caps/>
      <w:szCs w:val="20"/>
    </w:rPr>
  </w:style>
  <w:style w:type="paragraph" w:customStyle="1" w:styleId="Answer">
    <w:name w:val="Answer"/>
    <w:basedOn w:val="Normal"/>
    <w:rsid w:val="00176691"/>
    <w:pPr>
      <w:spacing w:after="360"/>
      <w:jc w:val="both"/>
    </w:pPr>
    <w:rPr>
      <w:szCs w:val="20"/>
    </w:rPr>
  </w:style>
  <w:style w:type="paragraph" w:styleId="BodyText">
    <w:name w:val="Body Text"/>
    <w:basedOn w:val="Normal"/>
    <w:rsid w:val="00176691"/>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rPr>
      <w:rFonts w:ascii="Palatino Linotype" w:hAnsi="Palatino Linotype"/>
      <w:szCs w:val="24"/>
    </w:rPr>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rsid w:val="00114C75"/>
  </w:style>
  <w:style w:type="paragraph" w:customStyle="1" w:styleId="P106">
    <w:name w:val="P106"/>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pPr>
    <w:rPr>
      <w:rFonts w:ascii="Courier" w:hAnsi="Courier" w:cs="Courier"/>
      <w:b/>
      <w:szCs w:val="20"/>
    </w:rPr>
  </w:style>
  <w:style w:type="paragraph" w:styleId="ListParagraph">
    <w:name w:val="List Paragraph"/>
    <w:basedOn w:val="Normal"/>
    <w:uiPriority w:val="34"/>
    <w:qFormat/>
    <w:rsid w:val="009A53E2"/>
  </w:style>
  <w:style w:type="paragraph" w:styleId="TOCHeading">
    <w:name w:val="TOC Heading"/>
    <w:basedOn w:val="Heading1"/>
    <w:next w:val="Normal"/>
    <w:uiPriority w:val="39"/>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4837F7"/>
    <w:pPr>
      <w:tabs>
        <w:tab w:val="left" w:pos="720"/>
        <w:tab w:val="left" w:pos="1440"/>
        <w:tab w:val="left" w:pos="2160"/>
        <w:tab w:val="left" w:pos="2880"/>
        <w:tab w:val="right" w:leader="dot" w:pos="8910"/>
      </w:tabs>
      <w:spacing w:after="240" w:line="240" w:lineRule="auto"/>
      <w:ind w:left="0" w:firstLine="0"/>
    </w:pPr>
  </w:style>
  <w:style w:type="paragraph" w:styleId="TOC2">
    <w:name w:val="toc 2"/>
    <w:basedOn w:val="Normal"/>
    <w:next w:val="Normal"/>
    <w:autoRedefine/>
    <w:uiPriority w:val="39"/>
    <w:rsid w:val="004837F7"/>
    <w:pPr>
      <w:tabs>
        <w:tab w:val="left" w:pos="1440"/>
        <w:tab w:val="right" w:leader="dot" w:pos="8918"/>
      </w:tabs>
      <w:spacing w:after="100"/>
      <w:ind w:left="144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paragraph" w:styleId="NoSpacing">
    <w:name w:val="No Spacing"/>
    <w:link w:val="NoSpacingChar"/>
    <w:uiPriority w:val="1"/>
    <w:qFormat/>
    <w:rsid w:val="00735463"/>
    <w:pPr>
      <w:tabs>
        <w:tab w:val="left" w:pos="-1440"/>
      </w:tabs>
      <w:ind w:left="720" w:hanging="720"/>
    </w:pPr>
    <w:rPr>
      <w:sz w:val="24"/>
      <w:szCs w:val="24"/>
    </w:rPr>
  </w:style>
  <w:style w:type="paragraph" w:customStyle="1" w:styleId="tabletext">
    <w:name w:val="table text"/>
    <w:basedOn w:val="NoSpacing"/>
    <w:link w:val="tabletextChar"/>
    <w:qFormat/>
    <w:rsid w:val="00735463"/>
    <w:pPr>
      <w:ind w:left="0" w:firstLine="0"/>
    </w:pPr>
    <w:rPr>
      <w:b/>
      <w:bCs/>
      <w:color w:val="000000" w:themeColor="text1" w:themeShade="BF"/>
    </w:rPr>
  </w:style>
  <w:style w:type="character" w:customStyle="1" w:styleId="NoSpacingChar">
    <w:name w:val="No Spacing Char"/>
    <w:basedOn w:val="DefaultParagraphFont"/>
    <w:link w:val="NoSpacing"/>
    <w:uiPriority w:val="1"/>
    <w:rsid w:val="00735463"/>
    <w:rPr>
      <w:sz w:val="24"/>
      <w:szCs w:val="24"/>
    </w:rPr>
  </w:style>
  <w:style w:type="character" w:customStyle="1" w:styleId="tabletextChar">
    <w:name w:val="table text Char"/>
    <w:basedOn w:val="NoSpacingChar"/>
    <w:link w:val="tabletext"/>
    <w:rsid w:val="00735463"/>
    <w:rPr>
      <w:b/>
      <w:bCs/>
      <w:color w:val="000000" w:themeColor="text1" w:themeShade="BF"/>
      <w:sz w:val="24"/>
      <w:szCs w:val="24"/>
    </w:rPr>
  </w:style>
  <w:style w:type="character" w:customStyle="1" w:styleId="Style">
    <w:name w:val="Style"/>
    <w:basedOn w:val="FootnoteReference"/>
    <w:rsid w:val="00114C75"/>
    <w:rPr>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5905">
      <w:bodyDiv w:val="1"/>
      <w:marLeft w:val="0"/>
      <w:marRight w:val="0"/>
      <w:marTop w:val="0"/>
      <w:marBottom w:val="0"/>
      <w:divBdr>
        <w:top w:val="none" w:sz="0" w:space="0" w:color="auto"/>
        <w:left w:val="none" w:sz="0" w:space="0" w:color="auto"/>
        <w:bottom w:val="none" w:sz="0" w:space="0" w:color="auto"/>
        <w:right w:val="none" w:sz="0" w:space="0" w:color="auto"/>
      </w:divBdr>
    </w:div>
    <w:div w:id="710692396">
      <w:bodyDiv w:val="1"/>
      <w:marLeft w:val="0"/>
      <w:marRight w:val="0"/>
      <w:marTop w:val="0"/>
      <w:marBottom w:val="0"/>
      <w:divBdr>
        <w:top w:val="none" w:sz="0" w:space="0" w:color="auto"/>
        <w:left w:val="none" w:sz="0" w:space="0" w:color="auto"/>
        <w:bottom w:val="none" w:sz="0" w:space="0" w:color="auto"/>
        <w:right w:val="none" w:sz="0" w:space="0" w:color="auto"/>
      </w:divBdr>
    </w:div>
    <w:div w:id="1197739784">
      <w:bodyDiv w:val="1"/>
      <w:marLeft w:val="0"/>
      <w:marRight w:val="0"/>
      <w:marTop w:val="0"/>
      <w:marBottom w:val="0"/>
      <w:divBdr>
        <w:top w:val="none" w:sz="0" w:space="0" w:color="auto"/>
        <w:left w:val="none" w:sz="0" w:space="0" w:color="auto"/>
        <w:bottom w:val="none" w:sz="0" w:space="0" w:color="auto"/>
        <w:right w:val="none" w:sz="0" w:space="0" w:color="auto"/>
      </w:divBdr>
    </w:div>
    <w:div w:id="17062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eynold@utc.wa.gov" TargetMode="Externa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nwalliance.org" TargetMode="External"/><Relationship Id="rId2" Type="http://schemas.openxmlformats.org/officeDocument/2006/relationships/hyperlink" Target="http://www.utc.wa.gov/regulatedIndustries/utilities/energy/Pages/financialDataForGasCompanies.aspx" TargetMode="External"/><Relationship Id="rId1" Type="http://schemas.openxmlformats.org/officeDocument/2006/relationships/hyperlink" Target="http://www.utc.wa.gov/regulatedIndustries/utilities/energy/Pages/financialDataForElectricCompanies.aspx" TargetMode="External"/><Relationship Id="rId4" Type="http://schemas.openxmlformats.org/officeDocument/2006/relationships/hyperlink" Target="http://www.wutc.wa.gov/rms2.nsf/177d98baa5918c7388256a550064a61e/49bf6f43e61f6e28882578bc007c1bbd!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BF3AFD-0944-4C25-8575-0BCB0508EF39}"/>
</file>

<file path=customXml/itemProps2.xml><?xml version="1.0" encoding="utf-8"?>
<ds:datastoreItem xmlns:ds="http://schemas.openxmlformats.org/officeDocument/2006/customXml" ds:itemID="{601D5CE1-D89C-4DE8-B86B-271FDD96D5DD}"/>
</file>

<file path=customXml/itemProps3.xml><?xml version="1.0" encoding="utf-8"?>
<ds:datastoreItem xmlns:ds="http://schemas.openxmlformats.org/officeDocument/2006/customXml" ds:itemID="{F05E024B-7AD9-414D-81F3-16223E73F5C7}"/>
</file>

<file path=customXml/itemProps4.xml><?xml version="1.0" encoding="utf-8"?>
<ds:datastoreItem xmlns:ds="http://schemas.openxmlformats.org/officeDocument/2006/customXml" ds:itemID="{110E3D33-A8B3-4AFC-B9D4-6136211BC6D9}"/>
</file>

<file path=customXml/itemProps5.xml><?xml version="1.0" encoding="utf-8"?>
<ds:datastoreItem xmlns:ds="http://schemas.openxmlformats.org/officeDocument/2006/customXml" ds:itemID="{806C2CAD-4CA0-4C8B-9126-1D03C33E5C0E}"/>
</file>

<file path=customXml/itemProps6.xml><?xml version="1.0" encoding="utf-8"?>
<ds:datastoreItem xmlns:ds="http://schemas.openxmlformats.org/officeDocument/2006/customXml" ds:itemID="{00138706-FBF0-42FC-A0A6-33C8EDF407D5}"/>
</file>

<file path=docProps/app.xml><?xml version="1.0" encoding="utf-8"?>
<Properties xmlns="http://schemas.openxmlformats.org/officeDocument/2006/extended-properties" xmlns:vt="http://schemas.openxmlformats.org/officeDocument/2006/docPropsVTypes">
  <Template>Normal.dotm</Template>
  <TotalTime>23</TotalTime>
  <Pages>36</Pages>
  <Words>6855</Words>
  <Characters>39077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45841</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Krista Gross</cp:lastModifiedBy>
  <cp:revision>8</cp:revision>
  <cp:lastPrinted>2011-12-06T00:28:00Z</cp:lastPrinted>
  <dcterms:created xsi:type="dcterms:W3CDTF">2011-12-05T21:50:00Z</dcterms:created>
  <dcterms:modified xsi:type="dcterms:W3CDTF">2011-12-06T00:28:00Z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