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96689" w14:textId="77777777" w:rsidR="00F27132" w:rsidRPr="00F94149" w:rsidRDefault="00F27132">
      <w:pPr>
        <w:pStyle w:val="Title"/>
        <w:rPr>
          <w:rFonts w:ascii="Times New Roman" w:hAnsi="Times New Roman"/>
        </w:rPr>
      </w:pPr>
      <w:r w:rsidRPr="00F94149">
        <w:rPr>
          <w:rFonts w:ascii="Times New Roman" w:hAnsi="Times New Roman"/>
        </w:rPr>
        <w:t xml:space="preserve">BEFORE THE WASHINGTON </w:t>
      </w:r>
    </w:p>
    <w:p w14:paraId="1B3F8484" w14:textId="77777777" w:rsidR="00F27132" w:rsidRPr="00F94149" w:rsidRDefault="00F27132">
      <w:pPr>
        <w:jc w:val="center"/>
        <w:rPr>
          <w:b/>
        </w:rPr>
      </w:pPr>
      <w:r w:rsidRPr="00F94149">
        <w:rPr>
          <w:b/>
        </w:rPr>
        <w:t>UTILITIES AND TRANSPORTATION COMMISSION</w:t>
      </w:r>
    </w:p>
    <w:p w14:paraId="6ECB8142" w14:textId="77777777" w:rsidR="00F27132" w:rsidRPr="00F94149" w:rsidRDefault="00F27132">
      <w:pPr>
        <w:jc w:val="center"/>
        <w:rPr>
          <w:b/>
        </w:rPr>
      </w:pPr>
    </w:p>
    <w:tbl>
      <w:tblPr>
        <w:tblW w:w="8850" w:type="dxa"/>
        <w:tblInd w:w="-180" w:type="dxa"/>
        <w:tblLook w:val="01E0" w:firstRow="1" w:lastRow="1" w:firstColumn="1" w:lastColumn="1" w:noHBand="0" w:noVBand="0"/>
      </w:tblPr>
      <w:tblGrid>
        <w:gridCol w:w="4410"/>
        <w:gridCol w:w="378"/>
        <w:gridCol w:w="4062"/>
      </w:tblGrid>
      <w:tr w:rsidR="00F27132" w:rsidRPr="00F94149" w14:paraId="436AB4B9" w14:textId="77777777" w:rsidTr="00DB2799">
        <w:tc>
          <w:tcPr>
            <w:tcW w:w="4410" w:type="dxa"/>
            <w:tcBorders>
              <w:bottom w:val="single" w:sz="4" w:space="0" w:color="auto"/>
              <w:right w:val="single" w:sz="4" w:space="0" w:color="auto"/>
            </w:tcBorders>
          </w:tcPr>
          <w:p w14:paraId="102AC1DB" w14:textId="686B0B41" w:rsidR="00F27132" w:rsidRPr="00F94149" w:rsidRDefault="00F27132" w:rsidP="00DB2799">
            <w:smartTag w:uri="urn:schemas-microsoft-com:office:smarttags" w:element="State">
              <w:smartTag w:uri="urn:schemas-microsoft-com:office:smarttags" w:element="place">
                <w:r w:rsidRPr="00F94149">
                  <w:t>WASHINGTON</w:t>
                </w:r>
              </w:smartTag>
            </w:smartTag>
            <w:r w:rsidRPr="00F94149">
              <w:t xml:space="preserve"> UTILITIES AND TRANSPORTATION COMMISSION,</w:t>
            </w:r>
          </w:p>
          <w:p w14:paraId="535BB238" w14:textId="77777777" w:rsidR="00F27132" w:rsidRPr="00F94149" w:rsidRDefault="00F27132" w:rsidP="00DB2799"/>
          <w:p w14:paraId="7FD0E901" w14:textId="6D9BA98E" w:rsidR="00F27132" w:rsidRPr="00F94149" w:rsidRDefault="00DB2799" w:rsidP="00DB2799">
            <w:r>
              <w:t xml:space="preserve">                           </w:t>
            </w:r>
            <w:r w:rsidR="00F27132" w:rsidRPr="00F94149">
              <w:t>Complainant,</w:t>
            </w:r>
          </w:p>
          <w:p w14:paraId="0C87C354" w14:textId="77777777" w:rsidR="00F27132" w:rsidRPr="00F94149" w:rsidRDefault="00F27132" w:rsidP="00DB2799"/>
          <w:p w14:paraId="4F5D19A6" w14:textId="77777777" w:rsidR="00F27132" w:rsidRPr="00F94149" w:rsidRDefault="00F27132" w:rsidP="00DB2799">
            <w:r w:rsidRPr="00F94149">
              <w:t>v.</w:t>
            </w:r>
          </w:p>
          <w:p w14:paraId="41ADCE9F" w14:textId="77777777" w:rsidR="00F27132" w:rsidRPr="00F94149" w:rsidRDefault="00F27132" w:rsidP="00DB2799"/>
          <w:p w14:paraId="279A603F" w14:textId="26DFC063" w:rsidR="00DB2799" w:rsidRDefault="00DB2799" w:rsidP="00DB2799">
            <w:pPr>
              <w:rPr>
                <w:bCs/>
              </w:rPr>
            </w:pPr>
            <w:r w:rsidRPr="006C0397">
              <w:rPr>
                <w:bCs/>
              </w:rPr>
              <w:t>PACIFIC POWER &amp; LIGHT</w:t>
            </w:r>
            <w:r>
              <w:rPr>
                <w:bCs/>
              </w:rPr>
              <w:t xml:space="preserve"> </w:t>
            </w:r>
            <w:r>
              <w:rPr>
                <w:bCs/>
              </w:rPr>
              <w:br/>
              <w:t>COMPANY,</w:t>
            </w:r>
          </w:p>
          <w:p w14:paraId="7AE89CB0" w14:textId="51EDB735" w:rsidR="00FC14B5" w:rsidRPr="00F94149" w:rsidRDefault="00DB2799" w:rsidP="00DB2799">
            <w:r>
              <w:t xml:space="preserve"> </w:t>
            </w:r>
            <w:r w:rsidR="00C665A5">
              <w:fldChar w:fldCharType="begin"/>
            </w:r>
            <w:r w:rsidR="00C665A5">
              <w:instrText xml:space="preserve"> ASK acronym1 "Enter company 1's Short Name" \* MERGEFORMAT </w:instrText>
            </w:r>
            <w:r w:rsidR="00C665A5">
              <w:fldChar w:fldCharType="separate"/>
            </w:r>
            <w:bookmarkStart w:id="0" w:name="acronym1"/>
            <w:r w:rsidR="007621C5">
              <w:t>Co. 1</w:t>
            </w:r>
            <w:bookmarkEnd w:id="0"/>
            <w:r w:rsidR="00C665A5">
              <w:fldChar w:fldCharType="end"/>
            </w:r>
          </w:p>
          <w:p w14:paraId="6E4C6B65" w14:textId="5F29DE21" w:rsidR="00F27132" w:rsidRPr="00F94149" w:rsidRDefault="00DB2799" w:rsidP="00101CBA">
            <w:r>
              <w:t xml:space="preserve">                           </w:t>
            </w:r>
            <w:r w:rsidR="00F27132" w:rsidRPr="00F94149">
              <w:t>Respondent.</w:t>
            </w:r>
          </w:p>
        </w:tc>
        <w:tc>
          <w:tcPr>
            <w:tcW w:w="378" w:type="dxa"/>
            <w:tcBorders>
              <w:left w:val="single" w:sz="4" w:space="0" w:color="auto"/>
            </w:tcBorders>
          </w:tcPr>
          <w:p w14:paraId="04C0F1CA" w14:textId="77777777" w:rsidR="00F27132" w:rsidRPr="00F94149" w:rsidRDefault="00F27132">
            <w:pPr>
              <w:pStyle w:val="BodyText"/>
              <w:rPr>
                <w:rFonts w:ascii="Times New Roman" w:hAnsi="Times New Roman"/>
              </w:rPr>
            </w:pPr>
          </w:p>
        </w:tc>
        <w:tc>
          <w:tcPr>
            <w:tcW w:w="4062" w:type="dxa"/>
          </w:tcPr>
          <w:p w14:paraId="79087BAA" w14:textId="1E4F3C98" w:rsidR="00F27132" w:rsidRDefault="003F2878">
            <w:r>
              <w:t>DOCKET</w:t>
            </w:r>
            <w:r w:rsidR="00F27132" w:rsidRPr="00F94149">
              <w:t xml:space="preserve"> </w:t>
            </w:r>
            <w:r w:rsidR="00C665A5">
              <w:fldChar w:fldCharType="begin"/>
            </w:r>
            <w:r w:rsidR="00C665A5">
              <w:instrText xml:space="preserve"> ASK docket_no "Enter Docket Number using XX=XXXXXX Format</w:instrText>
            </w:r>
            <w:r w:rsidR="00C665A5">
              <w:fldChar w:fldCharType="separate"/>
            </w:r>
            <w:bookmarkStart w:id="1" w:name="docket_no"/>
            <w:r w:rsidR="007621C5">
              <w:t>UE-090000</w:t>
            </w:r>
            <w:bookmarkEnd w:id="1"/>
            <w:r w:rsidR="00C665A5">
              <w:fldChar w:fldCharType="end"/>
            </w:r>
            <w:r w:rsidR="003E1032">
              <w:t>UE-16</w:t>
            </w:r>
            <w:r w:rsidR="00DB2799">
              <w:t>1204</w:t>
            </w:r>
          </w:p>
          <w:p w14:paraId="557D2C2E" w14:textId="77777777" w:rsidR="003E1032" w:rsidRPr="00F94149" w:rsidRDefault="003E1032">
            <w:pPr>
              <w:rPr>
                <w:b/>
              </w:rPr>
            </w:pPr>
          </w:p>
          <w:p w14:paraId="3E14D1A1" w14:textId="77777777" w:rsidR="00F27132" w:rsidRPr="00F94149" w:rsidRDefault="00F27132">
            <w:pPr>
              <w:rPr>
                <w:b/>
              </w:rPr>
            </w:pPr>
          </w:p>
          <w:p w14:paraId="3FBADD10" w14:textId="7394C6A9" w:rsidR="00F27132" w:rsidRPr="00F94149" w:rsidRDefault="003F2878">
            <w:pPr>
              <w:rPr>
                <w:b/>
              </w:rPr>
            </w:pPr>
            <w:r>
              <w:t xml:space="preserve">ORDER </w:t>
            </w:r>
            <w:r w:rsidR="00C665A5">
              <w:fldChar w:fldCharType="begin"/>
            </w:r>
            <w:r w:rsidR="00C665A5">
              <w:instrText xml:space="preserve"> ASK order_no "Enter Order Number"</w:instrText>
            </w:r>
            <w:r w:rsidR="00C665A5">
              <w:fldChar w:fldCharType="separate"/>
            </w:r>
            <w:bookmarkStart w:id="2" w:name="order_no"/>
            <w:r w:rsidR="007621C5">
              <w:t>01</w:t>
            </w:r>
            <w:bookmarkEnd w:id="2"/>
            <w:r w:rsidR="00C665A5">
              <w:fldChar w:fldCharType="end"/>
            </w:r>
            <w:fldSimple w:instr=" REF order_no \* MERGEFORMAT">
              <w:r w:rsidR="003A064D">
                <w:t>01</w:t>
              </w:r>
            </w:fldSimple>
          </w:p>
          <w:p w14:paraId="7EBF84E7" w14:textId="77777777" w:rsidR="00F27132" w:rsidRPr="00F94149" w:rsidRDefault="00F27132">
            <w:pPr>
              <w:rPr>
                <w:b/>
              </w:rPr>
            </w:pPr>
          </w:p>
          <w:p w14:paraId="794B11B9" w14:textId="77777777" w:rsidR="00F27132" w:rsidRDefault="00F27132" w:rsidP="003E1032"/>
          <w:p w14:paraId="6FF27476" w14:textId="3799032A" w:rsidR="00370B76" w:rsidRPr="00F94149" w:rsidRDefault="00370B76" w:rsidP="00AD7C4E">
            <w:r>
              <w:t xml:space="preserve">ORDER GRANTING PETITIONS </w:t>
            </w:r>
            <w:r w:rsidR="00AD7C4E">
              <w:t>TO INTERVENE</w:t>
            </w:r>
          </w:p>
        </w:tc>
        <w:bookmarkStart w:id="3" w:name="_GoBack"/>
        <w:bookmarkEnd w:id="3"/>
      </w:tr>
    </w:tbl>
    <w:p w14:paraId="6FA3FFBC" w14:textId="77777777" w:rsidR="00F27132" w:rsidRPr="00F94149" w:rsidRDefault="00F27132">
      <w:pPr>
        <w:jc w:val="center"/>
        <w:rPr>
          <w:b/>
        </w:rPr>
      </w:pPr>
    </w:p>
    <w:p w14:paraId="0196CA09" w14:textId="77777777" w:rsidR="00F27132" w:rsidRPr="00F94149" w:rsidRDefault="00F27132" w:rsidP="000035AE">
      <w:pPr>
        <w:spacing w:line="320" w:lineRule="exact"/>
        <w:jc w:val="center"/>
        <w:rPr>
          <w:b/>
        </w:rPr>
      </w:pPr>
      <w:r w:rsidRPr="00F94149">
        <w:rPr>
          <w:b/>
        </w:rPr>
        <w:t>BACKGROUND</w:t>
      </w:r>
    </w:p>
    <w:p w14:paraId="10D15CC4" w14:textId="77777777" w:rsidR="00F5678A" w:rsidRDefault="00F5678A" w:rsidP="000035AE">
      <w:pPr>
        <w:spacing w:line="320" w:lineRule="exact"/>
      </w:pPr>
      <w:r>
        <w:fldChar w:fldCharType="begin"/>
      </w:r>
      <w:r>
        <w:instrText xml:space="preserve"> ASK company_type "Enter company type. (e.g., Electric, Gas, Water)" </w:instrText>
      </w:r>
      <w:r>
        <w:fldChar w:fldCharType="separate"/>
      </w:r>
      <w:bookmarkStart w:id="4" w:name="company_type"/>
      <w:r w:rsidR="007621C5">
        <w:t>Electric</w:t>
      </w:r>
      <w:bookmarkEnd w:id="4"/>
      <w:r>
        <w:fldChar w:fldCharType="end"/>
      </w:r>
    </w:p>
    <w:p w14:paraId="597AD907" w14:textId="69C58897" w:rsidR="006C786A" w:rsidRDefault="00F27132" w:rsidP="00B81538">
      <w:pPr>
        <w:numPr>
          <w:ilvl w:val="0"/>
          <w:numId w:val="1"/>
        </w:numPr>
        <w:spacing w:line="288" w:lineRule="auto"/>
      </w:pPr>
      <w:r w:rsidRPr="00F94149">
        <w:t>On</w:t>
      </w:r>
      <w:r w:rsidR="00C665A5">
        <w:t xml:space="preserve"> </w:t>
      </w:r>
      <w:r w:rsidR="00C665A5">
        <w:fldChar w:fldCharType="begin"/>
      </w:r>
      <w:r w:rsidR="00C665A5">
        <w:instrText xml:space="preserve"> ask filing_date "Enter Filing Date" </w:instrText>
      </w:r>
      <w:r w:rsidR="00C665A5">
        <w:fldChar w:fldCharType="separate"/>
      </w:r>
      <w:bookmarkStart w:id="5" w:name="filing_date"/>
      <w:r w:rsidR="007621C5">
        <w:t>January 1, 2025</w:t>
      </w:r>
      <w:bookmarkEnd w:id="5"/>
      <w:r w:rsidR="00C665A5">
        <w:fldChar w:fldCharType="end"/>
      </w:r>
      <w:r w:rsidR="00DB2799">
        <w:t>November 14</w:t>
      </w:r>
      <w:r w:rsidR="003E1032">
        <w:t>, 2016</w:t>
      </w:r>
      <w:r w:rsidRPr="00A318F1">
        <w:t xml:space="preserve">, </w:t>
      </w:r>
      <w:r w:rsidR="00DB2799">
        <w:t>Pacific Power &amp; Light Company</w:t>
      </w:r>
      <w:r w:rsidRPr="00A318F1">
        <w:t xml:space="preserve"> (</w:t>
      </w:r>
      <w:r w:rsidR="00DB2799">
        <w:t xml:space="preserve">Pacific Power </w:t>
      </w:r>
      <w:r w:rsidR="00AE37A9">
        <w:rPr>
          <w:bCs/>
        </w:rPr>
        <w:t>or Company</w:t>
      </w:r>
      <w:r w:rsidRPr="00F94149">
        <w:t xml:space="preserve">) filed with the </w:t>
      </w:r>
      <w:r w:rsidR="009F1A98">
        <w:t>Washington Utilities and Transportation Commission (</w:t>
      </w:r>
      <w:r w:rsidRPr="00F94149">
        <w:t>Commission</w:t>
      </w:r>
      <w:r w:rsidR="009F1A98">
        <w:t>)</w:t>
      </w:r>
      <w:r w:rsidRPr="00F94149">
        <w:t xml:space="preserve"> </w:t>
      </w:r>
      <w:r w:rsidR="003E1032">
        <w:t>revisions</w:t>
      </w:r>
      <w:r w:rsidRPr="00F94149">
        <w:t xml:space="preserve"> to its currently effective Tariff </w:t>
      </w:r>
      <w:r w:rsidR="00CE2DE3">
        <w:fldChar w:fldCharType="begin"/>
      </w:r>
      <w:r w:rsidR="00CE2DE3">
        <w:instrText xml:space="preserve"> ASK tariff_no "Enter Tariff WN-U Number" </w:instrText>
      </w:r>
      <w:r w:rsidR="00CE2DE3">
        <w:fldChar w:fldCharType="separate"/>
      </w:r>
      <w:bookmarkStart w:id="6" w:name="tariff_no"/>
      <w:r w:rsidR="007621C5">
        <w:t>WN U-01</w:t>
      </w:r>
      <w:bookmarkEnd w:id="6"/>
      <w:r w:rsidR="00CE2DE3">
        <w:fldChar w:fldCharType="end"/>
      </w:r>
      <w:r w:rsidR="00DB2799">
        <w:t>WN U-75,</w:t>
      </w:r>
      <w:r w:rsidRPr="00F94149">
        <w:t xml:space="preserve"> </w:t>
      </w:r>
      <w:r w:rsidR="00DB2799">
        <w:rPr>
          <w:bCs/>
        </w:rPr>
        <w:t>Rule 1 – General Rules and Regulations; Rule 4 – Application for Electric Service; Rule 6 – Facilities on Customer’s Premises; and Schedule 300 – Charges as Defined by the Rules and Regulations</w:t>
      </w:r>
      <w:r w:rsidR="00FF0833">
        <w:t xml:space="preserve">. </w:t>
      </w:r>
      <w:r w:rsidR="00370B76">
        <w:t xml:space="preserve">The Company requests approval of modifications to its permanent disconnection and removal procedures </w:t>
      </w:r>
      <w:r w:rsidR="00A516CF">
        <w:t>for</w:t>
      </w:r>
      <w:r w:rsidR="00370B76">
        <w:t xml:space="preserve"> customers </w:t>
      </w:r>
      <w:r w:rsidR="00A516CF">
        <w:t xml:space="preserve">who </w:t>
      </w:r>
      <w:r w:rsidR="00370B76">
        <w:t>disconnect service to receive electric service from another energy provider.</w:t>
      </w:r>
      <w:r w:rsidR="006C786A">
        <w:br/>
      </w:r>
    </w:p>
    <w:p w14:paraId="0B3FE1CD" w14:textId="4BBE39E7" w:rsidR="006C786A" w:rsidRDefault="006C786A" w:rsidP="00B81538">
      <w:pPr>
        <w:numPr>
          <w:ilvl w:val="0"/>
          <w:numId w:val="1"/>
        </w:numPr>
        <w:spacing w:line="288" w:lineRule="auto"/>
      </w:pPr>
      <w:r>
        <w:t>On December 15, 2016, the Columbia Rural Electric Association (CREA</w:t>
      </w:r>
      <w:r w:rsidR="00784AA7">
        <w:t xml:space="preserve">) filed a </w:t>
      </w:r>
      <w:r w:rsidR="00AD7C4E">
        <w:t>p</w:t>
      </w:r>
      <w:r w:rsidR="00784AA7">
        <w:t xml:space="preserve">etition to </w:t>
      </w:r>
      <w:r w:rsidR="00AD7C4E">
        <w:t>intervene</w:t>
      </w:r>
      <w:r w:rsidR="00101CBA">
        <w:t xml:space="preserve"> in this proceeding</w:t>
      </w:r>
      <w:r w:rsidR="00784AA7">
        <w:t>. CREA is a non</w:t>
      </w:r>
      <w:r>
        <w:t xml:space="preserve">profit electric cooperative that operates in </w:t>
      </w:r>
      <w:r w:rsidR="00D50193">
        <w:t>the same</w:t>
      </w:r>
      <w:r w:rsidR="00AD7C4E">
        <w:t xml:space="preserve"> </w:t>
      </w:r>
      <w:r>
        <w:t>geographic area</w:t>
      </w:r>
      <w:r w:rsidR="00CA2B68">
        <w:t xml:space="preserve"> </w:t>
      </w:r>
      <w:r w:rsidR="00D50193">
        <w:t>as</w:t>
      </w:r>
      <w:r w:rsidR="00FE79D4">
        <w:t xml:space="preserve"> </w:t>
      </w:r>
      <w:r w:rsidR="00CA2B68">
        <w:t>Pacific Power</w:t>
      </w:r>
      <w:r w:rsidR="007B166F">
        <w:t xml:space="preserve"> operates</w:t>
      </w:r>
      <w:r w:rsidR="00AD7C4E">
        <w:t>. The</w:t>
      </w:r>
      <w:r>
        <w:t xml:space="preserve"> companies do not have an exclusive </w:t>
      </w:r>
      <w:r w:rsidR="00AD7C4E">
        <w:t xml:space="preserve">service </w:t>
      </w:r>
      <w:r>
        <w:t xml:space="preserve">territory agreement. CREA argues that it has a substantial interest in this proceeding because Pacific Power is requesting net removal tariff revisions </w:t>
      </w:r>
      <w:r w:rsidR="00CA2B68">
        <w:t xml:space="preserve">based on </w:t>
      </w:r>
      <w:r w:rsidR="00B66310">
        <w:t xml:space="preserve">CREA’s </w:t>
      </w:r>
      <w:r w:rsidR="00CA2B68">
        <w:t>“</w:t>
      </w:r>
      <w:r>
        <w:t>alleged electric power market actions</w:t>
      </w:r>
      <w:r w:rsidR="00352890">
        <w:t>,</w:t>
      </w:r>
      <w:r w:rsidR="00B66310">
        <w:t>”</w:t>
      </w:r>
      <w:r w:rsidR="00352890">
        <w:t xml:space="preserve"> thus placing CREA’s market practices at issue.</w:t>
      </w:r>
      <w:r>
        <w:t xml:space="preserve"> CREA notes that an unregulated entity was </w:t>
      </w:r>
      <w:r w:rsidR="00352890">
        <w:t xml:space="preserve">recently granted intervenor status on </w:t>
      </w:r>
      <w:r w:rsidR="00B437A0">
        <w:t>similar</w:t>
      </w:r>
      <w:r>
        <w:t xml:space="preserve"> </w:t>
      </w:r>
      <w:r w:rsidR="00D50193">
        <w:t>grounds</w:t>
      </w:r>
      <w:r w:rsidR="00B66310">
        <w:t>.</w:t>
      </w:r>
      <w:r w:rsidR="00DF0ACD">
        <w:rPr>
          <w:rStyle w:val="FootnoteReference"/>
        </w:rPr>
        <w:footnoteReference w:id="1"/>
      </w:r>
      <w:r>
        <w:br/>
      </w:r>
    </w:p>
    <w:p w14:paraId="7B28F5CE" w14:textId="1071A1D1" w:rsidR="006C786A" w:rsidRDefault="006C786A" w:rsidP="00B81538">
      <w:pPr>
        <w:numPr>
          <w:ilvl w:val="0"/>
          <w:numId w:val="1"/>
        </w:numPr>
        <w:spacing w:line="288" w:lineRule="auto"/>
      </w:pPr>
      <w:r>
        <w:t xml:space="preserve">CREA also asserts that permitting its intervention would </w:t>
      </w:r>
      <w:r w:rsidR="007B166F">
        <w:t xml:space="preserve">be in </w:t>
      </w:r>
      <w:r>
        <w:t xml:space="preserve">the public interest, and notes that the Commission allowed CREA to intervene in Pacific Power proceedings to </w:t>
      </w:r>
      <w:r>
        <w:lastRenderedPageBreak/>
        <w:t xml:space="preserve">address similar issues </w:t>
      </w:r>
      <w:r w:rsidR="00B66310">
        <w:t>on two prior occasions consistent with the public interest standard</w:t>
      </w:r>
      <w:r>
        <w:t>.</w:t>
      </w:r>
      <w:r w:rsidR="00B66310">
        <w:br/>
      </w:r>
    </w:p>
    <w:p w14:paraId="69993AFA" w14:textId="71CC59FB" w:rsidR="00DB2799" w:rsidRDefault="006C786A" w:rsidP="00B81538">
      <w:pPr>
        <w:numPr>
          <w:ilvl w:val="0"/>
          <w:numId w:val="1"/>
        </w:numPr>
        <w:spacing w:line="288" w:lineRule="auto"/>
      </w:pPr>
      <w:r>
        <w:t>On December 16, 2016, Yakama Power filed a Petition to Intervene.</w:t>
      </w:r>
      <w:r w:rsidR="00784AA7">
        <w:t xml:space="preserve"> Yakama Power is a nonprofit electric utility owned by the Yakama Nation that currently provides utility services to customers located within the boundaries of the Yakama Indian Reservation. Yakama Power’s service area is generally intermingled with Pacific Power’s</w:t>
      </w:r>
      <w:r w:rsidR="00D50193">
        <w:t xml:space="preserve"> service territory</w:t>
      </w:r>
      <w:r w:rsidR="00784AA7">
        <w:t xml:space="preserve">, and </w:t>
      </w:r>
      <w:r w:rsidR="00F70941">
        <w:t>the companies do not</w:t>
      </w:r>
      <w:r w:rsidR="00784AA7">
        <w:t xml:space="preserve"> have an exclusive service territory agreeme</w:t>
      </w:r>
      <w:r w:rsidR="007B166F">
        <w:t>nt. Yakama Power asserts that it</w:t>
      </w:r>
      <w:r w:rsidR="00784AA7">
        <w:t xml:space="preserve"> has a substantial interest in the proceeding similar to CREA’s, but in the unique context of land ownership within Indian reservation boundaries. </w:t>
      </w:r>
      <w:r w:rsidR="00DB2799">
        <w:br/>
      </w:r>
    </w:p>
    <w:p w14:paraId="79706AB8" w14:textId="0A78E1D6" w:rsidR="00F70941" w:rsidRDefault="00370B76" w:rsidP="00B81538">
      <w:pPr>
        <w:numPr>
          <w:ilvl w:val="0"/>
          <w:numId w:val="1"/>
        </w:numPr>
        <w:spacing w:line="288" w:lineRule="auto"/>
      </w:pPr>
      <w:r>
        <w:t>On December 20, 2016, the Commission convened a prehearing conference in this docket</w:t>
      </w:r>
      <w:r w:rsidR="00F70941">
        <w:t xml:space="preserve"> to discuss procedural matters, including petitions </w:t>
      </w:r>
      <w:r w:rsidR="00AD7C4E">
        <w:t>to intervene</w:t>
      </w:r>
      <w:r w:rsidR="00F70941">
        <w:t xml:space="preserve"> filed by CREA, Yakama Power, Boise White Paper, L.L.C. (BWP), and The Energy Project.</w:t>
      </w:r>
      <w:r w:rsidR="005E2DC3">
        <w:rPr>
          <w:rStyle w:val="FootnoteReference"/>
        </w:rPr>
        <w:footnoteReference w:id="2"/>
      </w:r>
      <w:r w:rsidR="00F70941">
        <w:t xml:space="preserve"> Pacific Power objected to the petitions </w:t>
      </w:r>
      <w:r w:rsidR="00A516CF">
        <w:t xml:space="preserve">filed by CREA and Yakama Power, arguing </w:t>
      </w:r>
      <w:r w:rsidR="00F70941">
        <w:t xml:space="preserve">that neither has a substantial interest in this proceeding because </w:t>
      </w:r>
      <w:r w:rsidR="00B66310">
        <w:t>they</w:t>
      </w:r>
      <w:r w:rsidR="00F70941">
        <w:t xml:space="preserve"> are </w:t>
      </w:r>
      <w:r w:rsidR="00CA2B68">
        <w:t xml:space="preserve">Pacific Power’s </w:t>
      </w:r>
      <w:r w:rsidR="00F70941">
        <w:t xml:space="preserve">competitors, not </w:t>
      </w:r>
      <w:r w:rsidR="00FE79D4">
        <w:t xml:space="preserve">its </w:t>
      </w:r>
      <w:r w:rsidR="00F70941">
        <w:t xml:space="preserve">customers. </w:t>
      </w:r>
      <w:r w:rsidR="00B437A0">
        <w:t xml:space="preserve">Pacific Power noted that it disagrees with previous Commission decisions </w:t>
      </w:r>
      <w:r w:rsidR="00A516CF">
        <w:t>allowing</w:t>
      </w:r>
      <w:r w:rsidR="00B437A0">
        <w:t xml:space="preserve"> CREA’s participation.</w:t>
      </w:r>
      <w:r w:rsidR="00F70941">
        <w:br/>
      </w:r>
    </w:p>
    <w:p w14:paraId="2EA17574" w14:textId="07C0A0DE" w:rsidR="00F70941" w:rsidRPr="0050337D" w:rsidRDefault="00F70941" w:rsidP="00B81538">
      <w:pPr>
        <w:numPr>
          <w:ilvl w:val="0"/>
          <w:numId w:val="1"/>
        </w:numPr>
        <w:spacing w:line="288" w:lineRule="auto"/>
      </w:pPr>
      <w:r>
        <w:t xml:space="preserve">Commission staff (Staff) and Public Counsel supported both petitions for intervention, but expressed concerns about potentially broadening the scope of </w:t>
      </w:r>
      <w:r w:rsidR="00AD7C4E">
        <w:t>the proceeding</w:t>
      </w:r>
      <w:r>
        <w:t xml:space="preserve">, </w:t>
      </w:r>
      <w:r w:rsidR="00AD7C4E">
        <w:t>the companies’ cooperation</w:t>
      </w:r>
      <w:r>
        <w:t xml:space="preserve"> with discovery, and </w:t>
      </w:r>
      <w:r w:rsidR="00CA2B68">
        <w:t xml:space="preserve">protecting </w:t>
      </w:r>
      <w:r w:rsidR="00B66310">
        <w:t xml:space="preserve">Pacific Power’s </w:t>
      </w:r>
      <w:r w:rsidR="00CA2B68">
        <w:t xml:space="preserve">confidential information from </w:t>
      </w:r>
      <w:r w:rsidR="00B66310">
        <w:t xml:space="preserve">its </w:t>
      </w:r>
      <w:r>
        <w:t>competitors.</w:t>
      </w:r>
    </w:p>
    <w:p w14:paraId="26AE973A" w14:textId="77777777" w:rsidR="00A9337E" w:rsidRDefault="00A9337E" w:rsidP="00B55D0D">
      <w:pPr>
        <w:pStyle w:val="ListParagraph"/>
      </w:pPr>
    </w:p>
    <w:p w14:paraId="12EC526E" w14:textId="77777777" w:rsidR="00A9337E" w:rsidRPr="00B55D0D" w:rsidRDefault="00A9337E" w:rsidP="00B55D0D">
      <w:pPr>
        <w:spacing w:line="320" w:lineRule="exact"/>
        <w:jc w:val="center"/>
        <w:rPr>
          <w:b/>
        </w:rPr>
      </w:pPr>
      <w:r>
        <w:rPr>
          <w:b/>
        </w:rPr>
        <w:t>DISCUSSION</w:t>
      </w:r>
    </w:p>
    <w:p w14:paraId="0F230EF2" w14:textId="77777777" w:rsidR="00A9337E" w:rsidRDefault="00A9337E" w:rsidP="00B55D0D">
      <w:pPr>
        <w:pStyle w:val="ListParagraph"/>
      </w:pPr>
    </w:p>
    <w:p w14:paraId="0AD69C7F" w14:textId="535DE5F9" w:rsidR="00A3667D" w:rsidRDefault="00AD7C4E" w:rsidP="00B81538">
      <w:pPr>
        <w:numPr>
          <w:ilvl w:val="0"/>
          <w:numId w:val="1"/>
        </w:numPr>
        <w:spacing w:line="288" w:lineRule="auto"/>
      </w:pPr>
      <w:r>
        <w:t xml:space="preserve">We grant CREA’s and Yakama Power’s petitions to intervene. </w:t>
      </w:r>
      <w:r w:rsidR="00E93342">
        <w:t>The Administrative Procedure Act (APA) states that a presiding officer may grant a petition to intervene in an adjudication “upon determining that the petitioner qualifies as an intervenor under any provision of law and that the intervention sought is in the interests of justice and will not impair the orderly and prompt conduct of the proceedings.”</w:t>
      </w:r>
      <w:r w:rsidR="00E93342">
        <w:rPr>
          <w:rStyle w:val="FootnoteReference"/>
        </w:rPr>
        <w:footnoteReference w:id="3"/>
      </w:r>
      <w:r w:rsidR="00E93342">
        <w:t xml:space="preserve"> Commission rules provide the presiding officer with discretion to grant intervention “[i]f the petition discloses a substantial interest in the subject matter of the hearing or if the petitioner’s participation </w:t>
      </w:r>
      <w:r w:rsidR="00E93342">
        <w:lastRenderedPageBreak/>
        <w:t>is in the public interest.”</w:t>
      </w:r>
      <w:r w:rsidR="00E93342">
        <w:rPr>
          <w:rStyle w:val="FootnoteReference"/>
        </w:rPr>
        <w:footnoteReference w:id="4"/>
      </w:r>
      <w:r w:rsidR="00E93342">
        <w:t xml:space="preserve"> In addition, “the presiding officer may impose conditions upon the intervenor’s participation in the proceedings.”</w:t>
      </w:r>
      <w:r w:rsidR="00E93342">
        <w:rPr>
          <w:rStyle w:val="FootnoteReference"/>
        </w:rPr>
        <w:footnoteReference w:id="5"/>
      </w:r>
      <w:r w:rsidR="00A3667D">
        <w:t xml:space="preserve"> </w:t>
      </w:r>
      <w:r w:rsidR="00B437A0">
        <w:br/>
      </w:r>
    </w:p>
    <w:p w14:paraId="0C2015CE" w14:textId="78CB5CCD" w:rsidR="000B0212" w:rsidRDefault="00B437A0" w:rsidP="00B81538">
      <w:pPr>
        <w:numPr>
          <w:ilvl w:val="0"/>
          <w:numId w:val="1"/>
        </w:numPr>
        <w:spacing w:line="288" w:lineRule="auto"/>
      </w:pPr>
      <w:r>
        <w:t>While neither CREA</w:t>
      </w:r>
      <w:r w:rsidR="00032628">
        <w:t>,</w:t>
      </w:r>
      <w:r>
        <w:t xml:space="preserve"> nor Yakama Power has a direct and substantial interest in Pacific Power’s charges to its customers, </w:t>
      </w:r>
      <w:r w:rsidR="000B0212">
        <w:t xml:space="preserve">we find that </w:t>
      </w:r>
      <w:r>
        <w:t xml:space="preserve">their participation will </w:t>
      </w:r>
      <w:r w:rsidR="005E2DC3">
        <w:t>assist t</w:t>
      </w:r>
      <w:r>
        <w:t xml:space="preserve">he Commission with making a full and fair determination consistent with its </w:t>
      </w:r>
      <w:r w:rsidR="00195D53">
        <w:t>duty</w:t>
      </w:r>
      <w:r>
        <w:t xml:space="preserve"> to regulate in the public interest. </w:t>
      </w:r>
      <w:r w:rsidR="000B0212">
        <w:br/>
      </w:r>
    </w:p>
    <w:p w14:paraId="04F3E13A" w14:textId="09559ACA" w:rsidR="00B437A0" w:rsidRDefault="000B0212" w:rsidP="00B81538">
      <w:pPr>
        <w:numPr>
          <w:ilvl w:val="0"/>
          <w:numId w:val="1"/>
        </w:numPr>
        <w:spacing w:line="288" w:lineRule="auto"/>
      </w:pPr>
      <w:r>
        <w:t xml:space="preserve">As we noted </w:t>
      </w:r>
      <w:r w:rsidR="005E2DC3">
        <w:t xml:space="preserve">in </w:t>
      </w:r>
      <w:r>
        <w:t xml:space="preserve">Docket UE-001734, Pacific Power’s proposed changes to its net removal tariff will occur in the context of competition among neighboring utilities, and Pacific Power’s customers are </w:t>
      </w:r>
      <w:r w:rsidR="00EB164D">
        <w:t>impacted</w:t>
      </w:r>
      <w:r>
        <w:t xml:space="preserve"> by this broader context.</w:t>
      </w:r>
      <w:r w:rsidR="005E2DC3">
        <w:rPr>
          <w:rStyle w:val="FootnoteReference"/>
        </w:rPr>
        <w:footnoteReference w:id="6"/>
      </w:r>
      <w:r>
        <w:t xml:space="preserve"> </w:t>
      </w:r>
      <w:r w:rsidR="0072719F">
        <w:t>Accordingly, b</w:t>
      </w:r>
      <w:r>
        <w:t xml:space="preserve">oth CREA’s and Yakama Power’s participation </w:t>
      </w:r>
      <w:r w:rsidR="007B166F">
        <w:t xml:space="preserve">supports the public interest because it </w:t>
      </w:r>
      <w:r w:rsidR="00F03534">
        <w:t>may</w:t>
      </w:r>
      <w:r>
        <w:t xml:space="preserve"> help us determine the effects of the proposed tariff </w:t>
      </w:r>
      <w:r w:rsidR="00EB164D">
        <w:t>revisions on Pacific Power’s</w:t>
      </w:r>
      <w:r>
        <w:t xml:space="preserve"> customers.</w:t>
      </w:r>
      <w:r w:rsidR="0072719F">
        <w:t xml:space="preserve"> </w:t>
      </w:r>
      <w:r w:rsidR="00B437A0">
        <w:br/>
      </w:r>
    </w:p>
    <w:p w14:paraId="4F010A3E" w14:textId="7CEB24A8" w:rsidR="00F27132" w:rsidRDefault="0072719F" w:rsidP="00B81538">
      <w:pPr>
        <w:numPr>
          <w:ilvl w:val="0"/>
          <w:numId w:val="1"/>
        </w:numPr>
        <w:spacing w:line="288" w:lineRule="auto"/>
      </w:pPr>
      <w:r>
        <w:t xml:space="preserve">Moreover, </w:t>
      </w:r>
      <w:r w:rsidR="00A3667D">
        <w:t xml:space="preserve">CREA’s participation serves the Commission’s interest </w:t>
      </w:r>
      <w:r w:rsidR="00352890">
        <w:t xml:space="preserve">in fully developing the record </w:t>
      </w:r>
      <w:r w:rsidR="00B437A0">
        <w:t xml:space="preserve">here </w:t>
      </w:r>
      <w:r w:rsidR="00352890">
        <w:t xml:space="preserve">just as it did </w:t>
      </w:r>
      <w:r>
        <w:t>when we granted CREA’s petition to intervene in Pacific Power’s general rate case</w:t>
      </w:r>
      <w:r w:rsidR="00706C52">
        <w:t xml:space="preserve"> solely to address </w:t>
      </w:r>
      <w:r>
        <w:t>the Company’s net removal tariff</w:t>
      </w:r>
      <w:r w:rsidR="00706C52">
        <w:t>, which is the only matter at issue in this proceeding</w:t>
      </w:r>
      <w:r>
        <w:t>.</w:t>
      </w:r>
      <w:r>
        <w:rPr>
          <w:rStyle w:val="FootnoteReference"/>
        </w:rPr>
        <w:footnoteReference w:id="7"/>
      </w:r>
      <w:r w:rsidR="00352890">
        <w:t xml:space="preserve"> </w:t>
      </w:r>
      <w:r w:rsidR="00B437A0">
        <w:t>Yakama Power’s participation serves th</w:t>
      </w:r>
      <w:r w:rsidR="00D27CA9">
        <w:t xml:space="preserve">e </w:t>
      </w:r>
      <w:r w:rsidR="00B437A0">
        <w:t>same interest for th</w:t>
      </w:r>
      <w:r>
        <w:t>e</w:t>
      </w:r>
      <w:r w:rsidR="005E2DC3">
        <w:t xml:space="preserve"> same reason</w:t>
      </w:r>
      <w:r w:rsidR="00B437A0">
        <w:t>.</w:t>
      </w:r>
      <w:r w:rsidR="00E93342">
        <w:br/>
      </w:r>
    </w:p>
    <w:p w14:paraId="75F2CC6E" w14:textId="3BDE9632" w:rsidR="001D5896" w:rsidRDefault="00E93342" w:rsidP="007A38B8">
      <w:pPr>
        <w:numPr>
          <w:ilvl w:val="0"/>
          <w:numId w:val="1"/>
        </w:numPr>
        <w:spacing w:after="240" w:line="320" w:lineRule="exact"/>
      </w:pPr>
      <w:r>
        <w:t xml:space="preserve">To address Pacific Power’s concerns about competitive harm, we condition CREA’s and Yakama Power’s intervention on precluding those companies and their representatives from accessing any confidential information produced in this docket, either in filings with the Commission or through discovery. </w:t>
      </w:r>
    </w:p>
    <w:p w14:paraId="50E75D0C" w14:textId="3F8BAD05" w:rsidR="00D27CA9" w:rsidRDefault="00D27CA9" w:rsidP="00B81538">
      <w:pPr>
        <w:numPr>
          <w:ilvl w:val="0"/>
          <w:numId w:val="1"/>
        </w:numPr>
        <w:spacing w:after="240" w:line="288" w:lineRule="auto"/>
      </w:pPr>
      <w:r>
        <w:t>We also note that the primary issue in this proceeding relates to the rates, terms, and conditions of the Company’s proposed tariff filings. The Commission will not broaden the scope of the proceeding t</w:t>
      </w:r>
      <w:r w:rsidR="00AA059E">
        <w:t xml:space="preserve">o address how those rates, terms, and conditions may affect the legal or property interests of the nonregulated utilities. </w:t>
      </w:r>
    </w:p>
    <w:p w14:paraId="453A61EA" w14:textId="098A94C8" w:rsidR="00AA059E" w:rsidRPr="00F94149" w:rsidRDefault="00AA059E" w:rsidP="00B81538">
      <w:pPr>
        <w:numPr>
          <w:ilvl w:val="0"/>
          <w:numId w:val="1"/>
        </w:numPr>
        <w:spacing w:after="240" w:line="288" w:lineRule="auto"/>
      </w:pPr>
      <w:r>
        <w:lastRenderedPageBreak/>
        <w:t>Finally, we note that both CREA and Yakama P</w:t>
      </w:r>
      <w:r w:rsidR="005E2DC3">
        <w:t>ower</w:t>
      </w:r>
      <w:r>
        <w:t xml:space="preserve"> provided assurances at the prehearing conference that, as parties to this proceeding, they intend to cooperate fully with discovery requests</w:t>
      </w:r>
      <w:r w:rsidR="00DE5FDC">
        <w:t xml:space="preserve"> propounded by other parties.</w:t>
      </w:r>
    </w:p>
    <w:p w14:paraId="148DF716" w14:textId="77777777" w:rsidR="001D5896" w:rsidRPr="00F94149" w:rsidRDefault="001D5896" w:rsidP="000035AE">
      <w:pPr>
        <w:spacing w:line="320" w:lineRule="exact"/>
        <w:rPr>
          <w:b/>
        </w:rPr>
      </w:pPr>
    </w:p>
    <w:p w14:paraId="254CB599" w14:textId="656ED9E5" w:rsidR="00F27132" w:rsidRPr="00F94149" w:rsidRDefault="00F27132" w:rsidP="000035AE">
      <w:pPr>
        <w:spacing w:line="320" w:lineRule="exact"/>
        <w:jc w:val="center"/>
        <w:rPr>
          <w:b/>
        </w:rPr>
      </w:pPr>
      <w:r w:rsidRPr="00F94149">
        <w:rPr>
          <w:b/>
        </w:rPr>
        <w:t>ORD</w:t>
      </w:r>
      <w:r w:rsidR="005E2DC3">
        <w:rPr>
          <w:b/>
        </w:rPr>
        <w:t>E</w:t>
      </w:r>
      <w:r w:rsidRPr="00F94149">
        <w:rPr>
          <w:b/>
        </w:rPr>
        <w:t>R</w:t>
      </w:r>
    </w:p>
    <w:p w14:paraId="0ADF87AD" w14:textId="77777777" w:rsidR="00F27132" w:rsidRPr="00F94149" w:rsidRDefault="00F27132" w:rsidP="000035AE">
      <w:pPr>
        <w:spacing w:line="320" w:lineRule="exact"/>
        <w:jc w:val="center"/>
        <w:rPr>
          <w:b/>
        </w:rPr>
      </w:pPr>
    </w:p>
    <w:p w14:paraId="3C64AA33" w14:textId="77777777" w:rsidR="00F27132" w:rsidRPr="00AE37A9" w:rsidRDefault="00F27132" w:rsidP="000035AE">
      <w:pPr>
        <w:spacing w:line="320" w:lineRule="exact"/>
        <w:rPr>
          <w:b/>
        </w:rPr>
      </w:pPr>
      <w:r w:rsidRPr="00AE37A9">
        <w:rPr>
          <w:b/>
        </w:rPr>
        <w:t>THE COMMISSION ORDERS:</w:t>
      </w:r>
    </w:p>
    <w:p w14:paraId="7CE242C3" w14:textId="77777777" w:rsidR="00F27132" w:rsidRPr="00F94149" w:rsidRDefault="00F27132" w:rsidP="000035AE">
      <w:pPr>
        <w:spacing w:line="320" w:lineRule="exact"/>
        <w:jc w:val="center"/>
        <w:rPr>
          <w:b/>
        </w:rPr>
      </w:pPr>
    </w:p>
    <w:p w14:paraId="0F2823AF" w14:textId="5DCAD464" w:rsidR="00F27132" w:rsidRPr="00F94149" w:rsidRDefault="00F27132" w:rsidP="000035AE">
      <w:pPr>
        <w:numPr>
          <w:ilvl w:val="0"/>
          <w:numId w:val="1"/>
        </w:numPr>
        <w:spacing w:line="320" w:lineRule="exact"/>
        <w:ind w:left="720" w:hanging="1440"/>
        <w:rPr>
          <w:b/>
        </w:rPr>
      </w:pPr>
      <w:r w:rsidRPr="00F94149">
        <w:t>(1)</w:t>
      </w:r>
      <w:r w:rsidRPr="00F94149">
        <w:tab/>
      </w:r>
      <w:r w:rsidR="00101CBA">
        <w:t xml:space="preserve">Columbia Rural Electric Association’s Petition </w:t>
      </w:r>
      <w:r w:rsidR="00AD7C4E">
        <w:t>to Intervene</w:t>
      </w:r>
      <w:r w:rsidR="00101CBA">
        <w:t xml:space="preserve"> is GRANTED.</w:t>
      </w:r>
    </w:p>
    <w:p w14:paraId="11EDB955" w14:textId="77777777" w:rsidR="00F27132" w:rsidRPr="00F94149" w:rsidRDefault="00F27132" w:rsidP="000035AE">
      <w:pPr>
        <w:spacing w:line="320" w:lineRule="exact"/>
        <w:ind w:left="-360"/>
        <w:rPr>
          <w:b/>
        </w:rPr>
      </w:pPr>
    </w:p>
    <w:p w14:paraId="535B9170" w14:textId="3131A0D7" w:rsidR="00F27132" w:rsidRPr="00101CBA" w:rsidRDefault="00F27132" w:rsidP="00101CBA">
      <w:pPr>
        <w:numPr>
          <w:ilvl w:val="0"/>
          <w:numId w:val="1"/>
        </w:numPr>
        <w:spacing w:line="320" w:lineRule="exact"/>
        <w:ind w:left="720" w:hanging="1440"/>
        <w:rPr>
          <w:b/>
        </w:rPr>
      </w:pPr>
      <w:r w:rsidRPr="00F94149">
        <w:t>(2)</w:t>
      </w:r>
      <w:r w:rsidRPr="00F94149">
        <w:tab/>
      </w:r>
      <w:r w:rsidR="00101CBA">
        <w:t xml:space="preserve">Yakama Power’s Petition </w:t>
      </w:r>
      <w:r w:rsidR="00AD7C4E">
        <w:t>to Intervene</w:t>
      </w:r>
      <w:r w:rsidR="00101CBA">
        <w:t xml:space="preserve"> is GRANTED.</w:t>
      </w:r>
    </w:p>
    <w:p w14:paraId="7AE7651A" w14:textId="77777777" w:rsidR="00F27132" w:rsidRPr="00F94149" w:rsidRDefault="00F27132" w:rsidP="006E74A1">
      <w:pPr>
        <w:spacing w:line="320" w:lineRule="exact"/>
        <w:rPr>
          <w:b/>
        </w:rPr>
      </w:pPr>
    </w:p>
    <w:p w14:paraId="1A1E9A79" w14:textId="3151F9C1" w:rsidR="00F27132" w:rsidRPr="00F94149" w:rsidRDefault="00F27132" w:rsidP="000035AE">
      <w:pPr>
        <w:spacing w:line="320" w:lineRule="exact"/>
        <w:rPr>
          <w:b/>
        </w:rPr>
      </w:pPr>
      <w:r w:rsidRPr="00F94149">
        <w:t xml:space="preserve">DATED at Olympia, Washington, and effective </w:t>
      </w:r>
      <w:r w:rsidR="00195D53">
        <w:rPr>
          <w:bCs/>
        </w:rPr>
        <w:t>January 4</w:t>
      </w:r>
      <w:r w:rsidR="00B81538">
        <w:rPr>
          <w:bCs/>
        </w:rPr>
        <w:t>, 2017</w:t>
      </w:r>
    </w:p>
    <w:p w14:paraId="2318C988" w14:textId="77777777" w:rsidR="00F27132" w:rsidRPr="00F94149" w:rsidRDefault="00F27132" w:rsidP="000035AE">
      <w:pPr>
        <w:spacing w:line="320" w:lineRule="exact"/>
        <w:rPr>
          <w:b/>
        </w:rPr>
      </w:pPr>
    </w:p>
    <w:p w14:paraId="08F83B61" w14:textId="77777777" w:rsidR="004414A1" w:rsidRDefault="004414A1" w:rsidP="004414A1">
      <w:pPr>
        <w:spacing w:line="320" w:lineRule="exact"/>
        <w:jc w:val="center"/>
      </w:pPr>
      <w:smartTag w:uri="urn:schemas-microsoft-com:office:smarttags" w:element="State">
        <w:smartTag w:uri="urn:schemas-microsoft-com:office:smarttags" w:element="City">
          <w:r>
            <w:t>WASHINGTON</w:t>
          </w:r>
        </w:smartTag>
      </w:smartTag>
      <w:r>
        <w:t xml:space="preserve"> UTILITIES AND TRANSPORTATION COMMISSION</w:t>
      </w:r>
    </w:p>
    <w:p w14:paraId="360AAAF7" w14:textId="77777777" w:rsidR="004414A1" w:rsidRDefault="004414A1" w:rsidP="004414A1">
      <w:pPr>
        <w:spacing w:line="320" w:lineRule="exact"/>
      </w:pPr>
    </w:p>
    <w:p w14:paraId="524D9E72" w14:textId="77777777" w:rsidR="004414A1" w:rsidRDefault="004414A1" w:rsidP="004414A1">
      <w:pPr>
        <w:spacing w:line="320" w:lineRule="exact"/>
      </w:pPr>
    </w:p>
    <w:p w14:paraId="06C457A8" w14:textId="77777777" w:rsidR="00024CB5" w:rsidRDefault="00024CB5" w:rsidP="004414A1">
      <w:pPr>
        <w:spacing w:line="320" w:lineRule="exact"/>
      </w:pPr>
    </w:p>
    <w:p w14:paraId="35636C26" w14:textId="77777777" w:rsidR="00024CB5" w:rsidRDefault="00024CB5" w:rsidP="004414A1">
      <w:pPr>
        <w:spacing w:line="320" w:lineRule="exact"/>
      </w:pPr>
    </w:p>
    <w:p w14:paraId="45F76BF0" w14:textId="5EAEA209" w:rsidR="00101CBA" w:rsidRPr="003D4ACB" w:rsidRDefault="00101CBA" w:rsidP="00101CBA">
      <w:pPr>
        <w:spacing w:line="288" w:lineRule="auto"/>
        <w:ind w:left="4320"/>
      </w:pPr>
      <w:r>
        <w:rPr>
          <w:bCs/>
        </w:rPr>
        <w:t>RAYNE PEARSON</w:t>
      </w:r>
      <w:r>
        <w:rPr>
          <w:bCs/>
        </w:rPr>
        <w:br/>
      </w:r>
      <w:r w:rsidRPr="003D4ACB">
        <w:t>Administrative Law Judge</w:t>
      </w:r>
      <w:r w:rsidR="00EE3B12">
        <w:br/>
      </w:r>
      <w:r w:rsidR="00EE3B12">
        <w:br/>
      </w:r>
    </w:p>
    <w:p w14:paraId="6185AC83" w14:textId="1D81F009" w:rsidR="00EE3B12" w:rsidRPr="00A7164C" w:rsidRDefault="00B81538" w:rsidP="00EE3B12">
      <w:pPr>
        <w:spacing w:line="264" w:lineRule="auto"/>
      </w:pPr>
      <w:r>
        <w:rPr>
          <w:b/>
          <w:bCs/>
        </w:rPr>
        <w:t xml:space="preserve">NOTICE TO PARTIES: </w:t>
      </w:r>
      <w:r w:rsidR="00EE3B12" w:rsidRPr="00A7164C">
        <w:rPr>
          <w:b/>
          <w:bCs/>
        </w:rPr>
        <w:t xml:space="preserve">This is an Interlocutory Order of the Commission. Administrative review may be available through a petition for review, filed within 10 days of the service of this Order pursuant to </w:t>
      </w:r>
      <w:r w:rsidR="00EE3B12" w:rsidRPr="00A7164C">
        <w:rPr>
          <w:b/>
          <w:bCs/>
          <w:i/>
          <w:iCs/>
        </w:rPr>
        <w:t>WAC 480-07-810</w:t>
      </w:r>
      <w:r w:rsidR="00EE3B12" w:rsidRPr="00A7164C">
        <w:rPr>
          <w:b/>
          <w:bCs/>
        </w:rPr>
        <w:t>.</w:t>
      </w:r>
    </w:p>
    <w:p w14:paraId="7C1A15B1" w14:textId="4C2F19A3" w:rsidR="001D5896" w:rsidRPr="001D5896" w:rsidRDefault="001D5896" w:rsidP="00101CBA">
      <w:pPr>
        <w:spacing w:line="320" w:lineRule="exact"/>
      </w:pPr>
    </w:p>
    <w:sectPr w:rsidR="001D5896" w:rsidRPr="001D5896" w:rsidSect="00B81538">
      <w:headerReference w:type="default" r:id="rId8"/>
      <w:headerReference w:type="first" r:id="rId9"/>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E7AAA" w14:textId="77777777" w:rsidR="003554DB" w:rsidRDefault="003554DB">
      <w:r>
        <w:separator/>
      </w:r>
    </w:p>
  </w:endnote>
  <w:endnote w:type="continuationSeparator" w:id="0">
    <w:p w14:paraId="7F7FA808" w14:textId="77777777" w:rsidR="003554DB" w:rsidRDefault="0035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DA70D" w14:textId="77777777" w:rsidR="003554DB" w:rsidRDefault="003554DB">
      <w:r>
        <w:separator/>
      </w:r>
    </w:p>
  </w:footnote>
  <w:footnote w:type="continuationSeparator" w:id="0">
    <w:p w14:paraId="76592CC4" w14:textId="77777777" w:rsidR="003554DB" w:rsidRDefault="003554DB">
      <w:r>
        <w:continuationSeparator/>
      </w:r>
    </w:p>
  </w:footnote>
  <w:footnote w:id="1">
    <w:p w14:paraId="08FB68A7" w14:textId="2A102DC7" w:rsidR="00DF0ACD" w:rsidRPr="00B81538" w:rsidRDefault="00DF0ACD" w:rsidP="00B81538">
      <w:pPr>
        <w:pStyle w:val="FootnoteText"/>
        <w:spacing w:after="120"/>
        <w:rPr>
          <w:sz w:val="22"/>
          <w:szCs w:val="22"/>
        </w:rPr>
      </w:pPr>
      <w:r w:rsidRPr="00B81538">
        <w:rPr>
          <w:rStyle w:val="FootnoteReference"/>
          <w:sz w:val="22"/>
          <w:szCs w:val="22"/>
        </w:rPr>
        <w:footnoteRef/>
      </w:r>
      <w:r w:rsidRPr="00B81538">
        <w:rPr>
          <w:sz w:val="22"/>
          <w:szCs w:val="22"/>
        </w:rPr>
        <w:t xml:space="preserve"> In Dockets UE-151871 a</w:t>
      </w:r>
      <w:r w:rsidR="0072719F" w:rsidRPr="00B81538">
        <w:rPr>
          <w:sz w:val="22"/>
          <w:szCs w:val="22"/>
        </w:rPr>
        <w:t>nd UG-15187</w:t>
      </w:r>
      <w:r w:rsidRPr="00B81538">
        <w:rPr>
          <w:sz w:val="22"/>
          <w:szCs w:val="22"/>
        </w:rPr>
        <w:t xml:space="preserve">2, the Commission found that two HVAC associations had a substantial interest in the subject matter of the proceeding, which placed the </w:t>
      </w:r>
      <w:r w:rsidR="00B437A0" w:rsidRPr="00B81538">
        <w:rPr>
          <w:sz w:val="22"/>
          <w:szCs w:val="22"/>
        </w:rPr>
        <w:t xml:space="preserve">adequacy of the </w:t>
      </w:r>
      <w:r w:rsidRPr="00B81538">
        <w:rPr>
          <w:sz w:val="22"/>
          <w:szCs w:val="22"/>
        </w:rPr>
        <w:t>HVAC equipment market squarely at issue.</w:t>
      </w:r>
      <w:r w:rsidR="0072719F" w:rsidRPr="00B81538">
        <w:rPr>
          <w:sz w:val="22"/>
          <w:szCs w:val="22"/>
        </w:rPr>
        <w:t xml:space="preserve"> </w:t>
      </w:r>
      <w:r w:rsidR="0072719F" w:rsidRPr="00B81538">
        <w:rPr>
          <w:i/>
          <w:sz w:val="22"/>
          <w:szCs w:val="22"/>
        </w:rPr>
        <w:t>WUTC v. Puget Sound Energy</w:t>
      </w:r>
      <w:r w:rsidR="0072719F" w:rsidRPr="00B81538">
        <w:rPr>
          <w:sz w:val="22"/>
          <w:szCs w:val="22"/>
        </w:rPr>
        <w:t>, Dockets UE-151871 and UG-151872, Order 02 ¶</w:t>
      </w:r>
      <w:r w:rsidRPr="00B81538">
        <w:rPr>
          <w:sz w:val="22"/>
          <w:szCs w:val="22"/>
        </w:rPr>
        <w:t xml:space="preserve"> ¶9-11 (January 7, 2016).</w:t>
      </w:r>
    </w:p>
  </w:footnote>
  <w:footnote w:id="2">
    <w:p w14:paraId="39CE3D9B" w14:textId="6E742335" w:rsidR="005E2DC3" w:rsidRPr="00B81538" w:rsidRDefault="005E2DC3" w:rsidP="00B81538">
      <w:pPr>
        <w:pStyle w:val="FootnoteText"/>
        <w:spacing w:after="120"/>
        <w:rPr>
          <w:sz w:val="22"/>
          <w:szCs w:val="22"/>
        </w:rPr>
      </w:pPr>
      <w:r w:rsidRPr="00B81538">
        <w:rPr>
          <w:rStyle w:val="FootnoteReference"/>
          <w:sz w:val="22"/>
          <w:szCs w:val="22"/>
        </w:rPr>
        <w:footnoteRef/>
      </w:r>
      <w:r w:rsidRPr="00B81538">
        <w:rPr>
          <w:sz w:val="22"/>
          <w:szCs w:val="22"/>
        </w:rPr>
        <w:t xml:space="preserve"> No party objected to the petitions to intervene filed by BWP and The Energy Project. Based on the Commission’s finding that BWP and The Energy Project have a substantial interest in this proceeding, those petitions were granted. </w:t>
      </w:r>
      <w:r w:rsidRPr="00B81538">
        <w:rPr>
          <w:sz w:val="22"/>
          <w:szCs w:val="22"/>
        </w:rPr>
        <w:br/>
      </w:r>
    </w:p>
  </w:footnote>
  <w:footnote w:id="3">
    <w:p w14:paraId="444D1621" w14:textId="77777777" w:rsidR="00E93342" w:rsidRPr="00CD54A8" w:rsidRDefault="00E93342" w:rsidP="00B81538">
      <w:pPr>
        <w:pStyle w:val="FootnoteText"/>
        <w:spacing w:after="120"/>
        <w:rPr>
          <w:sz w:val="22"/>
          <w:szCs w:val="22"/>
        </w:rPr>
      </w:pPr>
      <w:r w:rsidRPr="00B81538">
        <w:rPr>
          <w:rStyle w:val="FootnoteReference"/>
          <w:sz w:val="22"/>
          <w:szCs w:val="22"/>
        </w:rPr>
        <w:footnoteRef/>
      </w:r>
      <w:r w:rsidRPr="00B81538">
        <w:rPr>
          <w:sz w:val="22"/>
          <w:szCs w:val="22"/>
        </w:rPr>
        <w:t xml:space="preserve"> RCW 34.05.443(1).</w:t>
      </w:r>
    </w:p>
  </w:footnote>
  <w:footnote w:id="4">
    <w:p w14:paraId="5C56D032" w14:textId="77777777" w:rsidR="00E93342" w:rsidRPr="00B81538" w:rsidRDefault="00E93342" w:rsidP="00B81538">
      <w:pPr>
        <w:pStyle w:val="FootnoteText"/>
        <w:spacing w:after="120"/>
        <w:rPr>
          <w:sz w:val="22"/>
          <w:szCs w:val="22"/>
        </w:rPr>
      </w:pPr>
      <w:r w:rsidRPr="00B81538">
        <w:rPr>
          <w:rStyle w:val="FootnoteReference"/>
          <w:sz w:val="22"/>
          <w:szCs w:val="22"/>
        </w:rPr>
        <w:footnoteRef/>
      </w:r>
      <w:r w:rsidRPr="00B81538">
        <w:rPr>
          <w:sz w:val="22"/>
          <w:szCs w:val="22"/>
        </w:rPr>
        <w:t xml:space="preserve"> WAC 480-07-355(3).</w:t>
      </w:r>
    </w:p>
  </w:footnote>
  <w:footnote w:id="5">
    <w:p w14:paraId="097DF0B3" w14:textId="77777777" w:rsidR="00E93342" w:rsidRPr="00B81538" w:rsidRDefault="00E93342" w:rsidP="00B81538">
      <w:pPr>
        <w:pStyle w:val="FootnoteText"/>
        <w:spacing w:after="120"/>
        <w:rPr>
          <w:sz w:val="22"/>
          <w:szCs w:val="22"/>
        </w:rPr>
      </w:pPr>
      <w:r w:rsidRPr="00B81538">
        <w:rPr>
          <w:rStyle w:val="FootnoteReference"/>
          <w:sz w:val="22"/>
          <w:szCs w:val="22"/>
        </w:rPr>
        <w:footnoteRef/>
      </w:r>
      <w:r w:rsidRPr="00B81538">
        <w:rPr>
          <w:sz w:val="22"/>
          <w:szCs w:val="22"/>
        </w:rPr>
        <w:t xml:space="preserve"> RCW 34.05.443(2); </w:t>
      </w:r>
      <w:r w:rsidRPr="00B81538">
        <w:rPr>
          <w:i/>
          <w:sz w:val="22"/>
          <w:szCs w:val="22"/>
        </w:rPr>
        <w:t>accord</w:t>
      </w:r>
      <w:r w:rsidRPr="00B81538">
        <w:rPr>
          <w:sz w:val="22"/>
          <w:szCs w:val="22"/>
        </w:rPr>
        <w:t xml:space="preserve"> WAC 480-07-355(3).</w:t>
      </w:r>
    </w:p>
  </w:footnote>
  <w:footnote w:id="6">
    <w:p w14:paraId="3B37E8BD" w14:textId="452D2D71" w:rsidR="005E2DC3" w:rsidRPr="00B81538" w:rsidRDefault="005E2DC3" w:rsidP="00B81538">
      <w:pPr>
        <w:pStyle w:val="FootnoteText"/>
        <w:spacing w:after="120"/>
        <w:rPr>
          <w:sz w:val="22"/>
          <w:szCs w:val="22"/>
        </w:rPr>
      </w:pPr>
      <w:r w:rsidRPr="00B81538">
        <w:rPr>
          <w:rStyle w:val="FootnoteReference"/>
          <w:sz w:val="22"/>
          <w:szCs w:val="22"/>
        </w:rPr>
        <w:footnoteRef/>
      </w:r>
      <w:r w:rsidRPr="00B81538">
        <w:rPr>
          <w:sz w:val="22"/>
          <w:szCs w:val="22"/>
        </w:rPr>
        <w:t xml:space="preserve"> </w:t>
      </w:r>
      <w:r w:rsidRPr="00B81538">
        <w:rPr>
          <w:i/>
          <w:sz w:val="22"/>
          <w:szCs w:val="22"/>
        </w:rPr>
        <w:t>WUTC v. PacifiCorp d/b/a Pacific Power &amp; Light</w:t>
      </w:r>
      <w:r w:rsidRPr="00B81538">
        <w:rPr>
          <w:sz w:val="22"/>
          <w:szCs w:val="22"/>
        </w:rPr>
        <w:t>, Docket UE-001734, Second Supplemental Order ¶33 (July 9, 2001).</w:t>
      </w:r>
      <w:r w:rsidRPr="00B81538">
        <w:rPr>
          <w:sz w:val="22"/>
          <w:szCs w:val="22"/>
        </w:rPr>
        <w:br/>
      </w:r>
    </w:p>
  </w:footnote>
  <w:footnote w:id="7">
    <w:p w14:paraId="10F2A7A4" w14:textId="052D5F21" w:rsidR="0072719F" w:rsidRPr="0072719F" w:rsidRDefault="0072719F" w:rsidP="00B81538">
      <w:pPr>
        <w:pStyle w:val="FootnoteText"/>
        <w:spacing w:after="120"/>
      </w:pPr>
      <w:r w:rsidRPr="00B81538">
        <w:rPr>
          <w:rStyle w:val="FootnoteReference"/>
          <w:sz w:val="22"/>
          <w:szCs w:val="22"/>
        </w:rPr>
        <w:footnoteRef/>
      </w:r>
      <w:r w:rsidRPr="00B81538">
        <w:rPr>
          <w:sz w:val="22"/>
          <w:szCs w:val="22"/>
        </w:rPr>
        <w:t xml:space="preserve"> </w:t>
      </w:r>
      <w:r w:rsidRPr="00B81538">
        <w:rPr>
          <w:i/>
          <w:sz w:val="22"/>
          <w:szCs w:val="22"/>
        </w:rPr>
        <w:t>WUTC v. PacifiCorp d/b/a Pacific Power &amp; Light Company</w:t>
      </w:r>
      <w:r w:rsidRPr="00B81538">
        <w:rPr>
          <w:sz w:val="22"/>
          <w:szCs w:val="22"/>
        </w:rPr>
        <w:t>, Docket UE-130043, Order 03 ¶6 (February 14,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F9DBF" w14:textId="4B824DAD" w:rsidR="00CE2DE3" w:rsidRPr="00A748CC" w:rsidRDefault="00CE2DE3" w:rsidP="00FF0833">
    <w:pPr>
      <w:pStyle w:val="Header"/>
      <w:tabs>
        <w:tab w:val="clear" w:pos="8640"/>
        <w:tab w:val="left" w:pos="7000"/>
        <w:tab w:val="right" w:pos="8460"/>
      </w:tabs>
      <w:rPr>
        <w:rStyle w:val="PageNumber"/>
        <w:b/>
        <w:sz w:val="20"/>
      </w:rPr>
    </w:pPr>
    <w:r w:rsidRPr="00A748CC">
      <w:rPr>
        <w:b/>
        <w:sz w:val="20"/>
      </w:rPr>
      <w:t>DOCKET</w:t>
    </w:r>
    <w:r w:rsidR="00DB2799">
      <w:rPr>
        <w:b/>
        <w:sz w:val="20"/>
      </w:rPr>
      <w:t xml:space="preserve"> UE-161204</w:t>
    </w:r>
    <w:r w:rsidRPr="00A748CC">
      <w:rPr>
        <w:b/>
        <w:sz w:val="20"/>
      </w:rPr>
      <w:tab/>
    </w:r>
    <w:r w:rsidR="00FF0833">
      <w:rPr>
        <w:b/>
        <w:sz w:val="20"/>
      </w:rPr>
      <w:tab/>
    </w:r>
    <w:r w:rsidRPr="00A748CC">
      <w:rPr>
        <w:b/>
        <w:sz w:val="20"/>
      </w:rPr>
      <w:t xml:space="preserve">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3A064D">
      <w:rPr>
        <w:rStyle w:val="PageNumber"/>
        <w:b/>
        <w:noProof/>
        <w:sz w:val="20"/>
      </w:rPr>
      <w:t>4</w:t>
    </w:r>
    <w:r w:rsidRPr="00A748CC">
      <w:rPr>
        <w:rStyle w:val="PageNumber"/>
        <w:b/>
        <w:sz w:val="20"/>
      </w:rPr>
      <w:fldChar w:fldCharType="end"/>
    </w:r>
  </w:p>
  <w:p w14:paraId="0A339A22" w14:textId="72521FB1" w:rsidR="00CE2DE3" w:rsidRPr="0050337D" w:rsidRDefault="00CE2DE3" w:rsidP="00680AE9">
    <w:pPr>
      <w:pStyle w:val="Header"/>
      <w:tabs>
        <w:tab w:val="left" w:pos="7000"/>
      </w:tabs>
      <w:rPr>
        <w:rStyle w:val="PageNumber"/>
        <w:sz w:val="20"/>
      </w:rPr>
    </w:pPr>
    <w:r w:rsidRPr="00A748CC">
      <w:rPr>
        <w:rStyle w:val="PageNumber"/>
        <w:b/>
        <w:sz w:val="20"/>
      </w:rPr>
      <w:t xml:space="preserve">ORDER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3A064D" w:rsidRPr="003A064D">
      <w:rPr>
        <w:b/>
        <w:sz w:val="20"/>
      </w:rPr>
      <w:t>01</w:t>
    </w:r>
    <w:r w:rsidRPr="00A748CC">
      <w:rPr>
        <w:rStyle w:val="PageNumber"/>
        <w:b/>
        <w:sz w:val="20"/>
      </w:rPr>
      <w:fldChar w:fldCharType="end"/>
    </w:r>
  </w:p>
  <w:p w14:paraId="78ACB37C" w14:textId="77777777" w:rsidR="00CE2DE3" w:rsidRDefault="00CE2DE3">
    <w:pPr>
      <w:pStyle w:val="Header"/>
      <w:rPr>
        <w:sz w:val="20"/>
        <w:szCs w:val="20"/>
      </w:rPr>
    </w:pPr>
  </w:p>
  <w:p w14:paraId="1F4A486D" w14:textId="77777777" w:rsidR="00B81538" w:rsidRPr="00F94149" w:rsidRDefault="00B81538">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3D941" w14:textId="6E895BA1" w:rsidR="002F3429" w:rsidRDefault="002F3429" w:rsidP="002F3429">
    <w:pPr>
      <w:pStyle w:val="Header"/>
      <w:jc w:val="right"/>
    </w:pPr>
    <w:r>
      <w:t>Service Date: January 4,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5DA551D0"/>
    <w:multiLevelType w:val="hybridMultilevel"/>
    <w:tmpl w:val="752805F8"/>
    <w:lvl w:ilvl="0" w:tplc="E438B7A2">
      <w:start w:val="1"/>
      <w:numFmt w:val="decimal"/>
      <w:lvlText w:val="%1"/>
      <w:lvlJc w:val="right"/>
      <w:pPr>
        <w:tabs>
          <w:tab w:val="num" w:pos="0"/>
        </w:tabs>
        <w:ind w:left="0" w:hanging="720"/>
      </w:pPr>
      <w:rPr>
        <w:rFonts w:ascii="Times New Roman" w:hAnsi="Times New Roman" w:cs="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37E"/>
    <w:rsid w:val="000035AE"/>
    <w:rsid w:val="00007CF2"/>
    <w:rsid w:val="00011425"/>
    <w:rsid w:val="00013171"/>
    <w:rsid w:val="0002361C"/>
    <w:rsid w:val="00024CB5"/>
    <w:rsid w:val="00027689"/>
    <w:rsid w:val="00032628"/>
    <w:rsid w:val="00081520"/>
    <w:rsid w:val="00090B12"/>
    <w:rsid w:val="000B0212"/>
    <w:rsid w:val="000B4A18"/>
    <w:rsid w:val="000D2057"/>
    <w:rsid w:val="00101CBA"/>
    <w:rsid w:val="00146297"/>
    <w:rsid w:val="00195D53"/>
    <w:rsid w:val="001A0A3A"/>
    <w:rsid w:val="001B037C"/>
    <w:rsid w:val="001D5896"/>
    <w:rsid w:val="001F79BC"/>
    <w:rsid w:val="00214F3F"/>
    <w:rsid w:val="00296E66"/>
    <w:rsid w:val="002A35D9"/>
    <w:rsid w:val="002A6B3C"/>
    <w:rsid w:val="002B56E1"/>
    <w:rsid w:val="002C5393"/>
    <w:rsid w:val="002D40D4"/>
    <w:rsid w:val="002F3429"/>
    <w:rsid w:val="00334AD1"/>
    <w:rsid w:val="00337633"/>
    <w:rsid w:val="00350B32"/>
    <w:rsid w:val="00352890"/>
    <w:rsid w:val="003554DB"/>
    <w:rsid w:val="00355C22"/>
    <w:rsid w:val="00370B76"/>
    <w:rsid w:val="003812A2"/>
    <w:rsid w:val="003A064D"/>
    <w:rsid w:val="003C6F79"/>
    <w:rsid w:val="003E1032"/>
    <w:rsid w:val="003F0448"/>
    <w:rsid w:val="003F2878"/>
    <w:rsid w:val="003F609B"/>
    <w:rsid w:val="00406D96"/>
    <w:rsid w:val="00426DA6"/>
    <w:rsid w:val="004300C0"/>
    <w:rsid w:val="004414A1"/>
    <w:rsid w:val="00461EF3"/>
    <w:rsid w:val="00495D6D"/>
    <w:rsid w:val="004B04CC"/>
    <w:rsid w:val="004B61D5"/>
    <w:rsid w:val="004C0D94"/>
    <w:rsid w:val="004C25FB"/>
    <w:rsid w:val="004C3145"/>
    <w:rsid w:val="004C4AFB"/>
    <w:rsid w:val="004C703B"/>
    <w:rsid w:val="004D0C22"/>
    <w:rsid w:val="004F0EBB"/>
    <w:rsid w:val="00501969"/>
    <w:rsid w:val="00504EF3"/>
    <w:rsid w:val="00516B2E"/>
    <w:rsid w:val="00521F67"/>
    <w:rsid w:val="0053279B"/>
    <w:rsid w:val="00544A1E"/>
    <w:rsid w:val="00546A17"/>
    <w:rsid w:val="00552131"/>
    <w:rsid w:val="005B7D2B"/>
    <w:rsid w:val="005D2509"/>
    <w:rsid w:val="005E2DC3"/>
    <w:rsid w:val="005F221D"/>
    <w:rsid w:val="00600838"/>
    <w:rsid w:val="006075FA"/>
    <w:rsid w:val="0061259A"/>
    <w:rsid w:val="00625ADE"/>
    <w:rsid w:val="00635BBB"/>
    <w:rsid w:val="0063718F"/>
    <w:rsid w:val="00680AE9"/>
    <w:rsid w:val="00695098"/>
    <w:rsid w:val="00697EF9"/>
    <w:rsid w:val="006C786A"/>
    <w:rsid w:val="006D340F"/>
    <w:rsid w:val="006E74A1"/>
    <w:rsid w:val="006F75CF"/>
    <w:rsid w:val="00706C52"/>
    <w:rsid w:val="00715F99"/>
    <w:rsid w:val="0072719F"/>
    <w:rsid w:val="007621C5"/>
    <w:rsid w:val="00767254"/>
    <w:rsid w:val="00777DC4"/>
    <w:rsid w:val="00784AA7"/>
    <w:rsid w:val="007859C1"/>
    <w:rsid w:val="007B0748"/>
    <w:rsid w:val="007B166F"/>
    <w:rsid w:val="007B20B2"/>
    <w:rsid w:val="007B59BA"/>
    <w:rsid w:val="00852F1D"/>
    <w:rsid w:val="008832EF"/>
    <w:rsid w:val="008B07EC"/>
    <w:rsid w:val="008D421B"/>
    <w:rsid w:val="008E0AEB"/>
    <w:rsid w:val="008F3EBB"/>
    <w:rsid w:val="009457DC"/>
    <w:rsid w:val="00946C88"/>
    <w:rsid w:val="00950142"/>
    <w:rsid w:val="00956315"/>
    <w:rsid w:val="0096761D"/>
    <w:rsid w:val="00970EBD"/>
    <w:rsid w:val="00972186"/>
    <w:rsid w:val="009900C2"/>
    <w:rsid w:val="009A085B"/>
    <w:rsid w:val="009A20AF"/>
    <w:rsid w:val="009D6558"/>
    <w:rsid w:val="009F1A98"/>
    <w:rsid w:val="00A029C7"/>
    <w:rsid w:val="00A12FFE"/>
    <w:rsid w:val="00A20ABA"/>
    <w:rsid w:val="00A318F1"/>
    <w:rsid w:val="00A33B7D"/>
    <w:rsid w:val="00A3667D"/>
    <w:rsid w:val="00A516CF"/>
    <w:rsid w:val="00A9337E"/>
    <w:rsid w:val="00AA059E"/>
    <w:rsid w:val="00AC6AF7"/>
    <w:rsid w:val="00AD7C4E"/>
    <w:rsid w:val="00AE37A9"/>
    <w:rsid w:val="00AE3B26"/>
    <w:rsid w:val="00AF5C8B"/>
    <w:rsid w:val="00B03157"/>
    <w:rsid w:val="00B149EF"/>
    <w:rsid w:val="00B30A88"/>
    <w:rsid w:val="00B437A0"/>
    <w:rsid w:val="00B55D0D"/>
    <w:rsid w:val="00B66310"/>
    <w:rsid w:val="00B70E2D"/>
    <w:rsid w:val="00B81538"/>
    <w:rsid w:val="00BA3E8E"/>
    <w:rsid w:val="00BB5218"/>
    <w:rsid w:val="00BD570A"/>
    <w:rsid w:val="00C177FD"/>
    <w:rsid w:val="00C314C2"/>
    <w:rsid w:val="00C665A5"/>
    <w:rsid w:val="00C9545C"/>
    <w:rsid w:val="00CA2B68"/>
    <w:rsid w:val="00CB397D"/>
    <w:rsid w:val="00CC4FDE"/>
    <w:rsid w:val="00CD4AB2"/>
    <w:rsid w:val="00CE2DE3"/>
    <w:rsid w:val="00CE47E0"/>
    <w:rsid w:val="00D10115"/>
    <w:rsid w:val="00D1100A"/>
    <w:rsid w:val="00D27CA9"/>
    <w:rsid w:val="00D50193"/>
    <w:rsid w:val="00D53767"/>
    <w:rsid w:val="00D8751C"/>
    <w:rsid w:val="00DB2799"/>
    <w:rsid w:val="00DE5FDC"/>
    <w:rsid w:val="00DE6B57"/>
    <w:rsid w:val="00DF0ACD"/>
    <w:rsid w:val="00E34056"/>
    <w:rsid w:val="00E54657"/>
    <w:rsid w:val="00E93342"/>
    <w:rsid w:val="00E964D6"/>
    <w:rsid w:val="00EB01CA"/>
    <w:rsid w:val="00EB164D"/>
    <w:rsid w:val="00ED1E06"/>
    <w:rsid w:val="00ED4794"/>
    <w:rsid w:val="00EE3B12"/>
    <w:rsid w:val="00F00E9C"/>
    <w:rsid w:val="00F03534"/>
    <w:rsid w:val="00F27132"/>
    <w:rsid w:val="00F5678A"/>
    <w:rsid w:val="00F65360"/>
    <w:rsid w:val="00F70941"/>
    <w:rsid w:val="00F94149"/>
    <w:rsid w:val="00FB39BF"/>
    <w:rsid w:val="00FC14B5"/>
    <w:rsid w:val="00FE22EA"/>
    <w:rsid w:val="00FE79D4"/>
    <w:rsid w:val="00FF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405BF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A9337E"/>
    <w:pPr>
      <w:ind w:left="720"/>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Normal"/>
    <w:link w:val="FootnoteTextChar1"/>
    <w:uiPriority w:val="99"/>
    <w:qFormat/>
    <w:rsid w:val="00E93342"/>
    <w:rPr>
      <w:sz w:val="20"/>
      <w:szCs w:val="20"/>
    </w:rPr>
  </w:style>
  <w:style w:type="character" w:customStyle="1" w:styleId="FootnoteTextChar">
    <w:name w:val="Footnote Text Char"/>
    <w:basedOn w:val="DefaultParagraphFont"/>
    <w:rsid w:val="00E93342"/>
  </w:style>
  <w:style w:type="character" w:styleId="FootnoteReference">
    <w:name w:val="footnote reference"/>
    <w:uiPriority w:val="99"/>
    <w:qFormat/>
    <w:rsid w:val="00E93342"/>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ft Cha Char"/>
    <w:link w:val="FootnoteText"/>
    <w:uiPriority w:val="99"/>
    <w:locked/>
    <w:rsid w:val="00E93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104" ma:contentTypeDescription="" ma:contentTypeScope="" ma:versionID="1ae30f2a07364e967f7d15ffcca4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2017-01-04T08:00:00+00:00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161204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C9B7862-7723-4CF1-86FF-0BCB2BA4E2CB}">
  <ds:schemaRefs>
    <ds:schemaRef ds:uri="http://schemas.openxmlformats.org/officeDocument/2006/bibliography"/>
  </ds:schemaRefs>
</ds:datastoreItem>
</file>

<file path=customXml/itemProps2.xml><?xml version="1.0" encoding="utf-8"?>
<ds:datastoreItem xmlns:ds="http://schemas.openxmlformats.org/officeDocument/2006/customXml" ds:itemID="{F56A7546-83B4-4F4D-A378-14E81AA67550}"/>
</file>

<file path=customXml/itemProps3.xml><?xml version="1.0" encoding="utf-8"?>
<ds:datastoreItem xmlns:ds="http://schemas.openxmlformats.org/officeDocument/2006/customXml" ds:itemID="{2DFB74FE-BF49-47B8-934F-703EC9F7D9C5}"/>
</file>

<file path=customXml/itemProps4.xml><?xml version="1.0" encoding="utf-8"?>
<ds:datastoreItem xmlns:ds="http://schemas.openxmlformats.org/officeDocument/2006/customXml" ds:itemID="{2F95CA2B-F127-4B2A-A234-096163AE4321}"/>
</file>

<file path=customXml/itemProps5.xml><?xml version="1.0" encoding="utf-8"?>
<ds:datastoreItem xmlns:ds="http://schemas.openxmlformats.org/officeDocument/2006/customXml" ds:itemID="{55C3E0A9-790F-499D-AF99-C6139436C429}"/>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5950</Characters>
  <Application>Microsoft Office Word</Application>
  <DocSecurity>0</DocSecurity>
  <Lines>49</Lines>
  <Paragraphs>13</Paragraphs>
  <ScaleCrop>false</ScaleCrop>
  <Company/>
  <LinksUpToDate>false</LinksUpToDate>
  <CharactersWithSpaces>6889</CharactersWithSpaces>
  <SharedDoc>false</SharedDoc>
  <HLinks>
    <vt:vector size="36" baseType="variant">
      <vt:variant>
        <vt:i4>2424881</vt:i4>
      </vt:variant>
      <vt:variant>
        <vt:i4>51</vt:i4>
      </vt:variant>
      <vt:variant>
        <vt:i4>0</vt:i4>
      </vt:variant>
      <vt:variant>
        <vt:i4>5</vt:i4>
      </vt:variant>
      <vt:variant>
        <vt:lpwstr>http://apps.leg.wa.gov/RCW/default.aspx?cite=80.28</vt:lpwstr>
      </vt:variant>
      <vt:variant>
        <vt:lpwstr/>
      </vt:variant>
      <vt:variant>
        <vt:i4>2818098</vt:i4>
      </vt:variant>
      <vt:variant>
        <vt:i4>48</vt:i4>
      </vt:variant>
      <vt:variant>
        <vt:i4>0</vt:i4>
      </vt:variant>
      <vt:variant>
        <vt:i4>5</vt:i4>
      </vt:variant>
      <vt:variant>
        <vt:lpwstr>http://apps.leg.wa.gov/RCW/default.aspx?cite=80.16</vt:lpwstr>
      </vt:variant>
      <vt:variant>
        <vt:lpwstr/>
      </vt:variant>
      <vt:variant>
        <vt:i4>3080242</vt:i4>
      </vt:variant>
      <vt:variant>
        <vt:i4>45</vt:i4>
      </vt:variant>
      <vt:variant>
        <vt:i4>0</vt:i4>
      </vt:variant>
      <vt:variant>
        <vt:i4>5</vt:i4>
      </vt:variant>
      <vt:variant>
        <vt:lpwstr>http://apps.leg.wa.gov/RCW/default.aspx?cite=80.12</vt:lpwstr>
      </vt:variant>
      <vt:variant>
        <vt:lpwstr/>
      </vt:variant>
      <vt:variant>
        <vt:i4>2424883</vt:i4>
      </vt:variant>
      <vt:variant>
        <vt:i4>42</vt:i4>
      </vt:variant>
      <vt:variant>
        <vt:i4>0</vt:i4>
      </vt:variant>
      <vt:variant>
        <vt:i4>5</vt:i4>
      </vt:variant>
      <vt:variant>
        <vt:lpwstr>http://apps.leg.wa.gov/RCW/default.aspx?cite=80.08</vt:lpwstr>
      </vt:variant>
      <vt:variant>
        <vt:lpwstr/>
      </vt:variant>
      <vt:variant>
        <vt:i4>2687027</vt:i4>
      </vt:variant>
      <vt:variant>
        <vt:i4>39</vt:i4>
      </vt:variant>
      <vt:variant>
        <vt:i4>0</vt:i4>
      </vt:variant>
      <vt:variant>
        <vt:i4>5</vt:i4>
      </vt:variant>
      <vt:variant>
        <vt:lpwstr>http://apps.leg.wa.gov/RCW/default.aspx?cite=80.04</vt:lpwstr>
      </vt:variant>
      <vt:variant>
        <vt:lpwstr/>
      </vt:variant>
      <vt:variant>
        <vt:i4>2883625</vt:i4>
      </vt:variant>
      <vt:variant>
        <vt:i4>36</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04 - Order Granting Petitions to Intervene</dc:title>
  <dc:subject/>
  <dc:creator/>
  <cp:keywords/>
  <dc:description/>
  <cp:lastModifiedBy/>
  <cp:revision>1</cp:revision>
  <dcterms:created xsi:type="dcterms:W3CDTF">2017-01-04T18:21:00Z</dcterms:created>
  <dcterms:modified xsi:type="dcterms:W3CDTF">2017-01-04T18:22:00Z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0x0101006E56B4D1795A2E4DB2F0B01679ED314A0082BE3214F6FBE444A686B76141802F0A</vt:lpwstr>
  </property>
  <property fmtid="{D5CDD505-2E9C-101B-9397-08002B2CF9AE}" pid="3" name="_docset_NoMedatataSyncRequired">
    <vt:lpwstr>False</vt:lpwstr>
  </property>
</Properties>
</file>