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7D" w:rsidRDefault="00BF7E7D">
      <w:pPr>
        <w:pStyle w:val="Header"/>
        <w:tabs>
          <w:tab w:val="clear" w:pos="4320"/>
          <w:tab w:val="clear" w:pos="8640"/>
        </w:tabs>
        <w:spacing w:line="20" w:lineRule="exact"/>
        <w:sectPr w:rsidR="00BF7E7D">
          <w:headerReference w:type="default" r:id="rId9"/>
          <w:pgSz w:w="12240" w:h="15840"/>
          <w:pgMar w:top="1974" w:right="1627" w:bottom="720" w:left="1627" w:header="720" w:footer="720" w:gutter="0"/>
          <w:cols w:space="720"/>
          <w:docGrid w:linePitch="360"/>
        </w:sectPr>
      </w:pPr>
      <w:bookmarkStart w:id="0" w:name="_GoBack"/>
      <w:bookmarkEnd w:id="0"/>
    </w:p>
    <w:p w:rsidR="00BF7E7D" w:rsidRDefault="00BF7E7D"/>
    <w:p w:rsidR="00450EA2" w:rsidRPr="00ED0511" w:rsidRDefault="00450EA2" w:rsidP="00450EA2"/>
    <w:p w:rsidR="00450EA2" w:rsidRPr="00ED0511" w:rsidRDefault="002B62CF" w:rsidP="00450EA2">
      <w:r>
        <w:t>February 6</w:t>
      </w:r>
      <w:r w:rsidR="002904E7">
        <w:t>, 2014</w:t>
      </w:r>
    </w:p>
    <w:p w:rsidR="00450EA2" w:rsidRPr="00ED0511" w:rsidRDefault="00450EA2" w:rsidP="00450EA2"/>
    <w:p w:rsidR="00450EA2" w:rsidRDefault="00450EA2" w:rsidP="00450EA2"/>
    <w:p w:rsidR="00D74CA1" w:rsidRPr="00D74CA1" w:rsidRDefault="00D74CA1" w:rsidP="00450EA2">
      <w:pPr>
        <w:rPr>
          <w:i/>
        </w:rPr>
      </w:pPr>
      <w:r w:rsidRPr="00D74CA1">
        <w:rPr>
          <w:i/>
        </w:rPr>
        <w:t>Via Web Portal</w:t>
      </w:r>
    </w:p>
    <w:p w:rsidR="00450EA2" w:rsidRPr="00ED0511" w:rsidRDefault="00450EA2" w:rsidP="00450EA2"/>
    <w:p w:rsidR="00450EA2" w:rsidRPr="00ED0511" w:rsidRDefault="00450EA2" w:rsidP="00450EA2">
      <w:r>
        <w:t>Steven King</w:t>
      </w:r>
    </w:p>
    <w:p w:rsidR="00450EA2" w:rsidRPr="00ED0511" w:rsidRDefault="00450EA2" w:rsidP="00450EA2">
      <w:r w:rsidRPr="00ED0511">
        <w:t>Executive Director and Secretary</w:t>
      </w:r>
    </w:p>
    <w:p w:rsidR="00450EA2" w:rsidRPr="00ED0511" w:rsidRDefault="00450EA2" w:rsidP="00450EA2">
      <w:r w:rsidRPr="00ED0511">
        <w:t>Washington Utilities and Transportation Commission</w:t>
      </w:r>
    </w:p>
    <w:p w:rsidR="00450EA2" w:rsidRPr="00ED0511" w:rsidRDefault="00450EA2" w:rsidP="00450EA2">
      <w:r w:rsidRPr="00ED0511">
        <w:t>1300 S. Evergreen Park Drive SW</w:t>
      </w:r>
    </w:p>
    <w:p w:rsidR="00450EA2" w:rsidRPr="00ED0511" w:rsidRDefault="00450EA2" w:rsidP="00450EA2">
      <w:r w:rsidRPr="00ED0511">
        <w:t>P.O. Box 47250</w:t>
      </w:r>
    </w:p>
    <w:p w:rsidR="00450EA2" w:rsidRPr="00ED0511" w:rsidRDefault="00450EA2" w:rsidP="00450EA2">
      <w:r w:rsidRPr="00ED0511">
        <w:t>Olympia, WA 98504-7250</w:t>
      </w:r>
    </w:p>
    <w:p w:rsidR="00450EA2" w:rsidRPr="00ED0511" w:rsidRDefault="00450EA2" w:rsidP="00450EA2"/>
    <w:p w:rsidR="00450EA2" w:rsidRPr="00ED0511" w:rsidRDefault="00450EA2" w:rsidP="00450EA2"/>
    <w:p w:rsidR="00450EA2" w:rsidRDefault="00450EA2" w:rsidP="00450EA2">
      <w:pPr>
        <w:tabs>
          <w:tab w:val="left" w:pos="540"/>
        </w:tabs>
        <w:rPr>
          <w:b/>
        </w:rPr>
      </w:pPr>
      <w:r w:rsidRPr="003625F0">
        <w:rPr>
          <w:b/>
        </w:rPr>
        <w:t xml:space="preserve">Re:  </w:t>
      </w:r>
      <w:r>
        <w:rPr>
          <w:b/>
        </w:rPr>
        <w:tab/>
      </w:r>
      <w:r w:rsidRPr="0083386C">
        <w:rPr>
          <w:b/>
        </w:rPr>
        <w:t>Docket U-</w:t>
      </w:r>
      <w:r>
        <w:rPr>
          <w:b/>
        </w:rPr>
        <w:t>1</w:t>
      </w:r>
      <w:r w:rsidR="00D74CA1">
        <w:rPr>
          <w:b/>
        </w:rPr>
        <w:t>40621</w:t>
      </w:r>
    </w:p>
    <w:p w:rsidR="00450EA2" w:rsidRPr="00ED0511" w:rsidRDefault="00450EA2" w:rsidP="00450EA2"/>
    <w:p w:rsidR="00450EA2" w:rsidRDefault="00450EA2" w:rsidP="00450EA2">
      <w:r w:rsidRPr="00ED0511">
        <w:t xml:space="preserve">Enclosed for filing are </w:t>
      </w:r>
      <w:r>
        <w:t xml:space="preserve">comments by </w:t>
      </w:r>
      <w:r w:rsidRPr="005E5D9B">
        <w:t>AT&amp;T Corp., New Cingular Wireless PCS, LLC, and Teleport Communications America, Inc.</w:t>
      </w:r>
      <w:r w:rsidRPr="003C1A28">
        <w:t xml:space="preserve"> (collectively “AT&amp;T”)</w:t>
      </w:r>
      <w:r>
        <w:t xml:space="preserve"> </w:t>
      </w:r>
      <w:r w:rsidR="002C77F1">
        <w:t xml:space="preserve">in </w:t>
      </w:r>
      <w:r>
        <w:t xml:space="preserve">the above mentioned docket.  </w:t>
      </w:r>
    </w:p>
    <w:p w:rsidR="00450EA2" w:rsidRPr="00ED0511" w:rsidRDefault="00450EA2" w:rsidP="00450EA2"/>
    <w:p w:rsidR="00450EA2" w:rsidRPr="00ED0511" w:rsidRDefault="00450EA2" w:rsidP="00450EA2">
      <w:r w:rsidRPr="00ED0511">
        <w:t xml:space="preserve">Sincerely, </w:t>
      </w:r>
    </w:p>
    <w:p w:rsidR="00450EA2" w:rsidRDefault="00450EA2" w:rsidP="00450EA2">
      <w:pPr>
        <w:rPr>
          <w:noProof/>
        </w:rPr>
      </w:pPr>
    </w:p>
    <w:p w:rsidR="00A30666" w:rsidRDefault="00A30666" w:rsidP="00450EA2">
      <w:pPr>
        <w:rPr>
          <w:noProof/>
        </w:rPr>
      </w:pPr>
    </w:p>
    <w:p w:rsidR="00A30666" w:rsidRPr="00ED0511" w:rsidRDefault="00A30666" w:rsidP="00450EA2"/>
    <w:p w:rsidR="008B6A08" w:rsidRDefault="008B6A08" w:rsidP="00A71E48">
      <w:pPr>
        <w:tabs>
          <w:tab w:val="left" w:pos="3870"/>
        </w:tabs>
        <w:rPr>
          <w:u w:val="single"/>
        </w:rPr>
      </w:pPr>
      <w:r>
        <w:rPr>
          <w:u w:val="single"/>
        </w:rPr>
        <w:t>/s/</w:t>
      </w:r>
      <w:r w:rsidR="00A71E48">
        <w:rPr>
          <w:u w:val="single"/>
        </w:rPr>
        <w:tab/>
      </w:r>
    </w:p>
    <w:p w:rsidR="00450EA2" w:rsidRDefault="00450EA2" w:rsidP="00450EA2">
      <w:r>
        <w:t>Cynthia Manheim</w:t>
      </w:r>
    </w:p>
    <w:p w:rsidR="00450EA2" w:rsidRDefault="00450EA2" w:rsidP="00450EA2">
      <w:r>
        <w:t>General Attorney</w:t>
      </w:r>
    </w:p>
    <w:p w:rsidR="00450EA2" w:rsidRDefault="00450EA2" w:rsidP="00450EA2"/>
    <w:p w:rsidR="00450EA2" w:rsidRDefault="00450EA2" w:rsidP="00450EA2">
      <w:r>
        <w:br w:type="page"/>
      </w:r>
    </w:p>
    <w:p w:rsidR="009A5230" w:rsidRDefault="009A5230" w:rsidP="002B539B">
      <w:pPr>
        <w:jc w:val="center"/>
        <w:rPr>
          <w:b/>
          <w:bCs/>
        </w:rPr>
        <w:sectPr w:rsidR="009A5230" w:rsidSect="00684C5C">
          <w:headerReference w:type="default" r:id="rId10"/>
          <w:footerReference w:type="default" r:id="rId11"/>
          <w:type w:val="continuous"/>
          <w:pgSz w:w="12240" w:h="15840"/>
          <w:pgMar w:top="1974" w:right="1627" w:bottom="720" w:left="1627" w:header="720" w:footer="720" w:gutter="0"/>
          <w:cols w:space="720"/>
          <w:docGrid w:linePitch="360"/>
        </w:sectPr>
      </w:pPr>
    </w:p>
    <w:p w:rsidR="00D74CA1" w:rsidRPr="006D3362" w:rsidRDefault="00D74CA1" w:rsidP="00D74CA1">
      <w:pPr>
        <w:jc w:val="center"/>
        <w:rPr>
          <w:b/>
          <w:bCs/>
        </w:rPr>
      </w:pPr>
      <w:r>
        <w:rPr>
          <w:b/>
          <w:bCs/>
        </w:rPr>
        <w:lastRenderedPageBreak/>
        <w:t>BEFOR</w:t>
      </w:r>
      <w:r w:rsidRPr="006D3362">
        <w:rPr>
          <w:b/>
          <w:bCs/>
        </w:rPr>
        <w:t xml:space="preserve">E THE WASHINGTON </w:t>
      </w:r>
    </w:p>
    <w:p w:rsidR="00D74CA1" w:rsidRPr="006D3362" w:rsidRDefault="00D74CA1" w:rsidP="00D74CA1">
      <w:pPr>
        <w:jc w:val="center"/>
      </w:pPr>
      <w:r w:rsidRPr="006D3362">
        <w:rPr>
          <w:b/>
          <w:bCs/>
        </w:rPr>
        <w:t>UTILITIES AND TRANSPORTATION COMMISSION</w:t>
      </w:r>
    </w:p>
    <w:p w:rsidR="00D74CA1" w:rsidRPr="006D3362" w:rsidRDefault="00D74CA1" w:rsidP="00D74CA1">
      <w:pPr>
        <w:jc w:val="center"/>
      </w:pPr>
    </w:p>
    <w:p w:rsidR="00D74CA1" w:rsidRPr="006D3362" w:rsidRDefault="00D74CA1" w:rsidP="00D74CA1">
      <w:pPr>
        <w:jc w:val="center"/>
      </w:pPr>
    </w:p>
    <w:tbl>
      <w:tblPr>
        <w:tblW w:w="0" w:type="auto"/>
        <w:tblLook w:val="0000" w:firstRow="0" w:lastRow="0" w:firstColumn="0" w:lastColumn="0" w:noHBand="0" w:noVBand="0"/>
      </w:tblPr>
      <w:tblGrid>
        <w:gridCol w:w="4296"/>
        <w:gridCol w:w="296"/>
        <w:gridCol w:w="4342"/>
      </w:tblGrid>
      <w:tr w:rsidR="00D74CA1" w:rsidRPr="006D3362" w:rsidTr="00F80C87">
        <w:tc>
          <w:tcPr>
            <w:tcW w:w="4218" w:type="dxa"/>
          </w:tcPr>
          <w:p w:rsidR="00D74CA1" w:rsidRDefault="00D74CA1" w:rsidP="00F80C87">
            <w:r w:rsidRPr="001737CD">
              <w:t xml:space="preserve">Rulemaking to Consider Adoption of Rules to Implement RCW </w:t>
            </w:r>
            <w:proofErr w:type="spellStart"/>
            <w:r w:rsidRPr="001737CD">
              <w:t>ch.</w:t>
            </w:r>
            <w:proofErr w:type="spellEnd"/>
            <w:r w:rsidRPr="001737CD">
              <w:t xml:space="preserve"> 80.54, Relating to Attachments to Transmission Facilities, Docket U-140621</w:t>
            </w:r>
          </w:p>
          <w:p w:rsidR="00D74CA1" w:rsidRPr="004B2425" w:rsidRDefault="00D74CA1" w:rsidP="00F80C87">
            <w:r>
              <w:t>__________________________________</w:t>
            </w:r>
          </w:p>
        </w:tc>
        <w:tc>
          <w:tcPr>
            <w:tcW w:w="296" w:type="dxa"/>
          </w:tcPr>
          <w:p w:rsidR="00D74CA1" w:rsidRPr="004B2425" w:rsidRDefault="00D74CA1" w:rsidP="00F80C87">
            <w:pPr>
              <w:ind w:left="-156"/>
              <w:jc w:val="center"/>
            </w:pPr>
            <w:r w:rsidRPr="004B2425">
              <w:t>)</w:t>
            </w:r>
          </w:p>
          <w:p w:rsidR="00D74CA1" w:rsidRDefault="00D74CA1" w:rsidP="00F80C87">
            <w:pPr>
              <w:ind w:left="-156"/>
              <w:jc w:val="center"/>
            </w:pPr>
            <w:r w:rsidRPr="004B2425">
              <w:t>)</w:t>
            </w:r>
          </w:p>
          <w:p w:rsidR="00D74CA1" w:rsidRDefault="00D74CA1" w:rsidP="00F80C87">
            <w:pPr>
              <w:ind w:left="-156"/>
              <w:jc w:val="center"/>
            </w:pPr>
            <w:r>
              <w:t>)</w:t>
            </w:r>
          </w:p>
          <w:p w:rsidR="00D74CA1" w:rsidRDefault="00D74CA1" w:rsidP="00F80C87">
            <w:pPr>
              <w:ind w:left="-156"/>
              <w:jc w:val="center"/>
            </w:pPr>
            <w:r>
              <w:t>)</w:t>
            </w:r>
          </w:p>
          <w:p w:rsidR="00D74CA1" w:rsidRDefault="00D74CA1" w:rsidP="00F80C87">
            <w:pPr>
              <w:ind w:left="-156"/>
              <w:jc w:val="center"/>
            </w:pPr>
            <w:r>
              <w:t>)</w:t>
            </w:r>
          </w:p>
          <w:p w:rsidR="00D74CA1" w:rsidRDefault="00D74CA1" w:rsidP="00F80C87">
            <w:pPr>
              <w:jc w:val="center"/>
            </w:pPr>
          </w:p>
          <w:p w:rsidR="00D74CA1" w:rsidRPr="004B2425" w:rsidRDefault="00D74CA1" w:rsidP="00F80C87">
            <w:pPr>
              <w:jc w:val="center"/>
            </w:pPr>
          </w:p>
        </w:tc>
        <w:tc>
          <w:tcPr>
            <w:tcW w:w="4342" w:type="dxa"/>
          </w:tcPr>
          <w:p w:rsidR="00D74CA1" w:rsidRDefault="00D74CA1" w:rsidP="00F80C87">
            <w:pPr>
              <w:rPr>
                <w:b/>
              </w:rPr>
            </w:pPr>
          </w:p>
          <w:p w:rsidR="00D74CA1" w:rsidRDefault="00D74CA1" w:rsidP="00F80C87">
            <w:pPr>
              <w:rPr>
                <w:b/>
              </w:rPr>
            </w:pPr>
            <w:r w:rsidRPr="0083386C">
              <w:rPr>
                <w:b/>
              </w:rPr>
              <w:t>Docket U-</w:t>
            </w:r>
            <w:r>
              <w:rPr>
                <w:b/>
              </w:rPr>
              <w:t>140621</w:t>
            </w:r>
          </w:p>
          <w:p w:rsidR="00D74CA1" w:rsidRPr="001737CD" w:rsidRDefault="00D74CA1" w:rsidP="00F80C87">
            <w:pPr>
              <w:rPr>
                <w:b/>
              </w:rPr>
            </w:pPr>
          </w:p>
        </w:tc>
      </w:tr>
    </w:tbl>
    <w:p w:rsidR="00D74CA1" w:rsidRPr="006D3362" w:rsidRDefault="00D74CA1" w:rsidP="00D74CA1">
      <w:pPr>
        <w:jc w:val="center"/>
        <w:rPr>
          <w:b/>
          <w:u w:val="single"/>
        </w:rPr>
      </w:pPr>
      <w:r>
        <w:rPr>
          <w:b/>
          <w:u w:val="single"/>
        </w:rPr>
        <w:t>COMMENTS OF AT&amp;T</w:t>
      </w:r>
    </w:p>
    <w:p w:rsidR="00D74CA1" w:rsidRDefault="00D74CA1" w:rsidP="00D74CA1"/>
    <w:p w:rsidR="00896501" w:rsidRDefault="006B7E48" w:rsidP="00896501">
      <w:pPr>
        <w:spacing w:line="480" w:lineRule="auto"/>
        <w:ind w:firstLine="360"/>
      </w:pPr>
      <w:r w:rsidRPr="006B7E48">
        <w:t>AT&amp;T Corp., New Cingular Wireless PCS, LLC</w:t>
      </w:r>
      <w:r w:rsidR="00344D80">
        <w:t>,</w:t>
      </w:r>
      <w:r w:rsidR="00FD5F2B">
        <w:t xml:space="preserve"> </w:t>
      </w:r>
      <w:r w:rsidRPr="006B7E48">
        <w:t>and Teleport Communications America, Inc. (collectively “AT&amp;T”)</w:t>
      </w:r>
      <w:r>
        <w:t xml:space="preserve"> </w:t>
      </w:r>
      <w:r w:rsidR="00896501">
        <w:t xml:space="preserve">appreciate the opportunity to submit comments on the Draft Rules Governing Access to Utility Poles, Ducts, Conduits, and Rights-of-Way issued on </w:t>
      </w:r>
      <w:r w:rsidR="00FD5F2B">
        <w:t>January 6, 2015</w:t>
      </w:r>
      <w:r w:rsidR="00896501">
        <w:t xml:space="preserve"> (“Draft Rules”).  </w:t>
      </w:r>
    </w:p>
    <w:p w:rsidR="00896501" w:rsidRPr="00CE2D73" w:rsidRDefault="00310132" w:rsidP="00896501">
      <w:pPr>
        <w:pStyle w:val="ListParagraph"/>
        <w:numPr>
          <w:ilvl w:val="0"/>
          <w:numId w:val="23"/>
        </w:numPr>
        <w:spacing w:after="0" w:line="480" w:lineRule="auto"/>
        <w:rPr>
          <w:rFonts w:ascii="Times New Roman" w:hAnsi="Times New Roman" w:cs="Times New Roman"/>
          <w:b/>
          <w:sz w:val="24"/>
          <w:szCs w:val="24"/>
        </w:rPr>
      </w:pPr>
      <w:r>
        <w:rPr>
          <w:rFonts w:ascii="Times New Roman" w:hAnsi="Times New Roman" w:cs="Times New Roman"/>
          <w:b/>
          <w:sz w:val="24"/>
          <w:szCs w:val="24"/>
        </w:rPr>
        <w:t>DISCUSSION:</w:t>
      </w:r>
    </w:p>
    <w:p w:rsidR="00FD5F2B" w:rsidRPr="00221918" w:rsidRDefault="00310132" w:rsidP="00FD5F2B">
      <w:pPr>
        <w:spacing w:line="480" w:lineRule="auto"/>
        <w:ind w:firstLine="720"/>
      </w:pPr>
      <w:r>
        <w:t>AT&amp;T appreciates the Commission’s effort to craft workable pole attachment rules</w:t>
      </w:r>
      <w:r w:rsidR="004F7400">
        <w:t xml:space="preserve">.  </w:t>
      </w:r>
      <w:r w:rsidR="00221918">
        <w:t xml:space="preserve">These comments suggest further clarification to </w:t>
      </w:r>
      <w:r>
        <w:t xml:space="preserve">a few of </w:t>
      </w:r>
      <w:r w:rsidR="00221918">
        <w:t xml:space="preserve">the Draft Rules to avoid uncertainty, confusion and additional disputes in the future. </w:t>
      </w:r>
    </w:p>
    <w:p w:rsidR="004F7400" w:rsidRPr="004F7400" w:rsidRDefault="00B21456" w:rsidP="00B21456">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b/>
          <w:sz w:val="24"/>
          <w:szCs w:val="24"/>
        </w:rPr>
        <w:t xml:space="preserve">WAC 480-54-020 </w:t>
      </w:r>
      <w:r w:rsidR="004F7400">
        <w:rPr>
          <w:rFonts w:ascii="Times New Roman" w:hAnsi="Times New Roman" w:cs="Times New Roman"/>
          <w:b/>
          <w:sz w:val="24"/>
          <w:szCs w:val="24"/>
        </w:rPr>
        <w:t>–</w:t>
      </w:r>
      <w:r>
        <w:rPr>
          <w:rFonts w:ascii="Times New Roman" w:hAnsi="Times New Roman" w:cs="Times New Roman"/>
          <w:b/>
          <w:sz w:val="24"/>
          <w:szCs w:val="24"/>
        </w:rPr>
        <w:t xml:space="preserve"> </w:t>
      </w:r>
      <w:r w:rsidR="00221918" w:rsidRPr="00B21456">
        <w:rPr>
          <w:rFonts w:ascii="Times New Roman" w:hAnsi="Times New Roman" w:cs="Times New Roman"/>
          <w:b/>
          <w:sz w:val="24"/>
          <w:szCs w:val="24"/>
        </w:rPr>
        <w:t>Definition</w:t>
      </w:r>
      <w:r w:rsidR="004F7400">
        <w:rPr>
          <w:rFonts w:ascii="Times New Roman" w:hAnsi="Times New Roman" w:cs="Times New Roman"/>
          <w:b/>
          <w:sz w:val="24"/>
          <w:szCs w:val="24"/>
        </w:rPr>
        <w:t>s</w:t>
      </w:r>
    </w:p>
    <w:p w:rsidR="004F7400" w:rsidRPr="005415F7" w:rsidRDefault="005415F7" w:rsidP="004F7400">
      <w:pPr>
        <w:pStyle w:val="ListParagraph"/>
        <w:numPr>
          <w:ilvl w:val="0"/>
          <w:numId w:val="32"/>
        </w:numPr>
        <w:spacing w:line="480" w:lineRule="auto"/>
        <w:rPr>
          <w:rFonts w:ascii="Times New Roman" w:hAnsi="Times New Roman" w:cs="Times New Roman"/>
          <w:sz w:val="24"/>
          <w:szCs w:val="24"/>
        </w:rPr>
      </w:pPr>
      <w:r>
        <w:rPr>
          <w:rFonts w:ascii="Times New Roman" w:hAnsi="Times New Roman" w:cs="Times New Roman"/>
          <w:b/>
          <w:sz w:val="24"/>
          <w:szCs w:val="24"/>
        </w:rPr>
        <w:t xml:space="preserve">Subsection (12) - </w:t>
      </w:r>
      <w:r w:rsidR="004F7400">
        <w:rPr>
          <w:rFonts w:ascii="Times New Roman" w:hAnsi="Times New Roman" w:cs="Times New Roman"/>
          <w:b/>
          <w:sz w:val="24"/>
          <w:szCs w:val="24"/>
        </w:rPr>
        <w:t>Occupied Space</w:t>
      </w:r>
    </w:p>
    <w:p w:rsidR="005415F7" w:rsidRDefault="005415F7" w:rsidP="005415F7">
      <w:pPr>
        <w:spacing w:line="480" w:lineRule="auto"/>
        <w:ind w:firstLine="720"/>
      </w:pPr>
      <w:r>
        <w:t>To be consistent with the use of this definition in the rate formula contain</w:t>
      </w:r>
      <w:r w:rsidR="00344D80">
        <w:t>ed</w:t>
      </w:r>
      <w:r>
        <w:t xml:space="preserve"> in Draft Rule WAC 480-54-060(3), AT&amp;T respectfully requests the following change to the definition of occupied space:</w:t>
      </w:r>
    </w:p>
    <w:p w:rsidR="005415F7" w:rsidRPr="005415F7" w:rsidRDefault="005415F7" w:rsidP="005415F7">
      <w:pPr>
        <w:ind w:left="1080"/>
        <w:rPr>
          <w:u w:val="single"/>
        </w:rPr>
      </w:pPr>
      <w:r>
        <w:t xml:space="preserve">“Occupied space” means that portion of the pole, duct, or conduit sued for attachment that is rendered unusable for any other attachment, which is presumed to be one foot on a pole and one half of a duct in a duct or conduit, </w:t>
      </w:r>
      <w:r w:rsidR="000B0AF2">
        <w:rPr>
          <w:u w:val="single"/>
        </w:rPr>
        <w:t xml:space="preserve">if </w:t>
      </w:r>
      <w:r w:rsidRPr="005415F7">
        <w:rPr>
          <w:u w:val="single"/>
        </w:rPr>
        <w:t xml:space="preserve">no inner duct or </w:t>
      </w:r>
      <w:r w:rsidR="000B0AF2">
        <w:rPr>
          <w:u w:val="single"/>
        </w:rPr>
        <w:t xml:space="preserve">only </w:t>
      </w:r>
      <w:r w:rsidRPr="005415F7">
        <w:rPr>
          <w:u w:val="single"/>
        </w:rPr>
        <w:t>a single duct</w:t>
      </w:r>
      <w:r w:rsidR="000B0AF2">
        <w:rPr>
          <w:u w:val="single"/>
        </w:rPr>
        <w:t xml:space="preserve"> is installed</w:t>
      </w:r>
      <w:r w:rsidRPr="005415F7">
        <w:rPr>
          <w:u w:val="single"/>
        </w:rPr>
        <w:t xml:space="preserve">.  </w:t>
      </w:r>
    </w:p>
    <w:p w:rsidR="005415F7" w:rsidRDefault="005415F7" w:rsidP="005415F7">
      <w:pPr>
        <w:spacing w:line="480" w:lineRule="auto"/>
      </w:pPr>
    </w:p>
    <w:p w:rsidR="005415F7" w:rsidRPr="005415F7" w:rsidRDefault="005415F7" w:rsidP="005415F7">
      <w:pPr>
        <w:spacing w:line="480" w:lineRule="auto"/>
      </w:pPr>
    </w:p>
    <w:p w:rsidR="00B21456" w:rsidRDefault="005415F7" w:rsidP="004F7400">
      <w:pPr>
        <w:pStyle w:val="ListParagraph"/>
        <w:numPr>
          <w:ilvl w:val="0"/>
          <w:numId w:val="32"/>
        </w:num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Subsection </w:t>
      </w:r>
      <w:r w:rsidR="004F7400">
        <w:rPr>
          <w:rFonts w:ascii="Times New Roman" w:hAnsi="Times New Roman" w:cs="Times New Roman"/>
          <w:b/>
          <w:sz w:val="24"/>
          <w:szCs w:val="24"/>
        </w:rPr>
        <w:t xml:space="preserve">(14)  - </w:t>
      </w:r>
      <w:r w:rsidR="00B21456" w:rsidRPr="00B21456">
        <w:rPr>
          <w:rFonts w:ascii="Times New Roman" w:hAnsi="Times New Roman" w:cs="Times New Roman"/>
          <w:b/>
          <w:sz w:val="24"/>
          <w:szCs w:val="24"/>
        </w:rPr>
        <w:t>Owner</w:t>
      </w:r>
      <w:r w:rsidR="00B21456">
        <w:rPr>
          <w:rFonts w:ascii="Times New Roman" w:hAnsi="Times New Roman" w:cs="Times New Roman"/>
          <w:sz w:val="24"/>
          <w:szCs w:val="24"/>
        </w:rPr>
        <w:t xml:space="preserve">:  </w:t>
      </w:r>
    </w:p>
    <w:p w:rsidR="0031492E" w:rsidRDefault="00B21456" w:rsidP="00B21456">
      <w:pPr>
        <w:spacing w:line="480" w:lineRule="auto"/>
        <w:ind w:firstLine="360"/>
      </w:pPr>
      <w:r w:rsidRPr="00B21456">
        <w:t xml:space="preserve">In the current Draft Rules the </w:t>
      </w:r>
      <w:r w:rsidRPr="00B21456">
        <w:rPr>
          <w:i/>
        </w:rPr>
        <w:t>owner</w:t>
      </w:r>
      <w:r w:rsidRPr="00B21456">
        <w:t xml:space="preserve"> </w:t>
      </w:r>
      <w:r w:rsidR="0031492E">
        <w:t>is a utility that owns or controls the facilities to or in which an occupant maintains or seeks to make attachments which include</w:t>
      </w:r>
      <w:r w:rsidR="00344D80">
        <w:t>s</w:t>
      </w:r>
      <w:r w:rsidR="0031492E">
        <w:t xml:space="preserve"> attachments to </w:t>
      </w:r>
      <w:r w:rsidR="0031492E" w:rsidRPr="00344D80">
        <w:rPr>
          <w:i/>
        </w:rPr>
        <w:t>poles</w:t>
      </w:r>
      <w:r w:rsidR="0031492E">
        <w:t xml:space="preserve">, ducts or conduits.  </w:t>
      </w:r>
      <w:r>
        <w:t xml:space="preserve">AT&amp;T does not object to the use of the term </w:t>
      </w:r>
      <w:r w:rsidRPr="00310132">
        <w:rPr>
          <w:i/>
        </w:rPr>
        <w:t>owner</w:t>
      </w:r>
      <w:r>
        <w:t xml:space="preserve"> throughout the </w:t>
      </w:r>
      <w:r w:rsidR="00310132">
        <w:t xml:space="preserve">Draft Rules, </w:t>
      </w:r>
      <w:r w:rsidR="0031492E">
        <w:t xml:space="preserve">but when this definition is read </w:t>
      </w:r>
      <w:r w:rsidR="0031492E" w:rsidRPr="0031492E">
        <w:t xml:space="preserve">in conjunction with the definition of </w:t>
      </w:r>
      <w:r w:rsidR="0031492E">
        <w:t>“</w:t>
      </w:r>
      <w:r w:rsidR="0031492E" w:rsidRPr="0031492E">
        <w:rPr>
          <w:i/>
        </w:rPr>
        <w:t>pole</w:t>
      </w:r>
      <w:r w:rsidR="0031492E">
        <w:t>”</w:t>
      </w:r>
      <w:r w:rsidR="0031492E" w:rsidRPr="0031492E">
        <w:t xml:space="preserve"> and </w:t>
      </w:r>
      <w:r w:rsidR="0031492E">
        <w:t>“</w:t>
      </w:r>
      <w:r w:rsidR="0031492E" w:rsidRPr="0031492E">
        <w:rPr>
          <w:i/>
        </w:rPr>
        <w:t>utility</w:t>
      </w:r>
      <w:r w:rsidR="0031492E">
        <w:t xml:space="preserve">” it may create some ambiguity </w:t>
      </w:r>
      <w:r w:rsidR="0031492E" w:rsidRPr="0031492E">
        <w:t>regarding the applicability of these rules.</w:t>
      </w:r>
    </w:p>
    <w:p w:rsidR="00A8343B" w:rsidRDefault="0031492E" w:rsidP="00B21456">
      <w:pPr>
        <w:spacing w:line="480" w:lineRule="auto"/>
        <w:ind w:firstLine="360"/>
      </w:pPr>
      <w:r w:rsidRPr="0031492E">
        <w:t>The Draft Rules define “utility” to include any “telecommunications company as defined in RCW 80.04.010.”</w:t>
      </w:r>
      <w:r w:rsidRPr="0031492E">
        <w:rPr>
          <w:vertAlign w:val="superscript"/>
        </w:rPr>
        <w:footnoteReference w:id="1"/>
      </w:r>
      <w:r w:rsidRPr="0031492E">
        <w:t xml:space="preserve">  The definition of “</w:t>
      </w:r>
      <w:proofErr w:type="gramStart"/>
      <w:r w:rsidRPr="0031492E">
        <w:t>telecommunications company</w:t>
      </w:r>
      <w:proofErr w:type="gramEnd"/>
      <w:r w:rsidRPr="0031492E">
        <w:t xml:space="preserve">” in this statutory section is very broad </w:t>
      </w:r>
      <w:r w:rsidR="00344D80">
        <w:t xml:space="preserve">and appears to </w:t>
      </w:r>
      <w:r w:rsidRPr="0031492E">
        <w:t xml:space="preserve">include </w:t>
      </w:r>
      <w:r w:rsidR="00A8343B">
        <w:t>wireless p</w:t>
      </w:r>
      <w:r w:rsidRPr="0031492E">
        <w:t>roviders</w:t>
      </w:r>
      <w:r>
        <w:t xml:space="preserve">.  </w:t>
      </w:r>
      <w:r w:rsidR="00A8343B">
        <w:t xml:space="preserve">Furthermore, the definition of pole includes any “above-ground structure on which an owner maintains attachments” which arguably could be read to include cell sites or other structures owned by wireless companies.  AT&amp;T, therefore, respectfully requests that the definition of owner </w:t>
      </w:r>
      <w:r w:rsidR="00B21456">
        <w:t xml:space="preserve">be modified </w:t>
      </w:r>
      <w:r w:rsidR="00310132">
        <w:t xml:space="preserve">to clarify that </w:t>
      </w:r>
      <w:r w:rsidR="00B21456">
        <w:t xml:space="preserve">a commercial mobile radio service (“CMRS”) provider cannot be considered an </w:t>
      </w:r>
      <w:r w:rsidR="00B21456" w:rsidRPr="00B21456">
        <w:rPr>
          <w:i/>
        </w:rPr>
        <w:t>owner</w:t>
      </w:r>
      <w:r w:rsidR="00B21456">
        <w:t xml:space="preserve">.  </w:t>
      </w:r>
    </w:p>
    <w:p w:rsidR="00A8343B" w:rsidRDefault="00A8343B" w:rsidP="00B21456">
      <w:pPr>
        <w:spacing w:line="480" w:lineRule="auto"/>
        <w:ind w:firstLine="360"/>
      </w:pPr>
      <w:r>
        <w:t>AT&amp;T</w:t>
      </w:r>
      <w:r w:rsidR="00344D80">
        <w:t>’s</w:t>
      </w:r>
      <w:r>
        <w:t xml:space="preserve"> requested change </w:t>
      </w:r>
      <w:r w:rsidR="00B21456">
        <w:t>is consistent with the FCC rules which address attachments to a pole, duct, conduit, or right-of-way owned or controlled by a utility</w:t>
      </w:r>
      <w:r w:rsidR="0031492E">
        <w:t xml:space="preserve">; however, </w:t>
      </w:r>
      <w:r w:rsidR="00344D80">
        <w:t xml:space="preserve">under the federal rules a </w:t>
      </w:r>
      <w:r w:rsidR="005415F7">
        <w:t xml:space="preserve">utility </w:t>
      </w:r>
      <w:r w:rsidR="0031492E">
        <w:t xml:space="preserve">is defined </w:t>
      </w:r>
      <w:r w:rsidR="00B21456">
        <w:t>as a “local exchange carrier or electric, gas, water, steam, or other public utility, and who owns or controls poles, ducts, conduits, or rights-of-way used in whole or in part, for any wire communications.”</w:t>
      </w:r>
      <w:r w:rsidR="00B21456">
        <w:rPr>
          <w:rStyle w:val="FootnoteReference"/>
        </w:rPr>
        <w:footnoteReference w:id="2"/>
      </w:r>
      <w:r>
        <w:t xml:space="preserve">  Furthermore, AT&amp;T is not aware of any participant in this proceeding that was seeking to expand these pole attachment rules beyond attachments to local exchange carrier and electric company poles.  </w:t>
      </w:r>
      <w:r w:rsidR="0031492E">
        <w:t xml:space="preserve">  </w:t>
      </w:r>
    </w:p>
    <w:p w:rsidR="00B21456" w:rsidRDefault="00310132" w:rsidP="00B21456">
      <w:pPr>
        <w:spacing w:line="480" w:lineRule="auto"/>
        <w:ind w:firstLine="360"/>
      </w:pPr>
      <w:r>
        <w:t>AT&amp;T suggests the following addition to the definition of owner:</w:t>
      </w:r>
    </w:p>
    <w:p w:rsidR="00CF43E9" w:rsidRDefault="00CF43E9" w:rsidP="00CF43E9">
      <w:pPr>
        <w:ind w:left="720"/>
      </w:pPr>
      <w:r>
        <w:lastRenderedPageBreak/>
        <w:t xml:space="preserve">“Owner” means the utility, </w:t>
      </w:r>
      <w:r w:rsidRPr="005B34E9">
        <w:rPr>
          <w:u w:val="single"/>
        </w:rPr>
        <w:t>excluding commercial mobile radio service provider</w:t>
      </w:r>
      <w:r w:rsidR="005B34E9" w:rsidRPr="005B34E9">
        <w:rPr>
          <w:u w:val="single"/>
        </w:rPr>
        <w:t xml:space="preserve">, </w:t>
      </w:r>
      <w:r w:rsidRPr="005B34E9">
        <w:t>that</w:t>
      </w:r>
      <w:r>
        <w:t xml:space="preserve"> owns or controls the facilities to or in which an occupant maintains or seeks to make attachments.  </w:t>
      </w:r>
    </w:p>
    <w:p w:rsidR="00CF43E9" w:rsidRPr="00B21456" w:rsidRDefault="00CF43E9" w:rsidP="00B21456">
      <w:pPr>
        <w:spacing w:line="480" w:lineRule="auto"/>
        <w:ind w:firstLine="360"/>
      </w:pPr>
    </w:p>
    <w:p w:rsidR="008541F9" w:rsidRPr="00E32921" w:rsidRDefault="0083570D" w:rsidP="00E32921">
      <w:pPr>
        <w:pStyle w:val="ListParagraph"/>
        <w:numPr>
          <w:ilvl w:val="0"/>
          <w:numId w:val="29"/>
        </w:numPr>
        <w:spacing w:line="480" w:lineRule="auto"/>
        <w:rPr>
          <w:rFonts w:ascii="Times New Roman" w:hAnsi="Times New Roman" w:cs="Times New Roman"/>
          <w:b/>
          <w:sz w:val="24"/>
          <w:szCs w:val="24"/>
        </w:rPr>
      </w:pPr>
      <w:r w:rsidRPr="00E32921">
        <w:rPr>
          <w:rFonts w:ascii="Times New Roman" w:hAnsi="Times New Roman" w:cs="Times New Roman"/>
          <w:b/>
          <w:sz w:val="24"/>
          <w:szCs w:val="24"/>
        </w:rPr>
        <w:t>WAC 480-54-070</w:t>
      </w:r>
      <w:r w:rsidR="008541F9" w:rsidRPr="00E32921">
        <w:rPr>
          <w:rFonts w:ascii="Times New Roman" w:hAnsi="Times New Roman" w:cs="Times New Roman"/>
          <w:b/>
          <w:sz w:val="24"/>
          <w:szCs w:val="24"/>
        </w:rPr>
        <w:t>:  Complaint</w:t>
      </w:r>
    </w:p>
    <w:p w:rsidR="00747EBE" w:rsidRPr="00543486" w:rsidRDefault="008541F9" w:rsidP="00E32921">
      <w:pPr>
        <w:pStyle w:val="ListParagraph"/>
        <w:numPr>
          <w:ilvl w:val="0"/>
          <w:numId w:val="33"/>
        </w:numPr>
        <w:spacing w:line="480" w:lineRule="auto"/>
        <w:rPr>
          <w:rFonts w:ascii="Times New Roman" w:hAnsi="Times New Roman" w:cs="Times New Roman"/>
          <w:b/>
          <w:sz w:val="24"/>
          <w:szCs w:val="24"/>
        </w:rPr>
      </w:pPr>
      <w:r>
        <w:rPr>
          <w:rFonts w:ascii="Times New Roman" w:hAnsi="Times New Roman" w:cs="Times New Roman"/>
          <w:b/>
          <w:sz w:val="24"/>
          <w:szCs w:val="24"/>
        </w:rPr>
        <w:t>Subsection (1)</w:t>
      </w:r>
    </w:p>
    <w:p w:rsidR="00543486" w:rsidRDefault="00543486" w:rsidP="001D7658">
      <w:pPr>
        <w:spacing w:line="480" w:lineRule="auto"/>
        <w:ind w:firstLine="720"/>
      </w:pPr>
      <w:r w:rsidRPr="00543486">
        <w:t xml:space="preserve">A provision has been added to this subsection that would require the commission to determine the fair, just, reasonable, and sufficient rates, terms and conditions within 360 days after the filing of the complaint.  </w:t>
      </w:r>
      <w:r>
        <w:t xml:space="preserve">AT&amp;T </w:t>
      </w:r>
      <w:r w:rsidR="00344D80">
        <w:t xml:space="preserve">does not object to this timeline for adjudications regarding rates, terms and conditions, but </w:t>
      </w:r>
      <w:r>
        <w:t>suggests that a sentence be added to th</w:t>
      </w:r>
      <w:r w:rsidR="00310132">
        <w:t>e</w:t>
      </w:r>
      <w:r w:rsidR="004F7400">
        <w:t xml:space="preserve"> end</w:t>
      </w:r>
      <w:r w:rsidR="00310132">
        <w:t xml:space="preserve"> of this subsection </w:t>
      </w:r>
      <w:r w:rsidR="001D7658">
        <w:t>clarify</w:t>
      </w:r>
      <w:r w:rsidR="00310132">
        <w:t>ing</w:t>
      </w:r>
      <w:r w:rsidR="001D7658">
        <w:t xml:space="preserve"> that </w:t>
      </w:r>
      <w:r>
        <w:t xml:space="preserve">the 360 day timeline does not apply to denials of access.  </w:t>
      </w:r>
      <w:r w:rsidR="001D7658">
        <w:t>Denials of access should be addressed on an expedited timeline as the inability to access a pole</w:t>
      </w:r>
      <w:r w:rsidR="00344D80">
        <w:t>, duct or conduit</w:t>
      </w:r>
      <w:r w:rsidR="001D7658">
        <w:t xml:space="preserve"> may result in customers not be</w:t>
      </w:r>
      <w:r w:rsidR="004F7400">
        <w:t>ing</w:t>
      </w:r>
      <w:r w:rsidR="005415F7">
        <w:t xml:space="preserve"> served in an area or the loss of a customer for the </w:t>
      </w:r>
      <w:proofErr w:type="spellStart"/>
      <w:r w:rsidR="005415F7">
        <w:t>attacher</w:t>
      </w:r>
      <w:proofErr w:type="spellEnd"/>
      <w:r w:rsidR="005415F7">
        <w:t xml:space="preserve">.  AT&amp;T respectfully requests that the rule be modified as follows: </w:t>
      </w:r>
    </w:p>
    <w:p w:rsidR="005415F7" w:rsidRDefault="005415F7" w:rsidP="005415F7">
      <w:pPr>
        <w:ind w:left="1440"/>
      </w:pPr>
      <w:r>
        <w:t>Whenever the commission shall find, after hearing had upon complaint by a licensee or by a utility, that the rates, terms, or conditions demanded, exacted, charged or collected by any owner in connection with attachments to its facilities are not fair, just, and reasonable, or by an owner that the rates or charges are insufficient to yield a reasonable compensation for the attachment, the commission will determine the fair, just, reasonable, and sufficient rates, terms, and conditions thereafter to be observed and in force and fix the same by order entered within 360 days after the filing of the complaint.  In determining and fixing the rates, terms, and conditions, the commission will consider the interest of the customers of the licensee or utility, as well as the interest of the customers of the owner.</w:t>
      </w:r>
      <w:r w:rsidR="00D4658F">
        <w:t xml:space="preserve">  </w:t>
      </w:r>
      <w:r w:rsidR="00D4658F" w:rsidRPr="00D4658F">
        <w:rPr>
          <w:u w:val="single"/>
        </w:rPr>
        <w:t>The commission will expedite consideration and decision of complaints alleging the owner has denied access to its poles, ducts, conduits, or rights-of-way.</w:t>
      </w:r>
      <w:r w:rsidR="00D4658F">
        <w:t xml:space="preserve"> </w:t>
      </w:r>
      <w:r>
        <w:t xml:space="preserve"> </w:t>
      </w:r>
    </w:p>
    <w:p w:rsidR="005415F7" w:rsidRDefault="005415F7" w:rsidP="001D7658">
      <w:pPr>
        <w:spacing w:line="480" w:lineRule="auto"/>
        <w:ind w:firstLine="720"/>
        <w:rPr>
          <w:b/>
        </w:rPr>
      </w:pPr>
    </w:p>
    <w:p w:rsidR="008541F9" w:rsidRDefault="008541F9" w:rsidP="00E32921">
      <w:pPr>
        <w:pStyle w:val="ListParagraph"/>
        <w:numPr>
          <w:ilvl w:val="0"/>
          <w:numId w:val="33"/>
        </w:numPr>
        <w:spacing w:line="480" w:lineRule="auto"/>
        <w:rPr>
          <w:rFonts w:ascii="Times New Roman" w:hAnsi="Times New Roman" w:cs="Times New Roman"/>
          <w:b/>
          <w:sz w:val="24"/>
          <w:szCs w:val="24"/>
        </w:rPr>
      </w:pPr>
      <w:r>
        <w:rPr>
          <w:rFonts w:ascii="Times New Roman" w:hAnsi="Times New Roman" w:cs="Times New Roman"/>
          <w:b/>
          <w:sz w:val="24"/>
          <w:szCs w:val="24"/>
        </w:rPr>
        <w:t>Subsection (4)</w:t>
      </w:r>
    </w:p>
    <w:p w:rsidR="0083570D" w:rsidRDefault="0083570D" w:rsidP="0083570D">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The Draft Rules add the following </w:t>
      </w:r>
      <w:r w:rsidR="00310132">
        <w:rPr>
          <w:rFonts w:ascii="Times New Roman" w:hAnsi="Times New Roman" w:cs="Times New Roman"/>
          <w:sz w:val="24"/>
          <w:szCs w:val="24"/>
        </w:rPr>
        <w:t xml:space="preserve">bolded </w:t>
      </w:r>
      <w:r>
        <w:rPr>
          <w:rFonts w:ascii="Times New Roman" w:hAnsi="Times New Roman" w:cs="Times New Roman"/>
          <w:sz w:val="24"/>
          <w:szCs w:val="24"/>
        </w:rPr>
        <w:t>provision to subsection (4).</w:t>
      </w:r>
    </w:p>
    <w:p w:rsidR="0083570D" w:rsidRPr="0083570D" w:rsidRDefault="0083570D" w:rsidP="0083570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execution of an attachment agreement does not preclude any challenge to the lawfulness or reasonableness of the rates, terms, or conditions in that agreement, </w:t>
      </w:r>
      <w:r>
        <w:rPr>
          <w:rFonts w:ascii="Times New Roman" w:hAnsi="Times New Roman" w:cs="Times New Roman"/>
          <w:sz w:val="24"/>
          <w:szCs w:val="24"/>
        </w:rPr>
        <w:lastRenderedPageBreak/>
        <w:t xml:space="preserve">provided that </w:t>
      </w:r>
      <w:r w:rsidRPr="00310132">
        <w:rPr>
          <w:rFonts w:ascii="Times New Roman" w:hAnsi="Times New Roman" w:cs="Times New Roman"/>
          <w:b/>
          <w:sz w:val="24"/>
          <w:szCs w:val="24"/>
        </w:rPr>
        <w:t xml:space="preserve">the parties were aware of the dispute at the time they executed the agreement </w:t>
      </w:r>
      <w:r>
        <w:rPr>
          <w:rFonts w:ascii="Times New Roman" w:hAnsi="Times New Roman" w:cs="Times New Roman"/>
          <w:sz w:val="24"/>
          <w:szCs w:val="24"/>
        </w:rPr>
        <w:t>and such challenge was brought within six months</w:t>
      </w:r>
      <w:r w:rsidR="006047F4">
        <w:rPr>
          <w:rFonts w:ascii="Times New Roman" w:hAnsi="Times New Roman" w:cs="Times New Roman"/>
          <w:sz w:val="24"/>
          <w:szCs w:val="24"/>
        </w:rPr>
        <w:t>…</w:t>
      </w:r>
      <w:r>
        <w:rPr>
          <w:rFonts w:ascii="Times New Roman" w:hAnsi="Times New Roman" w:cs="Times New Roman"/>
          <w:sz w:val="24"/>
          <w:szCs w:val="24"/>
        </w:rPr>
        <w:t xml:space="preserve">  </w:t>
      </w:r>
    </w:p>
    <w:p w:rsidR="00747EBE" w:rsidRDefault="00747EBE" w:rsidP="00FD5F2B">
      <w:pPr>
        <w:spacing w:line="480" w:lineRule="auto"/>
        <w:ind w:firstLine="720"/>
      </w:pPr>
    </w:p>
    <w:p w:rsidR="006047F4" w:rsidRDefault="006047F4" w:rsidP="006047F4">
      <w:pPr>
        <w:spacing w:line="480" w:lineRule="auto"/>
      </w:pPr>
      <w:r>
        <w:tab/>
        <w:t>AT&amp;T strongly urges the Commission to delete the newly added phrase</w:t>
      </w:r>
      <w:r w:rsidR="00310132">
        <w:t xml:space="preserve">.  </w:t>
      </w:r>
      <w:r>
        <w:t>In its 2011 Pole Attachment Order,</w:t>
      </w:r>
      <w:r>
        <w:rPr>
          <w:rStyle w:val="FootnoteReference"/>
        </w:rPr>
        <w:footnoteReference w:id="3"/>
      </w:r>
      <w:r>
        <w:t xml:space="preserve"> the FCC declined to add a </w:t>
      </w:r>
      <w:r w:rsidR="00D67D6E">
        <w:t>rule r</w:t>
      </w:r>
      <w:r>
        <w:t xml:space="preserve">equiring an </w:t>
      </w:r>
      <w:proofErr w:type="spellStart"/>
      <w:r>
        <w:t>attacher</w:t>
      </w:r>
      <w:proofErr w:type="spellEnd"/>
      <w:r>
        <w:t xml:space="preserve"> to provide during contract negotiations written notice of its objections to provisions of a proposed pole attachment agreement as a prerequisite for later bringing a complaint challenging those provisions.</w:t>
      </w:r>
      <w:r>
        <w:rPr>
          <w:rStyle w:val="FootnoteReference"/>
        </w:rPr>
        <w:footnoteReference w:id="4"/>
      </w:r>
      <w:r>
        <w:t xml:space="preserve">  The FCC found that such a notice requirement poses a significant risk of unduly delaying the negotiation process and adding unnecessary complexity to the adjudication of pole attachment disputes.</w:t>
      </w:r>
      <w:r w:rsidR="00B8760E">
        <w:rPr>
          <w:rStyle w:val="FootnoteReference"/>
        </w:rPr>
        <w:footnoteReference w:id="5"/>
      </w:r>
      <w:r>
        <w:t xml:space="preserve">  Commenters </w:t>
      </w:r>
      <w:r w:rsidR="001D7658">
        <w:t xml:space="preserve">to the FCC </w:t>
      </w:r>
      <w:r>
        <w:t>noted a number of c</w:t>
      </w:r>
      <w:r w:rsidR="001D7658">
        <w:t>oncerns with such a requirement</w:t>
      </w:r>
      <w:r>
        <w:t xml:space="preserve"> such as </w:t>
      </w:r>
      <w:proofErr w:type="spellStart"/>
      <w:r>
        <w:t>attachers</w:t>
      </w:r>
      <w:proofErr w:type="spellEnd"/>
      <w:r>
        <w:t xml:space="preserve"> mak</w:t>
      </w:r>
      <w:r w:rsidR="001D7658">
        <w:t xml:space="preserve">ing </w:t>
      </w:r>
      <w:r>
        <w:t>“blanket” object</w:t>
      </w:r>
      <w:r w:rsidR="00B8760E">
        <w:t>ion</w:t>
      </w:r>
      <w:r>
        <w:t>s to terms to ensure it did not waive any rights to later object</w:t>
      </w:r>
      <w:r w:rsidR="00B8760E">
        <w:t>,</w:t>
      </w:r>
      <w:r>
        <w:rPr>
          <w:rStyle w:val="FootnoteReference"/>
        </w:rPr>
        <w:footnoteReference w:id="6"/>
      </w:r>
      <w:r w:rsidR="00B8760E">
        <w:t xml:space="preserve"> increas</w:t>
      </w:r>
      <w:r w:rsidR="001D7658">
        <w:t xml:space="preserve">ing </w:t>
      </w:r>
      <w:r w:rsidR="00B8760E">
        <w:t>the time and expense involved in negotiating a pole attachment agreement,</w:t>
      </w:r>
      <w:r w:rsidR="00B8760E">
        <w:rPr>
          <w:rStyle w:val="FootnoteReference"/>
        </w:rPr>
        <w:footnoteReference w:id="7"/>
      </w:r>
      <w:r>
        <w:t xml:space="preserve"> </w:t>
      </w:r>
      <w:r w:rsidR="00B8760E">
        <w:t>and prematurely ignit</w:t>
      </w:r>
      <w:r w:rsidR="001D7658">
        <w:t xml:space="preserve">ing </w:t>
      </w:r>
      <w:r w:rsidR="00B8760E">
        <w:t>a host of unnecessary disputes during the negotiation process over contract provisions that are never enforced.</w:t>
      </w:r>
      <w:r w:rsidR="00B8760E">
        <w:rPr>
          <w:rStyle w:val="FootnoteReference"/>
        </w:rPr>
        <w:footnoteReference w:id="8"/>
      </w:r>
      <w:r w:rsidR="00310132">
        <w:t xml:space="preserve">  These same concerns are present with the language that has been added in the Draft Rules</w:t>
      </w:r>
      <w:r w:rsidR="003D2746">
        <w:t xml:space="preserve">.  Presumably </w:t>
      </w:r>
      <w:r w:rsidR="00D67D6E">
        <w:t xml:space="preserve">as currently drafted </w:t>
      </w:r>
      <w:r w:rsidR="003D2746">
        <w:t xml:space="preserve">the party bringing the compliant would have to demonstrate that both parties were aware of the dispute at the time the contract was executed. </w:t>
      </w:r>
    </w:p>
    <w:p w:rsidR="00582572" w:rsidRDefault="00582572" w:rsidP="006047F4">
      <w:pPr>
        <w:spacing w:line="480" w:lineRule="auto"/>
      </w:pPr>
      <w:r>
        <w:tab/>
        <w:t xml:space="preserve">AT&amp;T also agrees with previous commenters that six months is too short of a time to require an </w:t>
      </w:r>
      <w:proofErr w:type="spellStart"/>
      <w:r>
        <w:t>attacher</w:t>
      </w:r>
      <w:proofErr w:type="spellEnd"/>
      <w:r>
        <w:t xml:space="preserve"> to bring a complaint</w:t>
      </w:r>
      <w:r w:rsidR="001D7658">
        <w:t>, especially since it may not be discovered until later that a party is applying a provision of an attachment agreement unreasonably.</w:t>
      </w:r>
      <w:r>
        <w:rPr>
          <w:rStyle w:val="FootnoteReference"/>
        </w:rPr>
        <w:footnoteReference w:id="9"/>
      </w:r>
    </w:p>
    <w:p w:rsidR="00D4658F" w:rsidRDefault="00D4658F" w:rsidP="00D4658F">
      <w:pPr>
        <w:spacing w:line="480" w:lineRule="auto"/>
        <w:ind w:firstLine="720"/>
      </w:pPr>
      <w:r>
        <w:lastRenderedPageBreak/>
        <w:t>AT&amp;T respectfully suggests the following revisions to this section:</w:t>
      </w:r>
    </w:p>
    <w:p w:rsidR="00D4658F" w:rsidRPr="00D4658F" w:rsidRDefault="00D4658F" w:rsidP="00D4658F">
      <w:pPr>
        <w:ind w:left="1440"/>
      </w:pPr>
      <w:r w:rsidRPr="00D4658F">
        <w:t>The execution of an attachment agreement does not preclude any challenge to the lawfulness or reasonableness of the rates, terms, or conditions in that agreement</w:t>
      </w:r>
      <w:r w:rsidRPr="00D4658F">
        <w:rPr>
          <w:strike/>
        </w:rPr>
        <w:t>, provided that the parties were aware of the dispute at the time they executed the agreement</w:t>
      </w:r>
      <w:r w:rsidRPr="00D4658F">
        <w:rPr>
          <w:b/>
        </w:rPr>
        <w:t xml:space="preserve"> </w:t>
      </w:r>
      <w:r w:rsidRPr="00D4658F">
        <w:t>and such challen</w:t>
      </w:r>
      <w:r>
        <w:t xml:space="preserve">ge was brought within </w:t>
      </w:r>
      <w:r w:rsidRPr="00D4658F">
        <w:rPr>
          <w:strike/>
        </w:rPr>
        <w:t>six</w:t>
      </w:r>
      <w:r>
        <w:t xml:space="preserve"> </w:t>
      </w:r>
      <w:r>
        <w:rPr>
          <w:u w:val="single"/>
        </w:rPr>
        <w:t xml:space="preserve">eighteen </w:t>
      </w:r>
      <w:r>
        <w:t xml:space="preserve">months from the agreement execution date.  Nothing in this section precludes an owner or occupant from bringing any other complaint that is otherwise authorized under applicable law.  </w:t>
      </w:r>
    </w:p>
    <w:p w:rsidR="00E32921" w:rsidRDefault="00E32921" w:rsidP="006047F4">
      <w:pPr>
        <w:spacing w:line="480" w:lineRule="auto"/>
      </w:pPr>
    </w:p>
    <w:p w:rsidR="001D7658" w:rsidRDefault="008541F9" w:rsidP="00E32921">
      <w:pPr>
        <w:pStyle w:val="ListParagraph"/>
        <w:numPr>
          <w:ilvl w:val="0"/>
          <w:numId w:val="33"/>
        </w:numPr>
        <w:spacing w:line="480" w:lineRule="auto"/>
        <w:rPr>
          <w:rFonts w:ascii="Times New Roman" w:hAnsi="Times New Roman" w:cs="Times New Roman"/>
          <w:b/>
          <w:sz w:val="24"/>
          <w:szCs w:val="24"/>
        </w:rPr>
      </w:pPr>
      <w:r>
        <w:rPr>
          <w:rFonts w:ascii="Times New Roman" w:hAnsi="Times New Roman" w:cs="Times New Roman"/>
          <w:b/>
          <w:sz w:val="24"/>
          <w:szCs w:val="24"/>
        </w:rPr>
        <w:t>Subsection (6)</w:t>
      </w:r>
    </w:p>
    <w:p w:rsidR="000B75B1" w:rsidRDefault="001D7658" w:rsidP="001D7658">
      <w:pPr>
        <w:spacing w:line="480" w:lineRule="auto"/>
        <w:ind w:firstLine="720"/>
      </w:pPr>
      <w:r>
        <w:rPr>
          <w:caps/>
        </w:rPr>
        <w:t xml:space="preserve">AT&amp;T </w:t>
      </w:r>
      <w:r>
        <w:t xml:space="preserve">appreciates the addition of “Except as provided in WAC 480-54-030(2)” to </w:t>
      </w:r>
      <w:r w:rsidR="00D67D6E">
        <w:t>t</w:t>
      </w:r>
      <w:r>
        <w:t>his subsection, but remains concerned that there may continue to be ambigui</w:t>
      </w:r>
      <w:r w:rsidR="000B75B1">
        <w:t>ty about the burden o</w:t>
      </w:r>
      <w:r w:rsidR="003D2746">
        <w:t>n</w:t>
      </w:r>
      <w:r w:rsidR="000B75B1">
        <w:t xml:space="preserve"> the licensee or utility</w:t>
      </w:r>
      <w:r w:rsidR="003D2746">
        <w:t xml:space="preserve"> bringing the complaint</w:t>
      </w:r>
      <w:r w:rsidR="000B75B1">
        <w:t xml:space="preserve">.  AT&amp;T suggests the following </w:t>
      </w:r>
      <w:r w:rsidR="003D2746">
        <w:t xml:space="preserve">language </w:t>
      </w:r>
      <w:r w:rsidR="000B75B1">
        <w:t>replace the version of WAC 480-54-070(6) contained in the Draft Rules:</w:t>
      </w:r>
    </w:p>
    <w:p w:rsidR="001D7658" w:rsidRPr="000B75B1" w:rsidRDefault="000B75B1" w:rsidP="000B75B1">
      <w:pPr>
        <w:ind w:left="1080"/>
      </w:pPr>
      <w:r w:rsidRPr="000B75B1">
        <w:t>In the event a complaint is brought for commission resolution, any party advocating rates, terms or conditions that vary from the rules in this chapter bears the burden to prov</w:t>
      </w:r>
      <w:r w:rsidR="004F7400">
        <w:t xml:space="preserve">e </w:t>
      </w:r>
      <w:r w:rsidRPr="000B75B1">
        <w:t>those rates, terms, or conditions are fair, just, reasonable, and sufficient.</w:t>
      </w:r>
      <w:r>
        <w:t xml:space="preserve">  Any owner denying access for attachments to or in any pole, duct, conduit or right-of-way bears the burden of demonstrating the denial was on a nondiscriminatory basis and there was insufficient capacity or for reasons </w:t>
      </w:r>
      <w:r w:rsidR="00D4658F">
        <w:t xml:space="preserve">of </w:t>
      </w:r>
      <w:r>
        <w:t xml:space="preserve">safety, reliability, </w:t>
      </w:r>
      <w:r w:rsidR="00E32921">
        <w:t xml:space="preserve">or </w:t>
      </w:r>
      <w:r>
        <w:t xml:space="preserve">generally applicable engineering practices; provided that in the case of poles, the owner may not deny access to a pole based on insufficient capacity if the requester is willing to compensate the owner for the cost to replace the existing pole or otherwise undertake make-ready work to increase the capacity of the pole to accommodate an additional attachment.   </w:t>
      </w:r>
      <w:r w:rsidRPr="000B75B1">
        <w:t xml:space="preserve">  </w:t>
      </w:r>
      <w:r w:rsidR="001D7658" w:rsidRPr="000B75B1">
        <w:t xml:space="preserve">  </w:t>
      </w:r>
    </w:p>
    <w:p w:rsidR="001D7658" w:rsidRPr="001D7658" w:rsidRDefault="001D7658" w:rsidP="001D7658">
      <w:pPr>
        <w:spacing w:line="480" w:lineRule="auto"/>
        <w:rPr>
          <w:b/>
        </w:rPr>
      </w:pPr>
    </w:p>
    <w:p w:rsidR="008541F9" w:rsidRPr="00473BE4" w:rsidRDefault="008541F9" w:rsidP="00E32921">
      <w:pPr>
        <w:pStyle w:val="ListParagraph"/>
        <w:numPr>
          <w:ilvl w:val="0"/>
          <w:numId w:val="33"/>
        </w:numPr>
        <w:spacing w:line="480" w:lineRule="auto"/>
        <w:rPr>
          <w:rFonts w:ascii="Times New Roman" w:hAnsi="Times New Roman" w:cs="Times New Roman"/>
          <w:b/>
          <w:sz w:val="24"/>
          <w:szCs w:val="24"/>
        </w:rPr>
      </w:pPr>
      <w:r>
        <w:rPr>
          <w:rFonts w:ascii="Times New Roman" w:hAnsi="Times New Roman" w:cs="Times New Roman"/>
          <w:b/>
          <w:sz w:val="24"/>
          <w:szCs w:val="24"/>
        </w:rPr>
        <w:t>New Subsection</w:t>
      </w:r>
    </w:p>
    <w:p w:rsidR="008541F9" w:rsidRDefault="001E722B" w:rsidP="001E722B">
      <w:pPr>
        <w:spacing w:line="480" w:lineRule="auto"/>
        <w:ind w:firstLine="360"/>
      </w:pPr>
      <w:r>
        <w:t xml:space="preserve">A new subjection should be added to the end of this section which provides that subsections (7) and (8) do not preclude other remedies available </w:t>
      </w:r>
      <w:r w:rsidR="003D2746">
        <w:t xml:space="preserve">by </w:t>
      </w:r>
      <w:r>
        <w:t xml:space="preserve">law.  </w:t>
      </w:r>
      <w:r w:rsidR="00D4658F">
        <w:t xml:space="preserve">AT&amp;T respectfully suggests the following language: </w:t>
      </w:r>
    </w:p>
    <w:p w:rsidR="00D4658F" w:rsidRPr="00D4658F" w:rsidRDefault="00D4658F" w:rsidP="00D4658F">
      <w:pPr>
        <w:ind w:left="1080"/>
        <w:rPr>
          <w:u w:val="single"/>
        </w:rPr>
      </w:pPr>
      <w:r w:rsidRPr="00D4658F">
        <w:rPr>
          <w:u w:val="single"/>
        </w:rPr>
        <w:lastRenderedPageBreak/>
        <w:t xml:space="preserve">Nothing in subsections (7) or (8) shall preclude other remedies available under applicable law.  </w:t>
      </w:r>
    </w:p>
    <w:p w:rsidR="001E722B" w:rsidRDefault="001E722B" w:rsidP="001E722B">
      <w:pPr>
        <w:spacing w:line="480" w:lineRule="auto"/>
        <w:ind w:firstLine="360"/>
      </w:pPr>
    </w:p>
    <w:p w:rsidR="00896501" w:rsidRPr="00FD5F2B" w:rsidRDefault="00896501" w:rsidP="00FD5F2B">
      <w:pPr>
        <w:pStyle w:val="ListParagraph"/>
        <w:numPr>
          <w:ilvl w:val="0"/>
          <w:numId w:val="23"/>
        </w:numPr>
        <w:spacing w:line="480" w:lineRule="auto"/>
        <w:rPr>
          <w:rFonts w:ascii="Times New Roman" w:hAnsi="Times New Roman" w:cs="Times New Roman"/>
          <w:b/>
          <w:sz w:val="24"/>
          <w:szCs w:val="24"/>
        </w:rPr>
      </w:pPr>
      <w:r w:rsidRPr="00FD5F2B">
        <w:rPr>
          <w:rFonts w:ascii="Times New Roman" w:hAnsi="Times New Roman" w:cs="Times New Roman"/>
          <w:b/>
          <w:sz w:val="24"/>
          <w:szCs w:val="24"/>
        </w:rPr>
        <w:t>CONCLUSION</w:t>
      </w:r>
      <w:r w:rsidRPr="00FD5F2B">
        <w:rPr>
          <w:rFonts w:ascii="Times New Roman" w:hAnsi="Times New Roman" w:cs="Times New Roman"/>
          <w:b/>
          <w:sz w:val="24"/>
          <w:szCs w:val="24"/>
        </w:rPr>
        <w:tab/>
      </w:r>
    </w:p>
    <w:p w:rsidR="005B34E9" w:rsidRDefault="00896501" w:rsidP="00896501">
      <w:pPr>
        <w:spacing w:line="480" w:lineRule="auto"/>
        <w:ind w:firstLine="720"/>
      </w:pPr>
      <w:r>
        <w:t xml:space="preserve">AT&amp;T appreciates the Commission’s </w:t>
      </w:r>
      <w:r w:rsidR="001E722B">
        <w:t xml:space="preserve">considerable </w:t>
      </w:r>
      <w:r>
        <w:t xml:space="preserve">effort </w:t>
      </w:r>
      <w:r w:rsidR="001E722B">
        <w:t xml:space="preserve">and careful consideration of proposals </w:t>
      </w:r>
      <w:r>
        <w:t xml:space="preserve">to establish fair and reasonable pole attachment rules </w:t>
      </w:r>
      <w:r w:rsidR="005B34E9">
        <w:t xml:space="preserve">to encourage continued deployment of wireless infrastructure in the state to keep up within increasing demand.  </w:t>
      </w:r>
    </w:p>
    <w:p w:rsidR="005B34E9" w:rsidRDefault="005B34E9" w:rsidP="00896501">
      <w:pPr>
        <w:spacing w:line="480" w:lineRule="auto"/>
        <w:ind w:firstLine="720"/>
      </w:pPr>
    </w:p>
    <w:p w:rsidR="00D74CA1" w:rsidRDefault="00D74CA1" w:rsidP="00D74CA1">
      <w:pPr>
        <w:spacing w:line="480" w:lineRule="auto"/>
        <w:ind w:firstLine="720"/>
      </w:pPr>
      <w:r>
        <w:tab/>
        <w:t xml:space="preserve"> </w:t>
      </w:r>
      <w:r w:rsidRPr="006D3362">
        <w:t xml:space="preserve">Submitted this </w:t>
      </w:r>
      <w:r w:rsidR="00FD5F2B">
        <w:t>6</w:t>
      </w:r>
      <w:r>
        <w:t xml:space="preserve">th </w:t>
      </w:r>
      <w:r w:rsidRPr="006D3362">
        <w:t xml:space="preserve">day of </w:t>
      </w:r>
      <w:r w:rsidR="005B34E9">
        <w:t>February</w:t>
      </w:r>
      <w:r>
        <w:t>, 201</w:t>
      </w:r>
      <w:r w:rsidR="00FD5F2B">
        <w:t>5</w:t>
      </w:r>
      <w:r>
        <w:t xml:space="preserve"> </w:t>
      </w:r>
      <w:r w:rsidRPr="006D3362">
        <w:tab/>
      </w:r>
      <w:r w:rsidRPr="006D3362">
        <w:tab/>
      </w:r>
    </w:p>
    <w:p w:rsidR="00D74CA1" w:rsidRPr="006D3362" w:rsidRDefault="00D74CA1" w:rsidP="00D74CA1">
      <w:pPr>
        <w:spacing w:line="480" w:lineRule="auto"/>
        <w:ind w:firstLine="720"/>
      </w:pPr>
    </w:p>
    <w:p w:rsidR="00D74CA1" w:rsidRPr="003625F0" w:rsidRDefault="00D74CA1" w:rsidP="00D74CA1">
      <w:pPr>
        <w:tabs>
          <w:tab w:val="left" w:pos="7290"/>
        </w:tabs>
        <w:ind w:left="3420"/>
        <w:rPr>
          <w:u w:val="single"/>
        </w:rPr>
      </w:pPr>
      <w:r>
        <w:rPr>
          <w:u w:val="single"/>
        </w:rPr>
        <w:t>/s/</w:t>
      </w:r>
      <w:r>
        <w:rPr>
          <w:u w:val="single"/>
        </w:rPr>
        <w:tab/>
      </w:r>
    </w:p>
    <w:p w:rsidR="00D74CA1" w:rsidRPr="006D3362" w:rsidRDefault="00D74CA1" w:rsidP="00D74CA1">
      <w:pPr>
        <w:ind w:left="3420"/>
      </w:pPr>
      <w:r>
        <w:t>By:  Cynthia Manheim, WSBA# 26524</w:t>
      </w:r>
    </w:p>
    <w:p w:rsidR="00D74CA1" w:rsidRPr="006D3362" w:rsidRDefault="00D74CA1" w:rsidP="00D74CA1">
      <w:pPr>
        <w:ind w:left="3420"/>
      </w:pPr>
      <w:proofErr w:type="gramStart"/>
      <w:r>
        <w:t xml:space="preserve">Representing </w:t>
      </w:r>
      <w:r w:rsidRPr="003826E6">
        <w:t xml:space="preserve">AT&amp;T </w:t>
      </w:r>
      <w:r>
        <w:t>Corp</w:t>
      </w:r>
      <w:r w:rsidRPr="003826E6">
        <w:t>., New Cingular Wireless PCS, LLC,</w:t>
      </w:r>
      <w:r>
        <w:t xml:space="preserve"> </w:t>
      </w:r>
      <w:r w:rsidRPr="003826E6">
        <w:t>and T</w:t>
      </w:r>
      <w:r>
        <w:t>eleport Communications America, Inc.</w:t>
      </w:r>
      <w:proofErr w:type="gramEnd"/>
    </w:p>
    <w:p w:rsidR="00D74CA1" w:rsidRPr="006D3362" w:rsidRDefault="00D74CA1" w:rsidP="00D74CA1">
      <w:pPr>
        <w:ind w:left="3420"/>
      </w:pPr>
      <w:r w:rsidRPr="006D3362">
        <w:t>PO Box 97061</w:t>
      </w:r>
    </w:p>
    <w:p w:rsidR="00D74CA1" w:rsidRPr="006D3362" w:rsidRDefault="00D74CA1" w:rsidP="00D74CA1">
      <w:pPr>
        <w:ind w:left="3420"/>
      </w:pPr>
      <w:r w:rsidRPr="006D3362">
        <w:t>16331 NE 72nd Way</w:t>
      </w:r>
    </w:p>
    <w:p w:rsidR="00D74CA1" w:rsidRPr="006D3362" w:rsidRDefault="00D74CA1" w:rsidP="00D74CA1">
      <w:pPr>
        <w:ind w:left="3420"/>
      </w:pPr>
      <w:r w:rsidRPr="006D3362">
        <w:t>Redmond, WA  98073-9761</w:t>
      </w:r>
    </w:p>
    <w:p w:rsidR="00D74CA1" w:rsidRPr="006D3362" w:rsidRDefault="00D74CA1" w:rsidP="00D74CA1">
      <w:pPr>
        <w:ind w:left="3420"/>
      </w:pPr>
      <w:r w:rsidRPr="006D3362">
        <w:t>Telephone:  (425) 580-8112</w:t>
      </w:r>
    </w:p>
    <w:p w:rsidR="00D74CA1" w:rsidRPr="006D3362" w:rsidRDefault="00D74CA1" w:rsidP="00D74CA1">
      <w:pPr>
        <w:ind w:left="3420"/>
      </w:pPr>
      <w:r>
        <w:t>Facsimile: (425) 580-8652</w:t>
      </w:r>
    </w:p>
    <w:p w:rsidR="00D74CA1" w:rsidRDefault="00D74CA1" w:rsidP="00D74CA1">
      <w:pPr>
        <w:ind w:left="3420"/>
      </w:pPr>
      <w:r w:rsidRPr="006D3362">
        <w:t xml:space="preserve">Email: </w:t>
      </w:r>
      <w:hyperlink r:id="rId12" w:history="1">
        <w:r w:rsidRPr="006D3362">
          <w:rPr>
            <w:rStyle w:val="Hyperlink"/>
          </w:rPr>
          <w:t>cindy.manheim@att.com</w:t>
        </w:r>
      </w:hyperlink>
    </w:p>
    <w:p w:rsidR="002B539B" w:rsidRPr="00ED0511" w:rsidRDefault="002B539B" w:rsidP="00D74CA1">
      <w:pPr>
        <w:jc w:val="center"/>
      </w:pPr>
    </w:p>
    <w:sectPr w:rsidR="002B539B" w:rsidRPr="00ED0511" w:rsidSect="009A5230">
      <w:footerReference w:type="default" r:id="rId13"/>
      <w:pgSz w:w="12240" w:h="15840"/>
      <w:pgMar w:top="1440" w:right="1627" w:bottom="720" w:left="162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B8" w:rsidRDefault="00AB58B8">
      <w:r>
        <w:separator/>
      </w:r>
    </w:p>
  </w:endnote>
  <w:endnote w:type="continuationSeparator" w:id="0">
    <w:p w:rsidR="00AB58B8" w:rsidRDefault="00AB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3126"/>
      <w:docPartObj>
        <w:docPartGallery w:val="Page Numbers (Bottom of Page)"/>
        <w:docPartUnique/>
      </w:docPartObj>
    </w:sdtPr>
    <w:sdtEndPr/>
    <w:sdtContent>
      <w:p w:rsidR="003625F0" w:rsidRDefault="00614E41">
        <w:pPr>
          <w:pStyle w:val="Footer"/>
          <w:jc w:val="center"/>
        </w:pPr>
      </w:p>
    </w:sdtContent>
  </w:sdt>
  <w:p w:rsidR="003625F0" w:rsidRDefault="00362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3129"/>
      <w:docPartObj>
        <w:docPartGallery w:val="Page Numbers (Bottom of Page)"/>
        <w:docPartUnique/>
      </w:docPartObj>
    </w:sdtPr>
    <w:sdtEndPr/>
    <w:sdtContent>
      <w:p w:rsidR="003625F0" w:rsidRDefault="005E5D9B">
        <w:pPr>
          <w:pStyle w:val="Footer"/>
          <w:jc w:val="center"/>
        </w:pPr>
        <w:r>
          <w:fldChar w:fldCharType="begin"/>
        </w:r>
        <w:r>
          <w:instrText xml:space="preserve"> PAGE   \* MERGEFORMAT </w:instrText>
        </w:r>
        <w:r>
          <w:fldChar w:fldCharType="separate"/>
        </w:r>
        <w:r w:rsidR="00614E41">
          <w:rPr>
            <w:noProof/>
          </w:rPr>
          <w:t>6</w:t>
        </w:r>
        <w:r>
          <w:rPr>
            <w:noProof/>
          </w:rPr>
          <w:fldChar w:fldCharType="end"/>
        </w:r>
      </w:p>
    </w:sdtContent>
  </w:sdt>
  <w:p w:rsidR="003625F0" w:rsidRDefault="00362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B8" w:rsidRDefault="00AB58B8">
      <w:r>
        <w:separator/>
      </w:r>
    </w:p>
  </w:footnote>
  <w:footnote w:type="continuationSeparator" w:id="0">
    <w:p w:rsidR="00AB58B8" w:rsidRDefault="00AB58B8">
      <w:r>
        <w:continuationSeparator/>
      </w:r>
    </w:p>
  </w:footnote>
  <w:footnote w:id="1">
    <w:p w:rsidR="0031492E" w:rsidRDefault="0031492E" w:rsidP="0031492E">
      <w:pPr>
        <w:pStyle w:val="FootnoteText"/>
      </w:pPr>
      <w:r>
        <w:rPr>
          <w:rStyle w:val="FootnoteReference"/>
        </w:rPr>
        <w:footnoteRef/>
      </w:r>
      <w:r>
        <w:t xml:space="preserve"> </w:t>
      </w:r>
      <w:proofErr w:type="gramStart"/>
      <w:r>
        <w:t>Draft Rules WAC 480-54-020(19).</w:t>
      </w:r>
      <w:proofErr w:type="gramEnd"/>
    </w:p>
  </w:footnote>
  <w:footnote w:id="2">
    <w:p w:rsidR="00B21456" w:rsidRDefault="00B21456">
      <w:pPr>
        <w:pStyle w:val="FootnoteText"/>
      </w:pPr>
      <w:r>
        <w:rPr>
          <w:rStyle w:val="FootnoteReference"/>
        </w:rPr>
        <w:footnoteRef/>
      </w:r>
      <w:r>
        <w:t xml:space="preserve"> </w:t>
      </w:r>
      <w:proofErr w:type="gramStart"/>
      <w:r>
        <w:t>47 C.F.R. §1.1402(a).</w:t>
      </w:r>
      <w:proofErr w:type="gramEnd"/>
      <w:r>
        <w:t xml:space="preserve"> </w:t>
      </w:r>
    </w:p>
    <w:p w:rsidR="0031492E" w:rsidRDefault="0031492E">
      <w:pPr>
        <w:pStyle w:val="FootnoteText"/>
      </w:pPr>
    </w:p>
  </w:footnote>
  <w:footnote w:id="3">
    <w:p w:rsidR="006047F4" w:rsidRDefault="006047F4">
      <w:pPr>
        <w:pStyle w:val="FootnoteText"/>
      </w:pPr>
      <w:r>
        <w:rPr>
          <w:rStyle w:val="FootnoteReference"/>
        </w:rPr>
        <w:footnoteRef/>
      </w:r>
      <w:r>
        <w:t xml:space="preserve"> Implementation of Section 224 of the Act, A National Broadband Plan for Our Future, WC </w:t>
      </w:r>
      <w:proofErr w:type="spellStart"/>
      <w:r>
        <w:t>Dkt</w:t>
      </w:r>
      <w:proofErr w:type="spellEnd"/>
      <w:r>
        <w:t xml:space="preserve"> No. 07-245, GN </w:t>
      </w:r>
      <w:proofErr w:type="spellStart"/>
      <w:r>
        <w:t>Dkt</w:t>
      </w:r>
      <w:proofErr w:type="spellEnd"/>
      <w:r>
        <w:t xml:space="preserve"> No. 09-51, FCC 11-50, Report and Order and Order on Reconsideration (rel. April 7, 2011)(“</w:t>
      </w:r>
      <w:r w:rsidRPr="006047F4">
        <w:rPr>
          <w:i/>
        </w:rPr>
        <w:t>2011 Pole Attachment Order</w:t>
      </w:r>
      <w:r>
        <w:t xml:space="preserve">”). </w:t>
      </w:r>
    </w:p>
  </w:footnote>
  <w:footnote w:id="4">
    <w:p w:rsidR="006047F4" w:rsidRDefault="006047F4">
      <w:pPr>
        <w:pStyle w:val="FootnoteText"/>
      </w:pPr>
      <w:r>
        <w:rPr>
          <w:rStyle w:val="FootnoteReference"/>
        </w:rPr>
        <w:footnoteRef/>
      </w:r>
      <w:r>
        <w:t xml:space="preserve"> </w:t>
      </w:r>
      <w:r w:rsidR="003D2746">
        <w:rPr>
          <w:i/>
        </w:rPr>
        <w:t>Pole Attachment Order</w:t>
      </w:r>
      <w:r>
        <w:t>, para</w:t>
      </w:r>
      <w:r w:rsidR="00B8760E">
        <w:t>. 120</w:t>
      </w:r>
      <w:r>
        <w:t xml:space="preserve">. </w:t>
      </w:r>
    </w:p>
  </w:footnote>
  <w:footnote w:id="5">
    <w:p w:rsidR="00B8760E" w:rsidRDefault="00B8760E">
      <w:pPr>
        <w:pStyle w:val="FootnoteText"/>
      </w:pPr>
      <w:r>
        <w:rPr>
          <w:rStyle w:val="FootnoteReference"/>
        </w:rPr>
        <w:footnoteRef/>
      </w:r>
      <w:r>
        <w:t xml:space="preserve"> Id.</w:t>
      </w:r>
    </w:p>
  </w:footnote>
  <w:footnote w:id="6">
    <w:p w:rsidR="006047F4" w:rsidRDefault="006047F4">
      <w:pPr>
        <w:pStyle w:val="FootnoteText"/>
      </w:pPr>
      <w:r>
        <w:rPr>
          <w:rStyle w:val="FootnoteReference"/>
        </w:rPr>
        <w:footnoteRef/>
      </w:r>
      <w:r>
        <w:t xml:space="preserve"> </w:t>
      </w:r>
      <w:r w:rsidR="003D2746" w:rsidRPr="003D2746">
        <w:rPr>
          <w:i/>
        </w:rPr>
        <w:t>Pole Attachment Order</w:t>
      </w:r>
      <w:r>
        <w:t>, para. 121.</w:t>
      </w:r>
    </w:p>
  </w:footnote>
  <w:footnote w:id="7">
    <w:p w:rsidR="00B8760E" w:rsidRDefault="00B8760E">
      <w:pPr>
        <w:pStyle w:val="FootnoteText"/>
      </w:pPr>
      <w:r>
        <w:rPr>
          <w:rStyle w:val="FootnoteReference"/>
        </w:rPr>
        <w:footnoteRef/>
      </w:r>
      <w:r>
        <w:t xml:space="preserve"> Id.</w:t>
      </w:r>
    </w:p>
  </w:footnote>
  <w:footnote w:id="8">
    <w:p w:rsidR="00B8760E" w:rsidRDefault="00B8760E">
      <w:pPr>
        <w:pStyle w:val="FootnoteText"/>
      </w:pPr>
      <w:r>
        <w:rPr>
          <w:rStyle w:val="FootnoteReference"/>
        </w:rPr>
        <w:footnoteRef/>
      </w:r>
      <w:r>
        <w:t xml:space="preserve"> </w:t>
      </w:r>
      <w:r w:rsidR="003D2746" w:rsidRPr="003D2746">
        <w:rPr>
          <w:i/>
        </w:rPr>
        <w:t>Pole Attachment Order</w:t>
      </w:r>
      <w:r>
        <w:t>, para. 122.</w:t>
      </w:r>
    </w:p>
  </w:footnote>
  <w:footnote w:id="9">
    <w:p w:rsidR="00582572" w:rsidRDefault="00582572">
      <w:pPr>
        <w:pStyle w:val="FootnoteText"/>
      </w:pPr>
      <w:r>
        <w:rPr>
          <w:rStyle w:val="FootnoteReference"/>
        </w:rPr>
        <w:footnoteRef/>
      </w:r>
      <w:r>
        <w:t xml:space="preserve"> PCIA-The Wireless Infrastructure Association and the </w:t>
      </w:r>
      <w:proofErr w:type="spellStart"/>
      <w:r>
        <w:t>HetNet</w:t>
      </w:r>
      <w:proofErr w:type="spellEnd"/>
      <w:r>
        <w:t xml:space="preserve"> Forum Comments on Draft rules to Implement RCW Ch. 80.54 (October 8,</w:t>
      </w:r>
      <w:r w:rsidR="0089406E">
        <w:t xml:space="preserve"> 2014), p. 3 (“</w:t>
      </w:r>
      <w:r w:rsidR="003D2746">
        <w:t>PCIA recommends that the proposed six-month term be replaced with language that states that a complaint may be brought no more than 18 months from the date of the execution of a pole attachment agreement.”)</w:t>
      </w:r>
      <w:r w:rsidR="0089406E">
        <w:t>; Reply Comments of Century Link (Oct. 8, 2014), p. 4 (“CenturyLink believes that a six-month “sign and sue” provision as a stated in this rules is sufficient, so long as that timeline does not preclude a later challenge to the unreasonable application of a provision once the affected party learns of 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BA784E">
    <w:pPr>
      <w:pStyle w:val="Header"/>
      <w:ind w:right="-554"/>
    </w:pPr>
    <w:r>
      <w:rPr>
        <w:noProof/>
        <w:sz w:val="20"/>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-3810</wp:posOffset>
              </wp:positionV>
              <wp:extent cx="1600200" cy="87884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614E41">
                          <w:pPr>
                            <w:spacing w:line="200" w:lineRule="exact"/>
                            <w:rPr>
                              <w:rFonts w:ascii="Arial" w:hAnsi="Arial" w:cs="Arial"/>
                              <w:sz w:val="16"/>
                              <w:szCs w:val="16"/>
                            </w:rPr>
                          </w:pPr>
                          <w:hyperlink r:id="rId1" w:history="1">
                            <w:r w:rsidR="003C1A28" w:rsidRPr="008716ED">
                              <w:rPr>
                                <w:rStyle w:val="Hyperlink"/>
                                <w:rFonts w:ascii="Arial" w:hAnsi="Arial" w:cs="Arial"/>
                                <w:sz w:val="16"/>
                                <w:szCs w:val="16"/>
                              </w:rPr>
                              <w:t>cindy.manheim@att.com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3pt;width:126pt;height:6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" filled="f" stroked="f">
              <v:textbox inset="0,0,0,0">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D67D6E">
                    <w:pPr>
                      <w:spacing w:line="200" w:lineRule="exact"/>
                      <w:rPr>
                        <w:rFonts w:ascii="Arial" w:hAnsi="Arial" w:cs="Arial"/>
                        <w:sz w:val="16"/>
                        <w:szCs w:val="16"/>
                      </w:rPr>
                    </w:pPr>
                    <w:hyperlink r:id="rId2" w:history="1">
                      <w:r w:rsidR="003C1A28" w:rsidRPr="008716ED">
                        <w:rPr>
                          <w:rStyle w:val="Hyperlink"/>
                          <w:rFonts w:ascii="Arial" w:hAnsi="Arial" w:cs="Arial"/>
                          <w:sz w:val="16"/>
                          <w:szCs w:val="16"/>
                        </w:rPr>
                        <w:t>cindy.manheim@att.com</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-3810</wp:posOffset>
              </wp:positionV>
              <wp:extent cx="1428750" cy="73342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34pt;margin-top:-.3pt;width:112.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3C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" filled="f" stroked="f">
              <v:textbox inset="0,0,0,0">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v:textbox>
            </v:shape>
          </w:pict>
        </mc:Fallback>
      </mc:AlternateContent>
    </w:r>
    <w:r w:rsidR="003625F0">
      <w:rPr>
        <w:noProof/>
        <w:sz w:val="20"/>
      </w:rPr>
      <w:drawing>
        <wp:anchor distT="0" distB="0" distL="114300" distR="114300" simplePos="0" relativeHeight="251656192" behindDoc="1" locked="0" layoutInCell="1" allowOverlap="1">
          <wp:simplePos x="0" y="0"/>
          <wp:positionH relativeFrom="page">
            <wp:posOffset>487045</wp:posOffset>
          </wp:positionH>
          <wp:positionV relativeFrom="page">
            <wp:posOffset>377825</wp:posOffset>
          </wp:positionV>
          <wp:extent cx="1028700" cy="476250"/>
          <wp:effectExtent l="19050" t="0" r="0" b="0"/>
          <wp:wrapNone/>
          <wp:docPr id="1" name="Picture 1"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_color_logo600"/>
                  <pic:cNvPicPr>
                    <a:picLocks noChangeAspect="1" noChangeArrowheads="1"/>
                  </pic:cNvPicPr>
                </pic:nvPicPr>
                <pic:blipFill>
                  <a:blip r:embed="rId3"/>
                  <a:srcRect/>
                  <a:stretch>
                    <a:fillRect/>
                  </a:stretch>
                </pic:blipFill>
                <pic:spPr bwMode="auto">
                  <a:xfrm>
                    <a:off x="0" y="0"/>
                    <a:ext cx="1028700" cy="476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362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3E2"/>
    <w:multiLevelType w:val="hybridMultilevel"/>
    <w:tmpl w:val="C25E2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A2EBD"/>
    <w:multiLevelType w:val="hybridMultilevel"/>
    <w:tmpl w:val="5A6AE9BE"/>
    <w:lvl w:ilvl="0" w:tplc="35CC2B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D55C7E"/>
    <w:multiLevelType w:val="hybridMultilevel"/>
    <w:tmpl w:val="64E6318A"/>
    <w:lvl w:ilvl="0" w:tplc="8D8A854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D0485F"/>
    <w:multiLevelType w:val="hybridMultilevel"/>
    <w:tmpl w:val="5FD63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B61A0"/>
    <w:multiLevelType w:val="hybridMultilevel"/>
    <w:tmpl w:val="82E4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609C6"/>
    <w:multiLevelType w:val="hybridMultilevel"/>
    <w:tmpl w:val="158CFD0C"/>
    <w:lvl w:ilvl="0" w:tplc="74649CE0">
      <w:start w:val="1"/>
      <w:numFmt w:val="decimal"/>
      <w:pStyle w:val="ParaNum"/>
      <w:lvlText w:val="%1."/>
      <w:lvlJc w:val="left"/>
      <w:pPr>
        <w:tabs>
          <w:tab w:val="num" w:pos="1482"/>
        </w:tabs>
        <w:ind w:left="0" w:firstLine="720"/>
      </w:pPr>
      <w:rPr>
        <w:rFonts w:ascii="Times New Roman" w:hAnsi="Times New Roman" w:cs="Times New Roman" w:hint="default"/>
        <w:b w:val="0"/>
        <w:i w:val="0"/>
        <w:strike w:val="0"/>
        <w:dstrike w:val="0"/>
        <w:color w:val="000000"/>
        <w:u w:val="none"/>
        <w:effect w:val="none"/>
      </w:rPr>
    </w:lvl>
    <w:lvl w:ilvl="1" w:tplc="35904AA4">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1260242F"/>
    <w:multiLevelType w:val="hybridMultilevel"/>
    <w:tmpl w:val="56CE9DB8"/>
    <w:lvl w:ilvl="0" w:tplc="87B0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E9642A"/>
    <w:multiLevelType w:val="hybridMultilevel"/>
    <w:tmpl w:val="61009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D3080"/>
    <w:multiLevelType w:val="hybridMultilevel"/>
    <w:tmpl w:val="61F69C72"/>
    <w:lvl w:ilvl="0" w:tplc="50C05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40385F"/>
    <w:multiLevelType w:val="hybridMultilevel"/>
    <w:tmpl w:val="5D9A78E6"/>
    <w:lvl w:ilvl="0" w:tplc="C246B37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59451DF"/>
    <w:multiLevelType w:val="hybridMultilevel"/>
    <w:tmpl w:val="508ECBFC"/>
    <w:lvl w:ilvl="0" w:tplc="72A6D7B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3D768E"/>
    <w:multiLevelType w:val="hybridMultilevel"/>
    <w:tmpl w:val="1EB2DD98"/>
    <w:lvl w:ilvl="0" w:tplc="82E4C23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CD0630A"/>
    <w:multiLevelType w:val="hybridMultilevel"/>
    <w:tmpl w:val="C9904D0C"/>
    <w:lvl w:ilvl="0" w:tplc="FAECD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5D0E6D"/>
    <w:multiLevelType w:val="hybridMultilevel"/>
    <w:tmpl w:val="61429F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0317FBF"/>
    <w:multiLevelType w:val="hybridMultilevel"/>
    <w:tmpl w:val="436AB5E4"/>
    <w:lvl w:ilvl="0" w:tplc="B3BA5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76E3F"/>
    <w:multiLevelType w:val="hybridMultilevel"/>
    <w:tmpl w:val="7366AC24"/>
    <w:lvl w:ilvl="0" w:tplc="217034B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09647F"/>
    <w:multiLevelType w:val="hybridMultilevel"/>
    <w:tmpl w:val="2D3CB930"/>
    <w:lvl w:ilvl="0" w:tplc="E8A0C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14172D"/>
    <w:multiLevelType w:val="hybridMultilevel"/>
    <w:tmpl w:val="A84E2CB4"/>
    <w:lvl w:ilvl="0" w:tplc="54406E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31F2D9F"/>
    <w:multiLevelType w:val="hybridMultilevel"/>
    <w:tmpl w:val="195EA1F2"/>
    <w:lvl w:ilvl="0" w:tplc="0F8CD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400C03"/>
    <w:multiLevelType w:val="hybridMultilevel"/>
    <w:tmpl w:val="A7701240"/>
    <w:lvl w:ilvl="0" w:tplc="18A4C5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AC2BF9"/>
    <w:multiLevelType w:val="hybridMultilevel"/>
    <w:tmpl w:val="55D2C2F8"/>
    <w:lvl w:ilvl="0" w:tplc="80325D7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1A6CA6"/>
    <w:multiLevelType w:val="hybridMultilevel"/>
    <w:tmpl w:val="D3806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8C578D"/>
    <w:multiLevelType w:val="hybridMultilevel"/>
    <w:tmpl w:val="85D817C4"/>
    <w:lvl w:ilvl="0" w:tplc="BEB23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DF56DD"/>
    <w:multiLevelType w:val="hybridMultilevel"/>
    <w:tmpl w:val="80304D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C21B0D"/>
    <w:multiLevelType w:val="hybridMultilevel"/>
    <w:tmpl w:val="FFDE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C0746F"/>
    <w:multiLevelType w:val="hybridMultilevel"/>
    <w:tmpl w:val="B8701648"/>
    <w:lvl w:ilvl="0" w:tplc="C35C55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DCD5D69"/>
    <w:multiLevelType w:val="hybridMultilevel"/>
    <w:tmpl w:val="625868D2"/>
    <w:lvl w:ilvl="0" w:tplc="C53632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70E40EB"/>
    <w:multiLevelType w:val="hybridMultilevel"/>
    <w:tmpl w:val="968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4264F1"/>
    <w:multiLevelType w:val="hybridMultilevel"/>
    <w:tmpl w:val="BA3AF6D2"/>
    <w:lvl w:ilvl="0" w:tplc="1C788508">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A5067"/>
    <w:multiLevelType w:val="hybridMultilevel"/>
    <w:tmpl w:val="CB146BDE"/>
    <w:lvl w:ilvl="0" w:tplc="2AA0B9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733946"/>
    <w:multiLevelType w:val="hybridMultilevel"/>
    <w:tmpl w:val="9DB4685E"/>
    <w:lvl w:ilvl="0" w:tplc="718EE4F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1826A3"/>
    <w:multiLevelType w:val="hybridMultilevel"/>
    <w:tmpl w:val="D94615A2"/>
    <w:lvl w:ilvl="0" w:tplc="D988C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1"/>
  </w:num>
  <w:num w:numId="3">
    <w:abstractNumId w:val="19"/>
  </w:num>
  <w:num w:numId="4">
    <w:abstractNumId w:val="3"/>
  </w:num>
  <w:num w:numId="5">
    <w:abstractNumId w:val="15"/>
  </w:num>
  <w:num w:numId="6">
    <w:abstractNumId w:val="11"/>
  </w:num>
  <w:num w:numId="7">
    <w:abstractNumId w:val="30"/>
  </w:num>
  <w:num w:numId="8">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8"/>
  </w:num>
  <w:num w:numId="11">
    <w:abstractNumId w:val="7"/>
  </w:num>
  <w:num w:numId="12">
    <w:abstractNumId w:val="14"/>
  </w:num>
  <w:num w:numId="13">
    <w:abstractNumId w:val="2"/>
  </w:num>
  <w:num w:numId="14">
    <w:abstractNumId w:val="17"/>
  </w:num>
  <w:num w:numId="15">
    <w:abstractNumId w:val="8"/>
  </w:num>
  <w:num w:numId="16">
    <w:abstractNumId w:val="10"/>
  </w:num>
  <w:num w:numId="17">
    <w:abstractNumId w:val="4"/>
  </w:num>
  <w:num w:numId="18">
    <w:abstractNumId w:val="26"/>
  </w:num>
  <w:num w:numId="19">
    <w:abstractNumId w:val="24"/>
  </w:num>
  <w:num w:numId="20">
    <w:abstractNumId w:val="29"/>
  </w:num>
  <w:num w:numId="21">
    <w:abstractNumId w:val="1"/>
  </w:num>
  <w:num w:numId="22">
    <w:abstractNumId w:val="21"/>
  </w:num>
  <w:num w:numId="23">
    <w:abstractNumId w:val="16"/>
  </w:num>
  <w:num w:numId="24">
    <w:abstractNumId w:val="23"/>
  </w:num>
  <w:num w:numId="25">
    <w:abstractNumId w:val="6"/>
  </w:num>
  <w:num w:numId="26">
    <w:abstractNumId w:val="25"/>
  </w:num>
  <w:num w:numId="27">
    <w:abstractNumId w:val="12"/>
  </w:num>
  <w:num w:numId="28">
    <w:abstractNumId w:val="22"/>
  </w:num>
  <w:num w:numId="29">
    <w:abstractNumId w:val="28"/>
  </w:num>
  <w:num w:numId="30">
    <w:abstractNumId w:val="5"/>
  </w:num>
  <w:num w:numId="31">
    <w:abstractNumId w:val="13"/>
  </w:num>
  <w:num w:numId="32">
    <w:abstractNumId w:val="2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2F"/>
    <w:rsid w:val="00027624"/>
    <w:rsid w:val="00032EDE"/>
    <w:rsid w:val="00037644"/>
    <w:rsid w:val="0004034A"/>
    <w:rsid w:val="0004686D"/>
    <w:rsid w:val="000541AB"/>
    <w:rsid w:val="00077706"/>
    <w:rsid w:val="000863BF"/>
    <w:rsid w:val="00094285"/>
    <w:rsid w:val="000B0AF2"/>
    <w:rsid w:val="000B75B1"/>
    <w:rsid w:val="000B79FF"/>
    <w:rsid w:val="001001F8"/>
    <w:rsid w:val="0010246D"/>
    <w:rsid w:val="0017162C"/>
    <w:rsid w:val="00176321"/>
    <w:rsid w:val="00183B50"/>
    <w:rsid w:val="001853F4"/>
    <w:rsid w:val="001A4B7B"/>
    <w:rsid w:val="001C2C6C"/>
    <w:rsid w:val="001C7B8E"/>
    <w:rsid w:val="001D7658"/>
    <w:rsid w:val="001E722B"/>
    <w:rsid w:val="002120CC"/>
    <w:rsid w:val="00221918"/>
    <w:rsid w:val="00233021"/>
    <w:rsid w:val="0024015C"/>
    <w:rsid w:val="00242D60"/>
    <w:rsid w:val="0024610E"/>
    <w:rsid w:val="0025468F"/>
    <w:rsid w:val="00262049"/>
    <w:rsid w:val="002904E7"/>
    <w:rsid w:val="00295712"/>
    <w:rsid w:val="002B539B"/>
    <w:rsid w:val="002B62CF"/>
    <w:rsid w:val="002C1638"/>
    <w:rsid w:val="002C77F1"/>
    <w:rsid w:val="002F1380"/>
    <w:rsid w:val="002F1AB1"/>
    <w:rsid w:val="002F327F"/>
    <w:rsid w:val="00310132"/>
    <w:rsid w:val="0031492E"/>
    <w:rsid w:val="003436F4"/>
    <w:rsid w:val="00344D80"/>
    <w:rsid w:val="0034595F"/>
    <w:rsid w:val="003625F0"/>
    <w:rsid w:val="003826E6"/>
    <w:rsid w:val="00387EAB"/>
    <w:rsid w:val="003B257E"/>
    <w:rsid w:val="003C1A28"/>
    <w:rsid w:val="003D2746"/>
    <w:rsid w:val="00401464"/>
    <w:rsid w:val="00417BD5"/>
    <w:rsid w:val="00423BCA"/>
    <w:rsid w:val="00433EA8"/>
    <w:rsid w:val="00450EA2"/>
    <w:rsid w:val="00464D6E"/>
    <w:rsid w:val="00464D84"/>
    <w:rsid w:val="004736F0"/>
    <w:rsid w:val="00473BE4"/>
    <w:rsid w:val="00497F06"/>
    <w:rsid w:val="004B1B5E"/>
    <w:rsid w:val="004B2425"/>
    <w:rsid w:val="004B2FCC"/>
    <w:rsid w:val="004E7C29"/>
    <w:rsid w:val="004F2D30"/>
    <w:rsid w:val="004F7400"/>
    <w:rsid w:val="00500E22"/>
    <w:rsid w:val="00525A85"/>
    <w:rsid w:val="0053255F"/>
    <w:rsid w:val="005415F7"/>
    <w:rsid w:val="00543486"/>
    <w:rsid w:val="00575EAB"/>
    <w:rsid w:val="00582572"/>
    <w:rsid w:val="00591312"/>
    <w:rsid w:val="005914B0"/>
    <w:rsid w:val="00596E04"/>
    <w:rsid w:val="005B10F4"/>
    <w:rsid w:val="005B1D7A"/>
    <w:rsid w:val="005B2825"/>
    <w:rsid w:val="005B34E9"/>
    <w:rsid w:val="005D0799"/>
    <w:rsid w:val="005E5D9B"/>
    <w:rsid w:val="006047F4"/>
    <w:rsid w:val="00614E41"/>
    <w:rsid w:val="00623CD9"/>
    <w:rsid w:val="00632C60"/>
    <w:rsid w:val="006365B6"/>
    <w:rsid w:val="00640241"/>
    <w:rsid w:val="00676ED6"/>
    <w:rsid w:val="00684C5C"/>
    <w:rsid w:val="006B7E48"/>
    <w:rsid w:val="006C49F8"/>
    <w:rsid w:val="006D5A78"/>
    <w:rsid w:val="006E774D"/>
    <w:rsid w:val="006F02E2"/>
    <w:rsid w:val="00723B37"/>
    <w:rsid w:val="00740C3B"/>
    <w:rsid w:val="00747EBE"/>
    <w:rsid w:val="0076365B"/>
    <w:rsid w:val="007925EC"/>
    <w:rsid w:val="007975B0"/>
    <w:rsid w:val="007D453D"/>
    <w:rsid w:val="007E180B"/>
    <w:rsid w:val="007F4A0D"/>
    <w:rsid w:val="007F6DAE"/>
    <w:rsid w:val="0083386C"/>
    <w:rsid w:val="0083570D"/>
    <w:rsid w:val="0084229B"/>
    <w:rsid w:val="00852185"/>
    <w:rsid w:val="008541F9"/>
    <w:rsid w:val="00862AFB"/>
    <w:rsid w:val="00870B53"/>
    <w:rsid w:val="00881628"/>
    <w:rsid w:val="0089406E"/>
    <w:rsid w:val="00895031"/>
    <w:rsid w:val="00896501"/>
    <w:rsid w:val="008A5DA8"/>
    <w:rsid w:val="008B4B0B"/>
    <w:rsid w:val="008B5C39"/>
    <w:rsid w:val="008B6A08"/>
    <w:rsid w:val="008D41F5"/>
    <w:rsid w:val="008F7DF9"/>
    <w:rsid w:val="00900996"/>
    <w:rsid w:val="00924A87"/>
    <w:rsid w:val="00930A08"/>
    <w:rsid w:val="00932242"/>
    <w:rsid w:val="009421AF"/>
    <w:rsid w:val="00976449"/>
    <w:rsid w:val="009A5230"/>
    <w:rsid w:val="009D0C66"/>
    <w:rsid w:val="009D3707"/>
    <w:rsid w:val="00A053A7"/>
    <w:rsid w:val="00A13980"/>
    <w:rsid w:val="00A30666"/>
    <w:rsid w:val="00A31302"/>
    <w:rsid w:val="00A33D64"/>
    <w:rsid w:val="00A71E48"/>
    <w:rsid w:val="00A82757"/>
    <w:rsid w:val="00A8343B"/>
    <w:rsid w:val="00A97347"/>
    <w:rsid w:val="00A97D4A"/>
    <w:rsid w:val="00AB58B8"/>
    <w:rsid w:val="00AE3358"/>
    <w:rsid w:val="00B13D84"/>
    <w:rsid w:val="00B21456"/>
    <w:rsid w:val="00B54367"/>
    <w:rsid w:val="00B62119"/>
    <w:rsid w:val="00B6338E"/>
    <w:rsid w:val="00B8760E"/>
    <w:rsid w:val="00BA63E1"/>
    <w:rsid w:val="00BA784E"/>
    <w:rsid w:val="00BD4E2D"/>
    <w:rsid w:val="00BE2E2D"/>
    <w:rsid w:val="00BF21DB"/>
    <w:rsid w:val="00BF7E7D"/>
    <w:rsid w:val="00C30771"/>
    <w:rsid w:val="00C83F3C"/>
    <w:rsid w:val="00C85E3C"/>
    <w:rsid w:val="00C9354B"/>
    <w:rsid w:val="00CA571F"/>
    <w:rsid w:val="00CC55CD"/>
    <w:rsid w:val="00CE092F"/>
    <w:rsid w:val="00CF43E9"/>
    <w:rsid w:val="00CF7F9F"/>
    <w:rsid w:val="00D022EF"/>
    <w:rsid w:val="00D063CD"/>
    <w:rsid w:val="00D1255F"/>
    <w:rsid w:val="00D13269"/>
    <w:rsid w:val="00D142D5"/>
    <w:rsid w:val="00D226BC"/>
    <w:rsid w:val="00D3338E"/>
    <w:rsid w:val="00D346CA"/>
    <w:rsid w:val="00D36A3A"/>
    <w:rsid w:val="00D40462"/>
    <w:rsid w:val="00D4658F"/>
    <w:rsid w:val="00D67D6E"/>
    <w:rsid w:val="00D73972"/>
    <w:rsid w:val="00D74CA1"/>
    <w:rsid w:val="00D77B5F"/>
    <w:rsid w:val="00D9173C"/>
    <w:rsid w:val="00DA0120"/>
    <w:rsid w:val="00DA0FFE"/>
    <w:rsid w:val="00DA7536"/>
    <w:rsid w:val="00DB1492"/>
    <w:rsid w:val="00DB5F6E"/>
    <w:rsid w:val="00DD630D"/>
    <w:rsid w:val="00E262D6"/>
    <w:rsid w:val="00E32921"/>
    <w:rsid w:val="00E342C3"/>
    <w:rsid w:val="00E35C5A"/>
    <w:rsid w:val="00E40087"/>
    <w:rsid w:val="00E6077D"/>
    <w:rsid w:val="00ED0511"/>
    <w:rsid w:val="00EE0888"/>
    <w:rsid w:val="00F15777"/>
    <w:rsid w:val="00F30DE1"/>
    <w:rsid w:val="00F50D63"/>
    <w:rsid w:val="00F6397B"/>
    <w:rsid w:val="00F66D8E"/>
    <w:rsid w:val="00F70151"/>
    <w:rsid w:val="00F803EB"/>
    <w:rsid w:val="00F84EF1"/>
    <w:rsid w:val="00FA34EF"/>
    <w:rsid w:val="00FA703F"/>
    <w:rsid w:val="00FD5F2B"/>
    <w:rsid w:val="00FE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7144">
      <w:bodyDiv w:val="1"/>
      <w:marLeft w:val="0"/>
      <w:marRight w:val="0"/>
      <w:marTop w:val="0"/>
      <w:marBottom w:val="0"/>
      <w:divBdr>
        <w:top w:val="none" w:sz="0" w:space="0" w:color="auto"/>
        <w:left w:val="none" w:sz="0" w:space="0" w:color="auto"/>
        <w:bottom w:val="none" w:sz="0" w:space="0" w:color="auto"/>
        <w:right w:val="none" w:sz="0" w:space="0" w:color="auto"/>
      </w:divBdr>
    </w:div>
    <w:div w:id="1233857176">
      <w:bodyDiv w:val="1"/>
      <w:marLeft w:val="0"/>
      <w:marRight w:val="0"/>
      <w:marTop w:val="0"/>
      <w:marBottom w:val="0"/>
      <w:divBdr>
        <w:top w:val="none" w:sz="0" w:space="0" w:color="auto"/>
        <w:left w:val="none" w:sz="0" w:space="0" w:color="auto"/>
        <w:bottom w:val="none" w:sz="0" w:space="0" w:color="auto"/>
        <w:right w:val="none" w:sz="0" w:space="0" w:color="auto"/>
      </w:divBdr>
    </w:div>
    <w:div w:id="1794906152">
      <w:bodyDiv w:val="1"/>
      <w:marLeft w:val="0"/>
      <w:marRight w:val="0"/>
      <w:marTop w:val="0"/>
      <w:marBottom w:val="0"/>
      <w:divBdr>
        <w:top w:val="none" w:sz="0" w:space="0" w:color="auto"/>
        <w:left w:val="none" w:sz="0" w:space="0" w:color="auto"/>
        <w:bottom w:val="none" w:sz="0" w:space="0" w:color="auto"/>
        <w:right w:val="none" w:sz="0" w:space="0" w:color="auto"/>
      </w:divBdr>
    </w:div>
    <w:div w:id="21042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ndy.manheim@att.com"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indy.manheim@att.com" TargetMode="External"/><Relationship Id="rId1" Type="http://schemas.openxmlformats.org/officeDocument/2006/relationships/hyperlink" Target="mailto:cindy.manheim@at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len\Application%20Data\Microsoft\Templates\M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2015-02-06T08:00:00+00:00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54182EF-2733-421B-93DF-9902C6BAA3CD}"/>
</file>

<file path=customXml/itemProps2.xml><?xml version="1.0" encoding="utf-8"?>
<ds:datastoreItem xmlns:ds="http://schemas.openxmlformats.org/officeDocument/2006/customXml" ds:itemID="{62FB0A0E-D19A-4D69-98BB-04901D7ED304}"/>
</file>

<file path=customXml/itemProps3.xml><?xml version="1.0" encoding="utf-8"?>
<ds:datastoreItem xmlns:ds="http://schemas.openxmlformats.org/officeDocument/2006/customXml" ds:itemID="{8477A0A5-940F-49CC-BA64-E412068EB7DA}"/>
</file>

<file path=customXml/itemProps4.xml><?xml version="1.0" encoding="utf-8"?>
<ds:datastoreItem xmlns:ds="http://schemas.openxmlformats.org/officeDocument/2006/customXml" ds:itemID="{32351D39-480F-4F0A-A308-3CBC6CBA57DD}"/>
</file>

<file path=customXml/itemProps5.xml><?xml version="1.0" encoding="utf-8"?>
<ds:datastoreItem xmlns:ds="http://schemas.openxmlformats.org/officeDocument/2006/customXml" ds:itemID="{9708D08C-3B19-46D1-B073-CFD91FCA7987}"/>
</file>

<file path=docProps/app.xml><?xml version="1.0" encoding="utf-8"?>
<Properties xmlns="http://schemas.openxmlformats.org/officeDocument/2006/extended-properties" xmlns:vt="http://schemas.openxmlformats.org/officeDocument/2006/docPropsVTypes">
  <Template>MA Letterhead.dot</Template>
  <TotalTime>3</TotalTime>
  <Pages>7</Pages>
  <Words>1571</Words>
  <Characters>8628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October 16, 2005</vt:lpstr>
    </vt:vector>
  </TitlesOfParts>
  <Company>Andy Johnson</Company>
  <LinksUpToDate>false</LinksUpToDate>
  <CharactersWithSpaces>10179</CharactersWithSpaces>
  <SharedDoc>false</SharedDoc>
  <HLinks>
    <vt:vector size="6" baseType="variant">
      <vt:variant>
        <vt:i4>458814</vt:i4>
      </vt:variant>
      <vt:variant>
        <vt:i4>0</vt:i4>
      </vt:variant>
      <vt:variant>
        <vt:i4>0</vt:i4>
      </vt:variant>
      <vt:variant>
        <vt:i4>5</vt:i4>
      </vt:variant>
      <vt:variant>
        <vt:lpwstr>mailto:lsfriesen@att.com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2005</dc:title>
  <dc:creator>Mary Anne Allen</dc:creator>
  <cp:lastModifiedBy>David Collier</cp:lastModifiedBy>
  <cp:revision>2</cp:revision>
  <cp:lastPrinted>2015-02-07T00:22:00Z</cp:lastPrinted>
  <dcterms:created xsi:type="dcterms:W3CDTF">2015-02-07T00:25:00Z</dcterms:created>
  <dcterms:modified xsi:type="dcterms:W3CDTF">2015-02-07T00:25:00Z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0x0101006E56B4D1795A2E4DB2F0B01679ED314A0067CB95763FECBF4FA7AA57FB91BB1F81</vt:lpwstr>
  </property>
  <property fmtid="{D5CDD505-2E9C-101B-9397-08002B2CF9AE}" pid="4" name="_docset_NoMedatataSyncRequired">
    <vt:lpwstr>False</vt:lpwstr>
  </property>
</Properties>
</file>