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98600" w14:textId="77777777" w:rsidR="00BD6A2B" w:rsidRPr="001560C4" w:rsidRDefault="00BD6A2B" w:rsidP="00FF1E73">
      <w:pPr>
        <w:tabs>
          <w:tab w:val="left" w:pos="3330"/>
        </w:tabs>
        <w:spacing w:line="288" w:lineRule="auto"/>
        <w:jc w:val="center"/>
        <w:rPr>
          <w:b/>
          <w:bCs/>
          <w:sz w:val="24"/>
          <w:szCs w:val="24"/>
        </w:rPr>
      </w:pPr>
      <w:r w:rsidRPr="001560C4">
        <w:rPr>
          <w:b/>
          <w:bCs/>
          <w:sz w:val="24"/>
          <w:szCs w:val="24"/>
        </w:rPr>
        <w:t>BEFORE THE WASHINGTON</w:t>
      </w:r>
    </w:p>
    <w:p w14:paraId="05F699FA" w14:textId="77777777" w:rsidR="00BD6A2B" w:rsidRPr="001560C4" w:rsidRDefault="00BD6A2B" w:rsidP="00FF1E73">
      <w:pPr>
        <w:spacing w:line="288" w:lineRule="auto"/>
        <w:jc w:val="center"/>
        <w:rPr>
          <w:b/>
          <w:bCs/>
          <w:sz w:val="24"/>
          <w:szCs w:val="24"/>
        </w:rPr>
      </w:pPr>
      <w:r w:rsidRPr="001560C4">
        <w:rPr>
          <w:b/>
          <w:bCs/>
          <w:sz w:val="24"/>
          <w:szCs w:val="24"/>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1560C4" w14:paraId="26CD7FD3" w14:textId="77777777" w:rsidTr="00D87CD3">
        <w:tc>
          <w:tcPr>
            <w:tcW w:w="4230" w:type="dxa"/>
          </w:tcPr>
          <w:p w14:paraId="5B1222C2" w14:textId="4CC0F5EC" w:rsidR="00DA3F0D" w:rsidRPr="001560C4" w:rsidRDefault="00DA3F0D" w:rsidP="00FF1E73">
            <w:pPr>
              <w:spacing w:line="288" w:lineRule="auto"/>
              <w:rPr>
                <w:sz w:val="24"/>
                <w:szCs w:val="24"/>
              </w:rPr>
            </w:pPr>
          </w:p>
        </w:tc>
        <w:tc>
          <w:tcPr>
            <w:tcW w:w="360" w:type="dxa"/>
          </w:tcPr>
          <w:p w14:paraId="7F6E865D" w14:textId="5B119654" w:rsidR="00D67AFC" w:rsidRPr="001560C4" w:rsidRDefault="00D67AFC" w:rsidP="00FF1E73">
            <w:pPr>
              <w:spacing w:line="288" w:lineRule="auto"/>
              <w:jc w:val="center"/>
              <w:rPr>
                <w:sz w:val="24"/>
                <w:szCs w:val="24"/>
              </w:rPr>
            </w:pPr>
          </w:p>
        </w:tc>
        <w:tc>
          <w:tcPr>
            <w:tcW w:w="3420" w:type="dxa"/>
          </w:tcPr>
          <w:p w14:paraId="1F8AB1A3" w14:textId="77777777" w:rsidR="00DC6A00" w:rsidRPr="001560C4" w:rsidRDefault="00DC6A00" w:rsidP="00FF1E73">
            <w:pPr>
              <w:spacing w:line="288" w:lineRule="auto"/>
              <w:rPr>
                <w:sz w:val="24"/>
                <w:szCs w:val="24"/>
              </w:rPr>
            </w:pPr>
          </w:p>
        </w:tc>
      </w:tr>
      <w:tr w:rsidR="00487A64" w:rsidRPr="00EC212A" w14:paraId="138F0B52" w14:textId="77777777" w:rsidTr="00487A64">
        <w:tc>
          <w:tcPr>
            <w:tcW w:w="4230" w:type="dxa"/>
          </w:tcPr>
          <w:p w14:paraId="1587D865" w14:textId="77777777" w:rsidR="00487A64" w:rsidRPr="00487A64" w:rsidRDefault="00487A64" w:rsidP="00FF1E73">
            <w:pPr>
              <w:spacing w:line="288" w:lineRule="auto"/>
              <w:rPr>
                <w:sz w:val="24"/>
                <w:szCs w:val="24"/>
              </w:rPr>
            </w:pPr>
          </w:p>
          <w:p w14:paraId="17856480" w14:textId="77777777" w:rsidR="00487A64" w:rsidRPr="00487A64" w:rsidRDefault="00487A64" w:rsidP="00FF1E73">
            <w:pPr>
              <w:spacing w:line="288" w:lineRule="auto"/>
              <w:rPr>
                <w:sz w:val="24"/>
                <w:szCs w:val="24"/>
              </w:rPr>
            </w:pPr>
            <w:r w:rsidRPr="00487A64">
              <w:rPr>
                <w:sz w:val="24"/>
                <w:szCs w:val="24"/>
              </w:rPr>
              <w:t xml:space="preserve">WASHINGTON UTILITIES AND TRANSPORTATION COMMISSION, </w:t>
            </w:r>
          </w:p>
          <w:p w14:paraId="736D32C0" w14:textId="77777777" w:rsidR="00487A64" w:rsidRPr="00487A64" w:rsidRDefault="00487A64" w:rsidP="00FF1E73">
            <w:pPr>
              <w:spacing w:line="288" w:lineRule="auto"/>
              <w:rPr>
                <w:sz w:val="24"/>
                <w:szCs w:val="24"/>
              </w:rPr>
            </w:pPr>
          </w:p>
          <w:p w14:paraId="3F40EF0E" w14:textId="77777777" w:rsidR="00487A64" w:rsidRPr="00487A64" w:rsidRDefault="00487A64" w:rsidP="00FF1E73">
            <w:pPr>
              <w:spacing w:line="288" w:lineRule="auto"/>
              <w:rPr>
                <w:sz w:val="24"/>
                <w:szCs w:val="24"/>
              </w:rPr>
            </w:pPr>
            <w:r w:rsidRPr="00487A64">
              <w:rPr>
                <w:sz w:val="24"/>
                <w:szCs w:val="24"/>
              </w:rPr>
              <w:t xml:space="preserve">                                   Complainant,</w:t>
            </w:r>
          </w:p>
          <w:p w14:paraId="391FB6F1" w14:textId="77777777" w:rsidR="00487A64" w:rsidRPr="00487A64" w:rsidRDefault="00487A64" w:rsidP="00FF1E73">
            <w:pPr>
              <w:spacing w:line="288" w:lineRule="auto"/>
              <w:rPr>
                <w:sz w:val="24"/>
                <w:szCs w:val="24"/>
              </w:rPr>
            </w:pPr>
          </w:p>
          <w:p w14:paraId="10BA00A3" w14:textId="77777777" w:rsidR="00487A64" w:rsidRPr="00487A64" w:rsidRDefault="00487A64" w:rsidP="00FF1E73">
            <w:pPr>
              <w:spacing w:line="288" w:lineRule="auto"/>
              <w:rPr>
                <w:sz w:val="24"/>
                <w:szCs w:val="24"/>
              </w:rPr>
            </w:pPr>
          </w:p>
          <w:p w14:paraId="4AB732D3" w14:textId="77777777" w:rsidR="00487A64" w:rsidRPr="00487A64" w:rsidRDefault="00487A64" w:rsidP="00FF1E73">
            <w:pPr>
              <w:spacing w:line="288" w:lineRule="auto"/>
              <w:rPr>
                <w:sz w:val="24"/>
                <w:szCs w:val="24"/>
              </w:rPr>
            </w:pPr>
            <w:r w:rsidRPr="00487A64">
              <w:rPr>
                <w:sz w:val="24"/>
                <w:szCs w:val="24"/>
              </w:rPr>
              <w:t>v.</w:t>
            </w:r>
          </w:p>
          <w:p w14:paraId="712598AC" w14:textId="77777777" w:rsidR="00487A64" w:rsidRPr="00487A64" w:rsidRDefault="00487A64" w:rsidP="00FF1E73">
            <w:pPr>
              <w:spacing w:line="288" w:lineRule="auto"/>
              <w:rPr>
                <w:sz w:val="24"/>
                <w:szCs w:val="24"/>
              </w:rPr>
            </w:pPr>
          </w:p>
          <w:p w14:paraId="4A5EFE63" w14:textId="77777777" w:rsidR="00487A64" w:rsidRPr="00487A64" w:rsidRDefault="00487A64" w:rsidP="00FF1E73">
            <w:pPr>
              <w:spacing w:line="288" w:lineRule="auto"/>
              <w:rPr>
                <w:sz w:val="24"/>
                <w:szCs w:val="24"/>
              </w:rPr>
            </w:pPr>
          </w:p>
          <w:p w14:paraId="3951F834" w14:textId="77777777" w:rsidR="00487A64" w:rsidRPr="00487A64" w:rsidRDefault="00487A64" w:rsidP="00FF1E73">
            <w:pPr>
              <w:spacing w:line="288" w:lineRule="auto"/>
              <w:rPr>
                <w:sz w:val="24"/>
                <w:szCs w:val="24"/>
              </w:rPr>
            </w:pPr>
            <w:r w:rsidRPr="00487A64">
              <w:rPr>
                <w:sz w:val="24"/>
                <w:szCs w:val="24"/>
              </w:rPr>
              <w:t xml:space="preserve">CENTURYTEL OF INTER ISLAND, INC. D/B/A CENTURYLINK, </w:t>
            </w:r>
          </w:p>
          <w:p w14:paraId="18ABAD5F" w14:textId="77777777" w:rsidR="00487A64" w:rsidRPr="00487A64" w:rsidRDefault="00487A64" w:rsidP="00FF1E73">
            <w:pPr>
              <w:spacing w:line="288" w:lineRule="auto"/>
              <w:rPr>
                <w:sz w:val="24"/>
                <w:szCs w:val="24"/>
              </w:rPr>
            </w:pPr>
            <w:r w:rsidRPr="00487A64">
              <w:rPr>
                <w:sz w:val="24"/>
                <w:szCs w:val="24"/>
              </w:rPr>
              <w:t xml:space="preserve">                                  </w:t>
            </w:r>
          </w:p>
          <w:p w14:paraId="0D26DE1F" w14:textId="77777777" w:rsidR="00487A64" w:rsidRPr="00487A64" w:rsidRDefault="00487A64" w:rsidP="00FF1E73">
            <w:pPr>
              <w:spacing w:line="288" w:lineRule="auto"/>
              <w:rPr>
                <w:sz w:val="24"/>
                <w:szCs w:val="24"/>
              </w:rPr>
            </w:pPr>
            <w:r w:rsidRPr="00487A64">
              <w:rPr>
                <w:sz w:val="24"/>
                <w:szCs w:val="24"/>
              </w:rPr>
              <w:t xml:space="preserve">                                   Respondent.</w:t>
            </w:r>
          </w:p>
          <w:p w14:paraId="2723FF1D" w14:textId="2FFF8449" w:rsidR="00487A64" w:rsidRPr="00487A64" w:rsidRDefault="00487A64" w:rsidP="00FF1E73">
            <w:pPr>
              <w:spacing w:line="288" w:lineRule="auto"/>
              <w:rPr>
                <w:sz w:val="24"/>
                <w:szCs w:val="24"/>
              </w:rPr>
            </w:pPr>
            <w:r w:rsidRPr="00487A64">
              <w:rPr>
                <w:sz w:val="24"/>
                <w:szCs w:val="24"/>
              </w:rPr>
              <w:t xml:space="preserve">. . . . . . . . . . . . . . . . . . . . . . . . . . . . . . . . </w:t>
            </w:r>
            <w:r w:rsidR="00FF1E73">
              <w:rPr>
                <w:sz w:val="24"/>
                <w:szCs w:val="24"/>
              </w:rPr>
              <w:t xml:space="preserve">. </w:t>
            </w:r>
          </w:p>
        </w:tc>
        <w:tc>
          <w:tcPr>
            <w:tcW w:w="360" w:type="dxa"/>
          </w:tcPr>
          <w:p w14:paraId="2AFEC9B0" w14:textId="77777777" w:rsidR="00487A64" w:rsidRPr="00487A64" w:rsidRDefault="00487A64" w:rsidP="00FF1E73">
            <w:pPr>
              <w:spacing w:line="288" w:lineRule="auto"/>
              <w:jc w:val="center"/>
              <w:rPr>
                <w:sz w:val="24"/>
                <w:szCs w:val="24"/>
              </w:rPr>
            </w:pPr>
            <w:r w:rsidRPr="00487A64">
              <w:rPr>
                <w:sz w:val="24"/>
                <w:szCs w:val="24"/>
              </w:rPr>
              <w:t>)</w:t>
            </w:r>
          </w:p>
          <w:p w14:paraId="0B8C29BA" w14:textId="77777777" w:rsidR="00487A64" w:rsidRPr="00487A64" w:rsidRDefault="00487A64" w:rsidP="00FF1E73">
            <w:pPr>
              <w:spacing w:line="288" w:lineRule="auto"/>
              <w:jc w:val="center"/>
              <w:rPr>
                <w:sz w:val="24"/>
                <w:szCs w:val="24"/>
              </w:rPr>
            </w:pPr>
            <w:r w:rsidRPr="00487A64">
              <w:rPr>
                <w:sz w:val="24"/>
                <w:szCs w:val="24"/>
              </w:rPr>
              <w:t>)</w:t>
            </w:r>
          </w:p>
          <w:p w14:paraId="1B296E4F" w14:textId="77777777" w:rsidR="00487A64" w:rsidRPr="00487A64" w:rsidRDefault="00487A64" w:rsidP="00FF1E73">
            <w:pPr>
              <w:spacing w:line="288" w:lineRule="auto"/>
              <w:jc w:val="center"/>
              <w:rPr>
                <w:sz w:val="24"/>
                <w:szCs w:val="24"/>
              </w:rPr>
            </w:pPr>
            <w:r w:rsidRPr="00487A64">
              <w:rPr>
                <w:sz w:val="24"/>
                <w:szCs w:val="24"/>
              </w:rPr>
              <w:t>)</w:t>
            </w:r>
          </w:p>
          <w:p w14:paraId="1F7986D9" w14:textId="77777777" w:rsidR="00487A64" w:rsidRPr="00487A64" w:rsidRDefault="00487A64" w:rsidP="00FF1E73">
            <w:pPr>
              <w:spacing w:line="288" w:lineRule="auto"/>
              <w:jc w:val="center"/>
              <w:rPr>
                <w:sz w:val="24"/>
                <w:szCs w:val="24"/>
              </w:rPr>
            </w:pPr>
            <w:r w:rsidRPr="00487A64">
              <w:rPr>
                <w:sz w:val="24"/>
                <w:szCs w:val="24"/>
              </w:rPr>
              <w:t>)</w:t>
            </w:r>
          </w:p>
          <w:p w14:paraId="1436E483" w14:textId="77777777" w:rsidR="00487A64" w:rsidRPr="00487A64" w:rsidRDefault="00487A64" w:rsidP="00FF1E73">
            <w:pPr>
              <w:spacing w:line="288" w:lineRule="auto"/>
              <w:jc w:val="center"/>
              <w:rPr>
                <w:sz w:val="24"/>
                <w:szCs w:val="24"/>
              </w:rPr>
            </w:pPr>
            <w:r w:rsidRPr="00487A64">
              <w:rPr>
                <w:sz w:val="24"/>
                <w:szCs w:val="24"/>
              </w:rPr>
              <w:t>)</w:t>
            </w:r>
          </w:p>
          <w:p w14:paraId="18E9397A" w14:textId="77777777" w:rsidR="00487A64" w:rsidRPr="00487A64" w:rsidRDefault="00487A64" w:rsidP="00FF1E73">
            <w:pPr>
              <w:spacing w:line="288" w:lineRule="auto"/>
              <w:jc w:val="center"/>
              <w:rPr>
                <w:sz w:val="24"/>
                <w:szCs w:val="24"/>
              </w:rPr>
            </w:pPr>
            <w:r w:rsidRPr="00487A64">
              <w:rPr>
                <w:sz w:val="24"/>
                <w:szCs w:val="24"/>
              </w:rPr>
              <w:t>)</w:t>
            </w:r>
          </w:p>
          <w:p w14:paraId="464EC686" w14:textId="77777777" w:rsidR="00487A64" w:rsidRPr="00487A64" w:rsidRDefault="00487A64" w:rsidP="00FF1E73">
            <w:pPr>
              <w:spacing w:line="288" w:lineRule="auto"/>
              <w:jc w:val="center"/>
              <w:rPr>
                <w:sz w:val="24"/>
                <w:szCs w:val="24"/>
              </w:rPr>
            </w:pPr>
            <w:r w:rsidRPr="00487A64">
              <w:rPr>
                <w:sz w:val="24"/>
                <w:szCs w:val="24"/>
              </w:rPr>
              <w:t>)</w:t>
            </w:r>
          </w:p>
          <w:p w14:paraId="5722EE47" w14:textId="77777777" w:rsidR="00487A64" w:rsidRPr="00487A64" w:rsidRDefault="00487A64" w:rsidP="00FF1E73">
            <w:pPr>
              <w:spacing w:line="288" w:lineRule="auto"/>
              <w:jc w:val="center"/>
              <w:rPr>
                <w:sz w:val="24"/>
                <w:szCs w:val="24"/>
              </w:rPr>
            </w:pPr>
            <w:r w:rsidRPr="00487A64">
              <w:rPr>
                <w:sz w:val="24"/>
                <w:szCs w:val="24"/>
              </w:rPr>
              <w:t>)</w:t>
            </w:r>
          </w:p>
          <w:p w14:paraId="721BED56" w14:textId="77777777" w:rsidR="00487A64" w:rsidRPr="00487A64" w:rsidRDefault="00487A64" w:rsidP="00FF1E73">
            <w:pPr>
              <w:spacing w:line="288" w:lineRule="auto"/>
              <w:jc w:val="center"/>
              <w:rPr>
                <w:sz w:val="24"/>
                <w:szCs w:val="24"/>
              </w:rPr>
            </w:pPr>
            <w:r w:rsidRPr="00487A64">
              <w:rPr>
                <w:sz w:val="24"/>
                <w:szCs w:val="24"/>
              </w:rPr>
              <w:t>)</w:t>
            </w:r>
          </w:p>
          <w:p w14:paraId="346CEA63" w14:textId="77777777" w:rsidR="00487A64" w:rsidRPr="00487A64" w:rsidRDefault="00487A64" w:rsidP="00FF1E73">
            <w:pPr>
              <w:spacing w:line="288" w:lineRule="auto"/>
              <w:jc w:val="center"/>
              <w:rPr>
                <w:sz w:val="24"/>
                <w:szCs w:val="24"/>
              </w:rPr>
            </w:pPr>
            <w:r w:rsidRPr="00487A64">
              <w:rPr>
                <w:sz w:val="24"/>
                <w:szCs w:val="24"/>
              </w:rPr>
              <w:t>)</w:t>
            </w:r>
          </w:p>
          <w:p w14:paraId="5168B267" w14:textId="77777777" w:rsidR="00487A64" w:rsidRPr="00487A64" w:rsidRDefault="00487A64" w:rsidP="00FF1E73">
            <w:pPr>
              <w:spacing w:line="288" w:lineRule="auto"/>
              <w:jc w:val="center"/>
              <w:rPr>
                <w:sz w:val="24"/>
                <w:szCs w:val="24"/>
              </w:rPr>
            </w:pPr>
            <w:r w:rsidRPr="00487A64">
              <w:rPr>
                <w:sz w:val="24"/>
                <w:szCs w:val="24"/>
              </w:rPr>
              <w:t>)</w:t>
            </w:r>
          </w:p>
          <w:p w14:paraId="3890FC79" w14:textId="77777777" w:rsidR="00487A64" w:rsidRPr="00487A64" w:rsidRDefault="00487A64" w:rsidP="00FF1E73">
            <w:pPr>
              <w:spacing w:line="288" w:lineRule="auto"/>
              <w:jc w:val="center"/>
              <w:rPr>
                <w:sz w:val="24"/>
                <w:szCs w:val="24"/>
              </w:rPr>
            </w:pPr>
            <w:r w:rsidRPr="00487A64">
              <w:rPr>
                <w:sz w:val="24"/>
                <w:szCs w:val="24"/>
              </w:rPr>
              <w:t>)</w:t>
            </w:r>
          </w:p>
          <w:p w14:paraId="2D328CBE" w14:textId="77777777" w:rsidR="00487A64" w:rsidRPr="00487A64" w:rsidRDefault="00487A64" w:rsidP="00FF1E73">
            <w:pPr>
              <w:spacing w:line="288" w:lineRule="auto"/>
              <w:jc w:val="center"/>
              <w:rPr>
                <w:sz w:val="24"/>
                <w:szCs w:val="24"/>
              </w:rPr>
            </w:pPr>
            <w:r w:rsidRPr="00487A64">
              <w:rPr>
                <w:sz w:val="24"/>
                <w:szCs w:val="24"/>
              </w:rPr>
              <w:t>)</w:t>
            </w:r>
          </w:p>
          <w:p w14:paraId="074E2640" w14:textId="77777777" w:rsidR="00487A64" w:rsidRPr="00487A64" w:rsidRDefault="00487A64" w:rsidP="00FF1E73">
            <w:pPr>
              <w:spacing w:line="288" w:lineRule="auto"/>
              <w:jc w:val="center"/>
              <w:rPr>
                <w:sz w:val="24"/>
                <w:szCs w:val="24"/>
              </w:rPr>
            </w:pPr>
            <w:r w:rsidRPr="00487A64">
              <w:rPr>
                <w:sz w:val="24"/>
                <w:szCs w:val="24"/>
              </w:rPr>
              <w:t>)</w:t>
            </w:r>
          </w:p>
          <w:p w14:paraId="5C1E14D4" w14:textId="77777777" w:rsidR="00487A64" w:rsidRPr="00487A64" w:rsidRDefault="00487A64" w:rsidP="00FF1E73">
            <w:pPr>
              <w:spacing w:line="288" w:lineRule="auto"/>
              <w:jc w:val="center"/>
              <w:rPr>
                <w:sz w:val="24"/>
                <w:szCs w:val="24"/>
              </w:rPr>
            </w:pPr>
            <w:r w:rsidRPr="00487A64">
              <w:rPr>
                <w:sz w:val="24"/>
                <w:szCs w:val="24"/>
              </w:rPr>
              <w:t>)</w:t>
            </w:r>
          </w:p>
        </w:tc>
        <w:tc>
          <w:tcPr>
            <w:tcW w:w="3420" w:type="dxa"/>
          </w:tcPr>
          <w:p w14:paraId="0911EFF9" w14:textId="77777777" w:rsidR="00487A64" w:rsidRPr="00487A64" w:rsidRDefault="00487A64" w:rsidP="00FF1E73">
            <w:pPr>
              <w:spacing w:line="288" w:lineRule="auto"/>
              <w:rPr>
                <w:sz w:val="24"/>
                <w:szCs w:val="24"/>
              </w:rPr>
            </w:pPr>
          </w:p>
          <w:p w14:paraId="102FC69A" w14:textId="77777777" w:rsidR="00487A64" w:rsidRPr="00487A64" w:rsidRDefault="00487A64" w:rsidP="00FF1E73">
            <w:pPr>
              <w:spacing w:line="288" w:lineRule="auto"/>
              <w:rPr>
                <w:sz w:val="24"/>
                <w:szCs w:val="24"/>
              </w:rPr>
            </w:pPr>
            <w:r w:rsidRPr="00487A64">
              <w:rPr>
                <w:sz w:val="24"/>
                <w:szCs w:val="24"/>
              </w:rPr>
              <w:t>DOCKET UT-132234</w:t>
            </w:r>
          </w:p>
          <w:p w14:paraId="13E2BCB1" w14:textId="77777777" w:rsidR="00487A64" w:rsidRPr="00487A64" w:rsidRDefault="00487A64" w:rsidP="00FF1E73">
            <w:pPr>
              <w:spacing w:line="288" w:lineRule="auto"/>
              <w:rPr>
                <w:sz w:val="24"/>
                <w:szCs w:val="24"/>
              </w:rPr>
            </w:pPr>
          </w:p>
          <w:p w14:paraId="7C6D955C" w14:textId="77777777" w:rsidR="00487A64" w:rsidRPr="00487A64" w:rsidRDefault="00487A64" w:rsidP="00FF1E73">
            <w:pPr>
              <w:spacing w:line="288" w:lineRule="auto"/>
              <w:rPr>
                <w:sz w:val="24"/>
                <w:szCs w:val="24"/>
              </w:rPr>
            </w:pPr>
          </w:p>
          <w:p w14:paraId="1307DA11" w14:textId="77777777" w:rsidR="00487A64" w:rsidRPr="00487A64" w:rsidRDefault="00487A64" w:rsidP="00FF1E73">
            <w:pPr>
              <w:spacing w:line="288" w:lineRule="auto"/>
              <w:rPr>
                <w:sz w:val="24"/>
                <w:szCs w:val="24"/>
              </w:rPr>
            </w:pPr>
          </w:p>
          <w:p w14:paraId="2F458A87" w14:textId="549A8933" w:rsidR="00487A64" w:rsidRPr="00487A64" w:rsidRDefault="00487A64" w:rsidP="00FF1E73">
            <w:pPr>
              <w:spacing w:line="288" w:lineRule="auto"/>
              <w:rPr>
                <w:sz w:val="24"/>
                <w:szCs w:val="24"/>
              </w:rPr>
            </w:pPr>
            <w:r w:rsidRPr="00487A64">
              <w:rPr>
                <w:sz w:val="24"/>
                <w:szCs w:val="24"/>
              </w:rPr>
              <w:t>ORDER 0</w:t>
            </w:r>
            <w:r>
              <w:rPr>
                <w:sz w:val="24"/>
                <w:szCs w:val="24"/>
              </w:rPr>
              <w:t>4</w:t>
            </w:r>
          </w:p>
          <w:p w14:paraId="19E03A68" w14:textId="77777777" w:rsidR="00487A64" w:rsidRPr="00487A64" w:rsidRDefault="00487A64" w:rsidP="00FF1E73">
            <w:pPr>
              <w:spacing w:line="288" w:lineRule="auto"/>
              <w:rPr>
                <w:sz w:val="24"/>
                <w:szCs w:val="24"/>
              </w:rPr>
            </w:pPr>
          </w:p>
          <w:p w14:paraId="4A2D67B2" w14:textId="77777777" w:rsidR="00487A64" w:rsidRPr="00487A64" w:rsidRDefault="00487A64" w:rsidP="00FF1E73">
            <w:pPr>
              <w:spacing w:line="288" w:lineRule="auto"/>
              <w:rPr>
                <w:sz w:val="24"/>
                <w:szCs w:val="24"/>
              </w:rPr>
            </w:pPr>
          </w:p>
          <w:p w14:paraId="4AEFEF2E" w14:textId="77777777" w:rsidR="00487A64" w:rsidRPr="00487A64" w:rsidRDefault="00487A64" w:rsidP="00FF1E73">
            <w:pPr>
              <w:spacing w:line="288" w:lineRule="auto"/>
              <w:rPr>
                <w:sz w:val="24"/>
                <w:szCs w:val="24"/>
              </w:rPr>
            </w:pPr>
          </w:p>
          <w:p w14:paraId="71B7978B" w14:textId="5AC7BD7C" w:rsidR="00487A64" w:rsidRPr="00487A64" w:rsidRDefault="00487A64" w:rsidP="00FF1E73">
            <w:pPr>
              <w:spacing w:line="288" w:lineRule="auto"/>
              <w:rPr>
                <w:sz w:val="24"/>
                <w:szCs w:val="24"/>
              </w:rPr>
            </w:pPr>
            <w:r w:rsidRPr="00487A64">
              <w:rPr>
                <w:sz w:val="24"/>
                <w:szCs w:val="24"/>
              </w:rPr>
              <w:t xml:space="preserve">ORDER </w:t>
            </w:r>
            <w:r>
              <w:rPr>
                <w:sz w:val="24"/>
                <w:szCs w:val="24"/>
              </w:rPr>
              <w:t>GRANT</w:t>
            </w:r>
            <w:r w:rsidRPr="00487A64">
              <w:rPr>
                <w:sz w:val="24"/>
                <w:szCs w:val="24"/>
              </w:rPr>
              <w:t xml:space="preserve">ING </w:t>
            </w:r>
            <w:r w:rsidR="005A7874">
              <w:rPr>
                <w:sz w:val="24"/>
                <w:szCs w:val="24"/>
              </w:rPr>
              <w:t>PETITION</w:t>
            </w:r>
            <w:r>
              <w:rPr>
                <w:sz w:val="24"/>
                <w:szCs w:val="24"/>
              </w:rPr>
              <w:t xml:space="preserve"> TO CLARIFY FINAL ORDER</w:t>
            </w:r>
            <w:r w:rsidRPr="00487A64">
              <w:rPr>
                <w:sz w:val="24"/>
                <w:szCs w:val="24"/>
              </w:rPr>
              <w:t xml:space="preserve"> </w:t>
            </w:r>
          </w:p>
          <w:p w14:paraId="2B3D958D" w14:textId="77777777" w:rsidR="00487A64" w:rsidRPr="00487A64" w:rsidRDefault="00487A64" w:rsidP="00FF1E73">
            <w:pPr>
              <w:spacing w:line="288" w:lineRule="auto"/>
              <w:rPr>
                <w:sz w:val="24"/>
                <w:szCs w:val="24"/>
              </w:rPr>
            </w:pPr>
          </w:p>
          <w:p w14:paraId="749F04FB" w14:textId="77777777" w:rsidR="00487A64" w:rsidRPr="00487A64" w:rsidRDefault="00487A64" w:rsidP="00FF1E73">
            <w:pPr>
              <w:spacing w:line="288" w:lineRule="auto"/>
              <w:rPr>
                <w:sz w:val="24"/>
                <w:szCs w:val="24"/>
              </w:rPr>
            </w:pPr>
          </w:p>
        </w:tc>
      </w:tr>
    </w:tbl>
    <w:p w14:paraId="01BA7364" w14:textId="77777777" w:rsidR="004A4E0C" w:rsidRPr="001560C4" w:rsidRDefault="004A4E0C" w:rsidP="00FF1E73">
      <w:pPr>
        <w:pStyle w:val="Heading1"/>
        <w:spacing w:before="0" w:after="0" w:line="288" w:lineRule="auto"/>
        <w:jc w:val="center"/>
        <w:rPr>
          <w:rFonts w:cs="Times New Roman"/>
          <w:sz w:val="24"/>
          <w:szCs w:val="24"/>
          <w:u w:val="single"/>
        </w:rPr>
      </w:pPr>
      <w:bookmarkStart w:id="0" w:name="_Toc155670885"/>
      <w:bookmarkStart w:id="1" w:name="_Toc252797490"/>
    </w:p>
    <w:bookmarkEnd w:id="0"/>
    <w:bookmarkEnd w:id="1"/>
    <w:p w14:paraId="68E97920" w14:textId="77777777" w:rsidR="00925B60" w:rsidRPr="001560C4" w:rsidRDefault="00FB5FF1" w:rsidP="00FF1E73">
      <w:pPr>
        <w:pStyle w:val="Heading1"/>
        <w:spacing w:before="0" w:after="0" w:line="288" w:lineRule="auto"/>
        <w:jc w:val="center"/>
        <w:rPr>
          <w:rFonts w:cs="Times New Roman"/>
          <w:sz w:val="24"/>
          <w:szCs w:val="24"/>
          <w:u w:val="single"/>
        </w:rPr>
      </w:pPr>
      <w:r w:rsidRPr="001560C4">
        <w:rPr>
          <w:rFonts w:cs="Times New Roman"/>
          <w:sz w:val="24"/>
          <w:szCs w:val="24"/>
          <w:u w:val="single"/>
        </w:rPr>
        <w:t>MEMORANDUM</w:t>
      </w:r>
    </w:p>
    <w:p w14:paraId="5FD8AA80" w14:textId="77777777" w:rsidR="00BD6A2B" w:rsidRPr="001560C4" w:rsidRDefault="00BD6A2B" w:rsidP="00FF1E73">
      <w:pPr>
        <w:spacing w:line="288" w:lineRule="auto"/>
        <w:rPr>
          <w:sz w:val="24"/>
          <w:szCs w:val="24"/>
        </w:rPr>
      </w:pPr>
    </w:p>
    <w:p w14:paraId="1611D43C" w14:textId="74EC43F5" w:rsidR="009510E1" w:rsidRPr="001560C4" w:rsidRDefault="002170AE" w:rsidP="00FF1E73">
      <w:pPr>
        <w:numPr>
          <w:ilvl w:val="0"/>
          <w:numId w:val="1"/>
        </w:numPr>
        <w:tabs>
          <w:tab w:val="num" w:pos="0"/>
        </w:tabs>
        <w:spacing w:line="288" w:lineRule="auto"/>
        <w:ind w:left="0"/>
        <w:rPr>
          <w:sz w:val="24"/>
          <w:szCs w:val="24"/>
        </w:rPr>
      </w:pPr>
      <w:r w:rsidRPr="001560C4">
        <w:rPr>
          <w:b/>
          <w:sz w:val="24"/>
          <w:szCs w:val="24"/>
        </w:rPr>
        <w:t>PROCEEDING:</w:t>
      </w:r>
      <w:r w:rsidRPr="00640266">
        <w:rPr>
          <w:sz w:val="24"/>
          <w:szCs w:val="24"/>
        </w:rPr>
        <w:t xml:space="preserve"> </w:t>
      </w:r>
      <w:r w:rsidR="0020724C" w:rsidRPr="001560C4">
        <w:rPr>
          <w:sz w:val="24"/>
          <w:szCs w:val="24"/>
        </w:rPr>
        <w:t>The Commission entered Order 0</w:t>
      </w:r>
      <w:r w:rsidR="00487A64">
        <w:rPr>
          <w:sz w:val="24"/>
          <w:szCs w:val="24"/>
        </w:rPr>
        <w:t>3</w:t>
      </w:r>
      <w:r w:rsidR="0020724C" w:rsidRPr="001560C4">
        <w:rPr>
          <w:sz w:val="24"/>
          <w:szCs w:val="24"/>
        </w:rPr>
        <w:t xml:space="preserve"> in these </w:t>
      </w:r>
      <w:r w:rsidR="00E74CA6" w:rsidRPr="001560C4">
        <w:rPr>
          <w:sz w:val="24"/>
          <w:szCs w:val="24"/>
        </w:rPr>
        <w:t>proceeding</w:t>
      </w:r>
      <w:r w:rsidR="0020724C" w:rsidRPr="001560C4">
        <w:rPr>
          <w:sz w:val="24"/>
          <w:szCs w:val="24"/>
        </w:rPr>
        <w:t xml:space="preserve">s on </w:t>
      </w:r>
      <w:r w:rsidR="00487A64">
        <w:rPr>
          <w:sz w:val="24"/>
          <w:szCs w:val="24"/>
        </w:rPr>
        <w:t>October 20</w:t>
      </w:r>
      <w:r w:rsidR="0020724C" w:rsidRPr="001560C4">
        <w:rPr>
          <w:sz w:val="24"/>
          <w:szCs w:val="24"/>
        </w:rPr>
        <w:t xml:space="preserve">, 2015, fully resolving </w:t>
      </w:r>
      <w:r w:rsidR="00487A64">
        <w:rPr>
          <w:sz w:val="24"/>
          <w:szCs w:val="24"/>
        </w:rPr>
        <w:t>the issues in Docket UT-132234</w:t>
      </w:r>
      <w:r w:rsidR="001A60B3" w:rsidRPr="001560C4">
        <w:rPr>
          <w:sz w:val="24"/>
          <w:szCs w:val="24"/>
        </w:rPr>
        <w:t xml:space="preserve">. </w:t>
      </w:r>
      <w:r w:rsidR="00487A64">
        <w:rPr>
          <w:sz w:val="24"/>
          <w:szCs w:val="24"/>
        </w:rPr>
        <w:t>Order 03</w:t>
      </w:r>
      <w:r w:rsidR="001A60B3" w:rsidRPr="001560C4">
        <w:rPr>
          <w:sz w:val="24"/>
          <w:szCs w:val="24"/>
        </w:rPr>
        <w:t xml:space="preserve">, among other things, </w:t>
      </w:r>
      <w:r w:rsidR="00487A64">
        <w:rPr>
          <w:sz w:val="24"/>
          <w:szCs w:val="24"/>
        </w:rPr>
        <w:t>assessed the full original penalty of $173,210 against CenturyTel of Inter Island, Inc. d/b/a CenturyLink (CenturyLink</w:t>
      </w:r>
      <w:r w:rsidR="005A7874">
        <w:rPr>
          <w:sz w:val="24"/>
          <w:szCs w:val="24"/>
        </w:rPr>
        <w:t xml:space="preserve"> or the Company</w:t>
      </w:r>
      <w:r w:rsidR="00487A64">
        <w:rPr>
          <w:sz w:val="24"/>
          <w:szCs w:val="24"/>
        </w:rPr>
        <w:t>) and suspended all but $50,000 for one year following the Commission’s approval of the Emergency Communications Plans</w:t>
      </w:r>
      <w:r w:rsidR="001A60B3" w:rsidRPr="001560C4">
        <w:rPr>
          <w:sz w:val="24"/>
          <w:szCs w:val="24"/>
        </w:rPr>
        <w:t>.</w:t>
      </w:r>
      <w:r w:rsidR="00487A64">
        <w:rPr>
          <w:rStyle w:val="FootnoteReference"/>
          <w:sz w:val="24"/>
          <w:szCs w:val="24"/>
        </w:rPr>
        <w:footnoteReference w:id="2"/>
      </w:r>
      <w:r w:rsidR="001A60B3" w:rsidRPr="001560C4">
        <w:rPr>
          <w:sz w:val="24"/>
          <w:szCs w:val="24"/>
        </w:rPr>
        <w:t xml:space="preserve"> The </w:t>
      </w:r>
      <w:r w:rsidR="00EF7462">
        <w:rPr>
          <w:sz w:val="24"/>
          <w:szCs w:val="24"/>
        </w:rPr>
        <w:t>Commission would waive the suspended penalty, $123,210, after this one year period if CenturyLink was not found to have violated WAC 480-120-412 or the provisions of either Emergency Communications Plan during the time.</w:t>
      </w:r>
    </w:p>
    <w:p w14:paraId="4507AC35" w14:textId="77777777" w:rsidR="0020724C" w:rsidRPr="001560C4" w:rsidRDefault="0020724C" w:rsidP="00FF1E73">
      <w:pPr>
        <w:spacing w:line="288" w:lineRule="auto"/>
        <w:rPr>
          <w:sz w:val="24"/>
          <w:szCs w:val="24"/>
        </w:rPr>
      </w:pPr>
    </w:p>
    <w:p w14:paraId="31DC8F22" w14:textId="4A82E475" w:rsidR="001560C4" w:rsidRDefault="00FB5FF1" w:rsidP="00FF1E73">
      <w:pPr>
        <w:numPr>
          <w:ilvl w:val="0"/>
          <w:numId w:val="1"/>
        </w:numPr>
        <w:tabs>
          <w:tab w:val="num" w:pos="0"/>
        </w:tabs>
        <w:spacing w:line="288" w:lineRule="auto"/>
        <w:ind w:left="0"/>
        <w:rPr>
          <w:sz w:val="24"/>
          <w:szCs w:val="24"/>
        </w:rPr>
      </w:pPr>
      <w:r w:rsidRPr="001560C4">
        <w:rPr>
          <w:b/>
          <w:sz w:val="24"/>
          <w:szCs w:val="24"/>
        </w:rPr>
        <w:lastRenderedPageBreak/>
        <w:t>MOTION</w:t>
      </w:r>
      <w:r w:rsidR="00BD6A2B" w:rsidRPr="001560C4">
        <w:rPr>
          <w:b/>
          <w:sz w:val="24"/>
          <w:szCs w:val="24"/>
        </w:rPr>
        <w:t>:</w:t>
      </w:r>
      <w:r w:rsidR="00BD6A2B" w:rsidRPr="001560C4">
        <w:rPr>
          <w:sz w:val="24"/>
          <w:szCs w:val="24"/>
        </w:rPr>
        <w:t xml:space="preserve"> </w:t>
      </w:r>
      <w:r w:rsidR="005A7874">
        <w:rPr>
          <w:sz w:val="24"/>
          <w:szCs w:val="24"/>
        </w:rPr>
        <w:t>On October 30, 2015, CenturyLink filed a Petition for Clarification of Order 03</w:t>
      </w:r>
      <w:r w:rsidR="001560C4" w:rsidRPr="001560C4">
        <w:rPr>
          <w:sz w:val="24"/>
          <w:szCs w:val="24"/>
        </w:rPr>
        <w:t>.</w:t>
      </w:r>
      <w:r w:rsidR="00FF1E73">
        <w:rPr>
          <w:sz w:val="24"/>
          <w:szCs w:val="24"/>
        </w:rPr>
        <w:t xml:space="preserve"> </w:t>
      </w:r>
      <w:r w:rsidR="005A7874">
        <w:rPr>
          <w:sz w:val="24"/>
          <w:szCs w:val="24"/>
        </w:rPr>
        <w:t>Specifically, CenturyLink notes a potential ambiguity in paragraph</w:t>
      </w:r>
      <w:r w:rsidR="00FF6856">
        <w:rPr>
          <w:sz w:val="24"/>
          <w:szCs w:val="24"/>
        </w:rPr>
        <w:t>s 51 and</w:t>
      </w:r>
      <w:r w:rsidR="005A7874">
        <w:rPr>
          <w:sz w:val="24"/>
          <w:szCs w:val="24"/>
        </w:rPr>
        <w:t xml:space="preserve"> 55, </w:t>
      </w:r>
      <w:r w:rsidR="00FF6856">
        <w:rPr>
          <w:sz w:val="24"/>
          <w:szCs w:val="24"/>
        </w:rPr>
        <w:t xml:space="preserve">the latter of </w:t>
      </w:r>
      <w:r w:rsidR="005A7874">
        <w:rPr>
          <w:sz w:val="24"/>
          <w:szCs w:val="24"/>
        </w:rPr>
        <w:t>which reads:</w:t>
      </w:r>
    </w:p>
    <w:p w14:paraId="25C9917E" w14:textId="77777777" w:rsidR="005A7874" w:rsidRDefault="005A7874" w:rsidP="00FF1E73">
      <w:pPr>
        <w:pStyle w:val="ListParagraph"/>
        <w:spacing w:line="288" w:lineRule="auto"/>
      </w:pPr>
    </w:p>
    <w:p w14:paraId="079CC227" w14:textId="4F5979BF" w:rsidR="005A7874" w:rsidRDefault="005A7874" w:rsidP="00FF1E73">
      <w:pPr>
        <w:pStyle w:val="ListParagraph"/>
        <w:keepNext/>
        <w:keepLines/>
        <w:spacing w:line="288" w:lineRule="auto"/>
      </w:pPr>
      <w:r w:rsidRPr="008A38D2">
        <w:rPr>
          <w:bCs/>
        </w:rPr>
        <w:t>The remaining $123,210 penalty will be suspended for one year following the Commission’s approval of both Emergency Communications Plans.  If, during that annum, the Commission has not found CenturyLink to have violated either WAC 480-120-412 or the details of the emergency communications plan, the $123,210 will be waived.  Conversely, if the Commission finds the Company has violated WAC 480-120-412 or the details of the emergency communications plan during the year following Commission approval of the Emergency Communications Plans, the Commission will impose the remaining $123,210 penalty</w:t>
      </w:r>
      <w:r w:rsidRPr="008A38D2">
        <w:t>.</w:t>
      </w:r>
      <w:r w:rsidR="00FF6856">
        <w:rPr>
          <w:rStyle w:val="FootnoteReference"/>
        </w:rPr>
        <w:footnoteReference w:id="3"/>
      </w:r>
    </w:p>
    <w:p w14:paraId="756BC964" w14:textId="77777777" w:rsidR="00F445D1" w:rsidRDefault="00F445D1" w:rsidP="00FF1E73">
      <w:pPr>
        <w:pStyle w:val="ListParagraph"/>
        <w:spacing w:line="288" w:lineRule="auto"/>
      </w:pPr>
    </w:p>
    <w:p w14:paraId="544437FC" w14:textId="0812A87A" w:rsidR="00F445D1" w:rsidRPr="00FF6856" w:rsidRDefault="00FF6856" w:rsidP="00FF1E73">
      <w:pPr>
        <w:numPr>
          <w:ilvl w:val="0"/>
          <w:numId w:val="1"/>
        </w:numPr>
        <w:tabs>
          <w:tab w:val="num" w:pos="0"/>
        </w:tabs>
        <w:spacing w:line="288" w:lineRule="auto"/>
        <w:ind w:left="0"/>
      </w:pPr>
      <w:r w:rsidRPr="000E4E56">
        <w:rPr>
          <w:sz w:val="24"/>
        </w:rPr>
        <w:t xml:space="preserve">The Company seeks confirmation of its interpretation of Order 03 that the suspended penalty amount will be triggered </w:t>
      </w:r>
      <w:r w:rsidR="005A2702" w:rsidRPr="000E4E56">
        <w:rPr>
          <w:sz w:val="24"/>
        </w:rPr>
        <w:t xml:space="preserve">only </w:t>
      </w:r>
      <w:r w:rsidRPr="000E4E56">
        <w:rPr>
          <w:sz w:val="24"/>
        </w:rPr>
        <w:t>based on when that violation actually occurred, not on the timing of a Com</w:t>
      </w:r>
      <w:r w:rsidR="00FF1E73">
        <w:rPr>
          <w:sz w:val="24"/>
        </w:rPr>
        <w:t>mission finding of a violation.</w:t>
      </w:r>
      <w:r w:rsidRPr="000E4E56">
        <w:rPr>
          <w:sz w:val="24"/>
        </w:rPr>
        <w:t xml:space="preserve"> CenturyLink contends that the suspended penalty provision is meant to apply only to violations that might occur after the submission of the Emergency Communications Plans, and not to violations that may be found during the upcoming year based on prior conduct such as the recent </w:t>
      </w:r>
      <w:r>
        <w:rPr>
          <w:sz w:val="24"/>
        </w:rPr>
        <w:t>settlement a</w:t>
      </w:r>
      <w:r w:rsidRPr="000E4E56">
        <w:rPr>
          <w:sz w:val="24"/>
        </w:rPr>
        <w:t>greement filed in Docket UT-140597</w:t>
      </w:r>
      <w:r w:rsidR="005A2702">
        <w:rPr>
          <w:sz w:val="24"/>
        </w:rPr>
        <w:t>,</w:t>
      </w:r>
      <w:r w:rsidRPr="000E4E56">
        <w:rPr>
          <w:sz w:val="24"/>
        </w:rPr>
        <w:t xml:space="preserve"> which pertains to a separate matter.  </w:t>
      </w:r>
    </w:p>
    <w:p w14:paraId="7A8A7FEC" w14:textId="77777777" w:rsidR="00FF6856" w:rsidRDefault="00FF6856" w:rsidP="00FF1E73">
      <w:pPr>
        <w:spacing w:line="288" w:lineRule="auto"/>
        <w:rPr>
          <w:sz w:val="24"/>
        </w:rPr>
      </w:pPr>
    </w:p>
    <w:p w14:paraId="2E5A7673" w14:textId="328D7518" w:rsidR="00FF6856" w:rsidRPr="001560C4" w:rsidRDefault="00FF6856" w:rsidP="00FF1E73">
      <w:pPr>
        <w:numPr>
          <w:ilvl w:val="0"/>
          <w:numId w:val="1"/>
        </w:numPr>
        <w:tabs>
          <w:tab w:val="num" w:pos="0"/>
        </w:tabs>
        <w:spacing w:line="288" w:lineRule="auto"/>
        <w:ind w:left="0"/>
      </w:pPr>
      <w:r w:rsidRPr="000E4E56">
        <w:rPr>
          <w:sz w:val="24"/>
        </w:rPr>
        <w:t xml:space="preserve">CenturyLink suggests that it was not the Commission’s intent to automatically impose the suspended penalty in this proceeding based on pending matters in other proceedings at </w:t>
      </w:r>
      <w:r w:rsidR="00FF1E73">
        <w:rPr>
          <w:sz w:val="24"/>
        </w:rPr>
        <w:t xml:space="preserve">the time Order 03 was adopted. </w:t>
      </w:r>
      <w:r w:rsidRPr="000E4E56">
        <w:rPr>
          <w:sz w:val="24"/>
        </w:rPr>
        <w:t>Instead, CenturyLink contends that the Commission’s true intent in adopting the suspended penalty provision of Order 03 was to deter future violations and encou</w:t>
      </w:r>
      <w:r>
        <w:rPr>
          <w:sz w:val="24"/>
        </w:rPr>
        <w:t>rage compliance with WAC 480-12</w:t>
      </w:r>
      <w:r w:rsidRPr="000E4E56">
        <w:rPr>
          <w:sz w:val="24"/>
        </w:rPr>
        <w:t>0-412 and the Emergency Commun</w:t>
      </w:r>
      <w:r w:rsidR="00FF1E73">
        <w:rPr>
          <w:sz w:val="24"/>
        </w:rPr>
        <w:t>ications Plans.</w:t>
      </w:r>
      <w:r w:rsidRPr="000E4E56">
        <w:rPr>
          <w:sz w:val="24"/>
        </w:rPr>
        <w:t xml:space="preserve"> CenturyLink thus seeks clarification that paragraphs 51 and 55 of Order 03 will operate only prospectively.</w:t>
      </w:r>
    </w:p>
    <w:p w14:paraId="19C3F967" w14:textId="77777777" w:rsidR="00F445D1" w:rsidRDefault="00F445D1" w:rsidP="00FF1E73">
      <w:pPr>
        <w:pStyle w:val="ListParagraph"/>
        <w:spacing w:line="288" w:lineRule="auto"/>
      </w:pPr>
    </w:p>
    <w:p w14:paraId="7CB16DA0" w14:textId="1A51552C" w:rsidR="00FF6856" w:rsidRPr="000E4E56" w:rsidRDefault="00F445D1" w:rsidP="00FF1E73">
      <w:pPr>
        <w:numPr>
          <w:ilvl w:val="0"/>
          <w:numId w:val="1"/>
        </w:numPr>
        <w:tabs>
          <w:tab w:val="num" w:pos="0"/>
        </w:tabs>
        <w:spacing w:line="288" w:lineRule="auto"/>
        <w:ind w:left="0"/>
        <w:rPr>
          <w:sz w:val="24"/>
        </w:rPr>
      </w:pPr>
      <w:r w:rsidRPr="00F445D1">
        <w:rPr>
          <w:b/>
          <w:sz w:val="24"/>
          <w:szCs w:val="24"/>
        </w:rPr>
        <w:t>COMMISSION DETERMINATION:</w:t>
      </w:r>
      <w:r>
        <w:rPr>
          <w:sz w:val="24"/>
          <w:szCs w:val="24"/>
        </w:rPr>
        <w:t xml:space="preserve"> </w:t>
      </w:r>
      <w:r w:rsidR="00FF6856" w:rsidRPr="000E4E56">
        <w:rPr>
          <w:sz w:val="24"/>
        </w:rPr>
        <w:t>We agree with CenturyLink</w:t>
      </w:r>
      <w:r w:rsidR="00FF1E73">
        <w:rPr>
          <w:sz w:val="24"/>
        </w:rPr>
        <w:t xml:space="preserve">’s interpretation of Order 03. </w:t>
      </w:r>
      <w:r w:rsidR="00FF6856" w:rsidRPr="000E4E56">
        <w:rPr>
          <w:sz w:val="24"/>
        </w:rPr>
        <w:t xml:space="preserve">When the Commission imposed the </w:t>
      </w:r>
      <w:r w:rsidR="00FF6856">
        <w:rPr>
          <w:sz w:val="24"/>
        </w:rPr>
        <w:t>potential</w:t>
      </w:r>
      <w:r w:rsidR="00FF6856" w:rsidRPr="000E4E56">
        <w:rPr>
          <w:sz w:val="24"/>
        </w:rPr>
        <w:t xml:space="preserve"> application of </w:t>
      </w:r>
      <w:r w:rsidR="00FF6856">
        <w:rPr>
          <w:sz w:val="24"/>
        </w:rPr>
        <w:t>the</w:t>
      </w:r>
      <w:r w:rsidR="00FF6856" w:rsidRPr="000E4E56">
        <w:rPr>
          <w:sz w:val="24"/>
        </w:rPr>
        <w:t xml:space="preserve"> suspended penalty in this proceeding, it did so as a means to encourage compliance with our major outage rules prospectively and subsequent to adoption of the emergency communications </w:t>
      </w:r>
      <w:r w:rsidR="00FF6856" w:rsidRPr="000E4E56">
        <w:rPr>
          <w:sz w:val="24"/>
        </w:rPr>
        <w:lastRenderedPageBreak/>
        <w:t>plans to be developed and implemented in this proceeding. The Commission’s decision to impose the condition did not include or encompass other potential violations of rules that were pending, under consideration, or had already been agreed to by the Company in</w:t>
      </w:r>
      <w:r w:rsidR="00FF1E73">
        <w:rPr>
          <w:sz w:val="24"/>
        </w:rPr>
        <w:t xml:space="preserve"> other Commission proceedings. </w:t>
      </w:r>
      <w:r w:rsidR="00FF6856" w:rsidRPr="000E4E56">
        <w:rPr>
          <w:sz w:val="24"/>
        </w:rPr>
        <w:t xml:space="preserve">Accordingly, we approve CenturyLink’s Petition for Clarification.  </w:t>
      </w:r>
    </w:p>
    <w:p w14:paraId="7D4544E9" w14:textId="45A59CA4" w:rsidR="001560C4" w:rsidRPr="00FF6856" w:rsidRDefault="001560C4" w:rsidP="00FF1E73">
      <w:pPr>
        <w:tabs>
          <w:tab w:val="num" w:pos="1440"/>
        </w:tabs>
        <w:spacing w:line="288" w:lineRule="auto"/>
        <w:rPr>
          <w:sz w:val="24"/>
          <w:szCs w:val="24"/>
        </w:rPr>
      </w:pPr>
    </w:p>
    <w:p w14:paraId="6571ABCF" w14:textId="77777777" w:rsidR="00FA7775" w:rsidRPr="002F52F4" w:rsidRDefault="00FA7775" w:rsidP="00FF1E73">
      <w:pPr>
        <w:pStyle w:val="Heading1"/>
        <w:keepLines/>
        <w:spacing w:before="0" w:after="0" w:line="288" w:lineRule="auto"/>
        <w:jc w:val="center"/>
        <w:rPr>
          <w:rFonts w:cs="Times New Roman"/>
          <w:sz w:val="24"/>
          <w:szCs w:val="24"/>
          <w:u w:val="single"/>
        </w:rPr>
      </w:pPr>
      <w:bookmarkStart w:id="2" w:name="_Toc419884270"/>
      <w:bookmarkStart w:id="3" w:name="_Toc252797503"/>
      <w:r w:rsidRPr="002F52F4">
        <w:rPr>
          <w:rFonts w:cs="Times New Roman"/>
          <w:sz w:val="24"/>
          <w:szCs w:val="24"/>
          <w:u w:val="single"/>
        </w:rPr>
        <w:t>ORDER</w:t>
      </w:r>
      <w:bookmarkEnd w:id="2"/>
    </w:p>
    <w:p w14:paraId="54D90621" w14:textId="77777777" w:rsidR="00FA7775" w:rsidRPr="002F52F4" w:rsidRDefault="00FA7775" w:rsidP="00FF1E73">
      <w:pPr>
        <w:pStyle w:val="NoSpacing"/>
        <w:spacing w:line="288" w:lineRule="auto"/>
        <w:rPr>
          <w:szCs w:val="24"/>
        </w:rPr>
      </w:pPr>
    </w:p>
    <w:p w14:paraId="24CD0957" w14:textId="77777777" w:rsidR="00FA7775" w:rsidRPr="002F52F4" w:rsidRDefault="00FA7775" w:rsidP="00FF1E73">
      <w:pPr>
        <w:pStyle w:val="NoSpacing"/>
        <w:spacing w:line="288" w:lineRule="auto"/>
        <w:rPr>
          <w:color w:val="000000"/>
          <w:szCs w:val="24"/>
        </w:rPr>
      </w:pPr>
      <w:r w:rsidRPr="002F52F4">
        <w:rPr>
          <w:szCs w:val="24"/>
        </w:rPr>
        <w:t>THE COMMISSION ORDERS THAT:</w:t>
      </w:r>
    </w:p>
    <w:p w14:paraId="68EC10EA" w14:textId="77777777" w:rsidR="00FA7775" w:rsidRPr="001B4540" w:rsidRDefault="00FA7775" w:rsidP="00FF1E73">
      <w:pPr>
        <w:pStyle w:val="NoSpacing"/>
        <w:spacing w:line="288" w:lineRule="auto"/>
        <w:rPr>
          <w:szCs w:val="24"/>
        </w:rPr>
      </w:pPr>
    </w:p>
    <w:p w14:paraId="0FBF0DED" w14:textId="7792B797" w:rsidR="002F52F4" w:rsidRPr="002F52F4" w:rsidRDefault="001B4540" w:rsidP="00FF1E73">
      <w:pPr>
        <w:numPr>
          <w:ilvl w:val="0"/>
          <w:numId w:val="1"/>
        </w:numPr>
        <w:tabs>
          <w:tab w:val="num" w:pos="0"/>
          <w:tab w:val="num" w:pos="1440"/>
        </w:tabs>
        <w:spacing w:line="288" w:lineRule="auto"/>
        <w:ind w:hanging="1440"/>
        <w:rPr>
          <w:bCs/>
          <w:color w:val="000000"/>
          <w:sz w:val="24"/>
          <w:szCs w:val="24"/>
        </w:rPr>
      </w:pPr>
      <w:r w:rsidRPr="001B4540">
        <w:rPr>
          <w:bCs/>
          <w:sz w:val="24"/>
          <w:szCs w:val="24"/>
        </w:rPr>
        <w:t>(1)</w:t>
      </w:r>
      <w:r w:rsidRPr="001B4540">
        <w:rPr>
          <w:bCs/>
          <w:sz w:val="24"/>
          <w:szCs w:val="24"/>
        </w:rPr>
        <w:tab/>
      </w:r>
      <w:r w:rsidR="008A6046">
        <w:rPr>
          <w:bCs/>
          <w:sz w:val="24"/>
          <w:szCs w:val="24"/>
        </w:rPr>
        <w:t>The Petition for Clarification filed by CenturyTel of Inter Island, Inc. d/b/a CenturyLink on October 30, 2015, is granted</w:t>
      </w:r>
      <w:r w:rsidR="002F52F4" w:rsidRPr="002F52F4">
        <w:rPr>
          <w:bCs/>
          <w:color w:val="000000"/>
          <w:sz w:val="24"/>
          <w:szCs w:val="24"/>
        </w:rPr>
        <w:t>.</w:t>
      </w:r>
    </w:p>
    <w:p w14:paraId="2F85EAE1" w14:textId="77777777" w:rsidR="002F52F4" w:rsidRPr="002F52F4" w:rsidRDefault="002F52F4" w:rsidP="00FF1E73">
      <w:pPr>
        <w:spacing w:line="288" w:lineRule="auto"/>
        <w:ind w:left="720"/>
        <w:rPr>
          <w:bCs/>
          <w:color w:val="000000"/>
          <w:sz w:val="24"/>
          <w:szCs w:val="24"/>
        </w:rPr>
      </w:pPr>
    </w:p>
    <w:p w14:paraId="3F9092E7" w14:textId="4202280E" w:rsidR="00FA7775" w:rsidRPr="002F52F4" w:rsidRDefault="00AA630D" w:rsidP="00FF1E73">
      <w:pPr>
        <w:numPr>
          <w:ilvl w:val="0"/>
          <w:numId w:val="1"/>
        </w:numPr>
        <w:tabs>
          <w:tab w:val="num" w:pos="0"/>
          <w:tab w:val="num" w:pos="1440"/>
        </w:tabs>
        <w:spacing w:line="288" w:lineRule="auto"/>
        <w:ind w:hanging="1440"/>
        <w:rPr>
          <w:bCs/>
          <w:color w:val="000000"/>
          <w:sz w:val="24"/>
          <w:szCs w:val="24"/>
        </w:rPr>
      </w:pPr>
      <w:r w:rsidRPr="002F52F4">
        <w:rPr>
          <w:sz w:val="24"/>
          <w:szCs w:val="24"/>
        </w:rPr>
        <w:t>(2)</w:t>
      </w:r>
      <w:r w:rsidRPr="002F52F4">
        <w:rPr>
          <w:sz w:val="24"/>
          <w:szCs w:val="24"/>
        </w:rPr>
        <w:tab/>
      </w:r>
      <w:r w:rsidR="00FA7775" w:rsidRPr="002F52F4">
        <w:rPr>
          <w:sz w:val="24"/>
          <w:szCs w:val="24"/>
        </w:rPr>
        <w:t xml:space="preserve">The Commission retains jurisdiction to effectuate the terms of this Order. </w:t>
      </w:r>
    </w:p>
    <w:p w14:paraId="2860879A" w14:textId="77777777" w:rsidR="002656B1" w:rsidRPr="002F52F4" w:rsidRDefault="002656B1" w:rsidP="00FF1E73">
      <w:pPr>
        <w:spacing w:line="288" w:lineRule="auto"/>
        <w:rPr>
          <w:sz w:val="24"/>
          <w:szCs w:val="24"/>
        </w:rPr>
      </w:pPr>
    </w:p>
    <w:p w14:paraId="1A3EF710" w14:textId="5CA3571A" w:rsidR="00FA7775" w:rsidRPr="002F52F4" w:rsidRDefault="00FA7775" w:rsidP="00FF1E73">
      <w:pPr>
        <w:spacing w:line="288" w:lineRule="auto"/>
        <w:rPr>
          <w:sz w:val="24"/>
          <w:szCs w:val="24"/>
        </w:rPr>
      </w:pPr>
      <w:r w:rsidRPr="002F52F4">
        <w:rPr>
          <w:sz w:val="24"/>
          <w:szCs w:val="24"/>
        </w:rPr>
        <w:t xml:space="preserve">Dated at Olympia, Washington, and effective </w:t>
      </w:r>
      <w:r w:rsidR="00215DC5">
        <w:rPr>
          <w:sz w:val="24"/>
          <w:szCs w:val="24"/>
        </w:rPr>
        <w:t>November 17</w:t>
      </w:r>
      <w:bookmarkStart w:id="4" w:name="_GoBack"/>
      <w:bookmarkEnd w:id="4"/>
      <w:r w:rsidR="00502300" w:rsidRPr="002F52F4">
        <w:rPr>
          <w:sz w:val="24"/>
          <w:szCs w:val="24"/>
        </w:rPr>
        <w:t>, 2015</w:t>
      </w:r>
      <w:r w:rsidRPr="002F52F4">
        <w:rPr>
          <w:sz w:val="24"/>
          <w:szCs w:val="24"/>
        </w:rPr>
        <w:t>.</w:t>
      </w:r>
    </w:p>
    <w:p w14:paraId="7C98EBAA" w14:textId="77777777" w:rsidR="00FA7775" w:rsidRPr="002F52F4" w:rsidRDefault="00FA7775" w:rsidP="00FF1E73">
      <w:pPr>
        <w:pStyle w:val="Header"/>
        <w:tabs>
          <w:tab w:val="clear" w:pos="4320"/>
          <w:tab w:val="clear" w:pos="8640"/>
        </w:tabs>
        <w:spacing w:line="288" w:lineRule="auto"/>
      </w:pPr>
    </w:p>
    <w:p w14:paraId="1195C435" w14:textId="77777777" w:rsidR="00FA7775" w:rsidRPr="002F52F4" w:rsidRDefault="00FA7775" w:rsidP="00FF1E73">
      <w:pPr>
        <w:spacing w:line="288" w:lineRule="auto"/>
        <w:jc w:val="center"/>
        <w:rPr>
          <w:sz w:val="24"/>
          <w:szCs w:val="24"/>
        </w:rPr>
      </w:pPr>
      <w:r w:rsidRPr="002F52F4">
        <w:rPr>
          <w:sz w:val="24"/>
          <w:szCs w:val="24"/>
        </w:rPr>
        <w:t>WASHINGTON UTILITIES AND TRANSPORTATION COMMISSION</w:t>
      </w:r>
    </w:p>
    <w:p w14:paraId="3994EB03" w14:textId="77777777" w:rsidR="00FA7775" w:rsidRPr="002F52F4" w:rsidRDefault="00FA7775" w:rsidP="00FF1E73">
      <w:pPr>
        <w:spacing w:line="288" w:lineRule="auto"/>
        <w:rPr>
          <w:sz w:val="24"/>
          <w:szCs w:val="24"/>
        </w:rPr>
      </w:pPr>
    </w:p>
    <w:p w14:paraId="2108B00D" w14:textId="77777777" w:rsidR="00154667" w:rsidRPr="002F52F4" w:rsidRDefault="00154667" w:rsidP="00FF1E73">
      <w:pPr>
        <w:spacing w:line="288" w:lineRule="auto"/>
        <w:rPr>
          <w:sz w:val="24"/>
          <w:szCs w:val="24"/>
        </w:rPr>
      </w:pPr>
    </w:p>
    <w:bookmarkEnd w:id="3"/>
    <w:p w14:paraId="6556B405" w14:textId="77777777" w:rsidR="009C5627" w:rsidRPr="002F52F4" w:rsidRDefault="009C5627" w:rsidP="00FF1E73">
      <w:pPr>
        <w:spacing w:line="288" w:lineRule="auto"/>
        <w:rPr>
          <w:sz w:val="24"/>
          <w:szCs w:val="24"/>
        </w:rPr>
      </w:pPr>
    </w:p>
    <w:p w14:paraId="4A4500BA" w14:textId="77777777" w:rsidR="009C5627" w:rsidRPr="002F52F4" w:rsidRDefault="000B7867" w:rsidP="00FF1E73">
      <w:pPr>
        <w:spacing w:line="288"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r>
      <w:r w:rsidR="002E298E" w:rsidRPr="002F52F4">
        <w:rPr>
          <w:sz w:val="24"/>
          <w:szCs w:val="24"/>
        </w:rPr>
        <w:t>DAVID W. DANNER</w:t>
      </w:r>
      <w:r w:rsidRPr="002F52F4">
        <w:rPr>
          <w:sz w:val="24"/>
          <w:szCs w:val="24"/>
        </w:rPr>
        <w:t>, Chairman</w:t>
      </w:r>
    </w:p>
    <w:p w14:paraId="5439C266" w14:textId="77777777" w:rsidR="009C5627" w:rsidRPr="002F52F4" w:rsidRDefault="009C5627" w:rsidP="00FF1E73">
      <w:pPr>
        <w:spacing w:line="288" w:lineRule="auto"/>
        <w:rPr>
          <w:sz w:val="24"/>
          <w:szCs w:val="24"/>
        </w:rPr>
      </w:pPr>
    </w:p>
    <w:p w14:paraId="46E3B34C" w14:textId="77777777" w:rsidR="00154667" w:rsidRPr="002F52F4" w:rsidRDefault="00154667" w:rsidP="00FF1E73">
      <w:pPr>
        <w:spacing w:line="288" w:lineRule="auto"/>
        <w:rPr>
          <w:sz w:val="24"/>
          <w:szCs w:val="24"/>
        </w:rPr>
      </w:pPr>
    </w:p>
    <w:p w14:paraId="28624832" w14:textId="77777777" w:rsidR="00154667" w:rsidRPr="002F52F4" w:rsidRDefault="00154667" w:rsidP="00FF1E73">
      <w:pPr>
        <w:spacing w:line="288" w:lineRule="auto"/>
        <w:rPr>
          <w:sz w:val="24"/>
          <w:szCs w:val="24"/>
        </w:rPr>
      </w:pPr>
    </w:p>
    <w:p w14:paraId="5D787AFB" w14:textId="77777777" w:rsidR="00154667" w:rsidRPr="002F52F4" w:rsidRDefault="000B7867" w:rsidP="00FF1E73">
      <w:pPr>
        <w:spacing w:line="288" w:lineRule="auto"/>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t>PHILIP B. JONES, Commissioner</w:t>
      </w:r>
    </w:p>
    <w:p w14:paraId="7212E0B2" w14:textId="77777777" w:rsidR="002E298E" w:rsidRPr="002F52F4" w:rsidRDefault="002E298E" w:rsidP="00FF1E73">
      <w:pPr>
        <w:spacing w:line="288" w:lineRule="auto"/>
        <w:rPr>
          <w:sz w:val="24"/>
          <w:szCs w:val="24"/>
        </w:rPr>
      </w:pPr>
    </w:p>
    <w:p w14:paraId="594313FC" w14:textId="77777777" w:rsidR="002E298E" w:rsidRPr="002F52F4" w:rsidRDefault="002E298E" w:rsidP="00FF1E73">
      <w:pPr>
        <w:spacing w:line="288" w:lineRule="auto"/>
        <w:rPr>
          <w:sz w:val="24"/>
          <w:szCs w:val="24"/>
        </w:rPr>
      </w:pPr>
    </w:p>
    <w:p w14:paraId="7D62862E" w14:textId="77777777" w:rsidR="002E298E" w:rsidRPr="002F52F4" w:rsidRDefault="002E298E" w:rsidP="00FF1E73">
      <w:pPr>
        <w:spacing w:line="288" w:lineRule="auto"/>
        <w:rPr>
          <w:sz w:val="24"/>
          <w:szCs w:val="24"/>
        </w:rPr>
      </w:pPr>
    </w:p>
    <w:p w14:paraId="47C29888" w14:textId="77777777" w:rsidR="002E298E" w:rsidRPr="002F52F4" w:rsidRDefault="008D3150" w:rsidP="00FF1E73">
      <w:pPr>
        <w:spacing w:line="288" w:lineRule="auto"/>
        <w:ind w:left="2880" w:firstLine="720"/>
        <w:rPr>
          <w:sz w:val="24"/>
          <w:szCs w:val="24"/>
        </w:rPr>
      </w:pPr>
      <w:r w:rsidRPr="002F52F4">
        <w:rPr>
          <w:sz w:val="24"/>
          <w:szCs w:val="24"/>
        </w:rPr>
        <w:t xml:space="preserve">ANN </w:t>
      </w:r>
      <w:r w:rsidR="00BC50E0" w:rsidRPr="002F52F4">
        <w:rPr>
          <w:sz w:val="24"/>
          <w:szCs w:val="24"/>
        </w:rPr>
        <w:t xml:space="preserve">E. </w:t>
      </w:r>
      <w:r w:rsidRPr="002F52F4">
        <w:rPr>
          <w:sz w:val="24"/>
          <w:szCs w:val="24"/>
        </w:rPr>
        <w:t>RENDAHL</w:t>
      </w:r>
      <w:r w:rsidR="002E298E" w:rsidRPr="002F52F4">
        <w:rPr>
          <w:sz w:val="24"/>
          <w:szCs w:val="24"/>
        </w:rPr>
        <w:t>, Commissioner</w:t>
      </w:r>
    </w:p>
    <w:p w14:paraId="0F628322" w14:textId="77777777" w:rsidR="001A7DD7" w:rsidRPr="002F52F4" w:rsidRDefault="001A7DD7" w:rsidP="000455AC">
      <w:pPr>
        <w:spacing w:line="264" w:lineRule="auto"/>
        <w:rPr>
          <w:sz w:val="24"/>
          <w:szCs w:val="24"/>
        </w:rPr>
      </w:pPr>
    </w:p>
    <w:sectPr w:rsidR="001A7DD7" w:rsidRPr="002F52F4" w:rsidSect="00BD14C2">
      <w:headerReference w:type="default" r:id="rId11"/>
      <w:headerReference w:type="first" r:id="rId12"/>
      <w:pgSz w:w="12240" w:h="15840" w:code="1"/>
      <w:pgMar w:top="1440" w:right="1440" w:bottom="1440" w:left="2160" w:header="144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CA7B7" w14:textId="77777777" w:rsidR="00EB340E" w:rsidRDefault="00EB340E">
      <w:r>
        <w:separator/>
      </w:r>
    </w:p>
  </w:endnote>
  <w:endnote w:type="continuationSeparator" w:id="0">
    <w:p w14:paraId="581577B8" w14:textId="77777777" w:rsidR="00EB340E" w:rsidRDefault="00EB340E">
      <w:r>
        <w:continuationSeparator/>
      </w:r>
    </w:p>
  </w:endnote>
  <w:endnote w:type="continuationNotice" w:id="1">
    <w:p w14:paraId="47650A46" w14:textId="77777777" w:rsidR="00EB340E" w:rsidRDefault="00EB3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8A5F" w14:textId="77777777" w:rsidR="00EB340E" w:rsidRDefault="00EB340E">
      <w:r>
        <w:separator/>
      </w:r>
    </w:p>
  </w:footnote>
  <w:footnote w:type="continuationSeparator" w:id="0">
    <w:p w14:paraId="76DCD95C" w14:textId="77777777" w:rsidR="00EB340E" w:rsidRDefault="00EB340E">
      <w:r>
        <w:continuationSeparator/>
      </w:r>
    </w:p>
  </w:footnote>
  <w:footnote w:type="continuationNotice" w:id="1">
    <w:p w14:paraId="3528C840" w14:textId="77777777" w:rsidR="00EB340E" w:rsidRDefault="00EB340E"/>
  </w:footnote>
  <w:footnote w:id="2">
    <w:p w14:paraId="60C1F5BA" w14:textId="563F0FC9" w:rsidR="00487A64" w:rsidRDefault="00487A64">
      <w:pPr>
        <w:pStyle w:val="FootnoteText"/>
      </w:pPr>
      <w:r>
        <w:rPr>
          <w:rStyle w:val="FootnoteReference"/>
        </w:rPr>
        <w:footnoteRef/>
      </w:r>
      <w:r>
        <w:t xml:space="preserve"> CenturyLink, the Commission’s regulatory staff (Staff), and the Public Counsel Section of the Washington Office of the Attorney General (Public Counsel) filed a full settlement stipulation (Settlement) with the Commission on June 2, 2015.  </w:t>
      </w:r>
      <w:r w:rsidR="00EF7462">
        <w:t>The Settlement established a framework for development and implementation of two Emergency Communications Plans, one to address San Juan County and the other to address the entire state.  C</w:t>
      </w:r>
      <w:r w:rsidR="00EF7462" w:rsidRPr="00183D3D">
        <w:t>ollectively</w:t>
      </w:r>
      <w:r w:rsidR="00EF7462">
        <w:t xml:space="preserve"> the </w:t>
      </w:r>
      <w:r w:rsidR="00EF7462" w:rsidRPr="00183D3D">
        <w:t>Washington State Emergency Communications Plan</w:t>
      </w:r>
      <w:r w:rsidR="00EF7462">
        <w:t xml:space="preserve"> and the San Juan County Emergency Communications Plan will be referred to in this Order as</w:t>
      </w:r>
      <w:r w:rsidR="00EF7462" w:rsidRPr="00183D3D">
        <w:t xml:space="preserve"> the Emergency Communications Plans</w:t>
      </w:r>
      <w:r w:rsidR="00EF7462">
        <w:t xml:space="preserve">. </w:t>
      </w:r>
      <w:r>
        <w:t xml:space="preserve"> </w:t>
      </w:r>
    </w:p>
  </w:footnote>
  <w:footnote w:id="3">
    <w:p w14:paraId="36A068AF" w14:textId="34E12592" w:rsidR="00FF6856" w:rsidRDefault="00FF6856">
      <w:pPr>
        <w:pStyle w:val="FootnoteText"/>
      </w:pPr>
      <w:r>
        <w:rPr>
          <w:rStyle w:val="FootnoteReference"/>
        </w:rPr>
        <w:footnoteRef/>
      </w:r>
      <w:r>
        <w:t xml:space="preserve"> Both paragraph 51 and paragraph 55 impose the same condition upon the Commission’s approval of the Settlement, albeit with slightly different language.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EBEF6" w14:textId="0B499EEB" w:rsidR="00FB5FF1" w:rsidRPr="004A53E4" w:rsidRDefault="00FB5FF1"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 U</w:t>
    </w:r>
    <w:r w:rsidR="005A7874">
      <w:rPr>
        <w:rStyle w:val="PageNumber"/>
        <w:b/>
        <w:sz w:val="20"/>
        <w:szCs w:val="20"/>
      </w:rPr>
      <w:t>T</w:t>
    </w:r>
    <w:r w:rsidRPr="004A53E4">
      <w:rPr>
        <w:rStyle w:val="PageNumber"/>
        <w:b/>
        <w:sz w:val="20"/>
        <w:szCs w:val="20"/>
      </w:rPr>
      <w:t>-</w:t>
    </w:r>
    <w:r>
      <w:rPr>
        <w:rStyle w:val="PageNumber"/>
        <w:b/>
        <w:sz w:val="20"/>
        <w:szCs w:val="20"/>
      </w:rPr>
      <w:t>1</w:t>
    </w:r>
    <w:r w:rsidR="005A7874">
      <w:rPr>
        <w:rStyle w:val="PageNumber"/>
        <w:b/>
        <w:sz w:val="20"/>
        <w:szCs w:val="20"/>
      </w:rPr>
      <w:t>32234</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BB43F8">
      <w:rPr>
        <w:rStyle w:val="PageNumber"/>
        <w:b/>
        <w:noProof/>
        <w:sz w:val="20"/>
        <w:szCs w:val="20"/>
      </w:rPr>
      <w:t>3</w:t>
    </w:r>
    <w:r w:rsidRPr="004A53E4">
      <w:rPr>
        <w:rStyle w:val="PageNumber"/>
        <w:b/>
        <w:sz w:val="20"/>
        <w:szCs w:val="20"/>
      </w:rPr>
      <w:fldChar w:fldCharType="end"/>
    </w:r>
  </w:p>
  <w:p w14:paraId="6450A707" w14:textId="2286DA74" w:rsidR="00FB5FF1" w:rsidRDefault="00FB5FF1">
    <w:pPr>
      <w:rPr>
        <w:b/>
        <w:sz w:val="20"/>
        <w:szCs w:val="20"/>
      </w:rPr>
    </w:pPr>
    <w:r w:rsidRPr="004A53E4">
      <w:rPr>
        <w:b/>
        <w:sz w:val="20"/>
        <w:szCs w:val="20"/>
      </w:rPr>
      <w:t xml:space="preserve">ORDER </w:t>
    </w:r>
    <w:r w:rsidR="005A7874">
      <w:rPr>
        <w:b/>
        <w:sz w:val="20"/>
        <w:szCs w:val="20"/>
      </w:rPr>
      <w:t>04</w:t>
    </w:r>
  </w:p>
  <w:p w14:paraId="05249236" w14:textId="77777777" w:rsidR="00FB5FF1" w:rsidRPr="004A53E4" w:rsidRDefault="00FB5FF1">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999D" w14:textId="1AFFE80E" w:rsidR="00FB5FF1" w:rsidRPr="00B6537E" w:rsidRDefault="00FB5FF1" w:rsidP="00ED7CF8">
    <w:pPr>
      <w:pStyle w:val="Header"/>
      <w:tabs>
        <w:tab w:val="clear" w:pos="4320"/>
        <w:tab w:val="clear" w:pos="8640"/>
        <w:tab w:val="right" w:pos="8460"/>
      </w:tabs>
      <w:rPr>
        <w:b/>
        <w:sz w:val="20"/>
        <w:szCs w:val="20"/>
      </w:rPr>
    </w:pPr>
    <w:r>
      <w:rPr>
        <w:b/>
        <w:sz w:val="20"/>
        <w:szCs w:val="20"/>
      </w:rPr>
      <w:tab/>
    </w:r>
    <w:r w:rsidR="00215DC5">
      <w:rPr>
        <w:b/>
        <w:sz w:val="20"/>
        <w:szCs w:val="20"/>
      </w:rPr>
      <w:t>[Service date November 17</w:t>
    </w:r>
    <w:r w:rsidR="00BD14C2">
      <w:rPr>
        <w:b/>
        <w:sz w:val="20"/>
        <w:szCs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A60CE1"/>
    <w:multiLevelType w:val="hybridMultilevel"/>
    <w:tmpl w:val="A3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2">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F6C2F"/>
    <w:multiLevelType w:val="hybridMultilevel"/>
    <w:tmpl w:val="2EBA23E4"/>
    <w:lvl w:ilvl="0" w:tplc="E7E4A26C">
      <w:start w:val="6"/>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376873"/>
    <w:multiLevelType w:val="hybridMultilevel"/>
    <w:tmpl w:val="5664A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7">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9FC0021"/>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9">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5">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61E02CB8"/>
    <w:multiLevelType w:val="hybridMultilevel"/>
    <w:tmpl w:val="62500FBC"/>
    <w:lvl w:ilvl="0" w:tplc="C70CAD8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C571075"/>
    <w:multiLevelType w:val="hybridMultilevel"/>
    <w:tmpl w:val="F14CA3B2"/>
    <w:lvl w:ilvl="0" w:tplc="C5F28FCA">
      <w:start w:val="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5">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0E7220"/>
    <w:multiLevelType w:val="hybridMultilevel"/>
    <w:tmpl w:val="2572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8">
    <w:nsid w:val="776A6DD5"/>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9">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41">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4"/>
  </w:num>
  <w:num w:numId="3">
    <w:abstractNumId w:val="40"/>
  </w:num>
  <w:num w:numId="4">
    <w:abstractNumId w:val="9"/>
  </w:num>
  <w:num w:numId="5">
    <w:abstractNumId w:val="31"/>
  </w:num>
  <w:num w:numId="6">
    <w:abstractNumId w:val="29"/>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0"/>
  </w:num>
  <w:num w:numId="11">
    <w:abstractNumId w:val="0"/>
  </w:num>
  <w:num w:numId="12">
    <w:abstractNumId w:val="4"/>
  </w:num>
  <w:num w:numId="13">
    <w:abstractNumId w:val="2"/>
  </w:num>
  <w:num w:numId="14">
    <w:abstractNumId w:val="7"/>
  </w:num>
  <w:num w:numId="15">
    <w:abstractNumId w:val="22"/>
  </w:num>
  <w:num w:numId="16">
    <w:abstractNumId w:val="37"/>
  </w:num>
  <w:num w:numId="17">
    <w:abstractNumId w:val="27"/>
  </w:num>
  <w:num w:numId="18">
    <w:abstractNumId w:val="41"/>
  </w:num>
  <w:num w:numId="19">
    <w:abstractNumId w:val="8"/>
  </w:num>
  <w:num w:numId="20">
    <w:abstractNumId w:val="22"/>
  </w:num>
  <w:num w:numId="21">
    <w:abstractNumId w:val="22"/>
  </w:num>
  <w:num w:numId="22">
    <w:abstractNumId w:val="13"/>
  </w:num>
  <w:num w:numId="23">
    <w:abstractNumId w:val="42"/>
  </w:num>
  <w:num w:numId="24">
    <w:abstractNumId w:val="24"/>
  </w:num>
  <w:num w:numId="25">
    <w:abstractNumId w:val="6"/>
  </w:num>
  <w:num w:numId="26">
    <w:abstractNumId w:val="19"/>
  </w:num>
  <w:num w:numId="27">
    <w:abstractNumId w:val="22"/>
  </w:num>
  <w:num w:numId="28">
    <w:abstractNumId w:val="22"/>
  </w:num>
  <w:num w:numId="29">
    <w:abstractNumId w:val="5"/>
  </w:num>
  <w:num w:numId="30">
    <w:abstractNumId w:val="12"/>
  </w:num>
  <w:num w:numId="31">
    <w:abstractNumId w:val="21"/>
  </w:num>
  <w:num w:numId="32">
    <w:abstractNumId w:val="14"/>
  </w:num>
  <w:num w:numId="33">
    <w:abstractNumId w:val="23"/>
  </w:num>
  <w:num w:numId="34">
    <w:abstractNumId w:val="28"/>
  </w:num>
  <w:num w:numId="35">
    <w:abstractNumId w:val="35"/>
  </w:num>
  <w:num w:numId="36">
    <w:abstractNumId w:val="33"/>
  </w:num>
  <w:num w:numId="37">
    <w:abstractNumId w:val="25"/>
  </w:num>
  <w:num w:numId="38">
    <w:abstractNumId w:val="20"/>
  </w:num>
  <w:num w:numId="39">
    <w:abstractNumId w:val="26"/>
  </w:num>
  <w:num w:numId="40">
    <w:abstractNumId w:val="38"/>
  </w:num>
  <w:num w:numId="41">
    <w:abstractNumId w:val="10"/>
  </w:num>
  <w:num w:numId="42">
    <w:abstractNumId w:val="36"/>
  </w:num>
  <w:num w:numId="43">
    <w:abstractNumId w:val="16"/>
  </w:num>
  <w:num w:numId="44">
    <w:abstractNumId w:val="15"/>
  </w:num>
  <w:num w:numId="45">
    <w:abstractNumId w:val="18"/>
  </w:num>
  <w:num w:numId="4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60C4"/>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C0D"/>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272"/>
    <w:rsid w:val="00195887"/>
    <w:rsid w:val="001966A7"/>
    <w:rsid w:val="00196931"/>
    <w:rsid w:val="0019702F"/>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540"/>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8A3"/>
    <w:rsid w:val="001F1A09"/>
    <w:rsid w:val="001F1A73"/>
    <w:rsid w:val="001F1A9F"/>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CF2"/>
    <w:rsid w:val="0020724C"/>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5DC5"/>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84A"/>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2F4"/>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A2"/>
    <w:rsid w:val="00403C87"/>
    <w:rsid w:val="00403D34"/>
    <w:rsid w:val="00403D3C"/>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AB3"/>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A64"/>
    <w:rsid w:val="00487B05"/>
    <w:rsid w:val="004909E8"/>
    <w:rsid w:val="0049199A"/>
    <w:rsid w:val="00491D01"/>
    <w:rsid w:val="0049281B"/>
    <w:rsid w:val="00493EB6"/>
    <w:rsid w:val="00493F82"/>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726"/>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2702"/>
    <w:rsid w:val="005A3206"/>
    <w:rsid w:val="005A3FA3"/>
    <w:rsid w:val="005A47AF"/>
    <w:rsid w:val="005A4AB4"/>
    <w:rsid w:val="005A4D2E"/>
    <w:rsid w:val="005A4FA3"/>
    <w:rsid w:val="005A558E"/>
    <w:rsid w:val="005A56C3"/>
    <w:rsid w:val="005A579D"/>
    <w:rsid w:val="005A5FA7"/>
    <w:rsid w:val="005A69CA"/>
    <w:rsid w:val="005A6A69"/>
    <w:rsid w:val="005A6B2A"/>
    <w:rsid w:val="005A7874"/>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02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266"/>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1A89"/>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1F15"/>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00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17D"/>
    <w:rsid w:val="007F136B"/>
    <w:rsid w:val="007F1E04"/>
    <w:rsid w:val="007F250D"/>
    <w:rsid w:val="007F2624"/>
    <w:rsid w:val="007F2A17"/>
    <w:rsid w:val="007F363D"/>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046"/>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0A"/>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2DF0"/>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0EF9"/>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60A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3F8"/>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14C2"/>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C0F"/>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1F7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4B31"/>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289D"/>
    <w:rsid w:val="00D835B0"/>
    <w:rsid w:val="00D84290"/>
    <w:rsid w:val="00D843E5"/>
    <w:rsid w:val="00D84EED"/>
    <w:rsid w:val="00D85671"/>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40E"/>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63F"/>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EF7462"/>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45D1"/>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000"/>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5FF1"/>
    <w:rsid w:val="00FB622D"/>
    <w:rsid w:val="00FB629C"/>
    <w:rsid w:val="00FB6614"/>
    <w:rsid w:val="00FB6D60"/>
    <w:rsid w:val="00FB6F05"/>
    <w:rsid w:val="00FB71DA"/>
    <w:rsid w:val="00FB76BD"/>
    <w:rsid w:val="00FB76C8"/>
    <w:rsid w:val="00FB781F"/>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1E73"/>
    <w:rsid w:val="00FF210C"/>
    <w:rsid w:val="00FF281D"/>
    <w:rsid w:val="00FF2BED"/>
    <w:rsid w:val="00FF31ED"/>
    <w:rsid w:val="00FF32FA"/>
    <w:rsid w:val="00FF3FB7"/>
    <w:rsid w:val="00FF4659"/>
    <w:rsid w:val="00FF4DB5"/>
    <w:rsid w:val="00FF4DFF"/>
    <w:rsid w:val="00FF55CE"/>
    <w:rsid w:val="00FF60C9"/>
    <w:rsid w:val="00FF6704"/>
    <w:rsid w:val="00FF6856"/>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736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2015-11-17T08:00:00+00:00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E2E31-BA48-4653-B395-A9FB164EA442}"/>
</file>

<file path=customXml/itemProps2.xml><?xml version="1.0" encoding="utf-8"?>
<ds:datastoreItem xmlns:ds="http://schemas.openxmlformats.org/officeDocument/2006/customXml" ds:itemID="{658A953D-7B39-4AEC-B482-032D56E42165}"/>
</file>

<file path=customXml/itemProps3.xml><?xml version="1.0" encoding="utf-8"?>
<ds:datastoreItem xmlns:ds="http://schemas.openxmlformats.org/officeDocument/2006/customXml" ds:itemID="{20C0B76E-77B4-4F7D-BD47-5767F814E3CC}"/>
</file>

<file path=customXml/itemProps4.xml><?xml version="1.0" encoding="utf-8"?>
<ds:datastoreItem xmlns:ds="http://schemas.openxmlformats.org/officeDocument/2006/customXml" ds:itemID="{78364720-C80D-4B1D-A41D-4544298D1984}"/>
</file>

<file path=customXml/itemProps5.xml><?xml version="1.0" encoding="utf-8"?>
<ds:datastoreItem xmlns:ds="http://schemas.openxmlformats.org/officeDocument/2006/customXml" ds:itemID="{2C2F2F87-58C3-4CCC-8411-65C2398C3584}"/>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2015-11-17T16:31:00Z</dcterms:created>
  <dcterms:modified xsi:type="dcterms:W3CDTF">2015-11-17T16:32:00Z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ies>
</file>