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65" w:rsidRPr="0064749C" w:rsidRDefault="00131D65">
      <w:pPr>
        <w:pStyle w:val="Heading3"/>
        <w:rPr>
          <w:b w:val="0"/>
        </w:rPr>
      </w:pPr>
      <w:r>
        <w:t>WN U-2</w:t>
      </w: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1139-C</w:t>
      </w:r>
    </w:p>
    <w:p w:rsidR="00131D65"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131D65" w:rsidRDefault="00472A4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131D65"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131D65">
          <w:endnotePr>
            <w:numFmt w:val="decimal"/>
          </w:endnotePr>
          <w:pgSz w:w="12240" w:h="15840"/>
          <w:pgMar w:top="1080" w:right="720" w:bottom="720" w:left="1440" w:header="1080" w:footer="720" w:gutter="0"/>
          <w:cols w:space="720"/>
          <w:noEndnote/>
        </w:sectPr>
      </w:pPr>
    </w:p>
    <w:p w:rsidR="00131D65" w:rsidRPr="007D3E3E"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131D65"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131D65" w:rsidRPr="007D3E3E"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b/>
        </w:rPr>
      </w:pPr>
      <w:r>
        <w:rPr>
          <w:rFonts w:ascii="Arial" w:hAnsi="Arial" w:cs="Arial"/>
        </w:rPr>
        <w:tab/>
        <w:t>(Continued)</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Pr="00C27ADC" w:rsidRDefault="00131D65" w:rsidP="00290C07">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sidRPr="00C27ADC">
        <w:rPr>
          <w:rFonts w:ascii="Arial" w:hAnsi="Arial" w:cs="Arial"/>
        </w:rPr>
        <w:t xml:space="preserve">Section </w:t>
      </w:r>
      <w:r>
        <w:rPr>
          <w:rFonts w:ascii="Arial" w:hAnsi="Arial" w:cs="Arial"/>
        </w:rPr>
        <w:t>5</w:t>
      </w:r>
      <w:r w:rsidRPr="00C27ADC">
        <w:rPr>
          <w:rFonts w:ascii="Arial" w:hAnsi="Arial" w:cs="Arial"/>
        </w:rPr>
        <w:t>:  Term</w:t>
      </w:r>
    </w:p>
    <w:p w:rsidR="00131D65" w:rsidRPr="00816156" w:rsidRDefault="00131D65" w:rsidP="00290C07">
      <w:pPr>
        <w:pStyle w:val="ListParagraph"/>
        <w:tabs>
          <w:tab w:val="left" w:pos="9360"/>
          <w:tab w:val="left" w:pos="9450"/>
        </w:tabs>
        <w:spacing w:after="0" w:line="286" w:lineRule="exact"/>
        <w:ind w:left="0"/>
        <w:rPr>
          <w:rStyle w:val="Custom2"/>
          <w:rFonts w:cs="Arial"/>
          <w:szCs w:val="20"/>
        </w:rPr>
      </w:pPr>
    </w:p>
    <w:p w:rsidR="00131D65" w:rsidRDefault="00131D65" w:rsidP="00290C07">
      <w:pPr>
        <w:pStyle w:val="ListParagraph"/>
        <w:tabs>
          <w:tab w:val="left" w:pos="0"/>
          <w:tab w:val="left" w:pos="1440"/>
          <w:tab w:val="left" w:pos="9360"/>
          <w:tab w:val="left" w:pos="9450"/>
        </w:tabs>
        <w:spacing w:after="0" w:line="286" w:lineRule="exact"/>
        <w:ind w:left="0"/>
        <w:rPr>
          <w:rFonts w:ascii="Arial" w:hAnsi="Arial" w:cs="Arial"/>
          <w:sz w:val="20"/>
          <w:szCs w:val="20"/>
        </w:rPr>
      </w:pPr>
      <w:r>
        <w:rPr>
          <w:rFonts w:ascii="Arial" w:hAnsi="Arial" w:cs="Arial"/>
          <w:sz w:val="20"/>
          <w:szCs w:val="20"/>
        </w:rPr>
        <w:t>Accruals under this mechanism shall continue until the effective date of rates approved in the Company’s next general rate case, but may be continued beyond the next general rate case, subject to approval by the Commission.  If this mechanism is discontinued, amounts remaining in the RDA balancing account at that time will continue to be amortized through the rates in this schedule until the balance is cleared.</w:t>
      </w:r>
    </w:p>
    <w:p w:rsidR="00131D65" w:rsidRPr="00816156" w:rsidRDefault="00131D65" w:rsidP="00290C07">
      <w:pPr>
        <w:pStyle w:val="ListParagraph"/>
        <w:tabs>
          <w:tab w:val="left" w:pos="0"/>
          <w:tab w:val="left" w:pos="1440"/>
          <w:tab w:val="left" w:pos="9360"/>
          <w:tab w:val="left" w:pos="9450"/>
        </w:tabs>
        <w:spacing w:after="0" w:line="286" w:lineRule="exact"/>
        <w:ind w:left="0"/>
        <w:rPr>
          <w:rFonts w:ascii="Arial" w:hAnsi="Arial" w:cs="Arial"/>
          <w:sz w:val="20"/>
          <w:szCs w:val="20"/>
        </w:rPr>
      </w:pPr>
    </w:p>
    <w:p w:rsidR="00131D65" w:rsidRPr="00C27ADC" w:rsidRDefault="00131D65" w:rsidP="00290C07">
      <w:pPr>
        <w:pStyle w:val="ListParagraph"/>
        <w:tabs>
          <w:tab w:val="left" w:pos="1080"/>
          <w:tab w:val="left" w:pos="1440"/>
          <w:tab w:val="left" w:pos="9360"/>
          <w:tab w:val="left" w:pos="9450"/>
        </w:tabs>
        <w:spacing w:after="0" w:line="286" w:lineRule="exact"/>
        <w:ind w:left="1080" w:hanging="360"/>
        <w:jc w:val="center"/>
        <w:rPr>
          <w:rFonts w:ascii="Arial" w:hAnsi="Arial" w:cs="Arial"/>
          <w:sz w:val="20"/>
          <w:szCs w:val="20"/>
        </w:rPr>
      </w:pPr>
      <w:r w:rsidRPr="00C27ADC">
        <w:rPr>
          <w:rFonts w:ascii="Arial" w:hAnsi="Arial" w:cs="Arial"/>
          <w:sz w:val="20"/>
          <w:szCs w:val="20"/>
        </w:rPr>
        <w:t xml:space="preserve">Section </w:t>
      </w:r>
      <w:r>
        <w:rPr>
          <w:rFonts w:ascii="Arial" w:hAnsi="Arial" w:cs="Arial"/>
          <w:sz w:val="20"/>
          <w:szCs w:val="20"/>
        </w:rPr>
        <w:t>6</w:t>
      </w:r>
      <w:r w:rsidRPr="00C27ADC">
        <w:rPr>
          <w:rFonts w:ascii="Arial" w:hAnsi="Arial" w:cs="Arial"/>
          <w:sz w:val="20"/>
          <w:szCs w:val="20"/>
        </w:rPr>
        <w:t xml:space="preserve">:  </w:t>
      </w:r>
      <w:r>
        <w:rPr>
          <w:rFonts w:ascii="Arial" w:hAnsi="Arial" w:cs="Arial"/>
          <w:sz w:val="20"/>
          <w:szCs w:val="20"/>
        </w:rPr>
        <w:t>Monthly Decoupling Rate</w:t>
      </w:r>
    </w:p>
    <w:p w:rsidR="00131D65" w:rsidRDefault="00131D65" w:rsidP="00290C07">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Default="00131D65" w:rsidP="00290C07">
      <w:pPr>
        <w:tabs>
          <w:tab w:val="left" w:pos="0"/>
        </w:tabs>
        <w:spacing w:line="286" w:lineRule="exact"/>
        <w:rPr>
          <w:rFonts w:ascii="Arial" w:hAnsi="Arial" w:cs="Arial"/>
        </w:rPr>
      </w:pPr>
      <w:r>
        <w:rPr>
          <w:rFonts w:ascii="Arial" w:hAnsi="Arial" w:cs="Arial"/>
        </w:rPr>
        <w:t xml:space="preserve">The rate shown below and on the following sheets for each schedule shall be added to the monthly rate(s) for each schedule identified thereby changing the rate charged for natural gas service.  Customer bills shall reflect the sum of this Schedule 139 rate and the rate(s) otherwise charged for natural gas service. </w:t>
      </w:r>
    </w:p>
    <w:p w:rsidR="00131D65" w:rsidRDefault="00131D65" w:rsidP="00290C07">
      <w:pPr>
        <w:tabs>
          <w:tab w:val="left" w:pos="0"/>
        </w:tabs>
        <w:spacing w:line="286" w:lineRule="exact"/>
        <w:rPr>
          <w:rFonts w:ascii="Arial" w:hAnsi="Arial" w:cs="Arial"/>
        </w:rPr>
      </w:pPr>
    </w:p>
    <w:p w:rsidR="00131D65" w:rsidRDefault="00131D65" w:rsidP="00290C07">
      <w:pPr>
        <w:spacing w:line="286" w:lineRule="exact"/>
        <w:rPr>
          <w:rFonts w:ascii="Arial" w:hAnsi="Arial" w:cs="Arial"/>
        </w:rPr>
      </w:pPr>
      <w:r>
        <w:rPr>
          <w:rFonts w:ascii="Arial" w:hAnsi="Arial" w:cs="Arial"/>
          <w:u w:val="single"/>
        </w:rPr>
        <w:t>SCHEDULE 23 &amp; 53</w:t>
      </w:r>
    </w:p>
    <w:p w:rsidR="00131D65" w:rsidRDefault="00131D65" w:rsidP="00290C07">
      <w:pPr>
        <w:spacing w:line="286" w:lineRule="exact"/>
        <w:rPr>
          <w:rFonts w:ascii="Arial" w:hAnsi="Arial" w:cs="Arial"/>
        </w:rPr>
      </w:pPr>
      <w:r>
        <w:rPr>
          <w:rFonts w:ascii="Arial" w:hAnsi="Arial" w:cs="Arial"/>
        </w:rPr>
        <w:t xml:space="preserve">Delivery Charge:  </w:t>
      </w:r>
      <w:r>
        <w:rPr>
          <w:rFonts w:ascii="Arial" w:hAnsi="Arial" w:cs="Arial"/>
        </w:rPr>
        <w:tab/>
        <w:t xml:space="preserve">$0.02106 per </w:t>
      </w:r>
      <w:proofErr w:type="spellStart"/>
      <w:r>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607AD7">
      <w:pPr>
        <w:spacing w:line="286" w:lineRule="exact"/>
        <w:rPr>
          <w:rFonts w:ascii="Arial" w:hAnsi="Arial" w:cs="Arial"/>
        </w:rPr>
      </w:pPr>
      <w:r>
        <w:rPr>
          <w:rFonts w:ascii="Arial" w:hAnsi="Arial" w:cs="Arial"/>
          <w:u w:val="single"/>
        </w:rPr>
        <w:t>SCHEDULES 31</w:t>
      </w:r>
    </w:p>
    <w:p w:rsidR="00131D65" w:rsidRDefault="00131D65" w:rsidP="00607AD7">
      <w:pPr>
        <w:spacing w:line="286" w:lineRule="exact"/>
        <w:rPr>
          <w:rFonts w:ascii="Arial" w:hAnsi="Arial" w:cs="Arial"/>
        </w:rPr>
      </w:pPr>
      <w:r>
        <w:rPr>
          <w:rFonts w:ascii="Arial" w:hAnsi="Arial" w:cs="Arial"/>
        </w:rPr>
        <w:t xml:space="preserve">Delivery Charge:  </w:t>
      </w:r>
      <w:r>
        <w:rPr>
          <w:rFonts w:ascii="Arial" w:hAnsi="Arial" w:cs="Arial"/>
        </w:rPr>
        <w:tab/>
        <w:t xml:space="preserve">($0.00395) per </w:t>
      </w:r>
      <w:proofErr w:type="spellStart"/>
      <w:r>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290C07">
      <w:pPr>
        <w:spacing w:line="286" w:lineRule="exact"/>
        <w:rPr>
          <w:rFonts w:ascii="Arial" w:hAnsi="Arial" w:cs="Arial"/>
        </w:rPr>
      </w:pPr>
      <w:r>
        <w:rPr>
          <w:rFonts w:ascii="Arial" w:hAnsi="Arial" w:cs="Arial"/>
          <w:u w:val="single"/>
        </w:rPr>
        <w:t>SCHEDULES 31T</w:t>
      </w:r>
    </w:p>
    <w:p w:rsidR="00131D65" w:rsidRDefault="007D51DE" w:rsidP="00290C07">
      <w:pPr>
        <w:spacing w:line="286" w:lineRule="exact"/>
        <w:rPr>
          <w:rFonts w:ascii="Arial" w:hAnsi="Arial" w:cs="Arial"/>
        </w:rPr>
      </w:pPr>
      <w:r>
        <w:rPr>
          <w:rFonts w:ascii="Arial" w:hAnsi="Arial" w:cs="Arial"/>
        </w:rPr>
        <w:t>Transportation Service Commodity</w:t>
      </w:r>
      <w:r w:rsidR="00131D65">
        <w:rPr>
          <w:rFonts w:ascii="Arial" w:hAnsi="Arial" w:cs="Arial"/>
        </w:rPr>
        <w:t xml:space="preserve"> Charge:  </w:t>
      </w:r>
      <w:r w:rsidR="00131D65">
        <w:rPr>
          <w:rFonts w:ascii="Arial" w:hAnsi="Arial" w:cs="Arial"/>
        </w:rPr>
        <w:tab/>
        <w:t xml:space="preserve">($0.00395) per </w:t>
      </w:r>
      <w:proofErr w:type="spellStart"/>
      <w:r w:rsidR="00131D65">
        <w:rPr>
          <w:rFonts w:ascii="Arial" w:hAnsi="Arial" w:cs="Arial"/>
        </w:rPr>
        <w:t>therm</w:t>
      </w:r>
      <w:proofErr w:type="spellEnd"/>
    </w:p>
    <w:p w:rsidR="00131D65" w:rsidRPr="00D15174" w:rsidRDefault="007D51DE" w:rsidP="00607AD7">
      <w:pPr>
        <w:spacing w:line="286" w:lineRule="exact"/>
        <w:rPr>
          <w:rFonts w:ascii="Arial" w:hAnsi="Arial" w:cs="Arial"/>
        </w:rPr>
      </w:pPr>
      <w:r>
        <w:rPr>
          <w:rFonts w:ascii="Arial" w:hAnsi="Arial" w:cs="Arial"/>
        </w:rPr>
        <w:t>Gas Procurement Credit</w:t>
      </w:r>
      <w:r w:rsidR="00131D65">
        <w:rPr>
          <w:rFonts w:ascii="Arial" w:hAnsi="Arial" w:cs="Arial"/>
        </w:rPr>
        <w:t xml:space="preserve">:  </w:t>
      </w:r>
      <w:r w:rsidR="00131D65">
        <w:rPr>
          <w:rFonts w:ascii="Arial" w:hAnsi="Arial" w:cs="Arial"/>
        </w:rPr>
        <w:tab/>
      </w:r>
      <w:r>
        <w:rPr>
          <w:rFonts w:ascii="Arial" w:hAnsi="Arial" w:cs="Arial"/>
        </w:rPr>
        <w:tab/>
      </w:r>
      <w:r>
        <w:rPr>
          <w:rFonts w:ascii="Arial" w:hAnsi="Arial" w:cs="Arial"/>
        </w:rPr>
        <w:tab/>
      </w:r>
      <w:r w:rsidR="00131D65">
        <w:rPr>
          <w:rFonts w:ascii="Arial" w:hAnsi="Arial" w:cs="Arial"/>
        </w:rPr>
        <w:t xml:space="preserve">$0.00007 per </w:t>
      </w:r>
      <w:proofErr w:type="spellStart"/>
      <w:r w:rsidR="00131D65">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36035B">
      <w:pPr>
        <w:spacing w:line="286" w:lineRule="exact"/>
        <w:rPr>
          <w:rFonts w:ascii="Arial" w:hAnsi="Arial" w:cs="Arial"/>
        </w:rPr>
      </w:pPr>
      <w:r>
        <w:rPr>
          <w:rFonts w:ascii="Arial" w:hAnsi="Arial" w:cs="Arial"/>
          <w:u w:val="single"/>
        </w:rPr>
        <w:t>SCHEDULES 41</w:t>
      </w:r>
    </w:p>
    <w:p w:rsidR="00131D65" w:rsidRPr="00D15174" w:rsidRDefault="007D51DE" w:rsidP="00290C07">
      <w:pPr>
        <w:spacing w:line="286" w:lineRule="exact"/>
        <w:rPr>
          <w:rFonts w:ascii="Arial" w:hAnsi="Arial" w:cs="Arial"/>
        </w:rPr>
      </w:pPr>
      <w:r>
        <w:rPr>
          <w:rFonts w:ascii="Arial" w:hAnsi="Arial" w:cs="Arial"/>
        </w:rPr>
        <w:t xml:space="preserve">Delivery </w:t>
      </w:r>
      <w:r w:rsidR="00131D65">
        <w:rPr>
          <w:rFonts w:ascii="Arial" w:hAnsi="Arial" w:cs="Arial"/>
        </w:rPr>
        <w:t xml:space="preserve">Demand Charge:  </w:t>
      </w:r>
      <w:r w:rsidR="00131D65">
        <w:rPr>
          <w:rFonts w:ascii="Arial" w:hAnsi="Arial" w:cs="Arial"/>
        </w:rPr>
        <w:tab/>
      </w:r>
      <w:r w:rsidR="00472A4C">
        <w:rPr>
          <w:rFonts w:ascii="Arial" w:hAnsi="Arial" w:cs="Arial"/>
        </w:rPr>
        <w:t xml:space="preserve">($0.01) per </w:t>
      </w:r>
      <w:proofErr w:type="spellStart"/>
      <w:r w:rsidR="00472A4C">
        <w:rPr>
          <w:rFonts w:ascii="Arial" w:hAnsi="Arial" w:cs="Arial"/>
        </w:rPr>
        <w:t>therm</w:t>
      </w:r>
      <w:proofErr w:type="spellEnd"/>
    </w:p>
    <w:p w:rsidR="00131D65" w:rsidRPr="00D15174" w:rsidRDefault="00131D65" w:rsidP="003E1029">
      <w:pPr>
        <w:spacing w:line="286" w:lineRule="exact"/>
        <w:rPr>
          <w:rFonts w:ascii="Arial" w:hAnsi="Arial" w:cs="Arial"/>
        </w:rPr>
      </w:pPr>
      <w:r>
        <w:rPr>
          <w:rFonts w:ascii="Arial" w:hAnsi="Arial" w:cs="Arial"/>
        </w:rPr>
        <w:t>Delivery Charge:</w:t>
      </w:r>
      <w:r>
        <w:rPr>
          <w:rFonts w:ascii="Arial" w:hAnsi="Arial" w:cs="Arial"/>
        </w:rPr>
        <w:tab/>
      </w:r>
      <w:r w:rsidR="007D51DE">
        <w:rPr>
          <w:rFonts w:ascii="Arial" w:hAnsi="Arial" w:cs="Arial"/>
        </w:rPr>
        <w:tab/>
      </w:r>
      <w:r>
        <w:rPr>
          <w:rFonts w:ascii="Arial" w:hAnsi="Arial" w:cs="Arial"/>
        </w:rPr>
        <w:t xml:space="preserve">901 to 5,000 </w:t>
      </w:r>
      <w:proofErr w:type="spellStart"/>
      <w:r w:rsidR="00472A4C">
        <w:rPr>
          <w:rFonts w:ascii="Arial" w:hAnsi="Arial" w:cs="Arial"/>
        </w:rPr>
        <w:t>therms</w:t>
      </w:r>
      <w:proofErr w:type="spellEnd"/>
      <w:r>
        <w:rPr>
          <w:rFonts w:ascii="Arial" w:hAnsi="Arial" w:cs="Arial"/>
        </w:rPr>
        <w:t>:</w:t>
      </w:r>
      <w:r>
        <w:rPr>
          <w:rFonts w:ascii="Arial" w:hAnsi="Arial" w:cs="Arial"/>
        </w:rPr>
        <w:tab/>
        <w:t xml:space="preserve">($0.00178) per </w:t>
      </w:r>
      <w:proofErr w:type="spellStart"/>
      <w:r>
        <w:rPr>
          <w:rFonts w:ascii="Arial" w:hAnsi="Arial" w:cs="Arial"/>
        </w:rPr>
        <w:t>therm</w:t>
      </w:r>
      <w:proofErr w:type="spellEnd"/>
    </w:p>
    <w:p w:rsidR="00131D65" w:rsidRDefault="0036035B" w:rsidP="00192239">
      <w:pPr>
        <w:spacing w:line="286" w:lineRule="exact"/>
        <w:rPr>
          <w:rFonts w:ascii="Arial" w:hAnsi="Arial" w:cs="Arial"/>
        </w:rPr>
      </w:pPr>
      <w:r>
        <w:rPr>
          <w:rFonts w:ascii="Arial" w:hAnsi="Arial" w:cs="Arial"/>
        </w:rPr>
        <w:tab/>
      </w:r>
      <w:r>
        <w:rPr>
          <w:rFonts w:ascii="Arial" w:hAnsi="Arial" w:cs="Arial"/>
        </w:rPr>
        <w:tab/>
      </w:r>
      <w:r w:rsidR="00131D65">
        <w:rPr>
          <w:rFonts w:ascii="Arial" w:hAnsi="Arial" w:cs="Arial"/>
        </w:rPr>
        <w:tab/>
      </w:r>
      <w:r w:rsidR="007D51DE">
        <w:rPr>
          <w:rFonts w:ascii="Arial" w:hAnsi="Arial" w:cs="Arial"/>
        </w:rPr>
        <w:tab/>
      </w:r>
      <w:r w:rsidR="00472A4C">
        <w:rPr>
          <w:rFonts w:ascii="Arial" w:hAnsi="Arial" w:cs="Arial"/>
        </w:rPr>
        <w:t xml:space="preserve">Over 5,000 </w:t>
      </w:r>
      <w:proofErr w:type="spellStart"/>
      <w:r w:rsidR="00472A4C">
        <w:rPr>
          <w:rFonts w:ascii="Arial" w:hAnsi="Arial" w:cs="Arial"/>
        </w:rPr>
        <w:t>therms</w:t>
      </w:r>
      <w:proofErr w:type="spellEnd"/>
      <w:r w:rsidR="00131D65">
        <w:rPr>
          <w:rFonts w:ascii="Arial" w:hAnsi="Arial" w:cs="Arial"/>
        </w:rPr>
        <w:t>:</w:t>
      </w:r>
      <w:r w:rsidR="00131D65">
        <w:rPr>
          <w:rFonts w:ascii="Arial" w:hAnsi="Arial" w:cs="Arial"/>
        </w:rPr>
        <w:tab/>
        <w:t xml:space="preserve">($0.00143) per </w:t>
      </w:r>
      <w:proofErr w:type="spellStart"/>
      <w:r w:rsidR="00131D65">
        <w:rPr>
          <w:rFonts w:ascii="Arial" w:hAnsi="Arial" w:cs="Arial"/>
        </w:rPr>
        <w:t>therm</w:t>
      </w:r>
      <w:proofErr w:type="spellEnd"/>
    </w:p>
    <w:p w:rsidR="00131D65" w:rsidRDefault="00131D65" w:rsidP="001C159B">
      <w:pPr>
        <w:spacing w:line="286" w:lineRule="exact"/>
        <w:rPr>
          <w:rFonts w:ascii="Arial" w:hAnsi="Arial" w:cs="Arial"/>
        </w:rPr>
      </w:pPr>
    </w:p>
    <w:p w:rsidR="00131D65" w:rsidRDefault="00131D65" w:rsidP="001C159B">
      <w:pPr>
        <w:spacing w:line="286" w:lineRule="exact"/>
        <w:rPr>
          <w:rFonts w:ascii="Arial" w:hAnsi="Arial" w:cs="Arial"/>
        </w:rPr>
      </w:pPr>
      <w:bookmarkStart w:id="0" w:name="_GoBack"/>
      <w:bookmarkEnd w:id="0"/>
    </w:p>
    <w:p w:rsidR="00131D65" w:rsidRDefault="00131D65" w:rsidP="001C159B">
      <w:pPr>
        <w:spacing w:line="286" w:lineRule="exact"/>
        <w:rPr>
          <w:rFonts w:ascii="Arial" w:hAnsi="Arial" w:cs="Arial"/>
        </w:rPr>
      </w:pPr>
    </w:p>
    <w:p w:rsidR="00131D65" w:rsidRDefault="00131D65" w:rsidP="001C159B">
      <w:pPr>
        <w:spacing w:line="286" w:lineRule="exact"/>
        <w:rPr>
          <w:rFonts w:ascii="Arial" w:hAnsi="Arial" w:cs="Arial"/>
        </w:rPr>
      </w:pPr>
    </w:p>
    <w:p w:rsidR="00131D65" w:rsidRDefault="00131D65" w:rsidP="00290C0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right"/>
        <w:rPr>
          <w:rFonts w:ascii="Arial" w:hAnsi="Arial" w:cs="Arial"/>
        </w:rPr>
      </w:pPr>
      <w:r>
        <w:rPr>
          <w:rFonts w:ascii="Arial" w:hAnsi="Arial"/>
        </w:rPr>
        <w:t>(Continued on Sheet 1139-D)</w:t>
      </w:r>
      <w:r w:rsidRPr="007D3E3E">
        <w:rPr>
          <w:rFonts w:ascii="Arial" w:hAnsi="Arial" w:cs="Arial"/>
        </w:rPr>
        <w:br w:type="column"/>
      </w:r>
    </w:p>
    <w:p w:rsidR="00131D65" w:rsidRPr="007D3E3E"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131D65"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131D65" w:rsidRPr="007D3E3E" w:rsidRDefault="00472A4C">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131D65"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131D65"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131D65" w:rsidRPr="00E36E9D" w:rsidTr="008C4CF3">
        <w:trPr>
          <w:trHeight w:val="612"/>
        </w:trPr>
        <w:tc>
          <w:tcPr>
            <w:tcW w:w="828" w:type="dxa"/>
          </w:tcPr>
          <w:p w:rsidR="00131D65" w:rsidRPr="00E36E9D" w:rsidRDefault="00472A4C"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131D65" w:rsidRPr="007D3E3E"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sectPr w:rsidR="00131D65" w:rsidRPr="007D3E3E" w:rsidSect="00D0649A">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65" w:rsidRDefault="00131D65">
      <w:r>
        <w:separator/>
      </w:r>
    </w:p>
  </w:endnote>
  <w:endnote w:type="continuationSeparator" w:id="0">
    <w:p w:rsidR="00131D65" w:rsidRDefault="0013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65" w:rsidRDefault="00131D65">
      <w:r>
        <w:separator/>
      </w:r>
    </w:p>
  </w:footnote>
  <w:footnote w:type="continuationSeparator" w:id="0">
    <w:p w:rsidR="00131D65" w:rsidRDefault="0013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3078"/>
    <w:rsid w:val="000126DD"/>
    <w:rsid w:val="00042B2C"/>
    <w:rsid w:val="00043D5C"/>
    <w:rsid w:val="00063877"/>
    <w:rsid w:val="00070CD7"/>
    <w:rsid w:val="0007756F"/>
    <w:rsid w:val="00086D1D"/>
    <w:rsid w:val="00092301"/>
    <w:rsid w:val="00097DF1"/>
    <w:rsid w:val="000B0A4E"/>
    <w:rsid w:val="000B0D5F"/>
    <w:rsid w:val="00106563"/>
    <w:rsid w:val="00106AE2"/>
    <w:rsid w:val="00122EAE"/>
    <w:rsid w:val="0012490E"/>
    <w:rsid w:val="00130925"/>
    <w:rsid w:val="00131D65"/>
    <w:rsid w:val="00173E07"/>
    <w:rsid w:val="00180CB4"/>
    <w:rsid w:val="00183C9E"/>
    <w:rsid w:val="00192239"/>
    <w:rsid w:val="0019294F"/>
    <w:rsid w:val="00194251"/>
    <w:rsid w:val="00194937"/>
    <w:rsid w:val="001978CF"/>
    <w:rsid w:val="001A0380"/>
    <w:rsid w:val="001B686F"/>
    <w:rsid w:val="001C159B"/>
    <w:rsid w:val="00200A61"/>
    <w:rsid w:val="00222C4F"/>
    <w:rsid w:val="00225818"/>
    <w:rsid w:val="00231A26"/>
    <w:rsid w:val="0023379F"/>
    <w:rsid w:val="002422D5"/>
    <w:rsid w:val="002459B3"/>
    <w:rsid w:val="00280B9B"/>
    <w:rsid w:val="00283CBB"/>
    <w:rsid w:val="00290C07"/>
    <w:rsid w:val="002B06AB"/>
    <w:rsid w:val="002B60AC"/>
    <w:rsid w:val="002C373C"/>
    <w:rsid w:val="002F076B"/>
    <w:rsid w:val="00332215"/>
    <w:rsid w:val="00336F46"/>
    <w:rsid w:val="00356FC3"/>
    <w:rsid w:val="0036035B"/>
    <w:rsid w:val="0036174C"/>
    <w:rsid w:val="00362FC5"/>
    <w:rsid w:val="00365395"/>
    <w:rsid w:val="003808B6"/>
    <w:rsid w:val="003907FA"/>
    <w:rsid w:val="00392D44"/>
    <w:rsid w:val="00395173"/>
    <w:rsid w:val="003A255E"/>
    <w:rsid w:val="003B20EC"/>
    <w:rsid w:val="003B4AE1"/>
    <w:rsid w:val="003B6DD4"/>
    <w:rsid w:val="003D02DD"/>
    <w:rsid w:val="003E09A3"/>
    <w:rsid w:val="003E1029"/>
    <w:rsid w:val="003F7E68"/>
    <w:rsid w:val="0041417C"/>
    <w:rsid w:val="004156E6"/>
    <w:rsid w:val="004434F0"/>
    <w:rsid w:val="00446154"/>
    <w:rsid w:val="00467AF4"/>
    <w:rsid w:val="00472A4C"/>
    <w:rsid w:val="00476884"/>
    <w:rsid w:val="00482AA0"/>
    <w:rsid w:val="004C095B"/>
    <w:rsid w:val="004D274D"/>
    <w:rsid w:val="004E4095"/>
    <w:rsid w:val="004E7BAD"/>
    <w:rsid w:val="00500E2E"/>
    <w:rsid w:val="00501D56"/>
    <w:rsid w:val="00526C74"/>
    <w:rsid w:val="005334DC"/>
    <w:rsid w:val="0054011A"/>
    <w:rsid w:val="00564488"/>
    <w:rsid w:val="00596296"/>
    <w:rsid w:val="005B2D7A"/>
    <w:rsid w:val="005C72C3"/>
    <w:rsid w:val="005F3CAA"/>
    <w:rsid w:val="00607AD7"/>
    <w:rsid w:val="00616D33"/>
    <w:rsid w:val="006201BC"/>
    <w:rsid w:val="00622BA2"/>
    <w:rsid w:val="00637E48"/>
    <w:rsid w:val="006462CD"/>
    <w:rsid w:val="0064749C"/>
    <w:rsid w:val="006474DB"/>
    <w:rsid w:val="006778E0"/>
    <w:rsid w:val="006803FD"/>
    <w:rsid w:val="006828E1"/>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6DA6"/>
    <w:rsid w:val="007A2526"/>
    <w:rsid w:val="007D3E3E"/>
    <w:rsid w:val="007D51DE"/>
    <w:rsid w:val="007E271A"/>
    <w:rsid w:val="007F35FA"/>
    <w:rsid w:val="00816156"/>
    <w:rsid w:val="0083095A"/>
    <w:rsid w:val="00843DB5"/>
    <w:rsid w:val="00870E61"/>
    <w:rsid w:val="008723B7"/>
    <w:rsid w:val="008A3B30"/>
    <w:rsid w:val="008A607E"/>
    <w:rsid w:val="008C4CF3"/>
    <w:rsid w:val="008D4C40"/>
    <w:rsid w:val="008E6D08"/>
    <w:rsid w:val="008F073A"/>
    <w:rsid w:val="00903265"/>
    <w:rsid w:val="0092788B"/>
    <w:rsid w:val="00946289"/>
    <w:rsid w:val="00951B40"/>
    <w:rsid w:val="00974F4F"/>
    <w:rsid w:val="0098544A"/>
    <w:rsid w:val="009912F8"/>
    <w:rsid w:val="00995171"/>
    <w:rsid w:val="00996859"/>
    <w:rsid w:val="009E0294"/>
    <w:rsid w:val="009E0616"/>
    <w:rsid w:val="00A030B6"/>
    <w:rsid w:val="00A126CE"/>
    <w:rsid w:val="00A22F1C"/>
    <w:rsid w:val="00A23C6A"/>
    <w:rsid w:val="00A246E7"/>
    <w:rsid w:val="00A302A6"/>
    <w:rsid w:val="00A340B1"/>
    <w:rsid w:val="00A35964"/>
    <w:rsid w:val="00A41E46"/>
    <w:rsid w:val="00A420DA"/>
    <w:rsid w:val="00A612E7"/>
    <w:rsid w:val="00AA30E4"/>
    <w:rsid w:val="00AA7F6D"/>
    <w:rsid w:val="00AD1D3D"/>
    <w:rsid w:val="00AF3404"/>
    <w:rsid w:val="00AF4AA0"/>
    <w:rsid w:val="00AF4EA4"/>
    <w:rsid w:val="00AF57E8"/>
    <w:rsid w:val="00B24546"/>
    <w:rsid w:val="00B252FA"/>
    <w:rsid w:val="00B27E1B"/>
    <w:rsid w:val="00B31B72"/>
    <w:rsid w:val="00B40D0C"/>
    <w:rsid w:val="00B513C0"/>
    <w:rsid w:val="00B54B91"/>
    <w:rsid w:val="00B56EB4"/>
    <w:rsid w:val="00B73527"/>
    <w:rsid w:val="00B76DB5"/>
    <w:rsid w:val="00B95E92"/>
    <w:rsid w:val="00B96495"/>
    <w:rsid w:val="00BA08F7"/>
    <w:rsid w:val="00BA0A54"/>
    <w:rsid w:val="00BA0F8D"/>
    <w:rsid w:val="00BD6218"/>
    <w:rsid w:val="00BF485D"/>
    <w:rsid w:val="00C037A5"/>
    <w:rsid w:val="00C20562"/>
    <w:rsid w:val="00C256F9"/>
    <w:rsid w:val="00C27ADC"/>
    <w:rsid w:val="00C422B5"/>
    <w:rsid w:val="00C4313C"/>
    <w:rsid w:val="00C51F6D"/>
    <w:rsid w:val="00C537D6"/>
    <w:rsid w:val="00C54878"/>
    <w:rsid w:val="00C62627"/>
    <w:rsid w:val="00C803EC"/>
    <w:rsid w:val="00C8344C"/>
    <w:rsid w:val="00C86DED"/>
    <w:rsid w:val="00CB1257"/>
    <w:rsid w:val="00CC31A0"/>
    <w:rsid w:val="00CD43BF"/>
    <w:rsid w:val="00CE0A3A"/>
    <w:rsid w:val="00CE18DC"/>
    <w:rsid w:val="00CE24BA"/>
    <w:rsid w:val="00D0649A"/>
    <w:rsid w:val="00D15174"/>
    <w:rsid w:val="00D45500"/>
    <w:rsid w:val="00D51DED"/>
    <w:rsid w:val="00D60808"/>
    <w:rsid w:val="00D6784A"/>
    <w:rsid w:val="00D811D8"/>
    <w:rsid w:val="00D82AEF"/>
    <w:rsid w:val="00DA57CF"/>
    <w:rsid w:val="00DB3290"/>
    <w:rsid w:val="00DB53D1"/>
    <w:rsid w:val="00DB6142"/>
    <w:rsid w:val="00DC29E8"/>
    <w:rsid w:val="00DD0527"/>
    <w:rsid w:val="00DE28C5"/>
    <w:rsid w:val="00DE4708"/>
    <w:rsid w:val="00DF00BB"/>
    <w:rsid w:val="00E0561F"/>
    <w:rsid w:val="00E22FEC"/>
    <w:rsid w:val="00E246B7"/>
    <w:rsid w:val="00E33923"/>
    <w:rsid w:val="00E342F1"/>
    <w:rsid w:val="00E36E9D"/>
    <w:rsid w:val="00E40B5A"/>
    <w:rsid w:val="00E410DE"/>
    <w:rsid w:val="00E4605E"/>
    <w:rsid w:val="00E91B60"/>
    <w:rsid w:val="00E95A52"/>
    <w:rsid w:val="00EA5E64"/>
    <w:rsid w:val="00EB2B57"/>
    <w:rsid w:val="00ED6236"/>
    <w:rsid w:val="00EE4A08"/>
    <w:rsid w:val="00EF1B20"/>
    <w:rsid w:val="00EF5F9A"/>
    <w:rsid w:val="00F03D69"/>
    <w:rsid w:val="00F30D96"/>
    <w:rsid w:val="00F406A6"/>
    <w:rsid w:val="00F461A9"/>
    <w:rsid w:val="00F50863"/>
    <w:rsid w:val="00F66844"/>
    <w:rsid w:val="00F72CB0"/>
    <w:rsid w:val="00F835C7"/>
    <w:rsid w:val="00F906F7"/>
    <w:rsid w:val="00F90C2A"/>
    <w:rsid w:val="00F9588F"/>
    <w:rsid w:val="00F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9A"/>
    <w:rPr>
      <w:sz w:val="20"/>
      <w:szCs w:val="20"/>
    </w:rPr>
  </w:style>
  <w:style w:type="paragraph" w:styleId="Heading1">
    <w:name w:val="heading 1"/>
    <w:basedOn w:val="Normal"/>
    <w:next w:val="Normal"/>
    <w:link w:val="Heading1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D0649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8C4CF3"/>
    <w:rPr>
      <w:rFonts w:cs="Times New Roman"/>
      <w:sz w:val="22"/>
      <w:u w:val="single"/>
    </w:rPr>
  </w:style>
  <w:style w:type="character" w:customStyle="1" w:styleId="Heading3Char">
    <w:name w:val="Heading 3 Char"/>
    <w:basedOn w:val="DefaultParagraphFont"/>
    <w:link w:val="Heading3"/>
    <w:uiPriority w:val="9"/>
    <w:semiHidden/>
    <w:rsid w:val="000E6F3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E6F38"/>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D0649A"/>
    <w:rPr>
      <w:rFonts w:cs="Times New Roman"/>
    </w:rPr>
  </w:style>
  <w:style w:type="paragraph" w:styleId="BodyTextIndent">
    <w:name w:val="Body Text Indent"/>
    <w:basedOn w:val="Normal"/>
    <w:link w:val="BodyTextIndentChar"/>
    <w:uiPriority w:val="99"/>
    <w:rsid w:val="00D0649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rsid w:val="000E6F38"/>
    <w:rPr>
      <w:sz w:val="20"/>
      <w:szCs w:val="20"/>
    </w:rPr>
  </w:style>
  <w:style w:type="paragraph" w:styleId="BodyText">
    <w:name w:val="Body Text"/>
    <w:basedOn w:val="Normal"/>
    <w:link w:val="BodyTextChar"/>
    <w:uiPriority w:val="99"/>
    <w:rsid w:val="00D0649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rsid w:val="000E6F38"/>
    <w:rPr>
      <w:sz w:val="20"/>
      <w:szCs w:val="20"/>
    </w:rPr>
  </w:style>
  <w:style w:type="paragraph" w:styleId="Header">
    <w:name w:val="header"/>
    <w:basedOn w:val="Normal"/>
    <w:link w:val="HeaderChar"/>
    <w:uiPriority w:val="99"/>
    <w:rsid w:val="00D0649A"/>
    <w:pPr>
      <w:tabs>
        <w:tab w:val="center" w:pos="4320"/>
        <w:tab w:val="right" w:pos="8640"/>
      </w:tabs>
    </w:pPr>
  </w:style>
  <w:style w:type="character" w:customStyle="1" w:styleId="HeaderChar">
    <w:name w:val="Header Char"/>
    <w:basedOn w:val="DefaultParagraphFont"/>
    <w:link w:val="Header"/>
    <w:uiPriority w:val="99"/>
    <w:semiHidden/>
    <w:rsid w:val="000E6F38"/>
    <w:rPr>
      <w:sz w:val="20"/>
      <w:szCs w:val="20"/>
    </w:rPr>
  </w:style>
  <w:style w:type="paragraph" w:styleId="Footer">
    <w:name w:val="footer"/>
    <w:basedOn w:val="Normal"/>
    <w:link w:val="FooterChar"/>
    <w:uiPriority w:val="99"/>
    <w:rsid w:val="00D0649A"/>
    <w:pPr>
      <w:tabs>
        <w:tab w:val="center" w:pos="4320"/>
        <w:tab w:val="right" w:pos="8640"/>
      </w:tabs>
    </w:pPr>
  </w:style>
  <w:style w:type="character" w:customStyle="1" w:styleId="FooterChar">
    <w:name w:val="Footer Char"/>
    <w:basedOn w:val="DefaultParagraphFont"/>
    <w:link w:val="Footer"/>
    <w:uiPriority w:val="99"/>
    <w:semiHidden/>
    <w:rsid w:val="000E6F38"/>
    <w:rPr>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rsid w:val="000E6F38"/>
    <w:rPr>
      <w:sz w:val="0"/>
      <w:szCs w:val="0"/>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rsid w:val="000E6F38"/>
    <w:rPr>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0775">
      <w:marLeft w:val="0"/>
      <w:marRight w:val="0"/>
      <w:marTop w:val="0"/>
      <w:marBottom w:val="0"/>
      <w:divBdr>
        <w:top w:val="none" w:sz="0" w:space="0" w:color="auto"/>
        <w:left w:val="none" w:sz="0" w:space="0" w:color="auto"/>
        <w:bottom w:val="none" w:sz="0" w:space="0" w:color="auto"/>
        <w:right w:val="none" w:sz="0" w:space="0" w:color="auto"/>
      </w:divBdr>
      <w:divsChild>
        <w:div w:id="156920776">
          <w:marLeft w:val="0"/>
          <w:marRight w:val="0"/>
          <w:marTop w:val="0"/>
          <w:marBottom w:val="0"/>
          <w:divBdr>
            <w:top w:val="none" w:sz="0" w:space="0" w:color="auto"/>
            <w:left w:val="none" w:sz="0" w:space="0" w:color="auto"/>
            <w:bottom w:val="none" w:sz="0" w:space="0" w:color="auto"/>
            <w:right w:val="none" w:sz="0" w:space="0" w:color="auto"/>
          </w:divBdr>
          <w:divsChild>
            <w:div w:id="1569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A9CB9E-CDBF-42D2-950A-910874600576}"/>
</file>

<file path=customXml/itemProps2.xml><?xml version="1.0" encoding="utf-8"?>
<ds:datastoreItem xmlns:ds="http://schemas.openxmlformats.org/officeDocument/2006/customXml" ds:itemID="{841F372E-F585-4330-BBE7-4D0C83C230FD}"/>
</file>

<file path=customXml/itemProps3.xml><?xml version="1.0" encoding="utf-8"?>
<ds:datastoreItem xmlns:ds="http://schemas.openxmlformats.org/officeDocument/2006/customXml" ds:itemID="{537DCEAF-A366-4F09-96E3-3E1C881989E7}"/>
</file>

<file path=customXml/itemProps4.xml><?xml version="1.0" encoding="utf-8"?>
<ds:datastoreItem xmlns:ds="http://schemas.openxmlformats.org/officeDocument/2006/customXml" ds:itemID="{DF809947-0477-4233-9BFA-4A220B82993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4</cp:revision>
  <dcterms:created xsi:type="dcterms:W3CDTF">2013-02-28T22:30:00Z</dcterms:created>
  <dcterms:modified xsi:type="dcterms:W3CDTF">2013-02-28T22:34:00Z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