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3.xml" ContentType="application/vnd.openxmlformats-officedocument.wordprocessingml.footer+xml"/>
  <Override PartName="/word/footer24.xml" ContentType="application/vnd.openxmlformats-officedocument.wordprocessingml.footer+xml"/>
  <Override PartName="/word/footer20.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1.xml" ContentType="application/vnd.openxmlformats-officedocument.wordprocessingml.footer+xml"/>
  <Override PartName="/word/footer22.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46" w:rsidRPr="001934ED" w:rsidRDefault="00A83246" w:rsidP="00A83246">
      <w:pPr>
        <w:ind w:left="4950" w:firstLine="720"/>
        <w:rPr>
          <w:b/>
          <w:bCs/>
          <w:lang w:val="fr-FR"/>
        </w:rPr>
      </w:pPr>
      <w:r>
        <w:rPr>
          <w:b/>
          <w:bCs/>
          <w:lang w:val="fr-FR"/>
        </w:rPr>
        <w:t>Exhibit No. DCP-1T</w:t>
      </w:r>
    </w:p>
    <w:p w:rsidR="00A83246" w:rsidRDefault="00A83246" w:rsidP="00A83246">
      <w:pPr>
        <w:ind w:left="5310" w:firstLine="360"/>
        <w:rPr>
          <w:b/>
          <w:bCs/>
        </w:rPr>
      </w:pPr>
      <w:r w:rsidRPr="001934ED">
        <w:rPr>
          <w:b/>
          <w:bCs/>
        </w:rPr>
        <w:t>D</w:t>
      </w:r>
      <w:r>
        <w:rPr>
          <w:b/>
          <w:bCs/>
        </w:rPr>
        <w:t xml:space="preserve">ockets </w:t>
      </w:r>
      <w:r w:rsidRPr="001934ED">
        <w:rPr>
          <w:b/>
          <w:bCs/>
        </w:rPr>
        <w:t>UE-</w:t>
      </w:r>
      <w:r>
        <w:rPr>
          <w:b/>
          <w:bCs/>
        </w:rPr>
        <w:t>090</w:t>
      </w:r>
      <w:r w:rsidR="00FB1E69">
        <w:rPr>
          <w:b/>
          <w:bCs/>
        </w:rPr>
        <w:t>704</w:t>
      </w:r>
      <w:r>
        <w:rPr>
          <w:b/>
          <w:bCs/>
        </w:rPr>
        <w:t>/UG-09</w:t>
      </w:r>
      <w:r w:rsidR="00FB1E69">
        <w:rPr>
          <w:b/>
          <w:bCs/>
        </w:rPr>
        <w:t>0705</w:t>
      </w:r>
    </w:p>
    <w:p w:rsidR="00A83246" w:rsidRDefault="00A83246" w:rsidP="00A83246">
      <w:pPr>
        <w:ind w:left="5310" w:firstLine="360"/>
        <w:rPr>
          <w:b/>
          <w:bCs/>
        </w:rPr>
      </w:pPr>
      <w:r w:rsidRPr="001934ED">
        <w:rPr>
          <w:b/>
          <w:bCs/>
        </w:rPr>
        <w:t xml:space="preserve">Witness: </w:t>
      </w:r>
      <w:r>
        <w:rPr>
          <w:b/>
          <w:bCs/>
        </w:rPr>
        <w:t xml:space="preserve"> David C. Parcell </w:t>
      </w:r>
    </w:p>
    <w:p w:rsidR="00A83246" w:rsidRPr="001934ED" w:rsidRDefault="00A83246" w:rsidP="00853A60">
      <w:pPr>
        <w:rPr>
          <w:b/>
          <w:bCs/>
        </w:rPr>
      </w:pPr>
    </w:p>
    <w:p w:rsidR="00FB1E69" w:rsidRDefault="00FB1E69" w:rsidP="00853A60">
      <w:pPr>
        <w:tabs>
          <w:tab w:val="center" w:pos="4680"/>
        </w:tabs>
        <w:ind w:right="-252"/>
        <w:rPr>
          <w:b/>
          <w:bCs/>
        </w:rPr>
      </w:pPr>
    </w:p>
    <w:p w:rsidR="00FB1E69" w:rsidRDefault="00FB1E69" w:rsidP="00853A60">
      <w:pPr>
        <w:tabs>
          <w:tab w:val="center" w:pos="4680"/>
        </w:tabs>
        <w:ind w:right="-252"/>
        <w:rPr>
          <w:b/>
          <w:bCs/>
        </w:rPr>
      </w:pPr>
    </w:p>
    <w:p w:rsidR="0055799D" w:rsidRPr="00245FEE" w:rsidRDefault="0055799D" w:rsidP="0055799D">
      <w:pPr>
        <w:tabs>
          <w:tab w:val="center" w:pos="4680"/>
        </w:tabs>
        <w:ind w:right="-108" w:hanging="180"/>
        <w:jc w:val="center"/>
        <w:rPr>
          <w:b/>
        </w:rPr>
      </w:pPr>
      <w:r w:rsidRPr="00245FEE">
        <w:rPr>
          <w:b/>
        </w:rPr>
        <w:t>BEFORE THE WASHINGTON STATE</w:t>
      </w:r>
    </w:p>
    <w:p w:rsidR="0055799D" w:rsidRPr="00245FEE" w:rsidRDefault="0055799D" w:rsidP="0055799D">
      <w:pPr>
        <w:tabs>
          <w:tab w:val="center" w:pos="4680"/>
        </w:tabs>
        <w:ind w:right="-108" w:hanging="180"/>
        <w:jc w:val="center"/>
        <w:rPr>
          <w:b/>
        </w:rPr>
      </w:pPr>
      <w:r w:rsidRPr="00245FEE">
        <w:rPr>
          <w:b/>
        </w:rPr>
        <w:t>UTILITIES AND TRANSPORTATION COMMISSION</w:t>
      </w:r>
    </w:p>
    <w:p w:rsidR="0055799D" w:rsidRPr="00245FEE" w:rsidRDefault="0055799D" w:rsidP="0055799D">
      <w:pPr>
        <w:jc w:val="both"/>
        <w:rPr>
          <w:b/>
        </w:rPr>
      </w:pPr>
    </w:p>
    <w:p w:rsidR="0055799D" w:rsidRPr="00245FEE" w:rsidRDefault="0055799D" w:rsidP="0055799D">
      <w:pPr>
        <w:jc w:val="both"/>
        <w:rPr>
          <w:b/>
        </w:rPr>
      </w:pPr>
    </w:p>
    <w:tbl>
      <w:tblPr>
        <w:tblW w:w="0" w:type="auto"/>
        <w:tblInd w:w="124" w:type="dxa"/>
        <w:tblLayout w:type="fixed"/>
        <w:tblCellMar>
          <w:left w:w="124" w:type="dxa"/>
          <w:right w:w="124" w:type="dxa"/>
        </w:tblCellMar>
        <w:tblLook w:val="0000"/>
      </w:tblPr>
      <w:tblGrid>
        <w:gridCol w:w="4590"/>
        <w:gridCol w:w="4590"/>
      </w:tblGrid>
      <w:tr w:rsidR="0055799D" w:rsidRPr="00245FEE" w:rsidTr="0055799D">
        <w:tc>
          <w:tcPr>
            <w:tcW w:w="4590" w:type="dxa"/>
            <w:tcBorders>
              <w:top w:val="single" w:sz="6" w:space="0" w:color="FFFFFF"/>
              <w:left w:val="single" w:sz="6" w:space="0" w:color="FFFFFF"/>
              <w:bottom w:val="single" w:sz="6" w:space="0" w:color="000000"/>
              <w:right w:val="single" w:sz="6" w:space="0" w:color="FFFFFF"/>
            </w:tcBorders>
          </w:tcPr>
          <w:p w:rsidR="0055799D" w:rsidRPr="00245FEE" w:rsidRDefault="0055799D" w:rsidP="0055799D">
            <w:pPr>
              <w:rPr>
                <w:b/>
              </w:rPr>
            </w:pPr>
            <w:r w:rsidRPr="00245FEE">
              <w:rPr>
                <w:b/>
              </w:rPr>
              <w:t xml:space="preserve">WASHINGTON UTILITIES AND TRANSPORTATION COMMISSION, </w:t>
            </w:r>
          </w:p>
          <w:p w:rsidR="0055799D" w:rsidRPr="00245FEE" w:rsidRDefault="0055799D" w:rsidP="0055799D">
            <w:pPr>
              <w:rPr>
                <w:b/>
              </w:rPr>
            </w:pPr>
          </w:p>
          <w:p w:rsidR="0055799D" w:rsidRPr="00245FEE" w:rsidRDefault="0055799D" w:rsidP="0055799D">
            <w:pPr>
              <w:rPr>
                <w:b/>
              </w:rPr>
            </w:pPr>
            <w:r w:rsidRPr="00245FEE">
              <w:rPr>
                <w:b/>
              </w:rPr>
              <w:tab/>
            </w:r>
            <w:r w:rsidRPr="00245FEE">
              <w:rPr>
                <w:b/>
              </w:rPr>
              <w:tab/>
              <w:t>Complainant,</w:t>
            </w:r>
          </w:p>
          <w:p w:rsidR="0055799D" w:rsidRPr="00245FEE" w:rsidRDefault="0055799D" w:rsidP="0055799D">
            <w:pPr>
              <w:rPr>
                <w:b/>
              </w:rPr>
            </w:pPr>
          </w:p>
          <w:p w:rsidR="0055799D" w:rsidRPr="00245FEE" w:rsidRDefault="0055799D" w:rsidP="0055799D">
            <w:pPr>
              <w:rPr>
                <w:b/>
              </w:rPr>
            </w:pPr>
            <w:r w:rsidRPr="00245FEE">
              <w:rPr>
                <w:b/>
              </w:rPr>
              <w:t>v.</w:t>
            </w:r>
          </w:p>
          <w:p w:rsidR="0055799D" w:rsidRPr="00245FEE" w:rsidRDefault="0055799D" w:rsidP="0055799D">
            <w:pPr>
              <w:rPr>
                <w:b/>
              </w:rPr>
            </w:pPr>
          </w:p>
          <w:p w:rsidR="0055799D" w:rsidRPr="00245FEE" w:rsidRDefault="0055799D" w:rsidP="0055799D">
            <w:pPr>
              <w:rPr>
                <w:b/>
              </w:rPr>
            </w:pPr>
            <w:r>
              <w:rPr>
                <w:b/>
              </w:rPr>
              <w:t>PUGET SOUND ENERGY</w:t>
            </w:r>
            <w:r w:rsidRPr="00245FEE">
              <w:rPr>
                <w:b/>
              </w:rPr>
              <w:t>,</w:t>
            </w:r>
            <w:r>
              <w:rPr>
                <w:b/>
              </w:rPr>
              <w:t xml:space="preserve"> INC.,</w:t>
            </w:r>
            <w:r w:rsidRPr="00245FEE">
              <w:rPr>
                <w:b/>
              </w:rPr>
              <w:t xml:space="preserve"> </w:t>
            </w:r>
          </w:p>
          <w:p w:rsidR="0055799D" w:rsidRPr="00245FEE" w:rsidRDefault="0055799D" w:rsidP="0055799D">
            <w:pPr>
              <w:rPr>
                <w:b/>
              </w:rPr>
            </w:pPr>
          </w:p>
          <w:p w:rsidR="0055799D" w:rsidRPr="00245FEE" w:rsidRDefault="0055799D" w:rsidP="0055799D">
            <w:pPr>
              <w:rPr>
                <w:b/>
              </w:rPr>
            </w:pPr>
            <w:r w:rsidRPr="00245FEE">
              <w:rPr>
                <w:b/>
              </w:rPr>
              <w:tab/>
            </w:r>
            <w:r w:rsidRPr="00245FEE">
              <w:rPr>
                <w:b/>
              </w:rPr>
              <w:tab/>
              <w:t>Respondent.</w:t>
            </w:r>
          </w:p>
          <w:p w:rsidR="0055799D" w:rsidRPr="00245FEE" w:rsidRDefault="0055799D" w:rsidP="0055799D">
            <w:pPr>
              <w:rPr>
                <w:b/>
              </w:rPr>
            </w:pPr>
          </w:p>
        </w:tc>
        <w:tc>
          <w:tcPr>
            <w:tcW w:w="4590" w:type="dxa"/>
            <w:tcBorders>
              <w:top w:val="single" w:sz="6" w:space="0" w:color="FFFFFF"/>
              <w:left w:val="single" w:sz="6" w:space="0" w:color="000000"/>
              <w:bottom w:val="single" w:sz="6" w:space="0" w:color="FFFFFF"/>
              <w:right w:val="single" w:sz="6" w:space="0" w:color="FFFFFF"/>
            </w:tcBorders>
          </w:tcPr>
          <w:p w:rsidR="0055799D" w:rsidRDefault="0055799D" w:rsidP="0055799D">
            <w:pPr>
              <w:ind w:firstLine="720"/>
              <w:rPr>
                <w:b/>
              </w:rPr>
            </w:pPr>
            <w:r w:rsidRPr="00245FEE">
              <w:rPr>
                <w:b/>
              </w:rPr>
              <w:t>DOCKET UE-090</w:t>
            </w:r>
            <w:r>
              <w:rPr>
                <w:b/>
              </w:rPr>
              <w:t>704</w:t>
            </w:r>
          </w:p>
          <w:p w:rsidR="0055799D" w:rsidRDefault="0055799D" w:rsidP="0055799D">
            <w:pPr>
              <w:ind w:firstLine="720"/>
              <w:rPr>
                <w:b/>
              </w:rPr>
            </w:pPr>
          </w:p>
          <w:p w:rsidR="0055799D" w:rsidRDefault="0055799D" w:rsidP="0055799D">
            <w:pPr>
              <w:ind w:firstLine="720"/>
              <w:rPr>
                <w:b/>
              </w:rPr>
            </w:pPr>
            <w:r>
              <w:rPr>
                <w:b/>
              </w:rPr>
              <w:t>and</w:t>
            </w:r>
          </w:p>
          <w:p w:rsidR="0055799D" w:rsidRPr="00245FEE" w:rsidRDefault="0055799D" w:rsidP="0055799D">
            <w:pPr>
              <w:rPr>
                <w:b/>
              </w:rPr>
            </w:pPr>
          </w:p>
          <w:p w:rsidR="0055799D" w:rsidRDefault="0055799D" w:rsidP="0055799D">
            <w:pPr>
              <w:ind w:left="720"/>
              <w:rPr>
                <w:b/>
              </w:rPr>
            </w:pPr>
            <w:r>
              <w:rPr>
                <w:b/>
              </w:rPr>
              <w:t>DOCKET UG-090705</w:t>
            </w:r>
          </w:p>
          <w:p w:rsidR="0055799D" w:rsidRPr="0055799D" w:rsidRDefault="0055799D" w:rsidP="0055799D">
            <w:pPr>
              <w:ind w:left="720"/>
              <w:rPr>
                <w:b/>
                <w:i/>
              </w:rPr>
            </w:pPr>
            <w:r>
              <w:rPr>
                <w:b/>
                <w:i/>
              </w:rPr>
              <w:t>(consolidated)</w:t>
            </w:r>
          </w:p>
          <w:p w:rsidR="0055799D" w:rsidRPr="00245FEE" w:rsidRDefault="0055799D" w:rsidP="0055799D">
            <w:pPr>
              <w:ind w:left="720"/>
              <w:rPr>
                <w:b/>
              </w:rPr>
            </w:pPr>
          </w:p>
          <w:p w:rsidR="0055799D" w:rsidRPr="00245FEE" w:rsidRDefault="0055799D" w:rsidP="0055799D">
            <w:pPr>
              <w:ind w:left="720"/>
              <w:rPr>
                <w:b/>
              </w:rPr>
            </w:pPr>
          </w:p>
        </w:tc>
      </w:tr>
    </w:tbl>
    <w:p w:rsidR="0055799D" w:rsidRPr="00245FEE" w:rsidRDefault="0055799D" w:rsidP="0055799D">
      <w:pPr>
        <w:jc w:val="both"/>
        <w:rPr>
          <w:b/>
        </w:rPr>
      </w:pPr>
    </w:p>
    <w:p w:rsidR="0055799D" w:rsidRPr="00245FEE" w:rsidRDefault="0055799D" w:rsidP="0055799D">
      <w:pPr>
        <w:tabs>
          <w:tab w:val="left" w:pos="-1440"/>
        </w:tabs>
        <w:ind w:left="720" w:hanging="720"/>
        <w:rPr>
          <w:b/>
        </w:rPr>
      </w:pPr>
    </w:p>
    <w:p w:rsidR="0055799D" w:rsidRDefault="0055799D" w:rsidP="0055799D">
      <w:pPr>
        <w:tabs>
          <w:tab w:val="center" w:pos="4680"/>
        </w:tabs>
        <w:jc w:val="center"/>
        <w:rPr>
          <w:b/>
          <w:bCs/>
        </w:rPr>
      </w:pPr>
    </w:p>
    <w:p w:rsidR="0055799D" w:rsidRDefault="0055799D" w:rsidP="0055799D">
      <w:pPr>
        <w:tabs>
          <w:tab w:val="center" w:pos="4680"/>
        </w:tabs>
        <w:jc w:val="center"/>
        <w:rPr>
          <w:b/>
          <w:bCs/>
        </w:rPr>
      </w:pPr>
    </w:p>
    <w:p w:rsidR="0055799D" w:rsidRDefault="0055799D" w:rsidP="0055799D">
      <w:pPr>
        <w:tabs>
          <w:tab w:val="center" w:pos="4680"/>
        </w:tabs>
        <w:jc w:val="center"/>
        <w:rPr>
          <w:b/>
          <w:bCs/>
        </w:rPr>
      </w:pPr>
      <w:r w:rsidRPr="00245FEE">
        <w:rPr>
          <w:b/>
          <w:bCs/>
        </w:rPr>
        <w:t>TESTIMONY</w:t>
      </w:r>
    </w:p>
    <w:p w:rsidR="0055799D" w:rsidRDefault="0055799D" w:rsidP="0055799D">
      <w:pPr>
        <w:tabs>
          <w:tab w:val="center" w:pos="4680"/>
        </w:tabs>
        <w:jc w:val="center"/>
        <w:rPr>
          <w:b/>
          <w:bCs/>
        </w:rPr>
      </w:pPr>
    </w:p>
    <w:p w:rsidR="0055799D" w:rsidRPr="00245FEE" w:rsidRDefault="0055799D" w:rsidP="0055799D">
      <w:pPr>
        <w:tabs>
          <w:tab w:val="center" w:pos="4680"/>
        </w:tabs>
        <w:jc w:val="center"/>
        <w:rPr>
          <w:b/>
          <w:bCs/>
        </w:rPr>
      </w:pPr>
      <w:r w:rsidRPr="00245FEE">
        <w:rPr>
          <w:b/>
          <w:bCs/>
        </w:rPr>
        <w:t>OF</w:t>
      </w:r>
    </w:p>
    <w:p w:rsidR="00A83246" w:rsidRPr="00F021E3" w:rsidRDefault="00A83246" w:rsidP="00A83246">
      <w:pPr>
        <w:tabs>
          <w:tab w:val="center" w:pos="4320"/>
        </w:tabs>
        <w:jc w:val="center"/>
        <w:rPr>
          <w:b/>
        </w:rPr>
      </w:pPr>
    </w:p>
    <w:p w:rsidR="00A83246" w:rsidRPr="00F021E3" w:rsidRDefault="00A83246" w:rsidP="00A83246">
      <w:pPr>
        <w:tabs>
          <w:tab w:val="center" w:pos="4680"/>
        </w:tabs>
        <w:jc w:val="center"/>
        <w:rPr>
          <w:b/>
        </w:rPr>
      </w:pPr>
      <w:r>
        <w:rPr>
          <w:b/>
        </w:rPr>
        <w:t>DAVID C. PARCELL</w:t>
      </w:r>
    </w:p>
    <w:p w:rsidR="00A83246" w:rsidRDefault="00A83246" w:rsidP="00A83246">
      <w:pPr>
        <w:jc w:val="center"/>
        <w:rPr>
          <w:b/>
        </w:rPr>
      </w:pPr>
    </w:p>
    <w:p w:rsidR="0055799D" w:rsidRPr="00F021E3" w:rsidRDefault="0055799D" w:rsidP="00A83246">
      <w:pPr>
        <w:jc w:val="center"/>
        <w:rPr>
          <w:b/>
        </w:rPr>
      </w:pPr>
    </w:p>
    <w:p w:rsidR="00A83246" w:rsidRPr="00F021E3" w:rsidRDefault="00241AAD" w:rsidP="00A83246">
      <w:pPr>
        <w:tabs>
          <w:tab w:val="center" w:pos="4680"/>
        </w:tabs>
        <w:jc w:val="center"/>
        <w:rPr>
          <w:b/>
        </w:rPr>
      </w:pPr>
      <w:r>
        <w:rPr>
          <w:b/>
        </w:rPr>
        <w:t xml:space="preserve">ON BEHALF OF THE </w:t>
      </w:r>
      <w:r w:rsidR="00A83246">
        <w:rPr>
          <w:b/>
        </w:rPr>
        <w:t>S</w:t>
      </w:r>
      <w:r w:rsidR="00A83246" w:rsidRPr="00F021E3">
        <w:rPr>
          <w:b/>
        </w:rPr>
        <w:t>TAFF OF</w:t>
      </w:r>
      <w:r w:rsidR="00A83246">
        <w:rPr>
          <w:b/>
        </w:rPr>
        <w:t xml:space="preserve"> </w:t>
      </w:r>
      <w:r w:rsidR="00A83246" w:rsidRPr="00F021E3">
        <w:rPr>
          <w:b/>
        </w:rPr>
        <w:t>WASHINGTON UTILITIES AND</w:t>
      </w:r>
    </w:p>
    <w:p w:rsidR="00A83246" w:rsidRPr="00F021E3" w:rsidRDefault="00A83246" w:rsidP="00A83246">
      <w:pPr>
        <w:tabs>
          <w:tab w:val="center" w:pos="4680"/>
        </w:tabs>
        <w:jc w:val="center"/>
        <w:rPr>
          <w:b/>
        </w:rPr>
      </w:pPr>
      <w:r w:rsidRPr="00F021E3">
        <w:rPr>
          <w:b/>
        </w:rPr>
        <w:t>TRANSPORTATION COMMISSION</w:t>
      </w:r>
    </w:p>
    <w:p w:rsidR="00A83246" w:rsidRDefault="00A83246" w:rsidP="00A83246">
      <w:pPr>
        <w:jc w:val="center"/>
        <w:rPr>
          <w:b/>
        </w:rPr>
      </w:pPr>
    </w:p>
    <w:p w:rsidR="0055799D" w:rsidRDefault="0055799D" w:rsidP="00A83246">
      <w:pPr>
        <w:jc w:val="center"/>
        <w:rPr>
          <w:b/>
          <w:i/>
        </w:rPr>
      </w:pPr>
    </w:p>
    <w:p w:rsidR="0055799D" w:rsidRDefault="0055799D" w:rsidP="00A83246">
      <w:pPr>
        <w:jc w:val="center"/>
        <w:rPr>
          <w:b/>
          <w:i/>
        </w:rPr>
      </w:pPr>
    </w:p>
    <w:p w:rsidR="00A83246" w:rsidRPr="0028096E" w:rsidRDefault="00A83246" w:rsidP="00A83246">
      <w:pPr>
        <w:jc w:val="center"/>
        <w:rPr>
          <w:b/>
          <w:i/>
        </w:rPr>
      </w:pPr>
      <w:r>
        <w:rPr>
          <w:b/>
          <w:i/>
        </w:rPr>
        <w:t>Cost of Capital</w:t>
      </w:r>
    </w:p>
    <w:p w:rsidR="00A83246" w:rsidRDefault="00A83246" w:rsidP="00A83246">
      <w:pPr>
        <w:tabs>
          <w:tab w:val="center" w:pos="4680"/>
        </w:tabs>
        <w:jc w:val="center"/>
        <w:rPr>
          <w:b/>
        </w:rPr>
      </w:pPr>
    </w:p>
    <w:p w:rsidR="0055799D" w:rsidRDefault="0055799D" w:rsidP="00A83246">
      <w:pPr>
        <w:jc w:val="center"/>
        <w:rPr>
          <w:b/>
        </w:rPr>
      </w:pPr>
    </w:p>
    <w:p w:rsidR="0055799D" w:rsidRDefault="0055799D" w:rsidP="00A83246">
      <w:pPr>
        <w:jc w:val="center"/>
        <w:rPr>
          <w:b/>
        </w:rPr>
      </w:pPr>
    </w:p>
    <w:p w:rsidR="0055799D" w:rsidRDefault="0055799D" w:rsidP="00A83246">
      <w:pPr>
        <w:jc w:val="center"/>
        <w:rPr>
          <w:b/>
        </w:rPr>
      </w:pPr>
    </w:p>
    <w:p w:rsidR="00261A68" w:rsidRDefault="00FB1E69" w:rsidP="00A83246">
      <w:pPr>
        <w:jc w:val="center"/>
        <w:rPr>
          <w:b/>
        </w:rPr>
      </w:pPr>
      <w:r>
        <w:rPr>
          <w:b/>
        </w:rPr>
        <w:t>November 17</w:t>
      </w:r>
      <w:r w:rsidR="00A83246" w:rsidRPr="00F021E3">
        <w:rPr>
          <w:b/>
        </w:rPr>
        <w:t>, 2009</w:t>
      </w:r>
    </w:p>
    <w:p w:rsidR="00574AEF" w:rsidRDefault="00574AEF" w:rsidP="00A83246">
      <w:pPr>
        <w:jc w:val="center"/>
        <w:rPr>
          <w:b/>
        </w:rPr>
      </w:pPr>
      <w:r>
        <w:rPr>
          <w:b/>
        </w:rPr>
        <w:t>Revised November 18, 2009</w:t>
      </w:r>
    </w:p>
    <w:p w:rsidR="00853A60" w:rsidRDefault="00F46404" w:rsidP="00A83246">
      <w:pPr>
        <w:jc w:val="center"/>
        <w:rPr>
          <w:b/>
        </w:rPr>
      </w:pPr>
      <w:r>
        <w:rPr>
          <w:b/>
        </w:rPr>
        <w:t>Revised December 11</w:t>
      </w:r>
      <w:r w:rsidR="00853A60">
        <w:rPr>
          <w:b/>
        </w:rPr>
        <w:t>, 2009</w:t>
      </w:r>
    </w:p>
    <w:p w:rsidR="00D32C17" w:rsidRDefault="00D32C17" w:rsidP="009E2531">
      <w:pPr>
        <w:jc w:val="both"/>
        <w:rPr>
          <w:b/>
        </w:rPr>
        <w:sectPr w:rsidR="00D32C17" w:rsidSect="000D2E7B">
          <w:footerReference w:type="even" r:id="rId8"/>
          <w:footerReference w:type="default" r:id="rId9"/>
          <w:pgSz w:w="12240" w:h="15840" w:code="1"/>
          <w:pgMar w:top="1440" w:right="1440" w:bottom="720" w:left="1872" w:header="720" w:footer="720" w:gutter="0"/>
          <w:pgNumType w:start="0"/>
          <w:cols w:space="720"/>
          <w:titlePg/>
          <w:docGrid w:linePitch="360"/>
        </w:sectPr>
      </w:pPr>
    </w:p>
    <w:p w:rsidR="00B52B77" w:rsidRPr="00476DED" w:rsidRDefault="00B52B77" w:rsidP="009E2531">
      <w:pPr>
        <w:jc w:val="center"/>
        <w:rPr>
          <w:b/>
        </w:rPr>
      </w:pPr>
      <w:r w:rsidRPr="00476DED">
        <w:rPr>
          <w:b/>
        </w:rPr>
        <w:lastRenderedPageBreak/>
        <w:t>TABLE OF CONTENTS</w:t>
      </w:r>
    </w:p>
    <w:p w:rsidR="00B52B77" w:rsidRDefault="00B52B77" w:rsidP="009E2531">
      <w:pPr>
        <w:jc w:val="both"/>
        <w:rPr>
          <w:b/>
          <w:u w:val="single"/>
        </w:rPr>
      </w:pPr>
    </w:p>
    <w:p w:rsidR="00B52B77" w:rsidRPr="00DD7D62" w:rsidRDefault="00B52B77" w:rsidP="009E2531">
      <w:pPr>
        <w:jc w:val="both"/>
        <w:rPr>
          <w:u w:val="single"/>
        </w:rPr>
      </w:pPr>
    </w:p>
    <w:p w:rsidR="00B52B77" w:rsidRPr="00DD7D62" w:rsidRDefault="00B52B77" w:rsidP="009E2531">
      <w:pPr>
        <w:tabs>
          <w:tab w:val="left" w:pos="720"/>
          <w:tab w:val="right" w:leader="dot" w:pos="9000"/>
          <w:tab w:val="left" w:pos="9240"/>
        </w:tabs>
        <w:jc w:val="both"/>
      </w:pPr>
      <w:r w:rsidRPr="00DD7D62">
        <w:t>I.</w:t>
      </w:r>
      <w:r w:rsidRPr="00DD7D62">
        <w:tab/>
        <w:t>INTRODUCTION</w:t>
      </w:r>
      <w:r w:rsidR="002C05AB" w:rsidRPr="00DD7D62">
        <w:tab/>
      </w:r>
      <w:r w:rsidRPr="00DD7D62">
        <w:t>1</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II.</w:t>
      </w:r>
      <w:r w:rsidRPr="00DD7D62">
        <w:tab/>
        <w:t>RECOMMENDATIONS AND SUMMARY</w:t>
      </w:r>
      <w:r w:rsidRPr="00DD7D62">
        <w:tab/>
      </w:r>
      <w:r w:rsidR="00FB32C5" w:rsidRPr="00DD7D62">
        <w:t>2</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III.</w:t>
      </w:r>
      <w:r w:rsidRPr="00DD7D62">
        <w:tab/>
        <w:t>ECONOMIC/LEGAL PRINCIPLES AND METHODOLOGIES</w:t>
      </w:r>
      <w:r w:rsidRPr="00DD7D62">
        <w:tab/>
      </w:r>
      <w:r w:rsidR="00001E45">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IV.</w:t>
      </w:r>
      <w:r w:rsidRPr="00DD7D62">
        <w:tab/>
        <w:t>GENERAL ECONOMIC CONDITIONS</w:t>
      </w:r>
      <w:r w:rsidRPr="00DD7D62">
        <w:tab/>
      </w:r>
      <w:r w:rsidR="002B09B2">
        <w:t>1</w:t>
      </w:r>
      <w:r w:rsidR="00001E45">
        <w:t>2</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360"/>
        </w:tabs>
        <w:jc w:val="both"/>
      </w:pPr>
      <w:r w:rsidRPr="00DD7D62">
        <w:t>V.</w:t>
      </w:r>
      <w:r w:rsidRPr="00DD7D62">
        <w:tab/>
      </w:r>
      <w:r w:rsidR="00FB1E69">
        <w:t>PUGET SOUND ENERGY</w:t>
      </w:r>
      <w:r w:rsidR="0050087C">
        <w:t>’S</w:t>
      </w:r>
      <w:r w:rsidR="00241DA6" w:rsidRPr="00DD7D62">
        <w:t xml:space="preserve"> OPERATIONS </w:t>
      </w:r>
      <w:smartTag w:uri="urn:schemas-microsoft-com:office:smarttags" w:element="stockticker">
        <w:r w:rsidR="00241DA6" w:rsidRPr="00DD7D62">
          <w:t>AND</w:t>
        </w:r>
      </w:smartTag>
      <w:r w:rsidR="00241DA6" w:rsidRPr="00DD7D62">
        <w:t xml:space="preserve"> RISKS</w:t>
      </w:r>
      <w:r w:rsidR="00FB32C5" w:rsidRPr="00DD7D62">
        <w:tab/>
      </w:r>
      <w:r w:rsidR="00DF0633">
        <w:t>1</w:t>
      </w:r>
      <w:r w:rsidR="00001E45">
        <w:t>8</w:t>
      </w:r>
    </w:p>
    <w:p w:rsidR="00B52B77" w:rsidRPr="00DD7D62" w:rsidRDefault="00B52B77" w:rsidP="009E2531">
      <w:pPr>
        <w:tabs>
          <w:tab w:val="left" w:pos="720"/>
          <w:tab w:val="right" w:leader="dot" w:pos="9000"/>
          <w:tab w:val="left" w:pos="9240"/>
        </w:tabs>
        <w:jc w:val="both"/>
      </w:pPr>
    </w:p>
    <w:p w:rsidR="00B52B77" w:rsidRPr="00DD7D62" w:rsidRDefault="00B52B77" w:rsidP="009E2531">
      <w:pPr>
        <w:tabs>
          <w:tab w:val="left" w:pos="720"/>
          <w:tab w:val="right" w:leader="dot" w:pos="9000"/>
          <w:tab w:val="left" w:pos="9240"/>
        </w:tabs>
        <w:jc w:val="both"/>
      </w:pPr>
      <w:r w:rsidRPr="00DD7D62">
        <w:t>VI.</w:t>
      </w:r>
      <w:r w:rsidRPr="00DD7D62">
        <w:tab/>
        <w:t>CAPITAL STRUCTURE AND COST OF DEBT</w:t>
      </w:r>
      <w:r w:rsidRPr="00DD7D62">
        <w:tab/>
      </w:r>
      <w:r w:rsidR="00634EF0">
        <w:t>2</w:t>
      </w:r>
      <w:r w:rsidR="00001E45">
        <w:t>2</w:t>
      </w:r>
    </w:p>
    <w:p w:rsidR="00B52B77" w:rsidRPr="00DD7D62" w:rsidRDefault="00B52B77" w:rsidP="009E2531">
      <w:pPr>
        <w:tabs>
          <w:tab w:val="left" w:pos="720"/>
          <w:tab w:val="right" w:leader="dot" w:pos="9000"/>
          <w:tab w:val="left" w:pos="9240"/>
        </w:tabs>
        <w:jc w:val="both"/>
      </w:pPr>
    </w:p>
    <w:p w:rsidR="004C1FC3" w:rsidRDefault="004C1FC3" w:rsidP="009E2531">
      <w:pPr>
        <w:tabs>
          <w:tab w:val="left" w:pos="720"/>
          <w:tab w:val="right" w:leader="dot" w:pos="9000"/>
          <w:tab w:val="left" w:pos="9240"/>
        </w:tabs>
        <w:jc w:val="both"/>
      </w:pPr>
      <w:r>
        <w:t>VII.</w:t>
      </w:r>
      <w:r>
        <w:tab/>
        <w:t>COST OF EQUITY</w:t>
      </w:r>
      <w:r w:rsidR="00001E45">
        <w:tab/>
        <w:t>29</w:t>
      </w:r>
    </w:p>
    <w:p w:rsidR="004C1FC3" w:rsidRDefault="004C1FC3" w:rsidP="009E2531">
      <w:pPr>
        <w:tabs>
          <w:tab w:val="left" w:pos="720"/>
          <w:tab w:val="right" w:leader="dot" w:pos="9000"/>
          <w:tab w:val="left" w:pos="9240"/>
        </w:tabs>
        <w:jc w:val="both"/>
      </w:pPr>
    </w:p>
    <w:p w:rsidR="00B52B77" w:rsidRPr="00DD7D62" w:rsidRDefault="00B52B77" w:rsidP="00001E45">
      <w:pPr>
        <w:pStyle w:val="ListParagraph"/>
        <w:numPr>
          <w:ilvl w:val="0"/>
          <w:numId w:val="42"/>
        </w:numPr>
        <w:tabs>
          <w:tab w:val="left" w:pos="720"/>
          <w:tab w:val="left" w:pos="1440"/>
          <w:tab w:val="right" w:leader="dot" w:pos="9000"/>
          <w:tab w:val="left" w:pos="9240"/>
        </w:tabs>
        <w:ind w:left="1440" w:hanging="720"/>
        <w:jc w:val="both"/>
      </w:pPr>
      <w:r w:rsidRPr="00DD7D62">
        <w:t>SELECTION OF PROXY GROUPS</w:t>
      </w:r>
      <w:r w:rsidRPr="00DD7D62">
        <w:tab/>
      </w:r>
      <w:r w:rsidR="00001E45">
        <w:t>29</w:t>
      </w:r>
    </w:p>
    <w:p w:rsidR="00B52B77" w:rsidRPr="00DD7D62" w:rsidRDefault="00B52B77" w:rsidP="00001E45">
      <w:pPr>
        <w:tabs>
          <w:tab w:val="left" w:pos="720"/>
          <w:tab w:val="left" w:pos="1440"/>
          <w:tab w:val="right" w:leader="dot" w:pos="9000"/>
          <w:tab w:val="left" w:pos="9240"/>
        </w:tabs>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 xml:space="preserve">DISCOUNTED </w:t>
      </w:r>
      <w:smartTag w:uri="urn:schemas-microsoft-com:office:smarttags" w:element="stockticker">
        <w:r w:rsidR="00B52B77" w:rsidRPr="00DD7D62">
          <w:t>CASH</w:t>
        </w:r>
      </w:smartTag>
      <w:r w:rsidR="00B52B77" w:rsidRPr="00DD7D62">
        <w:t xml:space="preserve"> </w:t>
      </w:r>
      <w:smartTag w:uri="urn:schemas-microsoft-com:office:smarttags" w:element="stockticker">
        <w:r w:rsidR="00B52B77" w:rsidRPr="00DD7D62">
          <w:t>FLOW</w:t>
        </w:r>
      </w:smartTag>
      <w:r w:rsidR="00B52B77" w:rsidRPr="00DD7D62">
        <w:t xml:space="preserve"> ANALYSIS</w:t>
      </w:r>
      <w:r w:rsidR="00B52B77" w:rsidRPr="00DD7D62">
        <w:tab/>
      </w:r>
      <w:r w:rsidR="00C87EE0">
        <w:t>3</w:t>
      </w:r>
      <w:r>
        <w:t>0</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B52B77" w:rsidP="00001E45">
      <w:pPr>
        <w:pStyle w:val="ListParagraph"/>
        <w:numPr>
          <w:ilvl w:val="0"/>
          <w:numId w:val="42"/>
        </w:numPr>
        <w:tabs>
          <w:tab w:val="left" w:pos="720"/>
          <w:tab w:val="left" w:pos="1440"/>
          <w:tab w:val="right" w:leader="dot" w:pos="9000"/>
          <w:tab w:val="left" w:pos="9240"/>
        </w:tabs>
        <w:ind w:left="1440" w:hanging="720"/>
        <w:jc w:val="both"/>
      </w:pPr>
      <w:r w:rsidRPr="00DD7D62">
        <w:t>CAPITAL ASSET PRICING MODEL ANALYSIS</w:t>
      </w:r>
      <w:r w:rsidRPr="00DD7D62">
        <w:tab/>
      </w:r>
      <w:r w:rsidR="00415B2D">
        <w:t>3</w:t>
      </w:r>
      <w:r w:rsidR="00C40945">
        <w:t>5</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COMPARABLE EARNINGS ANALYSIS</w:t>
      </w:r>
      <w:r w:rsidR="00B52B77" w:rsidRPr="00DD7D62">
        <w:tab/>
      </w:r>
      <w:r>
        <w:t>39</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001E45" w:rsidP="00001E45">
      <w:pPr>
        <w:pStyle w:val="ListParagraph"/>
        <w:numPr>
          <w:ilvl w:val="0"/>
          <w:numId w:val="42"/>
        </w:numPr>
        <w:tabs>
          <w:tab w:val="left" w:pos="720"/>
          <w:tab w:val="left" w:pos="1440"/>
          <w:tab w:val="right" w:leader="dot" w:pos="9000"/>
          <w:tab w:val="left" w:pos="9240"/>
        </w:tabs>
        <w:jc w:val="both"/>
      </w:pPr>
      <w:r>
        <w:tab/>
      </w:r>
      <w:r w:rsidR="00B52B77" w:rsidRPr="00DD7D62">
        <w:t>RETURN ON EQUITY RECOMMENDATION</w:t>
      </w:r>
      <w:r w:rsidR="00B52B77" w:rsidRPr="00DD7D62">
        <w:tab/>
      </w:r>
      <w:r w:rsidR="00C87EE0">
        <w:t>4</w:t>
      </w:r>
      <w:r>
        <w:t>4</w:t>
      </w:r>
    </w:p>
    <w:p w:rsidR="00B52B77" w:rsidRPr="00DD7D62" w:rsidRDefault="00B52B77" w:rsidP="00001E45">
      <w:pPr>
        <w:tabs>
          <w:tab w:val="left" w:pos="720"/>
          <w:tab w:val="left" w:pos="1440"/>
          <w:tab w:val="right" w:leader="dot" w:pos="9000"/>
          <w:tab w:val="left" w:pos="9240"/>
        </w:tabs>
        <w:ind w:left="1440" w:hanging="720"/>
        <w:jc w:val="both"/>
      </w:pPr>
    </w:p>
    <w:p w:rsidR="00B52B77" w:rsidRPr="00DD7D62" w:rsidRDefault="004C1FC3" w:rsidP="009E2531">
      <w:pPr>
        <w:tabs>
          <w:tab w:val="left" w:pos="720"/>
          <w:tab w:val="right" w:leader="dot" w:pos="9000"/>
          <w:tab w:val="left" w:pos="9240"/>
        </w:tabs>
        <w:jc w:val="both"/>
      </w:pPr>
      <w:r>
        <w:t>V</w:t>
      </w:r>
      <w:r w:rsidR="00B52B77" w:rsidRPr="00DD7D62">
        <w:t>II</w:t>
      </w:r>
      <w:r>
        <w:t>I</w:t>
      </w:r>
      <w:r w:rsidR="00B52B77" w:rsidRPr="00DD7D62">
        <w:t>.</w:t>
      </w:r>
      <w:r w:rsidR="00B52B77" w:rsidRPr="00DD7D62">
        <w:tab/>
        <w:t xml:space="preserve">TOTAL </w:t>
      </w:r>
      <w:smartTag w:uri="urn:schemas-microsoft-com:office:smarttags" w:element="stockticker">
        <w:r w:rsidR="00B52B77" w:rsidRPr="00DD7D62">
          <w:t>COST</w:t>
        </w:r>
      </w:smartTag>
      <w:r w:rsidR="00B52B77" w:rsidRPr="00DD7D62">
        <w:t xml:space="preserve"> OF CAPITAL</w:t>
      </w:r>
      <w:r w:rsidR="00B52B77" w:rsidRPr="00DD7D62">
        <w:tab/>
      </w:r>
      <w:r w:rsidR="00C87EE0">
        <w:t>4</w:t>
      </w:r>
      <w:r w:rsidR="00C40945">
        <w:t>5</w:t>
      </w:r>
    </w:p>
    <w:p w:rsidR="00B52B77" w:rsidRPr="00DD7D62" w:rsidRDefault="00B52B77" w:rsidP="009E2531">
      <w:pPr>
        <w:tabs>
          <w:tab w:val="left" w:pos="720"/>
          <w:tab w:val="right" w:leader="dot" w:pos="9000"/>
          <w:tab w:val="left" w:pos="9240"/>
        </w:tabs>
        <w:jc w:val="both"/>
      </w:pPr>
    </w:p>
    <w:p w:rsidR="00D32C17" w:rsidRDefault="004C1FC3" w:rsidP="009E2531">
      <w:pPr>
        <w:tabs>
          <w:tab w:val="left" w:pos="720"/>
          <w:tab w:val="right" w:leader="dot" w:pos="9000"/>
          <w:tab w:val="left" w:pos="9240"/>
        </w:tabs>
        <w:jc w:val="both"/>
      </w:pPr>
      <w:r>
        <w:t>IX</w:t>
      </w:r>
      <w:r w:rsidR="00B52B77" w:rsidRPr="00DD7D62">
        <w:t>.</w:t>
      </w:r>
      <w:r w:rsidR="00B52B77" w:rsidRPr="00DD7D62">
        <w:tab/>
        <w:t>COMMENTS ON COMPANY TESTIMONY</w:t>
      </w:r>
      <w:r w:rsidR="00B52B77" w:rsidRPr="00DD7D62">
        <w:tab/>
      </w:r>
      <w:r w:rsidR="00C87EE0">
        <w:t>4</w:t>
      </w:r>
      <w:r w:rsidR="00001E45">
        <w:t>6</w:t>
      </w: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7F3941" w:rsidRDefault="00A83246" w:rsidP="009E2531">
      <w:pPr>
        <w:tabs>
          <w:tab w:val="left" w:pos="720"/>
          <w:tab w:val="right" w:leader="dot" w:pos="9000"/>
          <w:tab w:val="left" w:pos="9240"/>
        </w:tabs>
        <w:jc w:val="center"/>
      </w:pPr>
      <w:r>
        <w:rPr>
          <w:b/>
        </w:rPr>
        <w:br w:type="page"/>
      </w:r>
      <w:r w:rsidR="007F3941">
        <w:rPr>
          <w:b/>
        </w:rPr>
        <w:lastRenderedPageBreak/>
        <w:t>LIST OF EXHIBITS</w:t>
      </w:r>
    </w:p>
    <w:p w:rsidR="007F3941" w:rsidRDefault="007F3941" w:rsidP="009E2531">
      <w:pPr>
        <w:tabs>
          <w:tab w:val="left" w:pos="720"/>
          <w:tab w:val="right" w:leader="dot" w:pos="9000"/>
          <w:tab w:val="left" w:pos="9240"/>
        </w:tabs>
        <w:jc w:val="both"/>
      </w:pPr>
    </w:p>
    <w:p w:rsidR="007F3941" w:rsidRDefault="007F3941" w:rsidP="009E2531">
      <w:pPr>
        <w:tabs>
          <w:tab w:val="left" w:pos="720"/>
          <w:tab w:val="right" w:leader="dot" w:pos="9000"/>
          <w:tab w:val="left" w:pos="9240"/>
        </w:tabs>
        <w:jc w:val="both"/>
      </w:pPr>
    </w:p>
    <w:p w:rsidR="00A83246" w:rsidRDefault="00A83246" w:rsidP="00A83246">
      <w:r>
        <w:t>Exhibit No. DCP-2</w:t>
      </w:r>
      <w:r>
        <w:tab/>
        <w:t>Background and Experience Profile</w:t>
      </w:r>
    </w:p>
    <w:p w:rsidR="00A83246" w:rsidRDefault="00A83246" w:rsidP="00A83246"/>
    <w:p w:rsidR="00A83246" w:rsidRDefault="0055799D" w:rsidP="00A83246">
      <w:r>
        <w:t>Exhibit No. DCP-3</w:t>
      </w:r>
      <w:r>
        <w:tab/>
      </w:r>
      <w:r w:rsidR="001D792B">
        <w:t>Puget Sound Energy, Inc.</w:t>
      </w:r>
      <w:r w:rsidR="001219C5">
        <w:t xml:space="preserve"> </w:t>
      </w:r>
      <w:r w:rsidR="001D792B">
        <w:t>- Total Cost of Capital</w:t>
      </w:r>
    </w:p>
    <w:p w:rsidR="0055799D" w:rsidRDefault="0055799D" w:rsidP="00A83246"/>
    <w:p w:rsidR="0055799D" w:rsidRDefault="0055799D" w:rsidP="0055799D">
      <w:r>
        <w:t>Exhibit No. DCP-4</w:t>
      </w:r>
      <w:r>
        <w:tab/>
      </w:r>
      <w:r w:rsidR="001D792B">
        <w:t>Economic Indicators</w:t>
      </w:r>
    </w:p>
    <w:p w:rsidR="0055799D" w:rsidRDefault="0055799D" w:rsidP="0055799D"/>
    <w:p w:rsidR="0055799D" w:rsidRDefault="0055799D" w:rsidP="0055799D">
      <w:r>
        <w:t xml:space="preserve">Exhibit No. DCP-5 </w:t>
      </w:r>
      <w:r>
        <w:tab/>
      </w:r>
      <w:r w:rsidR="00372DA6">
        <w:t>Rating Agency Reports</w:t>
      </w:r>
    </w:p>
    <w:p w:rsidR="0055799D" w:rsidRDefault="0055799D" w:rsidP="00A83246"/>
    <w:p w:rsidR="0055799D" w:rsidRPr="00C5367D" w:rsidRDefault="0055799D" w:rsidP="0055799D">
      <w:r w:rsidRPr="00C5367D">
        <w:t>Exhibit No. DCP-6</w:t>
      </w:r>
      <w:r w:rsidRPr="00C5367D">
        <w:tab/>
      </w:r>
      <w:r w:rsidR="00372DA6">
        <w:t>Puget Energy, Inc. Segment Financial Information 2006-2008</w:t>
      </w:r>
    </w:p>
    <w:p w:rsidR="0055799D" w:rsidRDefault="0055799D" w:rsidP="0055799D"/>
    <w:p w:rsidR="0055799D" w:rsidRDefault="0055799D" w:rsidP="0055799D">
      <w:r>
        <w:t xml:space="preserve">Exhibit No. DCP-7 </w:t>
      </w:r>
      <w:r>
        <w:tab/>
      </w:r>
      <w:r w:rsidR="00C5367D">
        <w:t>B</w:t>
      </w:r>
      <w:r w:rsidR="00C5367D" w:rsidRPr="00C5367D">
        <w:t xml:space="preserve">ond </w:t>
      </w:r>
      <w:r w:rsidR="00C5367D">
        <w:t>R</w:t>
      </w:r>
      <w:r w:rsidR="00C5367D" w:rsidRPr="00C5367D">
        <w:t>atings</w:t>
      </w:r>
    </w:p>
    <w:p w:rsidR="0055799D" w:rsidRDefault="0055799D" w:rsidP="00A83246"/>
    <w:p w:rsidR="0055799D" w:rsidRDefault="0055799D" w:rsidP="0055799D">
      <w:r>
        <w:t>Exhibit No. DCP-8</w:t>
      </w:r>
      <w:r>
        <w:tab/>
      </w:r>
      <w:r w:rsidR="00372DA6">
        <w:t>PSE Capital Structure Ratios 2004-2008</w:t>
      </w:r>
    </w:p>
    <w:p w:rsidR="0055799D" w:rsidRDefault="0055799D" w:rsidP="0055799D"/>
    <w:p w:rsidR="0055799D" w:rsidRDefault="0055799D" w:rsidP="00372DA6">
      <w:r>
        <w:t xml:space="preserve">Exhibit No. DCP-9 </w:t>
      </w:r>
      <w:r>
        <w:tab/>
      </w:r>
      <w:r w:rsidR="00372DA6">
        <w:t>AUS Utility Reports Electric Utility Groups Average Common</w:t>
      </w:r>
    </w:p>
    <w:p w:rsidR="00372DA6" w:rsidRDefault="00372DA6" w:rsidP="00372DA6">
      <w:r>
        <w:tab/>
      </w:r>
      <w:r>
        <w:tab/>
      </w:r>
      <w:r>
        <w:tab/>
        <w:t>Equity Ratios</w:t>
      </w:r>
    </w:p>
    <w:p w:rsidR="0055799D" w:rsidRDefault="0055799D" w:rsidP="00A83246"/>
    <w:p w:rsidR="0055799D" w:rsidRPr="00C5367D" w:rsidRDefault="0055799D" w:rsidP="0055799D">
      <w:r>
        <w:t>Exhibit No. DCP-10</w:t>
      </w:r>
      <w:r>
        <w:tab/>
      </w:r>
      <w:r w:rsidR="00372DA6">
        <w:t>Proxy Companies Basis for Selection</w:t>
      </w:r>
    </w:p>
    <w:p w:rsidR="0055799D" w:rsidRDefault="0055799D" w:rsidP="0055799D"/>
    <w:p w:rsidR="0055799D" w:rsidRDefault="0055799D" w:rsidP="0055799D">
      <w:r>
        <w:t>Exhibit No. DCP-11</w:t>
      </w:r>
      <w:r>
        <w:tab/>
      </w:r>
      <w:r w:rsidR="00372DA6">
        <w:t>Comparison Companies Dividend Yield</w:t>
      </w:r>
    </w:p>
    <w:p w:rsidR="0055799D" w:rsidRDefault="0055799D" w:rsidP="00A83246"/>
    <w:p w:rsidR="0055799D" w:rsidRDefault="0055799D" w:rsidP="0055799D">
      <w:r>
        <w:t>Exhibit No. DCP-12</w:t>
      </w:r>
      <w:r>
        <w:tab/>
      </w:r>
      <w:r w:rsidR="00372DA6">
        <w:t>Standard &amp; Poor’s 500 Composite Return on Average Common</w:t>
      </w:r>
    </w:p>
    <w:p w:rsidR="00372DA6" w:rsidRDefault="00372DA6" w:rsidP="0055799D">
      <w:r>
        <w:tab/>
      </w:r>
      <w:r>
        <w:tab/>
      </w:r>
      <w:r>
        <w:tab/>
        <w:t>Equity</w:t>
      </w:r>
    </w:p>
    <w:p w:rsidR="0055799D" w:rsidRDefault="0055799D" w:rsidP="0055799D"/>
    <w:p w:rsidR="0055799D" w:rsidRDefault="0055799D" w:rsidP="0055799D">
      <w:r>
        <w:t>Exhibit No. DCP-13</w:t>
      </w:r>
      <w:r>
        <w:tab/>
      </w:r>
      <w:r w:rsidR="00372DA6">
        <w:t xml:space="preserve">Comparison Companies </w:t>
      </w:r>
      <w:proofErr w:type="spellStart"/>
      <w:r w:rsidR="00C5367D">
        <w:t>CAPM</w:t>
      </w:r>
      <w:proofErr w:type="spellEnd"/>
      <w:r w:rsidR="00C5367D">
        <w:t xml:space="preserve"> </w:t>
      </w:r>
      <w:r w:rsidR="00372DA6">
        <w:t>Cost Rates</w:t>
      </w:r>
    </w:p>
    <w:p w:rsidR="0055799D" w:rsidRDefault="0055799D" w:rsidP="0055799D"/>
    <w:p w:rsidR="0055799D" w:rsidRDefault="0055799D" w:rsidP="00372DA6">
      <w:r>
        <w:t>Exhibit No. DCP-14</w:t>
      </w:r>
      <w:r>
        <w:tab/>
      </w:r>
      <w:r w:rsidR="00372DA6">
        <w:t>Comparison Companies Rates of Return on Average Common</w:t>
      </w:r>
    </w:p>
    <w:p w:rsidR="00372DA6" w:rsidRDefault="00372DA6" w:rsidP="00372DA6">
      <w:r>
        <w:tab/>
      </w:r>
      <w:r>
        <w:tab/>
      </w:r>
      <w:r>
        <w:tab/>
        <w:t>Equity</w:t>
      </w:r>
    </w:p>
    <w:p w:rsidR="0055799D" w:rsidRDefault="0055799D" w:rsidP="0055799D"/>
    <w:p w:rsidR="0055799D" w:rsidRDefault="0055799D" w:rsidP="00372DA6">
      <w:r>
        <w:t>Exhibit No. DCP-15</w:t>
      </w:r>
      <w:r>
        <w:tab/>
      </w:r>
      <w:r w:rsidR="00372DA6">
        <w:t>Standard &amp; Poor’s 500 Composite Returns and Market-to-Book</w:t>
      </w:r>
    </w:p>
    <w:p w:rsidR="00372DA6" w:rsidRDefault="00372DA6" w:rsidP="00372DA6">
      <w:r>
        <w:tab/>
      </w:r>
      <w:r>
        <w:tab/>
      </w:r>
      <w:r>
        <w:tab/>
        <w:t>Ratios 1992-2007</w:t>
      </w:r>
    </w:p>
    <w:p w:rsidR="0055799D" w:rsidRDefault="0055799D" w:rsidP="0055799D"/>
    <w:p w:rsidR="0055799D" w:rsidRDefault="0055799D" w:rsidP="0055799D">
      <w:r>
        <w:t>Exhibit No. DCP-16</w:t>
      </w:r>
      <w:r>
        <w:tab/>
      </w:r>
      <w:r w:rsidR="001D792B">
        <w:t>Risk Indicators</w:t>
      </w:r>
    </w:p>
    <w:p w:rsidR="0055799D" w:rsidRDefault="0055799D" w:rsidP="0055799D"/>
    <w:p w:rsidR="00A83246" w:rsidRPr="007F3941" w:rsidRDefault="00A83246" w:rsidP="00372DA6">
      <w:r>
        <w:t>Exhibit No.</w:t>
      </w:r>
      <w:r w:rsidR="0055799D">
        <w:t xml:space="preserve"> </w:t>
      </w:r>
      <w:r>
        <w:t>DCP-1</w:t>
      </w:r>
      <w:r w:rsidR="0055799D">
        <w:t>7</w:t>
      </w:r>
      <w:r w:rsidR="0055799D">
        <w:tab/>
      </w:r>
      <w:r w:rsidR="00372DA6">
        <w:t>PSE Rating Agency Ratios</w:t>
      </w:r>
    </w:p>
    <w:p w:rsidR="00A83246" w:rsidRDefault="00A83246" w:rsidP="00A83246">
      <w:pPr>
        <w:jc w:val="both"/>
      </w:pPr>
    </w:p>
    <w:p w:rsidR="0055799D" w:rsidRDefault="0055799D" w:rsidP="0055799D">
      <w:r>
        <w:t>Exhibit No. DCP-18</w:t>
      </w:r>
      <w:r>
        <w:tab/>
      </w:r>
      <w:r w:rsidR="00372DA6">
        <w:t>Risk Premium by Decade as Derived by PSE Witness Morin</w:t>
      </w:r>
    </w:p>
    <w:p w:rsidR="0055799D" w:rsidRDefault="0055799D" w:rsidP="0055799D"/>
    <w:p w:rsidR="0055799D" w:rsidRDefault="0055799D" w:rsidP="0055799D"/>
    <w:p w:rsidR="0055799D" w:rsidRPr="007F3941" w:rsidRDefault="0055799D" w:rsidP="00A83246">
      <w:pPr>
        <w:jc w:val="both"/>
      </w:pPr>
    </w:p>
    <w:p w:rsidR="00A83246" w:rsidRPr="007F3941" w:rsidRDefault="00A83246" w:rsidP="00A83246">
      <w:pPr>
        <w:tabs>
          <w:tab w:val="left" w:pos="720"/>
          <w:tab w:val="right" w:leader="dot" w:pos="9000"/>
          <w:tab w:val="left" w:pos="9240"/>
        </w:tabs>
        <w:jc w:val="both"/>
      </w:pPr>
    </w:p>
    <w:p w:rsidR="00D32C17" w:rsidRDefault="00D32C17" w:rsidP="009E2531">
      <w:pPr>
        <w:tabs>
          <w:tab w:val="left" w:pos="720"/>
          <w:tab w:val="right" w:leader="dot" w:pos="9000"/>
          <w:tab w:val="left" w:pos="9240"/>
        </w:tabs>
        <w:jc w:val="both"/>
        <w:rPr>
          <w:b/>
        </w:rPr>
        <w:sectPr w:rsidR="00D32C17" w:rsidSect="000D2E7B">
          <w:pgSz w:w="12240" w:h="15840" w:code="1"/>
          <w:pgMar w:top="1440" w:right="1440" w:bottom="720" w:left="1872" w:header="720" w:footer="720" w:gutter="0"/>
          <w:pgNumType w:fmt="lowerRoman" w:start="1"/>
          <w:cols w:space="720"/>
          <w:docGrid w:linePitch="360"/>
        </w:sectPr>
      </w:pPr>
    </w:p>
    <w:p w:rsidR="00FE0726" w:rsidRDefault="00FE0726" w:rsidP="00413B15">
      <w:pPr>
        <w:tabs>
          <w:tab w:val="left" w:pos="720"/>
          <w:tab w:val="right" w:leader="dot" w:pos="8640"/>
          <w:tab w:val="left" w:pos="9240"/>
        </w:tabs>
        <w:spacing w:line="480" w:lineRule="auto"/>
        <w:jc w:val="center"/>
        <w:rPr>
          <w:b/>
          <w:u w:val="single"/>
        </w:rPr>
      </w:pPr>
      <w:r>
        <w:rPr>
          <w:b/>
        </w:rPr>
        <w:lastRenderedPageBreak/>
        <w:t>I.</w:t>
      </w:r>
      <w:r>
        <w:rPr>
          <w:b/>
        </w:rPr>
        <w:tab/>
      </w:r>
      <w:r w:rsidRPr="006F292D">
        <w:rPr>
          <w:b/>
        </w:rPr>
        <w:t>INTRODUCTION</w:t>
      </w:r>
    </w:p>
    <w:p w:rsidR="00FE0726" w:rsidRDefault="00FE0726" w:rsidP="00413B15">
      <w:pPr>
        <w:tabs>
          <w:tab w:val="left" w:pos="720"/>
          <w:tab w:val="right" w:leader="dot" w:pos="8640"/>
          <w:tab w:val="left" w:pos="9240"/>
        </w:tabs>
        <w:spacing w:line="480" w:lineRule="auto"/>
        <w:jc w:val="both"/>
        <w:rPr>
          <w:b/>
          <w:u w:val="single"/>
        </w:rPr>
      </w:pPr>
    </w:p>
    <w:p w:rsidR="00FE0726" w:rsidRDefault="00320045" w:rsidP="00413B15">
      <w:pPr>
        <w:tabs>
          <w:tab w:val="left" w:pos="720"/>
          <w:tab w:val="right" w:leader="dot" w:pos="8640"/>
          <w:tab w:val="left" w:pos="9240"/>
        </w:tabs>
        <w:spacing w:line="480" w:lineRule="auto"/>
        <w:rPr>
          <w:b/>
        </w:rPr>
      </w:pPr>
      <w:r>
        <w:rPr>
          <w:b/>
        </w:rPr>
        <w:t>Q.</w:t>
      </w:r>
      <w:r>
        <w:rPr>
          <w:b/>
        </w:rPr>
        <w:tab/>
        <w:t>Please state your name, occupation, and business address.</w:t>
      </w:r>
    </w:p>
    <w:p w:rsidR="00FE0726" w:rsidRDefault="00FE0726" w:rsidP="00413B15">
      <w:pPr>
        <w:tabs>
          <w:tab w:val="left" w:pos="720"/>
          <w:tab w:val="left" w:pos="1440"/>
          <w:tab w:val="right" w:leader="dot" w:pos="8640"/>
          <w:tab w:val="left" w:pos="9240"/>
        </w:tabs>
        <w:spacing w:line="480" w:lineRule="auto"/>
        <w:ind w:left="720" w:hanging="720"/>
      </w:pPr>
      <w:r>
        <w:t>A.</w:t>
      </w:r>
      <w:r>
        <w:tab/>
        <w:t xml:space="preserve">My name is David C. Parcell.  I am President and Senior Economist of Technical Associates, Inc.  My business address is </w:t>
      </w:r>
      <w:smartTag w:uri="urn:schemas-microsoft-com:office:smarttags" w:element="address">
        <w:smartTag w:uri="urn:schemas-microsoft-com:office:smarttags" w:element="Street">
          <w:r>
            <w:t>Suite</w:t>
          </w:r>
        </w:smartTag>
        <w:r>
          <w:t xml:space="preserve"> 601</w:t>
        </w:r>
      </w:smartTag>
      <w:r>
        <w:t xml:space="preserve">, </w:t>
      </w:r>
      <w:smartTag w:uri="urn:schemas-microsoft-com:office:smarttags" w:element="address">
        <w:smartTag w:uri="urn:schemas-microsoft-com:office:smarttags" w:element="Street">
          <w:r>
            <w:t>1051 East Cary Street</w:t>
          </w:r>
        </w:smartTag>
        <w:r>
          <w:t xml:space="preserve">, </w:t>
        </w:r>
        <w:smartTag w:uri="urn:schemas-microsoft-com:office:smarttags" w:element="City">
          <w:r>
            <w:t>Richmond</w:t>
          </w:r>
        </w:smartTag>
        <w:r>
          <w:t xml:space="preserve">, </w:t>
        </w:r>
        <w:smartTag w:uri="urn:schemas-microsoft-com:office:smarttags" w:element="State">
          <w:r>
            <w:t>Virginia</w:t>
          </w:r>
        </w:smartTag>
        <w:r>
          <w:t xml:space="preserve"> </w:t>
        </w:r>
        <w:smartTag w:uri="urn:schemas-microsoft-com:office:smarttags" w:element="PostalCode">
          <w:r>
            <w:t>23219</w:t>
          </w:r>
        </w:smartTag>
      </w:smartTag>
      <w:r>
        <w:t>.</w:t>
      </w:r>
    </w:p>
    <w:p w:rsidR="00FE0726" w:rsidRDefault="00FE0726" w:rsidP="00413B15">
      <w:pPr>
        <w:tabs>
          <w:tab w:val="left" w:pos="720"/>
          <w:tab w:val="right" w:leader="dot" w:pos="8640"/>
          <w:tab w:val="left" w:pos="9240"/>
        </w:tabs>
        <w:spacing w:line="480" w:lineRule="auto"/>
        <w:ind w:left="720" w:hanging="720"/>
      </w:pPr>
    </w:p>
    <w:p w:rsidR="00FE0726" w:rsidRDefault="00FE0726" w:rsidP="00413B15">
      <w:pPr>
        <w:tabs>
          <w:tab w:val="left" w:pos="720"/>
          <w:tab w:val="right" w:leader="dot" w:pos="8640"/>
          <w:tab w:val="left" w:pos="9240"/>
        </w:tabs>
        <w:spacing w:line="480" w:lineRule="auto"/>
        <w:ind w:left="720" w:hanging="720"/>
        <w:rPr>
          <w:b/>
        </w:rPr>
      </w:pPr>
      <w:r>
        <w:rPr>
          <w:b/>
        </w:rPr>
        <w:t>Q.</w:t>
      </w:r>
      <w:r>
        <w:rPr>
          <w:b/>
        </w:rPr>
        <w:tab/>
      </w:r>
      <w:r w:rsidR="00320045">
        <w:rPr>
          <w:b/>
        </w:rPr>
        <w:t>Please summarize your educational background and professional experience.</w:t>
      </w:r>
    </w:p>
    <w:p w:rsidR="00FE0726" w:rsidRDefault="00FE0726" w:rsidP="00413B15">
      <w:pPr>
        <w:tabs>
          <w:tab w:val="left" w:pos="720"/>
          <w:tab w:val="left" w:pos="1440"/>
          <w:tab w:val="right" w:leader="dot" w:pos="8640"/>
          <w:tab w:val="left" w:pos="9240"/>
        </w:tabs>
        <w:spacing w:line="480" w:lineRule="auto"/>
        <w:ind w:left="720" w:hanging="720"/>
      </w:pPr>
      <w:r>
        <w:t>A.</w:t>
      </w:r>
      <w:r>
        <w:tab/>
      </w:r>
      <w:r w:rsidR="00730604">
        <w:t xml:space="preserve">I hold B.A. (1969) and M.A. (1970) degrees in economics from Virginia Polytechnic Institute and </w:t>
      </w:r>
      <w:smartTag w:uri="urn:schemas-microsoft-com:office:smarttags" w:element="place">
        <w:smartTag w:uri="urn:schemas-microsoft-com:office:smarttags" w:element="PlaceType">
          <w:r w:rsidR="00730604">
            <w:t>State</w:t>
          </w:r>
        </w:smartTag>
        <w:r w:rsidR="00730604">
          <w:t xml:space="preserve"> </w:t>
        </w:r>
        <w:smartTag w:uri="urn:schemas-microsoft-com:office:smarttags" w:element="PlaceType">
          <w:r w:rsidR="00730604">
            <w:t>University</w:t>
          </w:r>
        </w:smartTag>
      </w:smartTag>
      <w:r w:rsidR="00730604">
        <w:t xml:space="preserve"> (Virginia Tech) and a M.B.A. (1985) from </w:t>
      </w:r>
      <w:smartTag w:uri="urn:schemas-microsoft-com:office:smarttags" w:element="place">
        <w:smartTag w:uri="urn:schemas-microsoft-com:office:smarttags" w:element="PlaceName">
          <w:r w:rsidR="00730604">
            <w:t>Virginia</w:t>
          </w:r>
        </w:smartTag>
        <w:r w:rsidR="00730604">
          <w:t xml:space="preserve"> </w:t>
        </w:r>
        <w:smartTag w:uri="urn:schemas-microsoft-com:office:smarttags" w:element="PlaceName">
          <w:r w:rsidR="00730604">
            <w:t>Commonwealth</w:t>
          </w:r>
        </w:smartTag>
        <w:r w:rsidR="00730604">
          <w:t xml:space="preserve"> </w:t>
        </w:r>
        <w:smartTag w:uri="urn:schemas-microsoft-com:office:smarttags" w:element="PlaceType">
          <w:r w:rsidR="00730604">
            <w:t>University</w:t>
          </w:r>
        </w:smartTag>
      </w:smartTag>
      <w:r w:rsidR="00730604">
        <w:t>.  I have been a consulting economist with Technical Associates since 1970.  I have provided cost of capital testimony in public utility ratemaking proceedings dating back to 197</w:t>
      </w:r>
      <w:r w:rsidR="00800D40">
        <w:t>2</w:t>
      </w:r>
      <w:r w:rsidR="00730604">
        <w:t xml:space="preserve">.  In connection with this, I have previously filed testimony and/or testified in </w:t>
      </w:r>
      <w:r w:rsidR="00FB1E69">
        <w:t>about</w:t>
      </w:r>
      <w:r w:rsidR="00423F29">
        <w:t xml:space="preserve"> 4</w:t>
      </w:r>
      <w:r w:rsidR="00FB1E69">
        <w:t>5</w:t>
      </w:r>
      <w:r w:rsidR="00E56220">
        <w:t>0</w:t>
      </w:r>
      <w:r w:rsidR="00730604">
        <w:t xml:space="preserve"> utility proceedings before </w:t>
      </w:r>
      <w:r w:rsidR="00672973">
        <w:t>some</w:t>
      </w:r>
      <w:r w:rsidR="00730604">
        <w:t xml:space="preserve"> </w:t>
      </w:r>
      <w:r w:rsidR="00FB1E69">
        <w:t>5</w:t>
      </w:r>
      <w:r w:rsidR="00EE0279">
        <w:t>0</w:t>
      </w:r>
      <w:r w:rsidR="00730604">
        <w:t xml:space="preserve"> regulatory agencies in the United States and Canada.  </w:t>
      </w:r>
      <w:r w:rsidR="0064654B">
        <w:t>I have filed testimony in several proceedings in Washington in recent years, including the 200</w:t>
      </w:r>
      <w:r w:rsidR="00FB1E69">
        <w:t>8</w:t>
      </w:r>
      <w:r w:rsidR="0064654B">
        <w:t xml:space="preserve"> </w:t>
      </w:r>
      <w:r w:rsidR="00FB1E69">
        <w:t>Puget Sound Energy</w:t>
      </w:r>
      <w:r w:rsidR="0064654B">
        <w:t xml:space="preserve"> rate proceedings</w:t>
      </w:r>
      <w:r w:rsidR="00786722">
        <w:t xml:space="preserve"> (Dockets UE-072300 and UG-072301</w:t>
      </w:r>
      <w:r w:rsidR="0064654B">
        <w:t xml:space="preserve">.  </w:t>
      </w:r>
      <w:r w:rsidR="00E5062C">
        <w:t>Exhibit No. DCP-2</w:t>
      </w:r>
      <w:r w:rsidR="00730604">
        <w:t xml:space="preserve"> provides a more complete description of my education and relevant work experience.</w:t>
      </w:r>
    </w:p>
    <w:p w:rsidR="00730604" w:rsidRDefault="00730604" w:rsidP="00413B15">
      <w:pPr>
        <w:tabs>
          <w:tab w:val="left" w:pos="720"/>
          <w:tab w:val="right" w:leader="dot" w:pos="8640"/>
          <w:tab w:val="left" w:pos="9240"/>
        </w:tabs>
        <w:spacing w:line="480" w:lineRule="auto"/>
        <w:ind w:left="720" w:hanging="720"/>
      </w:pP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What is the purpose of your testimony in this proceeding</w:t>
      </w:r>
      <w:r>
        <w:rPr>
          <w:b/>
        </w:rPr>
        <w:t>?</w:t>
      </w:r>
    </w:p>
    <w:p w:rsidR="00574AEF" w:rsidRDefault="00730604" w:rsidP="00413B15">
      <w:pPr>
        <w:tabs>
          <w:tab w:val="left" w:pos="720"/>
          <w:tab w:val="left" w:pos="1440"/>
          <w:tab w:val="right" w:leader="dot" w:pos="8640"/>
          <w:tab w:val="left" w:pos="9240"/>
        </w:tabs>
        <w:spacing w:line="480" w:lineRule="auto"/>
        <w:ind w:left="720" w:hanging="720"/>
        <w:sectPr w:rsidR="00574AEF" w:rsidSect="008802FE">
          <w:pgSz w:w="12240" w:h="15840" w:code="1"/>
          <w:pgMar w:top="1440" w:right="1440" w:bottom="720" w:left="1872" w:header="720" w:footer="720" w:gutter="0"/>
          <w:lnNumType w:countBy="1"/>
          <w:pgNumType w:start="1"/>
          <w:cols w:space="720"/>
          <w:docGrid w:linePitch="360"/>
        </w:sectPr>
      </w:pPr>
      <w:r>
        <w:t>A.</w:t>
      </w:r>
      <w:r>
        <w:tab/>
        <w:t xml:space="preserve">I have been retained by the </w:t>
      </w:r>
      <w:r w:rsidR="00241DA6">
        <w:t xml:space="preserve">Staff of the </w:t>
      </w:r>
      <w:r w:rsidR="00C70687">
        <w:t xml:space="preserve">Washington Utilities and Transportation </w:t>
      </w:r>
      <w:r w:rsidR="00241DA6">
        <w:t xml:space="preserve">Commission </w:t>
      </w:r>
      <w:r w:rsidR="001360B8">
        <w:t>(“</w:t>
      </w:r>
      <w:r w:rsidR="00786722">
        <w:t>Commission</w:t>
      </w:r>
      <w:r w:rsidR="001360B8">
        <w:t xml:space="preserve">”) </w:t>
      </w:r>
      <w:r w:rsidR="00241DA6">
        <w:t xml:space="preserve">to </w:t>
      </w:r>
      <w:r>
        <w:t xml:space="preserve">evaluate the cost of capital aspects </w:t>
      </w:r>
      <w:r w:rsidR="00582A23">
        <w:t>of the</w:t>
      </w:r>
      <w:r>
        <w:t xml:space="preserve"> filing</w:t>
      </w:r>
      <w:r w:rsidR="00582A23">
        <w:t xml:space="preserve"> of </w:t>
      </w:r>
    </w:p>
    <w:p w:rsidR="00CA2476" w:rsidRDefault="00FB1E69" w:rsidP="00574AEF">
      <w:pPr>
        <w:tabs>
          <w:tab w:val="left" w:pos="720"/>
          <w:tab w:val="left" w:pos="1440"/>
          <w:tab w:val="right" w:leader="dot" w:pos="8640"/>
          <w:tab w:val="left" w:pos="9240"/>
        </w:tabs>
        <w:spacing w:line="480" w:lineRule="auto"/>
        <w:ind w:left="720"/>
      </w:pPr>
      <w:proofErr w:type="gramStart"/>
      <w:r>
        <w:lastRenderedPageBreak/>
        <w:t>Puget</w:t>
      </w:r>
      <w:r w:rsidR="0050087C">
        <w:t xml:space="preserve"> </w:t>
      </w:r>
      <w:r>
        <w:t>Sound Energy, Inc.</w:t>
      </w:r>
      <w:r w:rsidR="0050087C">
        <w:t xml:space="preserve"> </w:t>
      </w:r>
      <w:r w:rsidR="00582A23">
        <w:t>(“</w:t>
      </w:r>
      <w:r>
        <w:t>PSE</w:t>
      </w:r>
      <w:r w:rsidR="00582A23">
        <w:t>” or “</w:t>
      </w:r>
      <w:r w:rsidR="003F58CF">
        <w:t xml:space="preserve">the </w:t>
      </w:r>
      <w:r w:rsidR="00582A23">
        <w:t>Company”)</w:t>
      </w:r>
      <w:r w:rsidR="00C70687">
        <w:t xml:space="preserve"> in these dockets</w:t>
      </w:r>
      <w:r w:rsidR="00730604">
        <w:t>.</w:t>
      </w:r>
      <w:proofErr w:type="gramEnd"/>
      <w:r w:rsidR="00730604">
        <w:t xml:space="preserve">  I have performed independent studies and am making recommendations of the current cost of capital for </w:t>
      </w:r>
      <w:r>
        <w:t>PSE</w:t>
      </w:r>
      <w:r w:rsidR="00730604">
        <w:t>.</w:t>
      </w:r>
    </w:p>
    <w:p w:rsidR="00730604" w:rsidRDefault="00730604" w:rsidP="00413B15">
      <w:pPr>
        <w:tabs>
          <w:tab w:val="left" w:pos="720"/>
          <w:tab w:val="left" w:pos="1440"/>
          <w:tab w:val="right" w:leader="dot" w:pos="8640"/>
          <w:tab w:val="left" w:pos="9240"/>
        </w:tabs>
        <w:spacing w:line="480" w:lineRule="auto"/>
        <w:ind w:left="720" w:hanging="720"/>
      </w:pPr>
      <w:r>
        <w:t xml:space="preserve">  </w:t>
      </w: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Have you prepared an</w:t>
      </w:r>
      <w:r w:rsidR="00786722">
        <w:rPr>
          <w:b/>
        </w:rPr>
        <w:t>y</w:t>
      </w:r>
      <w:r w:rsidR="00320045">
        <w:rPr>
          <w:b/>
        </w:rPr>
        <w:t xml:space="preserve"> exhibit</w:t>
      </w:r>
      <w:r w:rsidR="00786722">
        <w:rPr>
          <w:b/>
        </w:rPr>
        <w:t>s</w:t>
      </w:r>
      <w:r w:rsidR="00320045">
        <w:rPr>
          <w:b/>
        </w:rPr>
        <w:t xml:space="preserve"> in support of your testimony</w:t>
      </w:r>
      <w:r>
        <w:rPr>
          <w:b/>
        </w:rPr>
        <w:t>?</w:t>
      </w:r>
    </w:p>
    <w:p w:rsidR="00730604" w:rsidRDefault="00730604" w:rsidP="00413B15">
      <w:pPr>
        <w:tabs>
          <w:tab w:val="left" w:pos="720"/>
          <w:tab w:val="left" w:pos="1440"/>
          <w:tab w:val="right" w:leader="dot" w:pos="8640"/>
          <w:tab w:val="left" w:pos="9240"/>
        </w:tabs>
        <w:spacing w:line="480" w:lineRule="auto"/>
        <w:ind w:left="720" w:hanging="720"/>
      </w:pPr>
      <w:r>
        <w:t>A.</w:t>
      </w:r>
      <w:r>
        <w:tab/>
        <w:t xml:space="preserve">Yes, </w:t>
      </w:r>
      <w:r w:rsidR="00E70B7A">
        <w:t xml:space="preserve">I have.  Exhibit No. </w:t>
      </w:r>
      <w:r w:rsidR="00624AE3">
        <w:t xml:space="preserve">DCP-2 </w:t>
      </w:r>
      <w:r w:rsidR="005E407C">
        <w:t xml:space="preserve">through </w:t>
      </w:r>
      <w:r w:rsidR="00CA2476">
        <w:t xml:space="preserve">Exhibit No. </w:t>
      </w:r>
      <w:r w:rsidR="00632A49">
        <w:t>DCP-18</w:t>
      </w:r>
      <w:r w:rsidR="00624AE3">
        <w:t xml:space="preserve"> represent the analyses that support my cost of capital recommendation</w:t>
      </w:r>
      <w:r>
        <w:t>.  Th</w:t>
      </w:r>
      <w:r w:rsidR="00586A80">
        <w:t>ese</w:t>
      </w:r>
      <w:r>
        <w:t xml:space="preserve"> exhibit</w:t>
      </w:r>
      <w:r w:rsidR="00586A80">
        <w:t>s</w:t>
      </w:r>
      <w:r>
        <w:t xml:space="preserve"> w</w:t>
      </w:r>
      <w:r w:rsidR="00586A80">
        <w:t>ere</w:t>
      </w:r>
      <w:r>
        <w:t xml:space="preserve"> prepared either by me or under my direction.  The information contained in th</w:t>
      </w:r>
      <w:r w:rsidR="006A2DEC">
        <w:t>ese</w:t>
      </w:r>
      <w:r>
        <w:t xml:space="preserve"> exhibit</w:t>
      </w:r>
      <w:r w:rsidR="006A2DEC">
        <w:t>s</w:t>
      </w:r>
      <w:r>
        <w:t xml:space="preserve"> is </w:t>
      </w:r>
      <w:r w:rsidR="00786722">
        <w:t xml:space="preserve">true and </w:t>
      </w:r>
      <w:r>
        <w:t>correct to the best of my knowledge and belief.</w:t>
      </w:r>
    </w:p>
    <w:p w:rsidR="00320045" w:rsidRDefault="00624AE3" w:rsidP="00413B15">
      <w:pPr>
        <w:tabs>
          <w:tab w:val="left" w:pos="720"/>
          <w:tab w:val="left" w:pos="1440"/>
          <w:tab w:val="right" w:leader="dot" w:pos="8640"/>
          <w:tab w:val="left" w:pos="9240"/>
        </w:tabs>
        <w:spacing w:line="480" w:lineRule="auto"/>
        <w:ind w:left="720" w:hanging="720"/>
      </w:pPr>
      <w:r>
        <w:tab/>
      </w:r>
    </w:p>
    <w:p w:rsidR="00730604" w:rsidRDefault="00730604" w:rsidP="009E2531">
      <w:pPr>
        <w:tabs>
          <w:tab w:val="left" w:pos="720"/>
          <w:tab w:val="right" w:leader="dot" w:pos="8640"/>
          <w:tab w:val="left" w:pos="9240"/>
        </w:tabs>
        <w:spacing w:line="480" w:lineRule="auto"/>
        <w:jc w:val="center"/>
        <w:rPr>
          <w:b/>
          <w:u w:val="single"/>
        </w:rPr>
      </w:pPr>
      <w:r>
        <w:rPr>
          <w:b/>
        </w:rPr>
        <w:t>II.</w:t>
      </w:r>
      <w:r>
        <w:rPr>
          <w:b/>
        </w:rPr>
        <w:tab/>
      </w:r>
      <w:r w:rsidRPr="00320045">
        <w:rPr>
          <w:b/>
        </w:rPr>
        <w:t>RECOMMENDATIONS AND SUMMARY</w:t>
      </w:r>
    </w:p>
    <w:p w:rsidR="00730604" w:rsidRDefault="00730604" w:rsidP="009E2531">
      <w:pPr>
        <w:tabs>
          <w:tab w:val="left" w:pos="720"/>
          <w:tab w:val="right" w:leader="dot" w:pos="8640"/>
          <w:tab w:val="left" w:pos="9240"/>
        </w:tabs>
        <w:spacing w:line="480" w:lineRule="auto"/>
        <w:ind w:left="720" w:hanging="720"/>
        <w:jc w:val="both"/>
        <w:rPr>
          <w:b/>
          <w:u w:val="single"/>
        </w:rPr>
      </w:pPr>
    </w:p>
    <w:p w:rsidR="00730604" w:rsidRDefault="00730604" w:rsidP="00413B15">
      <w:pPr>
        <w:tabs>
          <w:tab w:val="left" w:pos="720"/>
          <w:tab w:val="right" w:leader="dot" w:pos="8640"/>
          <w:tab w:val="left" w:pos="9240"/>
        </w:tabs>
        <w:spacing w:line="480" w:lineRule="auto"/>
        <w:ind w:left="720" w:hanging="720"/>
        <w:rPr>
          <w:b/>
        </w:rPr>
      </w:pPr>
      <w:r>
        <w:rPr>
          <w:b/>
        </w:rPr>
        <w:t>Q.</w:t>
      </w:r>
      <w:r>
        <w:rPr>
          <w:b/>
        </w:rPr>
        <w:tab/>
      </w:r>
      <w:r w:rsidR="00320045">
        <w:rPr>
          <w:b/>
        </w:rPr>
        <w:t xml:space="preserve">What </w:t>
      </w:r>
      <w:r w:rsidR="0069761E">
        <w:rPr>
          <w:b/>
        </w:rPr>
        <w:t>is</w:t>
      </w:r>
      <w:r w:rsidR="00320045">
        <w:rPr>
          <w:b/>
        </w:rPr>
        <w:t xml:space="preserve"> your </w:t>
      </w:r>
      <w:r w:rsidR="0069761E">
        <w:rPr>
          <w:b/>
        </w:rPr>
        <w:t xml:space="preserve">overall cost of capital </w:t>
      </w:r>
      <w:r w:rsidR="00320045">
        <w:rPr>
          <w:b/>
        </w:rPr>
        <w:t>recommendation in this proceeding</w:t>
      </w:r>
      <w:r>
        <w:rPr>
          <w:b/>
        </w:rPr>
        <w:t>?</w:t>
      </w:r>
    </w:p>
    <w:p w:rsidR="006A47DC" w:rsidRDefault="00730604" w:rsidP="00413B15">
      <w:pPr>
        <w:tabs>
          <w:tab w:val="left" w:pos="720"/>
          <w:tab w:val="left" w:pos="1440"/>
          <w:tab w:val="right" w:leader="dot" w:pos="8640"/>
          <w:tab w:val="left" w:pos="9240"/>
        </w:tabs>
        <w:spacing w:line="480" w:lineRule="auto"/>
        <w:ind w:left="720" w:hanging="720"/>
      </w:pPr>
      <w:r>
        <w:t>A.</w:t>
      </w:r>
      <w:r>
        <w:tab/>
        <w:t xml:space="preserve">My overall cost of capital recommendation for </w:t>
      </w:r>
      <w:r w:rsidR="00FB1E69">
        <w:t>PSE</w:t>
      </w:r>
      <w:r w:rsidR="00582A23">
        <w:t xml:space="preserve"> </w:t>
      </w:r>
      <w:r w:rsidR="0069761E">
        <w:t>is</w:t>
      </w:r>
      <w:r w:rsidR="001F2A1D">
        <w:t xml:space="preserve"> </w:t>
      </w:r>
      <w:r w:rsidR="00FB1E69" w:rsidRPr="009F779C">
        <w:rPr>
          <w:strike/>
        </w:rPr>
        <w:t>7.</w:t>
      </w:r>
      <w:r w:rsidR="00241AAD" w:rsidRPr="009F779C">
        <w:rPr>
          <w:strike/>
        </w:rPr>
        <w:t>8</w:t>
      </w:r>
      <w:r w:rsidR="00786722" w:rsidRPr="009F779C">
        <w:rPr>
          <w:strike/>
        </w:rPr>
        <w:t>9</w:t>
      </w:r>
      <w:r w:rsidR="0023097B">
        <w:t xml:space="preserve"> </w:t>
      </w:r>
      <w:r w:rsidR="009F779C" w:rsidRPr="009F779C">
        <w:rPr>
          <w:u w:val="single"/>
        </w:rPr>
        <w:t>7.91</w:t>
      </w:r>
      <w:r w:rsidR="009F779C">
        <w:t xml:space="preserve"> </w:t>
      </w:r>
      <w:r w:rsidR="0023097B">
        <w:t xml:space="preserve">percent, as is </w:t>
      </w:r>
      <w:r w:rsidR="001F2A1D">
        <w:t xml:space="preserve">shown on </w:t>
      </w:r>
      <w:r w:rsidR="00E70B7A">
        <w:t xml:space="preserve">Exhibit No. </w:t>
      </w:r>
      <w:r w:rsidR="00FE0022">
        <w:t>DCP-</w:t>
      </w:r>
      <w:r w:rsidR="005E407C">
        <w:t>3</w:t>
      </w:r>
      <w:r w:rsidR="00A6571A">
        <w:t>,</w:t>
      </w:r>
      <w:r w:rsidR="00FE0022">
        <w:t xml:space="preserve"> </w:t>
      </w:r>
      <w:r w:rsidR="001F2A1D">
        <w:t>and can be summarized as follows</w:t>
      </w:r>
      <w:r>
        <w:t>:</w:t>
      </w:r>
      <w:r w:rsidR="00784855">
        <w:t xml:space="preserve"> </w:t>
      </w:r>
    </w:p>
    <w:tbl>
      <w:tblPr>
        <w:tblpPr w:leftFromText="180" w:rightFromText="180" w:vertAnchor="text" w:horzAnchor="margin" w:tblpXSpec="center" w:tblpY="146"/>
        <w:tblW w:w="0" w:type="auto"/>
        <w:tblLook w:val="01E0"/>
      </w:tblPr>
      <w:tblGrid>
        <w:gridCol w:w="1863"/>
        <w:gridCol w:w="222"/>
        <w:gridCol w:w="1076"/>
        <w:gridCol w:w="222"/>
        <w:gridCol w:w="956"/>
        <w:gridCol w:w="222"/>
        <w:gridCol w:w="1307"/>
      </w:tblGrid>
      <w:tr w:rsidR="00730604" w:rsidTr="00FB1E69">
        <w:tc>
          <w:tcPr>
            <w:tcW w:w="0" w:type="auto"/>
          </w:tcPr>
          <w:p w:rsidR="00730604" w:rsidRDefault="00730604" w:rsidP="009E2531">
            <w:pPr>
              <w:tabs>
                <w:tab w:val="left" w:pos="720"/>
                <w:tab w:val="right" w:leader="dot" w:pos="8640"/>
                <w:tab w:val="left" w:pos="9240"/>
              </w:tabs>
              <w:jc w:val="both"/>
            </w:pPr>
          </w:p>
        </w:tc>
        <w:tc>
          <w:tcPr>
            <w:tcW w:w="0" w:type="auto"/>
          </w:tcPr>
          <w:p w:rsidR="00730604" w:rsidRDefault="00730604" w:rsidP="009E2531">
            <w:pPr>
              <w:tabs>
                <w:tab w:val="left" w:pos="720"/>
                <w:tab w:val="right" w:leader="dot" w:pos="8640"/>
                <w:tab w:val="left" w:pos="9240"/>
              </w:tabs>
              <w:jc w:val="both"/>
            </w:pPr>
          </w:p>
        </w:tc>
        <w:tc>
          <w:tcPr>
            <w:tcW w:w="0" w:type="auto"/>
            <w:tcBorders>
              <w:bottom w:val="single" w:sz="4" w:space="0" w:color="auto"/>
            </w:tcBorders>
          </w:tcPr>
          <w:p w:rsidR="00730604" w:rsidRDefault="00730604" w:rsidP="009E2531">
            <w:pPr>
              <w:tabs>
                <w:tab w:val="left" w:pos="720"/>
                <w:tab w:val="right" w:leader="dot" w:pos="8640"/>
                <w:tab w:val="left" w:pos="9240"/>
              </w:tabs>
              <w:jc w:val="center"/>
            </w:pPr>
            <w:r>
              <w:t>Percent</w:t>
            </w:r>
          </w:p>
        </w:tc>
        <w:tc>
          <w:tcPr>
            <w:tcW w:w="0" w:type="auto"/>
          </w:tcPr>
          <w:p w:rsidR="00730604" w:rsidRDefault="00730604" w:rsidP="009E2531">
            <w:pPr>
              <w:tabs>
                <w:tab w:val="left" w:pos="720"/>
                <w:tab w:val="right" w:leader="dot" w:pos="8640"/>
                <w:tab w:val="left" w:pos="9240"/>
              </w:tabs>
              <w:jc w:val="center"/>
            </w:pPr>
          </w:p>
        </w:tc>
        <w:tc>
          <w:tcPr>
            <w:tcW w:w="0" w:type="auto"/>
            <w:tcBorders>
              <w:bottom w:val="single" w:sz="4" w:space="0" w:color="auto"/>
            </w:tcBorders>
          </w:tcPr>
          <w:p w:rsidR="00730604" w:rsidRDefault="00730604" w:rsidP="009E2531">
            <w:pPr>
              <w:tabs>
                <w:tab w:val="left" w:pos="720"/>
                <w:tab w:val="right" w:leader="dot" w:pos="8640"/>
                <w:tab w:val="left" w:pos="9240"/>
              </w:tabs>
              <w:jc w:val="center"/>
            </w:pPr>
            <w:r>
              <w:t>Cost</w:t>
            </w:r>
          </w:p>
        </w:tc>
        <w:tc>
          <w:tcPr>
            <w:tcW w:w="0" w:type="auto"/>
          </w:tcPr>
          <w:p w:rsidR="00730604" w:rsidRDefault="00730604" w:rsidP="009E2531">
            <w:pPr>
              <w:tabs>
                <w:tab w:val="left" w:pos="720"/>
                <w:tab w:val="right" w:leader="dot" w:pos="8640"/>
                <w:tab w:val="left" w:pos="9240"/>
              </w:tabs>
              <w:jc w:val="center"/>
            </w:pPr>
          </w:p>
        </w:tc>
        <w:tc>
          <w:tcPr>
            <w:tcW w:w="1307" w:type="dxa"/>
            <w:tcBorders>
              <w:bottom w:val="single" w:sz="4" w:space="0" w:color="auto"/>
            </w:tcBorders>
          </w:tcPr>
          <w:p w:rsidR="00730604" w:rsidRDefault="00730604" w:rsidP="009E2531">
            <w:pPr>
              <w:tabs>
                <w:tab w:val="left" w:pos="720"/>
                <w:tab w:val="right" w:leader="dot" w:pos="8640"/>
                <w:tab w:val="left" w:pos="9240"/>
              </w:tabs>
              <w:jc w:val="center"/>
            </w:pPr>
            <w:r>
              <w:t>Return</w:t>
            </w:r>
          </w:p>
        </w:tc>
      </w:tr>
      <w:tr w:rsidR="00730604" w:rsidTr="00FB1E69">
        <w:tc>
          <w:tcPr>
            <w:tcW w:w="0" w:type="auto"/>
          </w:tcPr>
          <w:p w:rsidR="00730604" w:rsidRDefault="00FB1E69" w:rsidP="00927D75">
            <w:pPr>
              <w:tabs>
                <w:tab w:val="left" w:pos="720"/>
                <w:tab w:val="right" w:leader="dot" w:pos="8640"/>
                <w:tab w:val="left" w:pos="9240"/>
              </w:tabs>
              <w:jc w:val="both"/>
            </w:pPr>
            <w:r>
              <w:t>Short-Term</w:t>
            </w:r>
            <w:r w:rsidR="00745019">
              <w:t xml:space="preserve"> </w:t>
            </w:r>
            <w:r w:rsidR="003805B4">
              <w:t>Debt</w:t>
            </w:r>
          </w:p>
        </w:tc>
        <w:tc>
          <w:tcPr>
            <w:tcW w:w="0" w:type="auto"/>
          </w:tcPr>
          <w:p w:rsidR="00730604" w:rsidRDefault="00730604" w:rsidP="009E2531">
            <w:pPr>
              <w:tabs>
                <w:tab w:val="left" w:pos="720"/>
                <w:tab w:val="right" w:leader="dot" w:pos="8640"/>
                <w:tab w:val="left" w:pos="9240"/>
              </w:tabs>
              <w:jc w:val="both"/>
            </w:pPr>
          </w:p>
        </w:tc>
        <w:tc>
          <w:tcPr>
            <w:tcW w:w="0" w:type="auto"/>
          </w:tcPr>
          <w:p w:rsidR="00730604" w:rsidRDefault="006E089F" w:rsidP="00B41296">
            <w:pPr>
              <w:tabs>
                <w:tab w:val="left" w:pos="720"/>
                <w:tab w:val="right" w:leader="dot" w:pos="8640"/>
                <w:tab w:val="left" w:pos="9240"/>
              </w:tabs>
              <w:jc w:val="right"/>
            </w:pPr>
            <w:r>
              <w:t>3</w:t>
            </w:r>
            <w:r w:rsidR="00FB1E69">
              <w:t>.</w:t>
            </w:r>
            <w:r w:rsidR="00B41296">
              <w:t>95</w:t>
            </w:r>
            <w:r w:rsidR="00730604">
              <w:t>%</w:t>
            </w:r>
          </w:p>
        </w:tc>
        <w:tc>
          <w:tcPr>
            <w:tcW w:w="0" w:type="auto"/>
          </w:tcPr>
          <w:p w:rsidR="00730604" w:rsidRDefault="00730604" w:rsidP="009E2531">
            <w:pPr>
              <w:tabs>
                <w:tab w:val="left" w:pos="720"/>
                <w:tab w:val="right" w:leader="dot" w:pos="8640"/>
                <w:tab w:val="left" w:pos="9240"/>
              </w:tabs>
              <w:jc w:val="right"/>
            </w:pPr>
          </w:p>
        </w:tc>
        <w:tc>
          <w:tcPr>
            <w:tcW w:w="0" w:type="auto"/>
          </w:tcPr>
          <w:p w:rsidR="00730604" w:rsidRDefault="00FB1E69" w:rsidP="003A52EA">
            <w:pPr>
              <w:tabs>
                <w:tab w:val="left" w:pos="720"/>
                <w:tab w:val="right" w:leader="dot" w:pos="8640"/>
                <w:tab w:val="left" w:pos="9240"/>
              </w:tabs>
              <w:jc w:val="right"/>
            </w:pPr>
            <w:r>
              <w:t>2.47</w:t>
            </w:r>
            <w:r w:rsidR="003A52EA">
              <w:t>%</w:t>
            </w:r>
          </w:p>
        </w:tc>
        <w:tc>
          <w:tcPr>
            <w:tcW w:w="0" w:type="auto"/>
          </w:tcPr>
          <w:p w:rsidR="00730604" w:rsidRDefault="00730604" w:rsidP="009E2531">
            <w:pPr>
              <w:tabs>
                <w:tab w:val="left" w:pos="720"/>
                <w:tab w:val="right" w:leader="dot" w:pos="8640"/>
                <w:tab w:val="left" w:pos="9240"/>
              </w:tabs>
              <w:jc w:val="right"/>
            </w:pPr>
          </w:p>
        </w:tc>
        <w:tc>
          <w:tcPr>
            <w:tcW w:w="1307" w:type="dxa"/>
          </w:tcPr>
          <w:p w:rsidR="00730604" w:rsidRDefault="00FB1E69" w:rsidP="006E089F">
            <w:pPr>
              <w:tabs>
                <w:tab w:val="left" w:pos="720"/>
                <w:tab w:val="right" w:leader="dot" w:pos="8640"/>
                <w:tab w:val="left" w:pos="9240"/>
              </w:tabs>
              <w:jc w:val="right"/>
            </w:pPr>
            <w:r>
              <w:t>0</w:t>
            </w:r>
            <w:r w:rsidR="001F2A1D">
              <w:t>.</w:t>
            </w:r>
            <w:r>
              <w:t>1</w:t>
            </w:r>
            <w:r w:rsidR="006E089F">
              <w:t>0</w:t>
            </w:r>
            <w:r w:rsidR="00730604">
              <w:t>%</w:t>
            </w:r>
          </w:p>
        </w:tc>
      </w:tr>
      <w:tr w:rsidR="00FB1E69" w:rsidTr="00FB1E69">
        <w:tc>
          <w:tcPr>
            <w:tcW w:w="0" w:type="auto"/>
          </w:tcPr>
          <w:p w:rsidR="00FB1E69" w:rsidRDefault="00FB1E69" w:rsidP="009E2531">
            <w:pPr>
              <w:tabs>
                <w:tab w:val="left" w:pos="720"/>
                <w:tab w:val="right" w:leader="dot" w:pos="8640"/>
                <w:tab w:val="left" w:pos="9240"/>
              </w:tabs>
              <w:jc w:val="both"/>
            </w:pPr>
            <w:r>
              <w:t>Long-Term Debt</w:t>
            </w:r>
          </w:p>
        </w:tc>
        <w:tc>
          <w:tcPr>
            <w:tcW w:w="0" w:type="auto"/>
          </w:tcPr>
          <w:p w:rsidR="00FB1E69" w:rsidRDefault="00FB1E69" w:rsidP="009E2531">
            <w:pPr>
              <w:tabs>
                <w:tab w:val="left" w:pos="720"/>
                <w:tab w:val="right" w:leader="dot" w:pos="8640"/>
                <w:tab w:val="left" w:pos="9240"/>
              </w:tabs>
              <w:jc w:val="both"/>
            </w:pPr>
          </w:p>
        </w:tc>
        <w:tc>
          <w:tcPr>
            <w:tcW w:w="0" w:type="auto"/>
          </w:tcPr>
          <w:p w:rsidR="00FB1E69" w:rsidRDefault="006E089F" w:rsidP="006E089F">
            <w:pPr>
              <w:tabs>
                <w:tab w:val="left" w:pos="720"/>
                <w:tab w:val="right" w:leader="dot" w:pos="8640"/>
                <w:tab w:val="left" w:pos="9240"/>
              </w:tabs>
              <w:jc w:val="right"/>
            </w:pPr>
            <w:r>
              <w:t>51</w:t>
            </w:r>
            <w:r w:rsidR="00FB1E69">
              <w:t>.</w:t>
            </w:r>
            <w:r w:rsidR="00B41296">
              <w:t>05</w:t>
            </w:r>
            <w:r w:rsidR="00FB1E69">
              <w:t>%</w:t>
            </w:r>
          </w:p>
        </w:tc>
        <w:tc>
          <w:tcPr>
            <w:tcW w:w="0" w:type="auto"/>
          </w:tcPr>
          <w:p w:rsidR="00FB1E69" w:rsidRDefault="00FB1E69" w:rsidP="009E2531">
            <w:pPr>
              <w:tabs>
                <w:tab w:val="left" w:pos="720"/>
                <w:tab w:val="right" w:leader="dot" w:pos="8640"/>
                <w:tab w:val="left" w:pos="9240"/>
              </w:tabs>
              <w:jc w:val="right"/>
            </w:pPr>
          </w:p>
        </w:tc>
        <w:tc>
          <w:tcPr>
            <w:tcW w:w="0" w:type="auto"/>
          </w:tcPr>
          <w:p w:rsidR="00FB1E69" w:rsidRDefault="00FB1E69" w:rsidP="006E089F">
            <w:pPr>
              <w:tabs>
                <w:tab w:val="left" w:pos="720"/>
                <w:tab w:val="right" w:leader="dot" w:pos="8640"/>
                <w:tab w:val="left" w:pos="9240"/>
              </w:tabs>
              <w:jc w:val="right"/>
            </w:pPr>
            <w:r>
              <w:t>6</w:t>
            </w:r>
            <w:r w:rsidR="00B41296">
              <w:t>.4</w:t>
            </w:r>
            <w:r w:rsidR="006E089F" w:rsidRPr="009F779C">
              <w:rPr>
                <w:strike/>
              </w:rPr>
              <w:t>5</w:t>
            </w:r>
            <w:r w:rsidR="009F779C" w:rsidRPr="009F779C">
              <w:rPr>
                <w:b/>
                <w:u w:val="single"/>
              </w:rPr>
              <w:t>8</w:t>
            </w:r>
            <w:r>
              <w:t>%</w:t>
            </w:r>
          </w:p>
        </w:tc>
        <w:tc>
          <w:tcPr>
            <w:tcW w:w="0" w:type="auto"/>
          </w:tcPr>
          <w:p w:rsidR="00FB1E69" w:rsidRDefault="00FB1E69" w:rsidP="009E2531">
            <w:pPr>
              <w:tabs>
                <w:tab w:val="left" w:pos="720"/>
                <w:tab w:val="right" w:leader="dot" w:pos="8640"/>
                <w:tab w:val="left" w:pos="9240"/>
              </w:tabs>
              <w:jc w:val="right"/>
            </w:pPr>
          </w:p>
        </w:tc>
        <w:tc>
          <w:tcPr>
            <w:tcW w:w="1307" w:type="dxa"/>
          </w:tcPr>
          <w:p w:rsidR="00FB1E69" w:rsidRDefault="00FB1E69" w:rsidP="006E089F">
            <w:pPr>
              <w:tabs>
                <w:tab w:val="left" w:pos="720"/>
                <w:tab w:val="right" w:leader="dot" w:pos="8640"/>
                <w:tab w:val="left" w:pos="9240"/>
              </w:tabs>
              <w:jc w:val="right"/>
            </w:pPr>
            <w:r>
              <w:t>3.</w:t>
            </w:r>
            <w:r w:rsidR="006E089F" w:rsidRPr="009F779C">
              <w:rPr>
                <w:strike/>
              </w:rPr>
              <w:t>29</w:t>
            </w:r>
            <w:r w:rsidR="009F779C" w:rsidRPr="009F779C">
              <w:rPr>
                <w:rFonts w:ascii="Times New Roman Bold" w:hAnsi="Times New Roman Bold"/>
                <w:b/>
                <w:u w:val="single"/>
              </w:rPr>
              <w:t>31</w:t>
            </w:r>
            <w:r>
              <w:t>%</w:t>
            </w:r>
          </w:p>
        </w:tc>
      </w:tr>
      <w:tr w:rsidR="00730604" w:rsidTr="00FB1E69">
        <w:tc>
          <w:tcPr>
            <w:tcW w:w="0" w:type="auto"/>
          </w:tcPr>
          <w:p w:rsidR="00730604" w:rsidRDefault="00730604" w:rsidP="009E2531">
            <w:pPr>
              <w:tabs>
                <w:tab w:val="left" w:pos="720"/>
                <w:tab w:val="right" w:leader="dot" w:pos="8640"/>
                <w:tab w:val="left" w:pos="9240"/>
              </w:tabs>
              <w:jc w:val="both"/>
            </w:pPr>
            <w:r>
              <w:t>Common Equity</w:t>
            </w:r>
          </w:p>
        </w:tc>
        <w:tc>
          <w:tcPr>
            <w:tcW w:w="0" w:type="auto"/>
          </w:tcPr>
          <w:p w:rsidR="00730604" w:rsidRDefault="00730604" w:rsidP="009E2531">
            <w:pPr>
              <w:tabs>
                <w:tab w:val="left" w:pos="720"/>
                <w:tab w:val="right" w:leader="dot" w:pos="8640"/>
                <w:tab w:val="left" w:pos="9240"/>
              </w:tabs>
              <w:jc w:val="both"/>
            </w:pPr>
          </w:p>
        </w:tc>
        <w:tc>
          <w:tcPr>
            <w:tcW w:w="0" w:type="auto"/>
            <w:tcBorders>
              <w:bottom w:val="single" w:sz="4" w:space="0" w:color="auto"/>
            </w:tcBorders>
          </w:tcPr>
          <w:p w:rsidR="00730604" w:rsidRDefault="00686151" w:rsidP="00FB1E69">
            <w:pPr>
              <w:tabs>
                <w:tab w:val="left" w:pos="720"/>
                <w:tab w:val="right" w:leader="dot" w:pos="8640"/>
                <w:tab w:val="left" w:pos="9240"/>
              </w:tabs>
              <w:jc w:val="right"/>
            </w:pPr>
            <w:r>
              <w:t>4</w:t>
            </w:r>
            <w:r w:rsidR="00423F29">
              <w:t>5.</w:t>
            </w:r>
            <w:r w:rsidR="00FB1E69">
              <w:t>00</w:t>
            </w:r>
            <w:r w:rsidR="00730604">
              <w:t>%</w:t>
            </w:r>
          </w:p>
        </w:tc>
        <w:tc>
          <w:tcPr>
            <w:tcW w:w="0" w:type="auto"/>
          </w:tcPr>
          <w:p w:rsidR="00730604" w:rsidRDefault="00730604" w:rsidP="009E2531">
            <w:pPr>
              <w:tabs>
                <w:tab w:val="left" w:pos="720"/>
                <w:tab w:val="right" w:leader="dot" w:pos="8640"/>
                <w:tab w:val="left" w:pos="9240"/>
              </w:tabs>
              <w:jc w:val="right"/>
            </w:pPr>
          </w:p>
        </w:tc>
        <w:tc>
          <w:tcPr>
            <w:tcW w:w="0" w:type="auto"/>
          </w:tcPr>
          <w:p w:rsidR="00730604" w:rsidRDefault="00E56220" w:rsidP="009E2531">
            <w:pPr>
              <w:tabs>
                <w:tab w:val="left" w:pos="720"/>
                <w:tab w:val="right" w:leader="dot" w:pos="8640"/>
                <w:tab w:val="left" w:pos="9240"/>
              </w:tabs>
              <w:jc w:val="right"/>
            </w:pPr>
            <w:r>
              <w:t>10.</w:t>
            </w:r>
            <w:r w:rsidR="00FB1E69">
              <w:t>00</w:t>
            </w:r>
            <w:r w:rsidR="00730604">
              <w:t>%</w:t>
            </w:r>
          </w:p>
        </w:tc>
        <w:tc>
          <w:tcPr>
            <w:tcW w:w="0" w:type="auto"/>
          </w:tcPr>
          <w:p w:rsidR="00730604" w:rsidRDefault="00730604" w:rsidP="009E2531">
            <w:pPr>
              <w:tabs>
                <w:tab w:val="left" w:pos="720"/>
                <w:tab w:val="right" w:leader="dot" w:pos="8640"/>
                <w:tab w:val="left" w:pos="9240"/>
              </w:tabs>
              <w:jc w:val="right"/>
            </w:pPr>
          </w:p>
        </w:tc>
        <w:tc>
          <w:tcPr>
            <w:tcW w:w="1307" w:type="dxa"/>
            <w:tcBorders>
              <w:bottom w:val="single" w:sz="4" w:space="0" w:color="auto"/>
            </w:tcBorders>
          </w:tcPr>
          <w:p w:rsidR="00730604" w:rsidRDefault="00442C7E" w:rsidP="00683907">
            <w:pPr>
              <w:tabs>
                <w:tab w:val="left" w:pos="720"/>
                <w:tab w:val="right" w:leader="dot" w:pos="8640"/>
                <w:tab w:val="left" w:pos="9240"/>
              </w:tabs>
              <w:jc w:val="right"/>
            </w:pPr>
            <w:r>
              <w:t>4.</w:t>
            </w:r>
            <w:r w:rsidR="00FB1E69">
              <w:t>50%</w:t>
            </w:r>
          </w:p>
        </w:tc>
      </w:tr>
      <w:tr w:rsidR="001B6335" w:rsidTr="00FB1E69">
        <w:tc>
          <w:tcPr>
            <w:tcW w:w="0" w:type="auto"/>
          </w:tcPr>
          <w:p w:rsidR="001B6335" w:rsidRDefault="001B6335" w:rsidP="009E2531">
            <w:pPr>
              <w:tabs>
                <w:tab w:val="left" w:pos="720"/>
                <w:tab w:val="right" w:leader="dot" w:pos="8640"/>
                <w:tab w:val="left" w:pos="9240"/>
              </w:tabs>
              <w:jc w:val="both"/>
            </w:pPr>
            <w:r>
              <w:t xml:space="preserve">       Total</w:t>
            </w:r>
          </w:p>
        </w:tc>
        <w:tc>
          <w:tcPr>
            <w:tcW w:w="0" w:type="auto"/>
          </w:tcPr>
          <w:p w:rsidR="001B6335" w:rsidRDefault="001B6335" w:rsidP="009E2531">
            <w:pPr>
              <w:tabs>
                <w:tab w:val="left" w:pos="720"/>
                <w:tab w:val="right" w:leader="dot" w:pos="8640"/>
                <w:tab w:val="left" w:pos="9240"/>
              </w:tabs>
              <w:jc w:val="both"/>
            </w:pPr>
          </w:p>
        </w:tc>
        <w:tc>
          <w:tcPr>
            <w:tcW w:w="0" w:type="auto"/>
            <w:tcBorders>
              <w:top w:val="single" w:sz="4" w:space="0" w:color="auto"/>
            </w:tcBorders>
          </w:tcPr>
          <w:p w:rsidR="001B6335" w:rsidRDefault="001B6335" w:rsidP="009E2531">
            <w:pPr>
              <w:tabs>
                <w:tab w:val="left" w:pos="720"/>
                <w:tab w:val="right" w:leader="dot" w:pos="8640"/>
                <w:tab w:val="left" w:pos="9240"/>
              </w:tabs>
              <w:jc w:val="right"/>
            </w:pPr>
            <w:r>
              <w:t>100.00%</w:t>
            </w:r>
          </w:p>
        </w:tc>
        <w:tc>
          <w:tcPr>
            <w:tcW w:w="0" w:type="auto"/>
          </w:tcPr>
          <w:p w:rsidR="001B6335" w:rsidRDefault="001B6335" w:rsidP="009E2531">
            <w:pPr>
              <w:tabs>
                <w:tab w:val="left" w:pos="720"/>
                <w:tab w:val="right" w:leader="dot" w:pos="8640"/>
                <w:tab w:val="left" w:pos="9240"/>
              </w:tabs>
              <w:jc w:val="right"/>
            </w:pPr>
          </w:p>
        </w:tc>
        <w:tc>
          <w:tcPr>
            <w:tcW w:w="0" w:type="auto"/>
          </w:tcPr>
          <w:p w:rsidR="001B6335" w:rsidRDefault="001B6335" w:rsidP="009E2531">
            <w:pPr>
              <w:tabs>
                <w:tab w:val="left" w:pos="720"/>
                <w:tab w:val="right" w:leader="dot" w:pos="8640"/>
                <w:tab w:val="left" w:pos="9240"/>
              </w:tabs>
              <w:jc w:val="right"/>
            </w:pPr>
          </w:p>
        </w:tc>
        <w:tc>
          <w:tcPr>
            <w:tcW w:w="0" w:type="auto"/>
          </w:tcPr>
          <w:p w:rsidR="001B6335" w:rsidRDefault="001B6335" w:rsidP="009E2531">
            <w:pPr>
              <w:tabs>
                <w:tab w:val="left" w:pos="720"/>
                <w:tab w:val="right" w:leader="dot" w:pos="8640"/>
                <w:tab w:val="left" w:pos="9240"/>
              </w:tabs>
              <w:jc w:val="right"/>
            </w:pPr>
          </w:p>
        </w:tc>
        <w:tc>
          <w:tcPr>
            <w:tcW w:w="1307" w:type="dxa"/>
            <w:tcBorders>
              <w:top w:val="single" w:sz="4" w:space="0" w:color="auto"/>
            </w:tcBorders>
          </w:tcPr>
          <w:p w:rsidR="001B6335" w:rsidRDefault="00745019" w:rsidP="006E089F">
            <w:pPr>
              <w:tabs>
                <w:tab w:val="left" w:pos="720"/>
                <w:tab w:val="right" w:leader="dot" w:pos="8640"/>
                <w:tab w:val="left" w:pos="9240"/>
              </w:tabs>
              <w:jc w:val="right"/>
            </w:pPr>
            <w:r>
              <w:t>7</w:t>
            </w:r>
            <w:r w:rsidR="00442C7E">
              <w:t>.</w:t>
            </w:r>
            <w:r w:rsidR="006E089F" w:rsidRPr="009F779C">
              <w:rPr>
                <w:strike/>
              </w:rPr>
              <w:t>8</w:t>
            </w:r>
            <w:r w:rsidR="00B41296" w:rsidRPr="009F779C">
              <w:rPr>
                <w:strike/>
              </w:rPr>
              <w:t>9</w:t>
            </w:r>
            <w:r w:rsidR="009F779C" w:rsidRPr="009F779C">
              <w:rPr>
                <w:b/>
                <w:u w:val="single"/>
              </w:rPr>
              <w:t>91</w:t>
            </w:r>
            <w:r w:rsidR="001B6335">
              <w:t>%</w:t>
            </w:r>
          </w:p>
        </w:tc>
      </w:tr>
    </w:tbl>
    <w:p w:rsidR="00730604" w:rsidRDefault="00730604" w:rsidP="009E2531">
      <w:pPr>
        <w:tabs>
          <w:tab w:val="left" w:pos="720"/>
          <w:tab w:val="right" w:leader="dot" w:pos="8640"/>
          <w:tab w:val="left" w:pos="9240"/>
        </w:tabs>
        <w:spacing w:line="360" w:lineRule="auto"/>
        <w:ind w:left="720" w:hanging="720"/>
        <w:jc w:val="both"/>
      </w:pPr>
    </w:p>
    <w:p w:rsidR="00730604" w:rsidRDefault="00730604" w:rsidP="009E2531">
      <w:pPr>
        <w:tabs>
          <w:tab w:val="left" w:pos="720"/>
          <w:tab w:val="right" w:leader="dot" w:pos="8640"/>
          <w:tab w:val="left" w:pos="9240"/>
        </w:tabs>
        <w:spacing w:line="360" w:lineRule="auto"/>
        <w:ind w:left="720" w:hanging="720"/>
        <w:jc w:val="both"/>
      </w:pPr>
    </w:p>
    <w:p w:rsidR="004B0165" w:rsidRDefault="004B0165" w:rsidP="009E2531">
      <w:pPr>
        <w:tabs>
          <w:tab w:val="left" w:pos="720"/>
          <w:tab w:val="right" w:leader="dot" w:pos="8640"/>
          <w:tab w:val="left" w:pos="9240"/>
        </w:tabs>
        <w:spacing w:line="360" w:lineRule="auto"/>
        <w:ind w:left="720" w:hanging="720"/>
        <w:jc w:val="both"/>
      </w:pPr>
    </w:p>
    <w:p w:rsidR="00745019" w:rsidRDefault="00745019" w:rsidP="009E2531">
      <w:pPr>
        <w:tabs>
          <w:tab w:val="left" w:pos="720"/>
          <w:tab w:val="left" w:pos="1440"/>
          <w:tab w:val="right" w:leader="dot" w:pos="8640"/>
          <w:tab w:val="left" w:pos="9240"/>
        </w:tabs>
        <w:spacing w:line="480" w:lineRule="auto"/>
        <w:jc w:val="both"/>
      </w:pPr>
    </w:p>
    <w:p w:rsidR="005B431F" w:rsidRDefault="005B431F" w:rsidP="009E2531">
      <w:pPr>
        <w:tabs>
          <w:tab w:val="left" w:pos="720"/>
          <w:tab w:val="left" w:pos="1440"/>
          <w:tab w:val="right" w:leader="dot" w:pos="8640"/>
          <w:tab w:val="left" w:pos="9240"/>
        </w:tabs>
        <w:spacing w:line="480" w:lineRule="auto"/>
        <w:ind w:left="720"/>
        <w:jc w:val="both"/>
      </w:pPr>
      <w:r>
        <w:t xml:space="preserve"> </w:t>
      </w:r>
    </w:p>
    <w:p w:rsidR="0023097B" w:rsidRDefault="00784855" w:rsidP="00413B15">
      <w:pPr>
        <w:tabs>
          <w:tab w:val="left" w:pos="720"/>
          <w:tab w:val="left" w:pos="1440"/>
          <w:tab w:val="right" w:leader="dot" w:pos="8640"/>
          <w:tab w:val="left" w:pos="9240"/>
        </w:tabs>
        <w:spacing w:line="480" w:lineRule="auto"/>
        <w:ind w:left="720" w:hanging="720"/>
        <w:rPr>
          <w:b/>
        </w:rPr>
      </w:pPr>
      <w:r w:rsidRPr="0023097B">
        <w:rPr>
          <w:b/>
        </w:rPr>
        <w:t>Q</w:t>
      </w:r>
      <w:r w:rsidR="0023097B" w:rsidRPr="0023097B">
        <w:rPr>
          <w:b/>
        </w:rPr>
        <w:t>.</w:t>
      </w:r>
      <w:r w:rsidR="0023097B" w:rsidRPr="0023097B">
        <w:rPr>
          <w:b/>
        </w:rPr>
        <w:tab/>
      </w:r>
      <w:r w:rsidRPr="0023097B">
        <w:rPr>
          <w:b/>
        </w:rPr>
        <w:t xml:space="preserve">Please compare your </w:t>
      </w:r>
      <w:r w:rsidR="00FB1E69" w:rsidRPr="009F779C">
        <w:rPr>
          <w:rFonts w:ascii="Times New Roman Bold" w:hAnsi="Times New Roman Bold"/>
          <w:b/>
          <w:strike/>
        </w:rPr>
        <w:t>7.</w:t>
      </w:r>
      <w:r w:rsidR="006E089F" w:rsidRPr="009F779C">
        <w:rPr>
          <w:rFonts w:ascii="Times New Roman Bold" w:hAnsi="Times New Roman Bold"/>
          <w:b/>
          <w:strike/>
        </w:rPr>
        <w:t>8</w:t>
      </w:r>
      <w:r w:rsidR="00B41296" w:rsidRPr="009F779C">
        <w:rPr>
          <w:rFonts w:ascii="Times New Roman Bold" w:hAnsi="Times New Roman Bold"/>
          <w:b/>
          <w:strike/>
        </w:rPr>
        <w:t>9</w:t>
      </w:r>
      <w:r w:rsidR="009F779C" w:rsidRPr="009F779C">
        <w:rPr>
          <w:rFonts w:ascii="Times New Roman Bold" w:hAnsi="Times New Roman Bold"/>
          <w:b/>
        </w:rPr>
        <w:t xml:space="preserve"> </w:t>
      </w:r>
      <w:r w:rsidR="009F779C" w:rsidRPr="009F779C">
        <w:rPr>
          <w:rFonts w:ascii="Times New Roman Bold" w:hAnsi="Times New Roman Bold"/>
          <w:b/>
          <w:u w:val="single"/>
        </w:rPr>
        <w:t>7.</w:t>
      </w:r>
      <w:r w:rsidR="009F779C" w:rsidRPr="009F779C">
        <w:rPr>
          <w:b/>
          <w:u w:val="single"/>
        </w:rPr>
        <w:t>91</w:t>
      </w:r>
      <w:r w:rsidR="0023097B">
        <w:rPr>
          <w:b/>
        </w:rPr>
        <w:t xml:space="preserve"> percent </w:t>
      </w:r>
      <w:r w:rsidRPr="0023097B">
        <w:rPr>
          <w:b/>
        </w:rPr>
        <w:t>estimate to the Compa</w:t>
      </w:r>
      <w:r w:rsidR="00E67088">
        <w:rPr>
          <w:b/>
        </w:rPr>
        <w:t>n</w:t>
      </w:r>
      <w:r w:rsidRPr="0023097B">
        <w:rPr>
          <w:b/>
        </w:rPr>
        <w:t>y’s proposed cost of capital</w:t>
      </w:r>
      <w:r w:rsidR="003805B4">
        <w:rPr>
          <w:b/>
        </w:rPr>
        <w:t>.</w:t>
      </w:r>
    </w:p>
    <w:p w:rsidR="0069761E" w:rsidRPr="0023097B" w:rsidRDefault="0023097B" w:rsidP="00413B15">
      <w:pPr>
        <w:tabs>
          <w:tab w:val="left" w:pos="720"/>
          <w:tab w:val="left" w:pos="1440"/>
          <w:tab w:val="right" w:leader="dot" w:pos="8640"/>
          <w:tab w:val="left" w:pos="9240"/>
        </w:tabs>
        <w:spacing w:line="480" w:lineRule="auto"/>
        <w:ind w:left="720" w:hanging="720"/>
        <w:rPr>
          <w:b/>
        </w:rPr>
      </w:pPr>
      <w:r>
        <w:t>A.</w:t>
      </w:r>
      <w:r>
        <w:tab/>
      </w:r>
      <w:r w:rsidR="00FB1E69">
        <w:t>PSE</w:t>
      </w:r>
      <w:r w:rsidR="005343C0">
        <w:t xml:space="preserve"> </w:t>
      </w:r>
      <w:r w:rsidR="0069761E">
        <w:t xml:space="preserve">requests a return on common equity of </w:t>
      </w:r>
      <w:r w:rsidR="00FB1E69">
        <w:t>10.8</w:t>
      </w:r>
      <w:r w:rsidR="0069761E">
        <w:t xml:space="preserve"> percent and </w:t>
      </w:r>
      <w:r w:rsidR="00786722">
        <w:t xml:space="preserve">an </w:t>
      </w:r>
      <w:r w:rsidR="0069761E">
        <w:t>overall rate of return of 8.</w:t>
      </w:r>
      <w:r w:rsidR="00FB1E69">
        <w:t>50</w:t>
      </w:r>
      <w:r w:rsidR="0069761E">
        <w:t xml:space="preserve"> percent.  </w:t>
      </w:r>
      <w:r w:rsidR="00423F29">
        <w:t xml:space="preserve">My cost of capital recommendation differs from </w:t>
      </w:r>
      <w:r w:rsidR="00FB1E69">
        <w:t>PSE</w:t>
      </w:r>
      <w:r w:rsidR="00423F29">
        <w:t xml:space="preserve">’s request in </w:t>
      </w:r>
      <w:r w:rsidR="00B41296">
        <w:lastRenderedPageBreak/>
        <w:t>three</w:t>
      </w:r>
      <w:r w:rsidR="00423F29">
        <w:t xml:space="preserve"> respects.  </w:t>
      </w:r>
      <w:r>
        <w:t>First</w:t>
      </w:r>
      <w:r w:rsidR="00423F29">
        <w:t xml:space="preserve">, my 10.0 percent cost of equity differs from </w:t>
      </w:r>
      <w:r w:rsidR="00FB1E69">
        <w:t>PSE</w:t>
      </w:r>
      <w:r w:rsidR="00423F29">
        <w:t>’s 1</w:t>
      </w:r>
      <w:r w:rsidR="00FB1E69">
        <w:t>0.8</w:t>
      </w:r>
      <w:r w:rsidR="00423F29">
        <w:t xml:space="preserve"> percent request.</w:t>
      </w:r>
      <w:r w:rsidR="0069761E">
        <w:t xml:space="preserve">  </w:t>
      </w:r>
    </w:p>
    <w:p w:rsidR="00E56220" w:rsidRDefault="002530F7" w:rsidP="00413B15">
      <w:pPr>
        <w:tabs>
          <w:tab w:val="left" w:pos="720"/>
          <w:tab w:val="left" w:pos="1440"/>
          <w:tab w:val="right" w:leader="dot" w:pos="8640"/>
          <w:tab w:val="left" w:pos="9240"/>
        </w:tabs>
        <w:spacing w:line="480" w:lineRule="auto"/>
        <w:ind w:left="720" w:hanging="720"/>
      </w:pPr>
      <w:r>
        <w:tab/>
      </w:r>
      <w:r>
        <w:tab/>
        <w:t xml:space="preserve">Second, </w:t>
      </w:r>
      <w:r w:rsidR="00FB1E69">
        <w:t>PSE</w:t>
      </w:r>
      <w:r>
        <w:t xml:space="preserve"> is requesting </w:t>
      </w:r>
      <w:r w:rsidR="00786722">
        <w:t xml:space="preserve">a </w:t>
      </w:r>
      <w:r w:rsidR="00FB1E69">
        <w:t xml:space="preserve">hypothetical </w:t>
      </w:r>
      <w:r>
        <w:t>capital structure</w:t>
      </w:r>
      <w:r w:rsidR="00FB1E69">
        <w:t xml:space="preserve"> with 48.0 percent common equity</w:t>
      </w:r>
      <w:r>
        <w:t>.  I am proposing a 45.</w:t>
      </w:r>
      <w:r w:rsidR="00FB1E69">
        <w:t>0</w:t>
      </w:r>
      <w:r>
        <w:t xml:space="preserve"> percent equity rati</w:t>
      </w:r>
      <w:r w:rsidR="00786722">
        <w:t>o.  My</w:t>
      </w:r>
      <w:r w:rsidR="00595F4A">
        <w:t xml:space="preserve"> 45.</w:t>
      </w:r>
      <w:r w:rsidR="00FB1E69">
        <w:t>0</w:t>
      </w:r>
      <w:r w:rsidR="00DF33DC">
        <w:t xml:space="preserve"> percent equity ratio </w:t>
      </w:r>
      <w:r>
        <w:t xml:space="preserve">is more appropriate to use than the </w:t>
      </w:r>
      <w:r w:rsidR="00786722">
        <w:t xml:space="preserve">Company’s </w:t>
      </w:r>
      <w:r w:rsidR="00FB1E69">
        <w:t>proposed</w:t>
      </w:r>
      <w:r>
        <w:t xml:space="preserve"> capital structure</w:t>
      </w:r>
      <w:r w:rsidR="006A2DEC">
        <w:t xml:space="preserve"> and properly satisfies the Commission’s </w:t>
      </w:r>
      <w:r w:rsidR="006E089F">
        <w:t>“</w:t>
      </w:r>
      <w:r w:rsidR="006A2DEC">
        <w:t>safety and economy” criteria for selecting an appropriate capital structure</w:t>
      </w:r>
      <w:r>
        <w:t xml:space="preserve">.  </w:t>
      </w:r>
      <w:r w:rsidR="00F254E8">
        <w:t xml:space="preserve">I do not believe </w:t>
      </w:r>
      <w:r w:rsidR="00A36584">
        <w:t>the Company’s</w:t>
      </w:r>
      <w:r w:rsidR="00F254E8">
        <w:t xml:space="preserve"> proposed capital structure meets these criteria.  </w:t>
      </w:r>
      <w:r>
        <w:t xml:space="preserve">In addition, </w:t>
      </w:r>
      <w:r w:rsidR="00FB1E69">
        <w:t>my proposed</w:t>
      </w:r>
      <w:r>
        <w:t xml:space="preserve"> capital structure </w:t>
      </w:r>
      <w:r w:rsidR="00DF33DC">
        <w:t>is</w:t>
      </w:r>
      <w:r>
        <w:t xml:space="preserve"> more consistent with the capital structures of other publicly-traded combination electric and gas companies.  </w:t>
      </w:r>
    </w:p>
    <w:p w:rsidR="002530F7" w:rsidRDefault="00B41296" w:rsidP="00413B15">
      <w:pPr>
        <w:tabs>
          <w:tab w:val="left" w:pos="720"/>
          <w:tab w:val="left" w:pos="1440"/>
          <w:tab w:val="right" w:leader="dot" w:pos="8640"/>
          <w:tab w:val="left" w:pos="9240"/>
        </w:tabs>
        <w:spacing w:line="480" w:lineRule="auto"/>
        <w:ind w:left="720" w:hanging="720"/>
      </w:pPr>
      <w:r>
        <w:tab/>
      </w:r>
      <w:r>
        <w:tab/>
        <w:t>Third, PSE is requesting a cost of long-term debt of 6.70 percent.  This includes two future debt issues that assume cost rates higher than the recent issue (at 5.757 percent).  I have “</w:t>
      </w:r>
      <w:proofErr w:type="spellStart"/>
      <w:r>
        <w:t>repriced</w:t>
      </w:r>
      <w:proofErr w:type="spellEnd"/>
      <w:r>
        <w:t>” these two future issue</w:t>
      </w:r>
      <w:r w:rsidR="00786722">
        <w:t>s</w:t>
      </w:r>
      <w:r>
        <w:t xml:space="preserve"> at a cost of 5.757 percent, </w:t>
      </w:r>
      <w:r w:rsidR="006E089F">
        <w:t xml:space="preserve">and I have also “priced” the differential of common equity (i.e., from 48 percent to 45 percent) and long-term debt at 5.757 percent, </w:t>
      </w:r>
      <w:r>
        <w:t xml:space="preserve">which results in a cost of debt of </w:t>
      </w:r>
      <w:proofErr w:type="gramStart"/>
      <w:r w:rsidRPr="009F779C">
        <w:rPr>
          <w:strike/>
        </w:rPr>
        <w:t>6.4</w:t>
      </w:r>
      <w:r w:rsidR="006E089F" w:rsidRPr="009F779C">
        <w:rPr>
          <w:strike/>
        </w:rPr>
        <w:t>5</w:t>
      </w:r>
      <w:r>
        <w:t xml:space="preserve"> </w:t>
      </w:r>
      <w:r w:rsidR="009F779C">
        <w:t xml:space="preserve"> </w:t>
      </w:r>
      <w:r w:rsidR="009F779C" w:rsidRPr="009F779C">
        <w:rPr>
          <w:u w:val="single"/>
        </w:rPr>
        <w:t>6.48</w:t>
      </w:r>
      <w:proofErr w:type="gramEnd"/>
      <w:r w:rsidR="009F779C">
        <w:t xml:space="preserve"> </w:t>
      </w:r>
      <w:r>
        <w:t>percent.</w:t>
      </w:r>
    </w:p>
    <w:p w:rsidR="00B41296" w:rsidRDefault="00B41296" w:rsidP="00413B15">
      <w:pPr>
        <w:tabs>
          <w:tab w:val="left" w:pos="720"/>
          <w:tab w:val="left" w:pos="1440"/>
          <w:tab w:val="right" w:leader="dot" w:pos="8640"/>
          <w:tab w:val="left" w:pos="9240"/>
        </w:tabs>
        <w:spacing w:line="480" w:lineRule="auto"/>
        <w:ind w:left="720" w:hanging="720"/>
      </w:pPr>
    </w:p>
    <w:p w:rsidR="00730604" w:rsidRDefault="00730604" w:rsidP="00413B15">
      <w:pPr>
        <w:tabs>
          <w:tab w:val="left" w:pos="720"/>
          <w:tab w:val="left" w:pos="1440"/>
          <w:tab w:val="right" w:leader="dot" w:pos="8640"/>
          <w:tab w:val="left" w:pos="9240"/>
        </w:tabs>
        <w:spacing w:line="480" w:lineRule="auto"/>
        <w:ind w:left="720" w:hanging="720"/>
        <w:rPr>
          <w:b/>
        </w:rPr>
      </w:pPr>
      <w:r>
        <w:rPr>
          <w:b/>
        </w:rPr>
        <w:t>Q.</w:t>
      </w:r>
      <w:r>
        <w:rPr>
          <w:b/>
        </w:rPr>
        <w:tab/>
      </w:r>
      <w:r w:rsidR="00320045">
        <w:rPr>
          <w:b/>
        </w:rPr>
        <w:t xml:space="preserve">Please summarize your cost of capital analyses and related conclusions for </w:t>
      </w:r>
      <w:r w:rsidR="00B91BA3">
        <w:rPr>
          <w:b/>
        </w:rPr>
        <w:t>PSE</w:t>
      </w:r>
      <w:r>
        <w:rPr>
          <w:b/>
        </w:rPr>
        <w:t>.</w:t>
      </w:r>
    </w:p>
    <w:p w:rsidR="00E83DA3" w:rsidRDefault="00730604" w:rsidP="00413B15">
      <w:pPr>
        <w:tabs>
          <w:tab w:val="left" w:pos="720"/>
          <w:tab w:val="left" w:pos="1440"/>
          <w:tab w:val="right" w:leader="dot" w:pos="8640"/>
          <w:tab w:val="left" w:pos="9240"/>
        </w:tabs>
        <w:spacing w:line="480" w:lineRule="auto"/>
        <w:ind w:left="720" w:hanging="720"/>
        <w:sectPr w:rsidR="00E83DA3" w:rsidSect="00574AEF">
          <w:footerReference w:type="default" r:id="rId10"/>
          <w:pgSz w:w="12240" w:h="15840" w:code="1"/>
          <w:pgMar w:top="1440" w:right="1440" w:bottom="720" w:left="1872" w:header="720" w:footer="720" w:gutter="0"/>
          <w:lnNumType w:countBy="1"/>
          <w:cols w:space="720"/>
          <w:docGrid w:linePitch="360"/>
        </w:sectPr>
      </w:pPr>
      <w:r>
        <w:t>A.</w:t>
      </w:r>
      <w:r>
        <w:tab/>
        <w:t xml:space="preserve">This proceeding is concerned with </w:t>
      </w:r>
      <w:r w:rsidR="00FB1E69">
        <w:t>PSE</w:t>
      </w:r>
      <w:r w:rsidR="004D3526">
        <w:t>’s</w:t>
      </w:r>
      <w:r>
        <w:t xml:space="preserve"> regulated </w:t>
      </w:r>
      <w:r w:rsidR="00582A23">
        <w:t>electric</w:t>
      </w:r>
      <w:r>
        <w:t xml:space="preserve"> </w:t>
      </w:r>
      <w:r w:rsidR="00175460">
        <w:t>and natural gas distribution utility op</w:t>
      </w:r>
      <w:r>
        <w:t xml:space="preserve">erations in </w:t>
      </w:r>
      <w:r w:rsidR="0023097B">
        <w:t xml:space="preserve">the State of </w:t>
      </w:r>
      <w:r w:rsidR="00175460">
        <w:t>Washington</w:t>
      </w:r>
      <w:r>
        <w:t>.  My analyses are concerned with the Company’s total cost of capital</w:t>
      </w:r>
      <w:r w:rsidR="00224D9B">
        <w:t xml:space="preserve"> for its regulated operations</w:t>
      </w:r>
      <w:r w:rsidR="0023097B">
        <w:t>.</w:t>
      </w:r>
      <w:r w:rsidR="00224D9B">
        <w:t xml:space="preserve">  </w:t>
      </w:r>
      <w:r>
        <w:t xml:space="preserve">The first step </w:t>
      </w:r>
      <w:r w:rsidR="00784855">
        <w:t xml:space="preserve">I undertake in </w:t>
      </w:r>
      <w:r>
        <w:t>the</w:t>
      </w:r>
      <w:r w:rsidR="00784855">
        <w:t xml:space="preserve"> determination of </w:t>
      </w:r>
      <w:r w:rsidR="00FB1E69">
        <w:t>PSE</w:t>
      </w:r>
      <w:r w:rsidR="00784855">
        <w:t>’s cost of capital</w:t>
      </w:r>
      <w:r>
        <w:t xml:space="preserve"> is the development of </w:t>
      </w:r>
      <w:r w:rsidR="00784855">
        <w:t xml:space="preserve">an </w:t>
      </w:r>
      <w:r>
        <w:t>appropriate capital structure.</w:t>
      </w:r>
      <w:r w:rsidR="00DF33DC">
        <w:t xml:space="preserve">  As I just mentioned, I recommend </w:t>
      </w:r>
      <w:r w:rsidR="00A36C23">
        <w:t xml:space="preserve">use of </w:t>
      </w:r>
      <w:r w:rsidR="00FB1E69">
        <w:t>a</w:t>
      </w:r>
      <w:r w:rsidR="00A36C23">
        <w:t xml:space="preserve"> capital </w:t>
      </w:r>
    </w:p>
    <w:p w:rsidR="00020CCA" w:rsidRDefault="00A36C23" w:rsidP="00E83DA3">
      <w:pPr>
        <w:tabs>
          <w:tab w:val="left" w:pos="720"/>
          <w:tab w:val="left" w:pos="1440"/>
          <w:tab w:val="right" w:leader="dot" w:pos="8640"/>
          <w:tab w:val="left" w:pos="9240"/>
        </w:tabs>
        <w:spacing w:line="480" w:lineRule="auto"/>
        <w:ind w:left="720"/>
      </w:pPr>
      <w:proofErr w:type="gramStart"/>
      <w:r>
        <w:lastRenderedPageBreak/>
        <w:t>structure</w:t>
      </w:r>
      <w:proofErr w:type="gramEnd"/>
      <w:r>
        <w:t xml:space="preserve"> with </w:t>
      </w:r>
      <w:r w:rsidR="00DF33DC">
        <w:t>a 45.</w:t>
      </w:r>
      <w:r w:rsidR="00FB1E69">
        <w:t>0</w:t>
      </w:r>
      <w:r w:rsidR="00DF33DC">
        <w:t xml:space="preserve"> percent equity ratio.</w:t>
      </w:r>
      <w:r w:rsidR="00FB1E69">
        <w:t xml:space="preserve">  This is consistent with prior capital structures</w:t>
      </w:r>
      <w:r w:rsidR="006A2DEC">
        <w:t xml:space="preserve"> </w:t>
      </w:r>
      <w:r w:rsidR="00406F71">
        <w:t>used</w:t>
      </w:r>
      <w:r w:rsidR="006A2DEC">
        <w:t xml:space="preserve"> by PSE and</w:t>
      </w:r>
      <w:r w:rsidR="00FB1E69">
        <w:t xml:space="preserve"> approved by this Commission</w:t>
      </w:r>
      <w:r w:rsidR="00406F71">
        <w:t>.  I</w:t>
      </w:r>
      <w:r w:rsidR="006A2DEC">
        <w:t xml:space="preserve">n my judgment, </w:t>
      </w:r>
      <w:r w:rsidR="00406F71">
        <w:t xml:space="preserve">it </w:t>
      </w:r>
      <w:r w:rsidR="006A2DEC">
        <w:t xml:space="preserve">reflects a capital structure that </w:t>
      </w:r>
      <w:r w:rsidR="00241AAD">
        <w:t>meets</w:t>
      </w:r>
      <w:r w:rsidR="006A2DEC">
        <w:t xml:space="preserve"> the </w:t>
      </w:r>
      <w:r w:rsidR="00406F71">
        <w:t>Commission’s standards</w:t>
      </w:r>
      <w:r w:rsidR="006A2DEC">
        <w:t xml:space="preserve"> of safety and economy</w:t>
      </w:r>
      <w:r w:rsidR="00FB1E69">
        <w:t>.</w:t>
      </w:r>
      <w:r w:rsidR="00DF33DC">
        <w:t xml:space="preserve">  </w:t>
      </w:r>
    </w:p>
    <w:p w:rsidR="00730604" w:rsidRDefault="00320045" w:rsidP="00413B15">
      <w:pPr>
        <w:tabs>
          <w:tab w:val="left" w:pos="720"/>
          <w:tab w:val="left" w:pos="1440"/>
          <w:tab w:val="right" w:leader="dot" w:pos="8640"/>
          <w:tab w:val="left" w:pos="9240"/>
        </w:tabs>
        <w:spacing w:line="480" w:lineRule="auto"/>
        <w:ind w:left="720" w:hanging="720"/>
      </w:pPr>
      <w:r>
        <w:tab/>
      </w:r>
      <w:r w:rsidR="00020CCA">
        <w:tab/>
      </w:r>
      <w:r w:rsidR="00730604">
        <w:t>The second step is a determination of the embedded cost rate</w:t>
      </w:r>
      <w:r w:rsidR="00774C6D">
        <w:t>s</w:t>
      </w:r>
      <w:r w:rsidR="00730604">
        <w:t xml:space="preserve"> of </w:t>
      </w:r>
      <w:r w:rsidR="00175460">
        <w:t>debt</w:t>
      </w:r>
      <w:r w:rsidR="00730604">
        <w:t xml:space="preserve">.  I </w:t>
      </w:r>
      <w:r w:rsidR="003805B4">
        <w:t xml:space="preserve">use </w:t>
      </w:r>
      <w:r w:rsidR="00B41296">
        <w:t>a</w:t>
      </w:r>
      <w:r w:rsidR="003805B4">
        <w:t xml:space="preserve"> </w:t>
      </w:r>
      <w:r w:rsidR="00FB1E69">
        <w:t xml:space="preserve">long-term debt </w:t>
      </w:r>
      <w:r w:rsidR="00DF33DC">
        <w:t xml:space="preserve">cost of </w:t>
      </w:r>
      <w:r w:rsidR="003A52EA" w:rsidRPr="00E83DA3">
        <w:rPr>
          <w:strike/>
        </w:rPr>
        <w:t>6.</w:t>
      </w:r>
      <w:r w:rsidR="00B41296" w:rsidRPr="00E83DA3">
        <w:rPr>
          <w:strike/>
        </w:rPr>
        <w:t>49</w:t>
      </w:r>
      <w:r w:rsidR="003805B4">
        <w:t xml:space="preserve"> </w:t>
      </w:r>
      <w:r w:rsidR="00E83DA3" w:rsidRPr="005550E1">
        <w:rPr>
          <w:strike/>
          <w:u w:val="single"/>
        </w:rPr>
        <w:t>6.45</w:t>
      </w:r>
      <w:r w:rsidR="00E83DA3">
        <w:rPr>
          <w:u w:val="single"/>
        </w:rPr>
        <w:t xml:space="preserve"> </w:t>
      </w:r>
      <w:r w:rsidR="005550E1">
        <w:rPr>
          <w:u w:val="single"/>
        </w:rPr>
        <w:t xml:space="preserve">6.48 </w:t>
      </w:r>
      <w:r w:rsidR="003805B4">
        <w:t>percent</w:t>
      </w:r>
      <w:r w:rsidR="00DF33DC">
        <w:t>,</w:t>
      </w:r>
      <w:r w:rsidR="003805B4">
        <w:t xml:space="preserve"> as </w:t>
      </w:r>
      <w:r w:rsidR="00B41296">
        <w:t>described above</w:t>
      </w:r>
      <w:r w:rsidR="003A52EA">
        <w:t>.</w:t>
      </w:r>
      <w:r w:rsidR="00FB1E69">
        <w:t xml:space="preserve">  I use the 2.47 percent cost of short-term debt contained in the Company’s application.</w:t>
      </w:r>
    </w:p>
    <w:p w:rsidR="003805B4" w:rsidRDefault="00B0082C" w:rsidP="00CA2476">
      <w:pPr>
        <w:tabs>
          <w:tab w:val="left" w:pos="720"/>
          <w:tab w:val="left" w:pos="1440"/>
          <w:tab w:val="right" w:leader="dot" w:pos="8640"/>
          <w:tab w:val="left" w:pos="9240"/>
        </w:tabs>
        <w:spacing w:line="480" w:lineRule="auto"/>
        <w:ind w:left="720" w:hanging="720"/>
      </w:pPr>
      <w:r>
        <w:tab/>
      </w:r>
      <w:r w:rsidR="00320045">
        <w:tab/>
      </w:r>
      <w:r>
        <w:t xml:space="preserve">The third step is the estimation of the cost of common equity.  I employ three recognized methodologies to estimate the cost of equity for </w:t>
      </w:r>
      <w:r w:rsidR="00FB1E69">
        <w:t>PSE</w:t>
      </w:r>
      <w:r>
        <w:t xml:space="preserve">.  </w:t>
      </w:r>
      <w:r w:rsidR="00DF33DC">
        <w:t>I apply e</w:t>
      </w:r>
      <w:r>
        <w:t xml:space="preserve">ach of these methodologies to </w:t>
      </w:r>
      <w:r w:rsidR="00C9300D">
        <w:t>t</w:t>
      </w:r>
      <w:r w:rsidR="00B91BA3">
        <w:t>hree</w:t>
      </w:r>
      <w:r>
        <w:t xml:space="preserve"> groups of proxy utilities.  These three methodologies and my findings are:</w:t>
      </w:r>
    </w:p>
    <w:tbl>
      <w:tblPr>
        <w:tblpPr w:leftFromText="180" w:rightFromText="180" w:vertAnchor="text" w:horzAnchor="margin" w:tblpXSpec="center" w:tblpY="1"/>
        <w:tblW w:w="0" w:type="auto"/>
        <w:tblLook w:val="01E0"/>
      </w:tblPr>
      <w:tblGrid>
        <w:gridCol w:w="2943"/>
        <w:gridCol w:w="405"/>
        <w:gridCol w:w="1216"/>
      </w:tblGrid>
      <w:tr w:rsidR="002579B9">
        <w:tc>
          <w:tcPr>
            <w:tcW w:w="0" w:type="auto"/>
            <w:tcBorders>
              <w:bottom w:val="single" w:sz="4" w:space="0" w:color="auto"/>
            </w:tcBorders>
          </w:tcPr>
          <w:p w:rsidR="002579B9" w:rsidRDefault="002579B9" w:rsidP="009E2531">
            <w:pPr>
              <w:tabs>
                <w:tab w:val="left" w:pos="720"/>
                <w:tab w:val="left" w:pos="1440"/>
                <w:tab w:val="right" w:leader="dot" w:pos="8640"/>
                <w:tab w:val="left" w:pos="9240"/>
              </w:tabs>
              <w:jc w:val="center"/>
            </w:pPr>
            <w:r>
              <w:t>Methodology</w:t>
            </w:r>
          </w:p>
        </w:tc>
        <w:tc>
          <w:tcPr>
            <w:tcW w:w="405" w:type="dxa"/>
          </w:tcPr>
          <w:p w:rsidR="002579B9" w:rsidRDefault="002579B9" w:rsidP="009E2531">
            <w:pPr>
              <w:tabs>
                <w:tab w:val="left" w:pos="720"/>
                <w:tab w:val="left" w:pos="1440"/>
                <w:tab w:val="right" w:leader="dot" w:pos="8640"/>
                <w:tab w:val="left" w:pos="9240"/>
              </w:tabs>
              <w:jc w:val="center"/>
            </w:pPr>
          </w:p>
        </w:tc>
        <w:tc>
          <w:tcPr>
            <w:tcW w:w="0" w:type="auto"/>
            <w:tcBorders>
              <w:bottom w:val="single" w:sz="4" w:space="0" w:color="auto"/>
            </w:tcBorders>
          </w:tcPr>
          <w:p w:rsidR="002579B9" w:rsidRDefault="002579B9" w:rsidP="009E2531">
            <w:pPr>
              <w:tabs>
                <w:tab w:val="left" w:pos="720"/>
                <w:tab w:val="left" w:pos="1440"/>
                <w:tab w:val="right" w:leader="dot" w:pos="8640"/>
                <w:tab w:val="left" w:pos="9240"/>
              </w:tabs>
              <w:jc w:val="center"/>
            </w:pPr>
            <w:r>
              <w:t>Range</w:t>
            </w:r>
          </w:p>
        </w:tc>
      </w:tr>
      <w:tr w:rsidR="002579B9">
        <w:tc>
          <w:tcPr>
            <w:tcW w:w="0" w:type="auto"/>
            <w:tcBorders>
              <w:top w:val="single" w:sz="4" w:space="0" w:color="auto"/>
            </w:tcBorders>
          </w:tcPr>
          <w:p w:rsidR="002579B9" w:rsidRDefault="002579B9" w:rsidP="009E2531">
            <w:pPr>
              <w:tabs>
                <w:tab w:val="left" w:pos="720"/>
                <w:tab w:val="left" w:pos="1440"/>
                <w:tab w:val="right" w:leader="dot" w:pos="8640"/>
                <w:tab w:val="left" w:pos="9240"/>
              </w:tabs>
              <w:jc w:val="both"/>
            </w:pPr>
            <w:r>
              <w:t>Discounted Cash Flow</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Borders>
              <w:top w:val="single" w:sz="4" w:space="0" w:color="auto"/>
            </w:tcBorders>
          </w:tcPr>
          <w:p w:rsidR="002579B9" w:rsidRDefault="003805B4" w:rsidP="006E089F">
            <w:pPr>
              <w:tabs>
                <w:tab w:val="left" w:pos="720"/>
                <w:tab w:val="left" w:pos="1440"/>
                <w:tab w:val="right" w:leader="dot" w:pos="8640"/>
                <w:tab w:val="left" w:pos="9240"/>
              </w:tabs>
              <w:jc w:val="right"/>
            </w:pPr>
            <w:r>
              <w:t>9.</w:t>
            </w:r>
            <w:r w:rsidR="006E089F">
              <w:t>6</w:t>
            </w:r>
            <w:r w:rsidR="00EE0279">
              <w:t>-1</w:t>
            </w:r>
            <w:r w:rsidR="006E089F">
              <w:t>1.3</w:t>
            </w:r>
            <w:r w:rsidR="002579B9">
              <w:t>%</w:t>
            </w:r>
          </w:p>
        </w:tc>
      </w:tr>
      <w:tr w:rsidR="002579B9">
        <w:tc>
          <w:tcPr>
            <w:tcW w:w="0" w:type="auto"/>
          </w:tcPr>
          <w:p w:rsidR="002579B9" w:rsidRDefault="002579B9" w:rsidP="009E2531">
            <w:pPr>
              <w:tabs>
                <w:tab w:val="left" w:pos="720"/>
                <w:tab w:val="left" w:pos="1440"/>
                <w:tab w:val="right" w:leader="dot" w:pos="8640"/>
                <w:tab w:val="left" w:pos="9240"/>
              </w:tabs>
              <w:jc w:val="both"/>
            </w:pPr>
            <w:r>
              <w:t>Capital Asset Pricing Model</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Pr>
          <w:p w:rsidR="002579B9" w:rsidRDefault="006E089F" w:rsidP="006E089F">
            <w:pPr>
              <w:tabs>
                <w:tab w:val="left" w:pos="720"/>
                <w:tab w:val="left" w:pos="1440"/>
                <w:tab w:val="right" w:leader="dot" w:pos="8640"/>
                <w:tab w:val="left" w:pos="9240"/>
              </w:tabs>
              <w:jc w:val="right"/>
            </w:pPr>
            <w:r>
              <w:t>7.9</w:t>
            </w:r>
            <w:r w:rsidR="00D644AC">
              <w:t>-8.</w:t>
            </w:r>
            <w:r>
              <w:t>2</w:t>
            </w:r>
            <w:r w:rsidR="002579B9">
              <w:t>%</w:t>
            </w:r>
          </w:p>
        </w:tc>
      </w:tr>
      <w:tr w:rsidR="002579B9">
        <w:tc>
          <w:tcPr>
            <w:tcW w:w="0" w:type="auto"/>
          </w:tcPr>
          <w:p w:rsidR="002579B9" w:rsidRDefault="002579B9" w:rsidP="009E2531">
            <w:pPr>
              <w:tabs>
                <w:tab w:val="left" w:pos="720"/>
                <w:tab w:val="left" w:pos="1440"/>
                <w:tab w:val="right" w:leader="dot" w:pos="8640"/>
                <w:tab w:val="left" w:pos="9240"/>
              </w:tabs>
              <w:jc w:val="both"/>
            </w:pPr>
            <w:r>
              <w:t>Comparable Earnings</w:t>
            </w:r>
          </w:p>
        </w:tc>
        <w:tc>
          <w:tcPr>
            <w:tcW w:w="405" w:type="dxa"/>
          </w:tcPr>
          <w:p w:rsidR="002579B9" w:rsidRDefault="002579B9" w:rsidP="009E2531">
            <w:pPr>
              <w:tabs>
                <w:tab w:val="left" w:pos="720"/>
                <w:tab w:val="left" w:pos="1440"/>
                <w:tab w:val="right" w:leader="dot" w:pos="8640"/>
                <w:tab w:val="left" w:pos="9240"/>
              </w:tabs>
              <w:jc w:val="both"/>
            </w:pPr>
          </w:p>
        </w:tc>
        <w:tc>
          <w:tcPr>
            <w:tcW w:w="0" w:type="auto"/>
          </w:tcPr>
          <w:p w:rsidR="002579B9" w:rsidRDefault="00423F29" w:rsidP="009E2531">
            <w:pPr>
              <w:tabs>
                <w:tab w:val="left" w:pos="720"/>
                <w:tab w:val="left" w:pos="1440"/>
                <w:tab w:val="right" w:leader="dot" w:pos="8640"/>
                <w:tab w:val="left" w:pos="9240"/>
              </w:tabs>
              <w:jc w:val="right"/>
            </w:pPr>
            <w:r>
              <w:t>9.5</w:t>
            </w:r>
            <w:r w:rsidR="00BE09C5">
              <w:t>-10.</w:t>
            </w:r>
            <w:r w:rsidR="001627E6">
              <w:t>5</w:t>
            </w:r>
            <w:r w:rsidR="002579B9">
              <w:t>%</w:t>
            </w:r>
          </w:p>
        </w:tc>
      </w:tr>
    </w:tbl>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2579B9" w:rsidRDefault="002579B9" w:rsidP="009E2531">
      <w:pPr>
        <w:tabs>
          <w:tab w:val="left" w:pos="720"/>
          <w:tab w:val="left" w:pos="1440"/>
          <w:tab w:val="right" w:leader="dot" w:pos="8640"/>
          <w:tab w:val="left" w:pos="9240"/>
        </w:tabs>
        <w:spacing w:line="360" w:lineRule="auto"/>
        <w:ind w:left="720" w:hanging="720"/>
        <w:jc w:val="both"/>
      </w:pPr>
    </w:p>
    <w:p w:rsidR="00EC1C93" w:rsidRDefault="0090371E" w:rsidP="00413B15">
      <w:pPr>
        <w:tabs>
          <w:tab w:val="left" w:pos="720"/>
          <w:tab w:val="left" w:pos="1440"/>
          <w:tab w:val="right" w:leader="dot" w:pos="8640"/>
          <w:tab w:val="left" w:pos="9240"/>
        </w:tabs>
        <w:spacing w:line="480" w:lineRule="auto"/>
        <w:ind w:left="720" w:hanging="720"/>
      </w:pPr>
      <w:r>
        <w:tab/>
      </w:r>
      <w:r w:rsidR="002579B9">
        <w:t xml:space="preserve">Based upon these </w:t>
      </w:r>
      <w:r w:rsidR="00224D9B">
        <w:t>analyses</w:t>
      </w:r>
      <w:r w:rsidR="002579B9">
        <w:t xml:space="preserve">, I conclude that the cost of common equity for </w:t>
      </w:r>
      <w:r w:rsidR="00FB1E69">
        <w:t>PSE</w:t>
      </w:r>
      <w:r w:rsidR="002579B9">
        <w:t xml:space="preserve"> is within a range of </w:t>
      </w:r>
      <w:r w:rsidR="00EE0279">
        <w:t>9.5</w:t>
      </w:r>
      <w:r w:rsidR="002579B9">
        <w:t xml:space="preserve"> percent to 10.</w:t>
      </w:r>
      <w:r w:rsidR="00CA2E3F">
        <w:t>5</w:t>
      </w:r>
      <w:r w:rsidR="002579B9">
        <w:t xml:space="preserve"> percent</w:t>
      </w:r>
      <w:r w:rsidR="00784855">
        <w:t>.  For purposes of this case</w:t>
      </w:r>
      <w:r w:rsidR="00DF33DC">
        <w:t>,</w:t>
      </w:r>
      <w:r w:rsidR="00784855">
        <w:t xml:space="preserve"> I recommend that the Commission authorize a</w:t>
      </w:r>
      <w:r w:rsidR="003805B4">
        <w:t xml:space="preserve"> </w:t>
      </w:r>
      <w:r w:rsidR="00E56220">
        <w:t>10.</w:t>
      </w:r>
      <w:r w:rsidR="00EE0279">
        <w:t>0</w:t>
      </w:r>
      <w:r w:rsidR="002579B9">
        <w:t xml:space="preserve"> percent </w:t>
      </w:r>
      <w:r w:rsidR="00784855">
        <w:t>ret</w:t>
      </w:r>
      <w:r w:rsidR="00EC1C93">
        <w:t>ur</w:t>
      </w:r>
      <w:r w:rsidR="00784855">
        <w:t xml:space="preserve">n on equity, the </w:t>
      </w:r>
      <w:r w:rsidR="002579B9">
        <w:t>mid-point</w:t>
      </w:r>
      <w:r w:rsidR="00784855">
        <w:t xml:space="preserve"> of my estimated range.</w:t>
      </w:r>
      <w:r w:rsidR="00774C6D">
        <w:t xml:space="preserve">  This 10</w:t>
      </w:r>
      <w:r w:rsidR="00406F71">
        <w:t>.0</w:t>
      </w:r>
      <w:r w:rsidR="00774C6D">
        <w:t xml:space="preserve"> percent return is also consistent with the results of my DCF analyses, which this Commission favors.</w:t>
      </w:r>
    </w:p>
    <w:p w:rsidR="00E83DA3" w:rsidRDefault="002579B9" w:rsidP="00413B15">
      <w:pPr>
        <w:tabs>
          <w:tab w:val="left" w:pos="720"/>
          <w:tab w:val="left" w:pos="1440"/>
          <w:tab w:val="right" w:leader="dot" w:pos="8640"/>
          <w:tab w:val="left" w:pos="9240"/>
        </w:tabs>
        <w:spacing w:line="480" w:lineRule="auto"/>
        <w:ind w:left="720" w:hanging="720"/>
      </w:pPr>
      <w:r>
        <w:tab/>
      </w:r>
      <w:r w:rsidR="00EC1C93">
        <w:tab/>
      </w:r>
      <w:proofErr w:type="gramStart"/>
      <w:r>
        <w:t xml:space="preserve">Combining these three </w:t>
      </w:r>
      <w:r w:rsidR="005D12A4">
        <w:t xml:space="preserve">elements </w:t>
      </w:r>
      <w:r>
        <w:t>into a weighted cost of capital</w:t>
      </w:r>
      <w:r w:rsidR="004C1FC3">
        <w:t>,</w:t>
      </w:r>
      <w:r>
        <w:t xml:space="preserve"> results in an overall rate of return of </w:t>
      </w:r>
      <w:r w:rsidR="00FB1E69" w:rsidRPr="005550E1">
        <w:rPr>
          <w:strike/>
        </w:rPr>
        <w:t>7.</w:t>
      </w:r>
      <w:r w:rsidR="006E089F" w:rsidRPr="005550E1">
        <w:rPr>
          <w:strike/>
        </w:rPr>
        <w:t>8</w:t>
      </w:r>
      <w:r w:rsidR="00B41296" w:rsidRPr="005550E1">
        <w:rPr>
          <w:strike/>
        </w:rPr>
        <w:t>9</w:t>
      </w:r>
      <w:r w:rsidR="005550E1">
        <w:rPr>
          <w:strike/>
        </w:rPr>
        <w:t xml:space="preserve"> </w:t>
      </w:r>
      <w:r w:rsidR="005550E1">
        <w:rPr>
          <w:u w:val="single"/>
        </w:rPr>
        <w:t>7.91</w:t>
      </w:r>
      <w:r w:rsidR="0069761E">
        <w:t xml:space="preserve"> percent.</w:t>
      </w:r>
      <w:proofErr w:type="gramEnd"/>
    </w:p>
    <w:p w:rsidR="0069761E" w:rsidRDefault="005D12A4" w:rsidP="00413B15">
      <w:pPr>
        <w:tabs>
          <w:tab w:val="left" w:pos="720"/>
          <w:tab w:val="left" w:pos="1440"/>
          <w:tab w:val="right" w:leader="dot" w:pos="8640"/>
          <w:tab w:val="left" w:pos="9240"/>
        </w:tabs>
        <w:spacing w:line="480" w:lineRule="auto"/>
        <w:ind w:left="720" w:hanging="720"/>
      </w:pPr>
      <w:r>
        <w:t xml:space="preserve"> </w:t>
      </w:r>
    </w:p>
    <w:p w:rsidR="00E83DA3" w:rsidRDefault="00E83DA3" w:rsidP="00413B15">
      <w:pPr>
        <w:tabs>
          <w:tab w:val="left" w:pos="720"/>
          <w:tab w:val="left" w:pos="1440"/>
          <w:tab w:val="right" w:leader="dot" w:pos="8640"/>
          <w:tab w:val="left" w:pos="9240"/>
        </w:tabs>
        <w:spacing w:line="480" w:lineRule="auto"/>
        <w:ind w:left="720" w:hanging="720"/>
        <w:sectPr w:rsidR="00E83DA3" w:rsidSect="00E83DA3">
          <w:footerReference w:type="default" r:id="rId11"/>
          <w:pgSz w:w="12240" w:h="15840" w:code="1"/>
          <w:pgMar w:top="1440" w:right="1440" w:bottom="720" w:left="1872" w:header="720" w:footer="720" w:gutter="0"/>
          <w:lnNumType w:countBy="1"/>
          <w:cols w:space="720"/>
          <w:docGrid w:linePitch="360"/>
        </w:sectPr>
      </w:pPr>
    </w:p>
    <w:p w:rsidR="00F676FA" w:rsidRDefault="00F676FA" w:rsidP="00413B15">
      <w:pPr>
        <w:tabs>
          <w:tab w:val="left" w:pos="720"/>
          <w:tab w:val="left" w:pos="1440"/>
          <w:tab w:val="left" w:pos="1800"/>
          <w:tab w:val="left" w:pos="9240"/>
        </w:tabs>
        <w:spacing w:line="480" w:lineRule="auto"/>
        <w:ind w:left="720" w:hanging="720"/>
        <w:rPr>
          <w:b/>
        </w:rPr>
      </w:pPr>
      <w:r>
        <w:rPr>
          <w:b/>
        </w:rPr>
        <w:lastRenderedPageBreak/>
        <w:t>Q.</w:t>
      </w:r>
      <w:r>
        <w:rPr>
          <w:b/>
        </w:rPr>
        <w:tab/>
        <w:t>Are you aware that, i</w:t>
      </w:r>
      <w:r w:rsidR="001360B8">
        <w:rPr>
          <w:b/>
        </w:rPr>
        <w:t xml:space="preserve">n recent orders, the </w:t>
      </w:r>
      <w:r w:rsidR="0075548E">
        <w:rPr>
          <w:b/>
        </w:rPr>
        <w:t>Commission has</w:t>
      </w:r>
      <w:r>
        <w:rPr>
          <w:b/>
        </w:rPr>
        <w:t xml:space="preserve"> </w:t>
      </w:r>
      <w:r w:rsidR="00EC1C93">
        <w:rPr>
          <w:b/>
        </w:rPr>
        <w:t xml:space="preserve">indicated that it </w:t>
      </w:r>
      <w:r w:rsidR="00FF4E4A">
        <w:rPr>
          <w:b/>
        </w:rPr>
        <w:t>expect</w:t>
      </w:r>
      <w:r w:rsidR="005D12A4">
        <w:rPr>
          <w:b/>
        </w:rPr>
        <w:t>s</w:t>
      </w:r>
      <w:r>
        <w:rPr>
          <w:b/>
        </w:rPr>
        <w:t xml:space="preserve"> cost of capital witnesses to </w:t>
      </w:r>
      <w:r w:rsidR="00EC1C93">
        <w:rPr>
          <w:b/>
        </w:rPr>
        <w:t xml:space="preserve">demonstrate that any change in return on equity (from that determined in the most recent case for the same Company) </w:t>
      </w:r>
      <w:r w:rsidR="005D12A4">
        <w:rPr>
          <w:b/>
        </w:rPr>
        <w:t xml:space="preserve">be supported by testimony describing the nexus between the changed circumstances in the capital markets and the recommendation to change the </w:t>
      </w:r>
      <w:r w:rsidR="00EC1C93">
        <w:rPr>
          <w:b/>
        </w:rPr>
        <w:t>return on equity</w:t>
      </w:r>
      <w:r w:rsidR="003805B4">
        <w:rPr>
          <w:b/>
        </w:rPr>
        <w:t>?</w:t>
      </w:r>
    </w:p>
    <w:p w:rsidR="008802FE" w:rsidRDefault="00F676FA" w:rsidP="00413B15">
      <w:pPr>
        <w:tabs>
          <w:tab w:val="left" w:pos="720"/>
          <w:tab w:val="left" w:pos="1440"/>
          <w:tab w:val="left" w:pos="1800"/>
          <w:tab w:val="left" w:pos="9240"/>
        </w:tabs>
        <w:spacing w:line="480" w:lineRule="auto"/>
        <w:ind w:left="720" w:hanging="720"/>
      </w:pPr>
      <w:r>
        <w:t>A.</w:t>
      </w:r>
      <w:r>
        <w:tab/>
        <w:t>Yes, I am.</w:t>
      </w:r>
      <w:r w:rsidR="001360B8">
        <w:t xml:space="preserve">  I have reviewed the</w:t>
      </w:r>
      <w:r w:rsidR="0075548E">
        <w:t xml:space="preserve"> Commission</w:t>
      </w:r>
      <w:r>
        <w:t>’s decision in Dockets UE-060266 and UG-06</w:t>
      </w:r>
      <w:r w:rsidR="00890174">
        <w:t>0267</w:t>
      </w:r>
      <w:r w:rsidR="003805B4">
        <w:t>.</w:t>
      </w:r>
      <w:r>
        <w:t xml:space="preserve"> </w:t>
      </w:r>
      <w:r w:rsidR="004C1FC3">
        <w:t xml:space="preserve"> </w:t>
      </w:r>
      <w:r>
        <w:t xml:space="preserve">In that order, the </w:t>
      </w:r>
      <w:r w:rsidR="0075548E">
        <w:t>Commission</w:t>
      </w:r>
      <w:r>
        <w:t xml:space="preserve"> </w:t>
      </w:r>
      <w:r w:rsidR="00FF4E4A">
        <w:t>stated at paragraph 84</w:t>
      </w:r>
      <w:r>
        <w:t>:  “Little of the extensive testimony offered on this subject focuses squarely on what might have changed in the capital markets or at PSE in the last 18 months to justify a change in the ROE set by the Commission in February of 2005.”</w:t>
      </w:r>
    </w:p>
    <w:p w:rsidR="0075548E" w:rsidRDefault="0075548E" w:rsidP="00413B15">
      <w:pPr>
        <w:tabs>
          <w:tab w:val="left" w:pos="720"/>
          <w:tab w:val="left" w:pos="1440"/>
          <w:tab w:val="left" w:pos="1800"/>
          <w:tab w:val="left" w:pos="9240"/>
        </w:tabs>
        <w:spacing w:line="480" w:lineRule="auto"/>
        <w:ind w:left="720" w:hanging="720"/>
      </w:pPr>
    </w:p>
    <w:p w:rsidR="00CA683C" w:rsidRDefault="00CA683C" w:rsidP="00CA683C">
      <w:pPr>
        <w:tabs>
          <w:tab w:val="left" w:pos="720"/>
          <w:tab w:val="left" w:pos="1440"/>
          <w:tab w:val="left" w:pos="1800"/>
          <w:tab w:val="left" w:pos="9240"/>
        </w:tabs>
        <w:spacing w:line="480" w:lineRule="auto"/>
        <w:ind w:left="720" w:hanging="720"/>
        <w:rPr>
          <w:b/>
        </w:rPr>
      </w:pPr>
      <w:r>
        <w:rPr>
          <w:b/>
        </w:rPr>
        <w:t>Q.</w:t>
      </w:r>
      <w:r>
        <w:rPr>
          <w:b/>
        </w:rPr>
        <w:tab/>
        <w:t>Do you believe circumstances in the capital markets have changed, warranting a decrease in the Company’s authorized return on equity from 10.15 percent to 10 percent?</w:t>
      </w:r>
    </w:p>
    <w:p w:rsidR="00CA683C" w:rsidRPr="00CA683C" w:rsidRDefault="00CA683C" w:rsidP="00413B15">
      <w:pPr>
        <w:tabs>
          <w:tab w:val="left" w:pos="720"/>
          <w:tab w:val="left" w:pos="1440"/>
          <w:tab w:val="left" w:pos="1800"/>
          <w:tab w:val="left" w:pos="9240"/>
        </w:tabs>
        <w:spacing w:line="480" w:lineRule="auto"/>
        <w:ind w:left="720" w:hanging="720"/>
      </w:pPr>
      <w:r w:rsidRPr="00CA683C">
        <w:t>A.</w:t>
      </w:r>
      <w:r w:rsidRPr="00CA683C">
        <w:tab/>
        <w:t>Yes, I do.</w:t>
      </w:r>
    </w:p>
    <w:p w:rsidR="00F676FA" w:rsidRDefault="004C62A4" w:rsidP="00413B15">
      <w:pPr>
        <w:tabs>
          <w:tab w:val="left" w:pos="720"/>
          <w:tab w:val="left" w:pos="1440"/>
          <w:tab w:val="left" w:pos="1800"/>
          <w:tab w:val="left" w:pos="9240"/>
        </w:tabs>
        <w:spacing w:line="480" w:lineRule="auto"/>
        <w:ind w:left="720" w:hanging="720"/>
      </w:pPr>
      <w:r>
        <w:t xml:space="preserve"> </w:t>
      </w:r>
    </w:p>
    <w:p w:rsidR="00F676FA" w:rsidRDefault="00632A49" w:rsidP="00413B15">
      <w:pPr>
        <w:tabs>
          <w:tab w:val="left" w:pos="720"/>
          <w:tab w:val="left" w:pos="1440"/>
          <w:tab w:val="left" w:pos="1800"/>
          <w:tab w:val="left" w:pos="9240"/>
        </w:tabs>
        <w:spacing w:line="480" w:lineRule="auto"/>
        <w:ind w:left="720" w:hanging="720"/>
        <w:rPr>
          <w:b/>
        </w:rPr>
      </w:pPr>
      <w:r>
        <w:rPr>
          <w:b/>
        </w:rPr>
        <w:t>Q.</w:t>
      </w:r>
      <w:r>
        <w:rPr>
          <w:b/>
        </w:rPr>
        <w:tab/>
        <w:t>Please explain your opinion in more detail</w:t>
      </w:r>
      <w:r w:rsidR="001D792B">
        <w:rPr>
          <w:b/>
        </w:rPr>
        <w:t>.</w:t>
      </w:r>
    </w:p>
    <w:p w:rsidR="00E83DA3" w:rsidRDefault="00F676FA" w:rsidP="00413B15">
      <w:pPr>
        <w:tabs>
          <w:tab w:val="left" w:pos="720"/>
          <w:tab w:val="left" w:pos="1440"/>
          <w:tab w:val="left" w:pos="1800"/>
          <w:tab w:val="left" w:pos="9240"/>
        </w:tabs>
        <w:spacing w:line="480" w:lineRule="auto"/>
        <w:ind w:left="720" w:hanging="720"/>
        <w:sectPr w:rsidR="00E83DA3" w:rsidSect="00E83DA3">
          <w:footerReference w:type="default" r:id="rId12"/>
          <w:pgSz w:w="12240" w:h="15840" w:code="1"/>
          <w:pgMar w:top="1440" w:right="1440" w:bottom="720" w:left="1872" w:header="720" w:footer="720" w:gutter="0"/>
          <w:lnNumType w:countBy="1"/>
          <w:cols w:space="720"/>
          <w:docGrid w:linePitch="360"/>
        </w:sectPr>
      </w:pPr>
      <w:r>
        <w:t>A.</w:t>
      </w:r>
      <w:r>
        <w:tab/>
      </w:r>
      <w:r w:rsidR="00F35624">
        <w:t>Beginning in September of 2008, and lasting through March of 2009</w:t>
      </w:r>
      <w:r w:rsidR="00683907">
        <w:t xml:space="preserve">, the </w:t>
      </w:r>
      <w:r w:rsidR="00C646C3">
        <w:t xml:space="preserve">US and global economies, as well as </w:t>
      </w:r>
      <w:r w:rsidR="00683907">
        <w:t>capital markets</w:t>
      </w:r>
      <w:r w:rsidR="00C646C3">
        <w:t>,</w:t>
      </w:r>
      <w:r w:rsidR="00683907">
        <w:t xml:space="preserve"> have been </w:t>
      </w:r>
      <w:r w:rsidR="00774C6D">
        <w:t>volatile</w:t>
      </w:r>
      <w:r w:rsidR="00683907">
        <w:t xml:space="preserve">.  </w:t>
      </w:r>
      <w:r w:rsidR="00F35624">
        <w:t xml:space="preserve">During this time </w:t>
      </w:r>
      <w:r w:rsidR="00683907">
        <w:t>the capital markets practically came to a halt, as investors shied away from stocks and corporate bonds and invested only in the safest of investments – U</w:t>
      </w:r>
      <w:r w:rsidR="00890174">
        <w:t>.</w:t>
      </w:r>
      <w:r w:rsidR="00683907">
        <w:t>S</w:t>
      </w:r>
      <w:r w:rsidR="00890174">
        <w:t>.</w:t>
      </w:r>
      <w:r w:rsidR="00683907">
        <w:t xml:space="preserve"> Treasury securities.  As a result of th</w:t>
      </w:r>
      <w:r w:rsidR="00C646C3">
        <w:t>is</w:t>
      </w:r>
      <w:r w:rsidR="00683907">
        <w:t xml:space="preserve"> “flight to safety”, rates on U</w:t>
      </w:r>
      <w:r w:rsidR="00890174">
        <w:t>.</w:t>
      </w:r>
      <w:r w:rsidR="00683907">
        <w:t>S</w:t>
      </w:r>
      <w:r w:rsidR="00890174">
        <w:t>.</w:t>
      </w:r>
      <w:r w:rsidR="00683907">
        <w:t xml:space="preserve"> Treasuries fell to </w:t>
      </w:r>
    </w:p>
    <w:p w:rsidR="00DF33DC" w:rsidRDefault="00683907" w:rsidP="00E83DA3">
      <w:pPr>
        <w:tabs>
          <w:tab w:val="left" w:pos="720"/>
          <w:tab w:val="left" w:pos="1440"/>
          <w:tab w:val="left" w:pos="1800"/>
          <w:tab w:val="left" w:pos="9240"/>
        </w:tabs>
        <w:spacing w:line="480" w:lineRule="auto"/>
        <w:ind w:left="720"/>
      </w:pPr>
      <w:proofErr w:type="gramStart"/>
      <w:r>
        <w:lastRenderedPageBreak/>
        <w:t>unprecedented</w:t>
      </w:r>
      <w:proofErr w:type="gramEnd"/>
      <w:r>
        <w:t xml:space="preserve"> lows </w:t>
      </w:r>
      <w:r w:rsidR="00C646C3">
        <w:t>(reflecting an influx of capital into these “safe” investments)</w:t>
      </w:r>
      <w:r w:rsidR="00406F71">
        <w:t>.  As a result, s</w:t>
      </w:r>
      <w:r>
        <w:t>tock</w:t>
      </w:r>
      <w:r w:rsidR="00406F71">
        <w:t xml:space="preserve"> prices</w:t>
      </w:r>
      <w:r>
        <w:t xml:space="preserve"> fell dramatically and corporate bond yields rose</w:t>
      </w:r>
      <w:r w:rsidR="00C646C3">
        <w:t xml:space="preserve"> reflecting a reluctance </w:t>
      </w:r>
      <w:r w:rsidR="003805B4">
        <w:t xml:space="preserve">of investors to own </w:t>
      </w:r>
      <w:r w:rsidR="00C646C3">
        <w:t>th</w:t>
      </w:r>
      <w:r w:rsidR="003805B4">
        <w:t>es</w:t>
      </w:r>
      <w:r w:rsidR="00C646C3">
        <w:t>e securities</w:t>
      </w:r>
      <w:r>
        <w:t xml:space="preserve">.  </w:t>
      </w:r>
      <w:r w:rsidR="00774C6D">
        <w:t>Over the past several months, the capital markets ha</w:t>
      </w:r>
      <w:r w:rsidR="006E089F">
        <w:t>ve</w:t>
      </w:r>
      <w:r w:rsidR="004C1FC3">
        <w:t xml:space="preserve"> largely improved </w:t>
      </w:r>
      <w:r w:rsidR="00774C6D">
        <w:t>such that the current yield</w:t>
      </w:r>
      <w:r w:rsidR="00E83DA3">
        <w:rPr>
          <w:u w:val="single"/>
        </w:rPr>
        <w:t>s</w:t>
      </w:r>
      <w:r w:rsidR="00774C6D">
        <w:t xml:space="preserve"> on long-term corporate bonds have declined to levels less than those that existed prior to the late </w:t>
      </w:r>
      <w:r w:rsidR="00E83DA3">
        <w:rPr>
          <w:u w:val="single"/>
        </w:rPr>
        <w:t xml:space="preserve">2008-early </w:t>
      </w:r>
      <w:r w:rsidR="00774C6D">
        <w:t>2009 financial crisis.</w:t>
      </w:r>
    </w:p>
    <w:p w:rsidR="000E71DC" w:rsidRDefault="000E71DC" w:rsidP="00413B15">
      <w:pPr>
        <w:tabs>
          <w:tab w:val="left" w:pos="720"/>
          <w:tab w:val="left" w:pos="1440"/>
          <w:tab w:val="left" w:pos="1800"/>
          <w:tab w:val="left" w:pos="9240"/>
        </w:tabs>
        <w:spacing w:line="480" w:lineRule="auto"/>
        <w:ind w:left="720" w:hanging="720"/>
      </w:pPr>
    </w:p>
    <w:p w:rsidR="008A6603" w:rsidRPr="005D7A6E" w:rsidRDefault="008A6603" w:rsidP="00413B15">
      <w:pPr>
        <w:tabs>
          <w:tab w:val="left" w:pos="720"/>
          <w:tab w:val="left" w:pos="1440"/>
          <w:tab w:val="left" w:pos="1800"/>
          <w:tab w:val="left" w:pos="9240"/>
        </w:tabs>
        <w:spacing w:line="480" w:lineRule="auto"/>
        <w:ind w:left="720" w:hanging="720"/>
      </w:pPr>
      <w:r>
        <w:rPr>
          <w:b/>
        </w:rPr>
        <w:t>Q.</w:t>
      </w:r>
      <w:r>
        <w:rPr>
          <w:b/>
        </w:rPr>
        <w:tab/>
        <w:t xml:space="preserve">Please explain why the financial crisis </w:t>
      </w:r>
      <w:r w:rsidR="00774C6D">
        <w:rPr>
          <w:b/>
        </w:rPr>
        <w:t>has</w:t>
      </w:r>
      <w:r>
        <w:rPr>
          <w:b/>
        </w:rPr>
        <w:t xml:space="preserve"> not increase</w:t>
      </w:r>
      <w:r w:rsidR="00774C6D">
        <w:rPr>
          <w:b/>
        </w:rPr>
        <w:t>d</w:t>
      </w:r>
      <w:r>
        <w:rPr>
          <w:b/>
        </w:rPr>
        <w:t xml:space="preserve"> the cost of capital for utilities such as </w:t>
      </w:r>
      <w:r w:rsidR="00FB1E69">
        <w:rPr>
          <w:b/>
        </w:rPr>
        <w:t>PSE</w:t>
      </w:r>
      <w:r w:rsidR="00E05795">
        <w:rPr>
          <w:b/>
        </w:rPr>
        <w:t>.</w:t>
      </w:r>
      <w:r>
        <w:t xml:space="preserve">  </w:t>
      </w:r>
    </w:p>
    <w:p w:rsidR="008A6603" w:rsidRDefault="008A6603" w:rsidP="00413B15">
      <w:pPr>
        <w:tabs>
          <w:tab w:val="left" w:pos="720"/>
          <w:tab w:val="left" w:pos="1440"/>
          <w:tab w:val="left" w:pos="1800"/>
          <w:tab w:val="left" w:pos="9240"/>
        </w:tabs>
        <w:spacing w:line="480" w:lineRule="auto"/>
        <w:ind w:left="720" w:hanging="720"/>
      </w:pPr>
      <w:r>
        <w:t>A.</w:t>
      </w:r>
      <w:r>
        <w:tab/>
        <w:t xml:space="preserve">First, it must be emphasized that depressed economic conditions and the </w:t>
      </w:r>
      <w:r w:rsidR="00774C6D">
        <w:t xml:space="preserve">recent </w:t>
      </w:r>
      <w:r>
        <w:t>financial crisis affect</w:t>
      </w:r>
      <w:r w:rsidR="00774C6D">
        <w:t>ed</w:t>
      </w:r>
      <w:r>
        <w:t xml:space="preserve"> virtually all sectors of the economy – households, small businesses, larger commercial and industrials – and, in most cases, the impact </w:t>
      </w:r>
      <w:r>
        <w:rPr>
          <w:u w:val="single"/>
        </w:rPr>
        <w:t>on those sectors</w:t>
      </w:r>
      <w:r>
        <w:t xml:space="preserve"> is greater than </w:t>
      </w:r>
      <w:r w:rsidR="00774C6D">
        <w:t>wa</w:t>
      </w:r>
      <w:r>
        <w:t xml:space="preserve">s the case for </w:t>
      </w:r>
      <w:r w:rsidR="00FB1E69">
        <w:t>PSE</w:t>
      </w:r>
      <w:r>
        <w:t xml:space="preserve">.  </w:t>
      </w:r>
      <w:r w:rsidR="00E05795">
        <w:t xml:space="preserve">This is because </w:t>
      </w:r>
      <w:r w:rsidR="00FB1E69">
        <w:t>PSE</w:t>
      </w:r>
      <w:r>
        <w:t xml:space="preserve"> is a regulated utility that sells a product that has few close substitutes.  As such, </w:t>
      </w:r>
      <w:r w:rsidR="00FB1E69">
        <w:t>PSE</w:t>
      </w:r>
      <w:r>
        <w:t xml:space="preserve"> and utilities in general are partially, if not largely, insulated from the impacts of depressed economic conditions.</w:t>
      </w:r>
      <w:r w:rsidR="00E05795">
        <w:t xml:space="preserve">  </w:t>
      </w:r>
    </w:p>
    <w:p w:rsidR="00E83DA3" w:rsidRDefault="008A6603" w:rsidP="00413B15">
      <w:pPr>
        <w:tabs>
          <w:tab w:val="left" w:pos="720"/>
          <w:tab w:val="left" w:pos="1440"/>
          <w:tab w:val="left" w:pos="1800"/>
          <w:tab w:val="left" w:pos="9240"/>
        </w:tabs>
        <w:spacing w:line="480" w:lineRule="auto"/>
        <w:ind w:left="720" w:hanging="720"/>
        <w:sectPr w:rsidR="00E83DA3" w:rsidSect="00E83DA3">
          <w:footerReference w:type="default" r:id="rId13"/>
          <w:pgSz w:w="12240" w:h="15840" w:code="1"/>
          <w:pgMar w:top="1440" w:right="1440" w:bottom="720" w:left="1872" w:header="720" w:footer="720" w:gutter="0"/>
          <w:lnNumType w:countBy="1"/>
          <w:cols w:space="720"/>
          <w:docGrid w:linePitch="360"/>
        </w:sectPr>
      </w:pPr>
      <w:r>
        <w:tab/>
      </w:r>
      <w:r>
        <w:tab/>
        <w:t xml:space="preserve">Second, the major impact of such a significant recession </w:t>
      </w:r>
      <w:r w:rsidR="00774C6D">
        <w:t>has been</w:t>
      </w:r>
      <w:r>
        <w:t xml:space="preserve"> to depress the profits of most enterprises.  As a result, it is </w:t>
      </w:r>
      <w:r w:rsidR="00774C6D">
        <w:t>evident</w:t>
      </w:r>
      <w:r>
        <w:t xml:space="preserve"> that capital costs decrease</w:t>
      </w:r>
      <w:r w:rsidR="00774C6D">
        <w:t>d</w:t>
      </w:r>
      <w:r>
        <w:t xml:space="preserve"> </w:t>
      </w:r>
      <w:r w:rsidR="00774C6D">
        <w:t xml:space="preserve">as a result of the </w:t>
      </w:r>
      <w:r>
        <w:t xml:space="preserve">recession.  </w:t>
      </w:r>
      <w:r w:rsidR="00E67088">
        <w:t xml:space="preserve">The decline in </w:t>
      </w:r>
      <w:r w:rsidR="00406F71">
        <w:t xml:space="preserve">capital </w:t>
      </w:r>
      <w:r w:rsidR="00E67088">
        <w:t>costs</w:t>
      </w:r>
      <w:r w:rsidR="007C6E29">
        <w:t xml:space="preserve"> </w:t>
      </w:r>
      <w:r w:rsidR="00406F71">
        <w:t xml:space="preserve">is reflected in my CAPM analysis that </w:t>
      </w:r>
      <w:r w:rsidR="00E05795">
        <w:t xml:space="preserve">I </w:t>
      </w:r>
      <w:r w:rsidR="00E67088">
        <w:t xml:space="preserve">describe later.  </w:t>
      </w:r>
      <w:r w:rsidR="00E05795">
        <w:t>In short, t</w:t>
      </w:r>
      <w:r>
        <w:t xml:space="preserve">here is no justification </w:t>
      </w:r>
      <w:r w:rsidR="00406F71">
        <w:t xml:space="preserve">at this time </w:t>
      </w:r>
      <w:r>
        <w:t xml:space="preserve">for increasing the profit level of a regulated utility such as </w:t>
      </w:r>
      <w:r w:rsidR="00FB1E69">
        <w:t>PSE</w:t>
      </w:r>
      <w:r>
        <w:t xml:space="preserve"> at the same time that other enterprises are experiencing lower profits</w:t>
      </w:r>
      <w:r w:rsidR="006E089F">
        <w:t xml:space="preserve"> and lower cost of capital</w:t>
      </w:r>
      <w:r>
        <w:t>.</w:t>
      </w:r>
      <w:r w:rsidR="00406F71">
        <w:t xml:space="preserve"> </w:t>
      </w:r>
    </w:p>
    <w:p w:rsidR="00F676FA" w:rsidRDefault="008A6603" w:rsidP="00413B15">
      <w:pPr>
        <w:tabs>
          <w:tab w:val="left" w:pos="720"/>
          <w:tab w:val="left" w:pos="1440"/>
          <w:tab w:val="left" w:pos="1800"/>
          <w:tab w:val="left" w:pos="9240"/>
        </w:tabs>
        <w:spacing w:line="480" w:lineRule="auto"/>
        <w:ind w:left="720" w:hanging="720"/>
      </w:pPr>
      <w:r>
        <w:lastRenderedPageBreak/>
        <w:tab/>
      </w:r>
      <w:r>
        <w:tab/>
        <w:t>Third, the United States and global government</w:t>
      </w:r>
      <w:r w:rsidR="0050678B">
        <w:t>s</w:t>
      </w:r>
      <w:r>
        <w:t xml:space="preserve"> have</w:t>
      </w:r>
      <w:r w:rsidR="00E05795">
        <w:t>,</w:t>
      </w:r>
      <w:r>
        <w:t xml:space="preserve"> and are </w:t>
      </w:r>
      <w:r w:rsidR="00774C6D">
        <w:t>continuing to take</w:t>
      </w:r>
      <w:r>
        <w:t xml:space="preserve"> extraordinary measures to avoid a further worsening of the current market circumstance</w:t>
      </w:r>
      <w:r w:rsidR="00774C6D">
        <w:t>s</w:t>
      </w:r>
      <w:r>
        <w:t xml:space="preserve">.  </w:t>
      </w:r>
      <w:r w:rsidR="00FB1E69">
        <w:t>PSE</w:t>
      </w:r>
      <w:r>
        <w:t xml:space="preserve">, like other corporations, benefit from these measures.  Likewise, </w:t>
      </w:r>
      <w:r w:rsidR="00FB1E69">
        <w:t>PSE</w:t>
      </w:r>
      <w:r>
        <w:t xml:space="preserve">’s ratepayers should be expected to </w:t>
      </w:r>
      <w:r w:rsidR="00406F71">
        <w:t>pay</w:t>
      </w:r>
      <w:r>
        <w:t xml:space="preserve"> rates</w:t>
      </w:r>
      <w:r w:rsidR="00406F71">
        <w:t xml:space="preserve"> recognizing the lower</w:t>
      </w:r>
      <w:r w:rsidR="007C6E29">
        <w:t xml:space="preserve"> </w:t>
      </w:r>
      <w:r>
        <w:t>cost of capital</w:t>
      </w:r>
      <w:r w:rsidR="007C6E29">
        <w:t xml:space="preserve"> </w:t>
      </w:r>
      <w:r>
        <w:t>resulting from these measures.</w:t>
      </w:r>
      <w:r w:rsidR="00683907">
        <w:t xml:space="preserve"> </w:t>
      </w:r>
    </w:p>
    <w:p w:rsidR="00F676FA" w:rsidRDefault="00F676FA" w:rsidP="00413B15">
      <w:pPr>
        <w:tabs>
          <w:tab w:val="left" w:pos="720"/>
          <w:tab w:val="left" w:pos="1440"/>
          <w:tab w:val="left" w:pos="1800"/>
          <w:tab w:val="left" w:pos="9240"/>
        </w:tabs>
        <w:spacing w:line="360" w:lineRule="auto"/>
        <w:ind w:left="720" w:hanging="720"/>
      </w:pPr>
    </w:p>
    <w:p w:rsidR="00586A80" w:rsidRDefault="00586A80" w:rsidP="00413B15">
      <w:pPr>
        <w:tabs>
          <w:tab w:val="left" w:pos="720"/>
          <w:tab w:val="left" w:pos="1440"/>
          <w:tab w:val="left" w:pos="1800"/>
          <w:tab w:val="left" w:pos="9240"/>
        </w:tabs>
        <w:spacing w:line="480" w:lineRule="auto"/>
        <w:ind w:left="720" w:hanging="720"/>
      </w:pPr>
      <w:r>
        <w:rPr>
          <w:b/>
        </w:rPr>
        <w:t>Q.</w:t>
      </w:r>
      <w:r>
        <w:rPr>
          <w:b/>
        </w:rPr>
        <w:tab/>
        <w:t>What has been the trend in utility interest rates since PSE’s last rate proceeding?</w:t>
      </w:r>
    </w:p>
    <w:p w:rsidR="00586A80" w:rsidRDefault="00586A80" w:rsidP="00413B15">
      <w:pPr>
        <w:tabs>
          <w:tab w:val="left" w:pos="720"/>
          <w:tab w:val="left" w:pos="1440"/>
          <w:tab w:val="left" w:pos="1800"/>
          <w:tab w:val="left" w:pos="9240"/>
        </w:tabs>
        <w:spacing w:line="480" w:lineRule="auto"/>
        <w:ind w:left="720" w:hanging="720"/>
      </w:pPr>
      <w:r>
        <w:t>A.</w:t>
      </w:r>
      <w:r>
        <w:tab/>
        <w:t>As is indicated in my Exhibit N</w:t>
      </w:r>
      <w:r w:rsidR="00B41296">
        <w:t>o</w:t>
      </w:r>
      <w:r>
        <w:t>. DCP-4, the yield on Baa rated utility bonds was about 7 percent in June-September of 2008, the time-frame of PSE’s last rate proceeding.  A</w:t>
      </w:r>
      <w:r w:rsidR="00B41296">
        <w:t>s</w:t>
      </w:r>
      <w:r>
        <w:t xml:space="preserve"> this exhibit </w:t>
      </w:r>
      <w:r w:rsidR="00774C6D">
        <w:t xml:space="preserve">also </w:t>
      </w:r>
      <w:r>
        <w:t>indicates, rates rose to nearly 9 percent in late 2008 and remained in the 8 percent range through April of 2009</w:t>
      </w:r>
      <w:r w:rsidR="00774C6D">
        <w:t xml:space="preserve"> (i.e., during the financial crisis)</w:t>
      </w:r>
      <w:r>
        <w:t>.  Since that time, however rates on Baa rated utility bonds have declined to about 6 percent in September and October of 2009.  This is nearly 100 basis points below the level prevailing at the time of PSE’s last rate case.</w:t>
      </w:r>
      <w:r w:rsidR="00406F71">
        <w:t xml:space="preserve">  Indeed, this is reflected in PSE’s most recent sale of new debt, which I describe later in my testimony.</w:t>
      </w:r>
    </w:p>
    <w:p w:rsidR="00586A80" w:rsidRPr="00586A80" w:rsidRDefault="00586A80" w:rsidP="00413B15">
      <w:pPr>
        <w:tabs>
          <w:tab w:val="left" w:pos="720"/>
          <w:tab w:val="left" w:pos="1440"/>
          <w:tab w:val="left" w:pos="1800"/>
          <w:tab w:val="left" w:pos="9240"/>
        </w:tabs>
        <w:spacing w:line="480" w:lineRule="auto"/>
        <w:ind w:left="720" w:hanging="720"/>
      </w:pPr>
    </w:p>
    <w:p w:rsidR="00F676FA" w:rsidRDefault="00F676FA" w:rsidP="00413B15">
      <w:pPr>
        <w:tabs>
          <w:tab w:val="left" w:pos="720"/>
          <w:tab w:val="left" w:pos="1440"/>
          <w:tab w:val="left" w:pos="1800"/>
          <w:tab w:val="left" w:pos="9240"/>
        </w:tabs>
        <w:spacing w:line="480" w:lineRule="auto"/>
        <w:ind w:left="720" w:hanging="720"/>
        <w:rPr>
          <w:b/>
        </w:rPr>
      </w:pPr>
      <w:r>
        <w:rPr>
          <w:b/>
        </w:rPr>
        <w:t>Q.</w:t>
      </w:r>
      <w:r>
        <w:rPr>
          <w:b/>
        </w:rPr>
        <w:tab/>
        <w:t>Based upon</w:t>
      </w:r>
      <w:r w:rsidR="001360B8">
        <w:rPr>
          <w:b/>
        </w:rPr>
        <w:t xml:space="preserve"> these trends and the </w:t>
      </w:r>
      <w:r w:rsidR="00690925">
        <w:rPr>
          <w:b/>
        </w:rPr>
        <w:t>Commission</w:t>
      </w:r>
      <w:r>
        <w:rPr>
          <w:b/>
        </w:rPr>
        <w:t xml:space="preserve">’s stated preference to track cost of equity changes to capital market changes, what is the most appropriate cost of equity for </w:t>
      </w:r>
      <w:r w:rsidR="00B91BA3">
        <w:rPr>
          <w:b/>
        </w:rPr>
        <w:t>PSE</w:t>
      </w:r>
      <w:r>
        <w:rPr>
          <w:b/>
        </w:rPr>
        <w:t xml:space="preserve"> at this time?</w:t>
      </w:r>
    </w:p>
    <w:p w:rsidR="00F676FA" w:rsidRDefault="00F676FA" w:rsidP="00413B15">
      <w:pPr>
        <w:tabs>
          <w:tab w:val="left" w:pos="720"/>
          <w:tab w:val="left" w:pos="1440"/>
          <w:tab w:val="left" w:pos="1800"/>
          <w:tab w:val="left" w:pos="9240"/>
        </w:tabs>
        <w:spacing w:line="480" w:lineRule="auto"/>
        <w:ind w:left="720" w:hanging="720"/>
      </w:pPr>
      <w:r>
        <w:t>A.</w:t>
      </w:r>
      <w:r>
        <w:tab/>
        <w:t xml:space="preserve">Given the fact that </w:t>
      </w:r>
      <w:r w:rsidR="00C646C3">
        <w:t>capital opportunity costs</w:t>
      </w:r>
      <w:r w:rsidR="00586A80">
        <w:t>, as well as interest rates,</w:t>
      </w:r>
      <w:r>
        <w:t xml:space="preserve"> </w:t>
      </w:r>
      <w:r w:rsidR="002E401B">
        <w:t>have generally declined</w:t>
      </w:r>
      <w:r>
        <w:t xml:space="preserve"> from the time </w:t>
      </w:r>
      <w:r w:rsidR="00B91BA3">
        <w:t>PSE</w:t>
      </w:r>
      <w:r>
        <w:t xml:space="preserve">’s last return on equity </w:t>
      </w:r>
      <w:r w:rsidR="00230984">
        <w:t>w</w:t>
      </w:r>
      <w:r w:rsidR="001360B8">
        <w:t xml:space="preserve">as established by the </w:t>
      </w:r>
      <w:r w:rsidR="00690925">
        <w:t>Commission</w:t>
      </w:r>
      <w:r>
        <w:t xml:space="preserve">, as well as the declining </w:t>
      </w:r>
      <w:r w:rsidR="00745019">
        <w:t>economic environment in t</w:t>
      </w:r>
      <w:r>
        <w:t xml:space="preserve">he U.S., </w:t>
      </w:r>
      <w:r w:rsidR="00E05795">
        <w:t xml:space="preserve">the Commission should </w:t>
      </w:r>
      <w:r>
        <w:t xml:space="preserve">set </w:t>
      </w:r>
      <w:r w:rsidR="00FB1E69">
        <w:t>PSE</w:t>
      </w:r>
      <w:r>
        <w:t xml:space="preserve">’s cost of equity at </w:t>
      </w:r>
      <w:r w:rsidR="00230984">
        <w:t xml:space="preserve">no more than </w:t>
      </w:r>
      <w:r>
        <w:t xml:space="preserve">10.0 percent.  This is </w:t>
      </w:r>
      <w:r w:rsidR="0050678B">
        <w:lastRenderedPageBreak/>
        <w:t xml:space="preserve">near </w:t>
      </w:r>
      <w:r>
        <w:t xml:space="preserve">the </w:t>
      </w:r>
      <w:r w:rsidR="00683907">
        <w:t>lower end</w:t>
      </w:r>
      <w:r w:rsidR="00FB40DD">
        <w:t xml:space="preserve"> of</w:t>
      </w:r>
      <w:r>
        <w:t xml:space="preserve"> my DCF</w:t>
      </w:r>
      <w:r w:rsidR="001360B8">
        <w:t xml:space="preserve"> findings </w:t>
      </w:r>
      <w:r w:rsidR="00230984">
        <w:t xml:space="preserve">(the </w:t>
      </w:r>
      <w:r w:rsidR="00690925">
        <w:t>Commission</w:t>
      </w:r>
      <w:r w:rsidR="00230984">
        <w:t xml:space="preserve"> prefers </w:t>
      </w:r>
      <w:r w:rsidR="00690925">
        <w:t xml:space="preserve">the </w:t>
      </w:r>
      <w:r w:rsidR="00230984">
        <w:t>DCF</w:t>
      </w:r>
      <w:r w:rsidR="00690925">
        <w:t xml:space="preserve"> methodology</w:t>
      </w:r>
      <w:r w:rsidR="00230984">
        <w:t xml:space="preserve">), </w:t>
      </w:r>
      <w:r>
        <w:t xml:space="preserve">and </w:t>
      </w:r>
      <w:r w:rsidR="00E05795">
        <w:t xml:space="preserve">it </w:t>
      </w:r>
      <w:r>
        <w:t xml:space="preserve">is consistent with the findings of my </w:t>
      </w:r>
      <w:r w:rsidR="00683907">
        <w:t>C</w:t>
      </w:r>
      <w:r w:rsidR="005B431F">
        <w:t>omparable Earnings (“</w:t>
      </w:r>
      <w:r>
        <w:t>CE</w:t>
      </w:r>
      <w:r w:rsidR="005B431F">
        <w:t>”)</w:t>
      </w:r>
      <w:r>
        <w:t xml:space="preserve"> analyses.  I believe </w:t>
      </w:r>
      <w:r w:rsidR="00E05795">
        <w:t>a</w:t>
      </w:r>
      <w:r>
        <w:t xml:space="preserve"> </w:t>
      </w:r>
      <w:r w:rsidR="00586A80">
        <w:t>15</w:t>
      </w:r>
      <w:r>
        <w:t xml:space="preserve"> basis point reduction from the 10.</w:t>
      </w:r>
      <w:r w:rsidR="00B41296">
        <w:t>1</w:t>
      </w:r>
      <w:r w:rsidR="00586A80">
        <w:t>5</w:t>
      </w:r>
      <w:r>
        <w:t xml:space="preserve"> percent </w:t>
      </w:r>
      <w:r w:rsidR="00E05795">
        <w:t xml:space="preserve">cost of equity the Commission determined </w:t>
      </w:r>
      <w:r>
        <w:t>in the 200</w:t>
      </w:r>
      <w:r w:rsidR="00B91BA3">
        <w:t>8</w:t>
      </w:r>
      <w:r>
        <w:t xml:space="preserve"> </w:t>
      </w:r>
      <w:r w:rsidR="00FB1E69">
        <w:t>PSE</w:t>
      </w:r>
      <w:r>
        <w:t xml:space="preserve"> rate case is appropriate</w:t>
      </w:r>
      <w:r w:rsidR="00E05795">
        <w:t>,</w:t>
      </w:r>
      <w:r>
        <w:t xml:space="preserve"> given changes in the capital markets since th</w:t>
      </w:r>
      <w:r w:rsidR="00D043B6">
        <w:t>at</w:t>
      </w:r>
      <w:r>
        <w:t xml:space="preserve"> case w</w:t>
      </w:r>
      <w:r w:rsidR="00D043B6">
        <w:t>as</w:t>
      </w:r>
      <w:r>
        <w:t xml:space="preserve"> decided.</w:t>
      </w:r>
      <w:r w:rsidR="003B0114">
        <w:t xml:space="preserve">  </w:t>
      </w:r>
    </w:p>
    <w:p w:rsidR="004A3F74" w:rsidRDefault="004A3F74" w:rsidP="00413B15">
      <w:pPr>
        <w:tabs>
          <w:tab w:val="left" w:pos="720"/>
          <w:tab w:val="left" w:pos="1440"/>
          <w:tab w:val="left" w:pos="1800"/>
          <w:tab w:val="left" w:pos="9240"/>
        </w:tabs>
        <w:spacing w:line="480" w:lineRule="auto"/>
        <w:ind w:left="720" w:hanging="720"/>
      </w:pPr>
    </w:p>
    <w:p w:rsidR="00730604" w:rsidRDefault="002579B9" w:rsidP="00CA2476">
      <w:pPr>
        <w:tabs>
          <w:tab w:val="left" w:pos="1440"/>
          <w:tab w:val="right" w:leader="dot" w:pos="8640"/>
          <w:tab w:val="left" w:pos="9240"/>
        </w:tabs>
        <w:spacing w:line="480" w:lineRule="auto"/>
        <w:jc w:val="center"/>
        <w:rPr>
          <w:b/>
        </w:rPr>
      </w:pPr>
      <w:r>
        <w:rPr>
          <w:b/>
        </w:rPr>
        <w:t>III</w:t>
      </w:r>
      <w:proofErr w:type="gramStart"/>
      <w:r>
        <w:rPr>
          <w:b/>
        </w:rPr>
        <w:t>.</w:t>
      </w:r>
      <w:r w:rsidR="00937A08">
        <w:rPr>
          <w:b/>
        </w:rPr>
        <w:t xml:space="preserve">  </w:t>
      </w:r>
      <w:r w:rsidRPr="000C7034">
        <w:rPr>
          <w:b/>
        </w:rPr>
        <w:t>ECONOMIC</w:t>
      </w:r>
      <w:proofErr w:type="gramEnd"/>
      <w:r w:rsidRPr="000C7034">
        <w:rPr>
          <w:b/>
        </w:rPr>
        <w:t xml:space="preserve">/LEGAL PRINCIPLES </w:t>
      </w:r>
      <w:smartTag w:uri="urn:schemas-microsoft-com:office:smarttags" w:element="stockticker">
        <w:r w:rsidRPr="000C7034">
          <w:rPr>
            <w:b/>
          </w:rPr>
          <w:t>AND</w:t>
        </w:r>
      </w:smartTag>
      <w:r w:rsidRPr="000C7034">
        <w:rPr>
          <w:b/>
        </w:rPr>
        <w:t xml:space="preserve"> METHODOLOGIES</w:t>
      </w:r>
    </w:p>
    <w:p w:rsidR="002579B9" w:rsidRDefault="002579B9" w:rsidP="00413B15">
      <w:pPr>
        <w:tabs>
          <w:tab w:val="left" w:pos="720"/>
          <w:tab w:val="left" w:pos="1440"/>
          <w:tab w:val="right" w:leader="dot" w:pos="8640"/>
          <w:tab w:val="left" w:pos="9240"/>
        </w:tabs>
        <w:spacing w:line="480" w:lineRule="auto"/>
        <w:ind w:left="720" w:hanging="720"/>
        <w:rPr>
          <w:b/>
        </w:rPr>
      </w:pPr>
    </w:p>
    <w:p w:rsidR="002579B9" w:rsidRDefault="002579B9" w:rsidP="00413B15">
      <w:pPr>
        <w:tabs>
          <w:tab w:val="left" w:pos="720"/>
          <w:tab w:val="left" w:pos="1440"/>
          <w:tab w:val="right" w:leader="dot" w:pos="8640"/>
          <w:tab w:val="left" w:pos="9240"/>
        </w:tabs>
        <w:spacing w:line="480" w:lineRule="auto"/>
        <w:ind w:left="720" w:hanging="720"/>
        <w:rPr>
          <w:b/>
        </w:rPr>
      </w:pPr>
      <w:r>
        <w:rPr>
          <w:b/>
        </w:rPr>
        <w:t>Q.</w:t>
      </w:r>
      <w:r>
        <w:rPr>
          <w:b/>
        </w:rPr>
        <w:tab/>
      </w:r>
      <w:r w:rsidR="000C7034">
        <w:rPr>
          <w:b/>
        </w:rPr>
        <w:t>What are the primary economic and legal principles that establish the standards for determining a fair rate of return for a regulated utility</w:t>
      </w:r>
      <w:r>
        <w:rPr>
          <w:b/>
        </w:rPr>
        <w:t>?</w:t>
      </w:r>
    </w:p>
    <w:p w:rsidR="002579B9" w:rsidRDefault="002579B9" w:rsidP="00413B15">
      <w:pPr>
        <w:tabs>
          <w:tab w:val="left" w:pos="720"/>
          <w:tab w:val="left" w:pos="1440"/>
          <w:tab w:val="right" w:leader="dot" w:pos="8640"/>
          <w:tab w:val="left" w:pos="9240"/>
        </w:tabs>
        <w:spacing w:line="480" w:lineRule="auto"/>
        <w:ind w:left="720" w:hanging="720"/>
      </w:pPr>
      <w:r>
        <w:t>A.</w:t>
      </w:r>
      <w:r>
        <w:tab/>
        <w:t xml:space="preserve">Public utility rates are normally established in a manner designed to allow the recovery of their costs, including capital costs.  This is frequently referred to as “cost of service” ratemaking.  </w:t>
      </w:r>
      <w:r w:rsidR="00E05795">
        <w:t>Traditionally, the r</w:t>
      </w:r>
      <w:r>
        <w:t xml:space="preserve">ates for regulated public utilities </w:t>
      </w:r>
      <w:r w:rsidR="00733626">
        <w:t xml:space="preserve">have </w:t>
      </w:r>
      <w:r>
        <w:t>been primarily established using the “rate base - rate of return” concept.  Under this method, utilities are allowed to recover a level of operating expenses, taxes, and depreciation deemed reasonable for rate-setting purposes, and are granted an opportunity to earn a fair rate of return on the assets utilized (</w:t>
      </w:r>
      <w:r w:rsidR="009864AC" w:rsidRPr="009864AC">
        <w:t>i.e.</w:t>
      </w:r>
      <w:r>
        <w:t>, rate base) in providing service to their customers.</w:t>
      </w:r>
    </w:p>
    <w:p w:rsidR="002579B9" w:rsidRDefault="002579B9" w:rsidP="00413B15">
      <w:pPr>
        <w:tabs>
          <w:tab w:val="left" w:pos="720"/>
          <w:tab w:val="left" w:pos="1440"/>
          <w:tab w:val="right" w:leader="dot" w:pos="8640"/>
          <w:tab w:val="left" w:pos="9240"/>
        </w:tabs>
        <w:spacing w:line="480" w:lineRule="auto"/>
        <w:ind w:left="720" w:hanging="720"/>
      </w:pPr>
      <w:r>
        <w:tab/>
      </w:r>
      <w:r w:rsidR="00476DED">
        <w:tab/>
      </w:r>
      <w:r w:rsidR="006B67FA">
        <w:tab/>
      </w:r>
      <w:r>
        <w:t>The rate base is derived from the asset side of the utility’s balance sheet as a dollar amount</w:t>
      </w:r>
      <w:r w:rsidR="00E05795">
        <w:t>,</w:t>
      </w:r>
      <w:r>
        <w:t xml:space="preserve"> and the rate of return is developed from the liabilities/owners’ equity side of the balance sheet</w:t>
      </w:r>
      <w:r w:rsidR="00E05795">
        <w:t>,</w:t>
      </w:r>
      <w:r>
        <w:t xml:space="preserve"> as a percentage.  The revenue impact of the cost of capital is thus derived by multiplying the rate base by the rate of return (including income taxes).</w:t>
      </w:r>
    </w:p>
    <w:p w:rsidR="002579B9" w:rsidRDefault="002579B9" w:rsidP="00413B15">
      <w:pPr>
        <w:tabs>
          <w:tab w:val="left" w:pos="720"/>
          <w:tab w:val="left" w:pos="1440"/>
          <w:tab w:val="right" w:leader="dot" w:pos="8640"/>
          <w:tab w:val="left" w:pos="9240"/>
        </w:tabs>
        <w:spacing w:line="480" w:lineRule="auto"/>
        <w:ind w:left="720" w:hanging="720"/>
      </w:pPr>
      <w:r>
        <w:lastRenderedPageBreak/>
        <w:tab/>
      </w:r>
      <w:r w:rsidR="000C7034">
        <w:tab/>
      </w:r>
      <w:r>
        <w:t>The rate of return is developed from the cost of capital, which is estimated by weighting the capital structure components (</w:t>
      </w:r>
      <w:r w:rsidR="009864AC" w:rsidRPr="00690925">
        <w:t>i.e.</w:t>
      </w:r>
      <w:r w:rsidRPr="00690925">
        <w:t>,</w:t>
      </w:r>
      <w:r>
        <w:t xml:space="preserve"> debt, preferred stock, and common equity) by their </w:t>
      </w:r>
      <w:r w:rsidR="00E05795">
        <w:t xml:space="preserve">respective </w:t>
      </w:r>
      <w:r>
        <w:t xml:space="preserve">percentages in the </w:t>
      </w:r>
      <w:r w:rsidR="00E05795">
        <w:t xml:space="preserve">appropriate </w:t>
      </w:r>
      <w:r>
        <w:t xml:space="preserve">capital structure and multiplying these </w:t>
      </w:r>
      <w:r w:rsidR="00E05795">
        <w:t xml:space="preserve">ratios </w:t>
      </w:r>
      <w:r>
        <w:t xml:space="preserve">by the </w:t>
      </w:r>
      <w:r w:rsidR="00E05795">
        <w:t xml:space="preserve">respective </w:t>
      </w:r>
      <w:r>
        <w:t>cost rates</w:t>
      </w:r>
      <w:r w:rsidR="00E05795">
        <w:t xml:space="preserve"> of capital</w:t>
      </w:r>
      <w:r>
        <w:t xml:space="preserve">.  This is also known as the </w:t>
      </w:r>
      <w:r w:rsidR="00E05795">
        <w:t>“</w:t>
      </w:r>
      <w:r>
        <w:t>weighted cost of capital.</w:t>
      </w:r>
      <w:r w:rsidR="00E05795">
        <w:t>”</w:t>
      </w:r>
    </w:p>
    <w:p w:rsidR="002579B9" w:rsidRDefault="002579B9" w:rsidP="00413B15">
      <w:pPr>
        <w:tabs>
          <w:tab w:val="left" w:pos="720"/>
          <w:tab w:val="left" w:pos="1440"/>
          <w:tab w:val="right" w:leader="dot" w:pos="8640"/>
          <w:tab w:val="left" w:pos="9240"/>
        </w:tabs>
        <w:spacing w:line="480" w:lineRule="auto"/>
        <w:ind w:left="720" w:hanging="720"/>
      </w:pPr>
      <w:r>
        <w:tab/>
      </w:r>
      <w:r w:rsidR="000C7034">
        <w:tab/>
      </w:r>
      <w:r>
        <w:t xml:space="preserve">Technically, </w:t>
      </w:r>
      <w:r w:rsidR="00733626">
        <w:t>“</w:t>
      </w:r>
      <w:r>
        <w:t>fair rate of return</w:t>
      </w:r>
      <w:r w:rsidR="00733626">
        <w:t>”</w:t>
      </w:r>
      <w:r>
        <w:t xml:space="preserve"> is a legal and accounting concept that refers to an </w:t>
      </w:r>
      <w:r w:rsidRPr="00E05795">
        <w:rPr>
          <w:i/>
        </w:rPr>
        <w:t>ex post</w:t>
      </w:r>
      <w:r>
        <w:t xml:space="preserve"> (after the fact) earned return on an asset base, while the cost of capital is an economic and financial concept which refers to an </w:t>
      </w:r>
      <w:r w:rsidRPr="00E70B7A">
        <w:rPr>
          <w:i/>
        </w:rPr>
        <w:t>ex ante</w:t>
      </w:r>
      <w:r>
        <w:t xml:space="preserve"> (before the fact) expected or required return on a liability base.  In regulatory proceedings, however, the two terms are often used interchangeably</w:t>
      </w:r>
      <w:r w:rsidR="000C6CA7">
        <w:t>,</w:t>
      </w:r>
      <w:r>
        <w:t xml:space="preserve"> </w:t>
      </w:r>
      <w:r w:rsidR="000C6CA7">
        <w:t xml:space="preserve">as </w:t>
      </w:r>
      <w:r>
        <w:t xml:space="preserve">I have </w:t>
      </w:r>
      <w:r w:rsidR="000C6CA7">
        <w:t>done</w:t>
      </w:r>
      <w:r>
        <w:t xml:space="preserve"> in my testimony.</w:t>
      </w:r>
    </w:p>
    <w:p w:rsidR="002579B9" w:rsidRDefault="002579B9" w:rsidP="00413B15">
      <w:pPr>
        <w:tabs>
          <w:tab w:val="left" w:pos="720"/>
          <w:tab w:val="left" w:pos="1440"/>
          <w:tab w:val="right" w:leader="dot" w:pos="8640"/>
          <w:tab w:val="left" w:pos="9240"/>
        </w:tabs>
        <w:spacing w:line="480" w:lineRule="auto"/>
        <w:ind w:left="720" w:hanging="720"/>
      </w:pPr>
      <w:r>
        <w:tab/>
      </w:r>
      <w:r w:rsidR="000C7034">
        <w:tab/>
      </w:r>
      <w:r>
        <w:t xml:space="preserve">From an economic standpoint, </w:t>
      </w:r>
      <w:r w:rsidR="00E05795">
        <w:t xml:space="preserve">if a utility earns </w:t>
      </w:r>
      <w:r>
        <w:t>a fair rate of return</w:t>
      </w:r>
      <w:r w:rsidR="00E05795">
        <w:t xml:space="preserve">, </w:t>
      </w:r>
      <w:r w:rsidR="009864AC">
        <w:t xml:space="preserve">that </w:t>
      </w:r>
      <w:r>
        <w:t xml:space="preserve">normally </w:t>
      </w:r>
      <w:r w:rsidR="00733626">
        <w:t>mean</w:t>
      </w:r>
      <w:r w:rsidR="009864AC">
        <w:t>s</w:t>
      </w:r>
      <w:r w:rsidR="00733626">
        <w:t xml:space="preserve"> that </w:t>
      </w:r>
      <w:r w:rsidR="009864AC">
        <w:t xml:space="preserve">if the utility is </w:t>
      </w:r>
      <w:r w:rsidR="00733626">
        <w:t>efficient and economically managed</w:t>
      </w:r>
      <w:r w:rsidR="009864AC">
        <w:t>, it</w:t>
      </w:r>
      <w:r w:rsidR="00733626">
        <w:t xml:space="preserve"> will be able to maintain its</w:t>
      </w:r>
      <w:r>
        <w:t xml:space="preserve"> financial integrity, attract</w:t>
      </w:r>
      <w:r w:rsidR="00733626">
        <w:t xml:space="preserve"> capital</w:t>
      </w:r>
      <w:r>
        <w:t xml:space="preserve">, and </w:t>
      </w:r>
      <w:r w:rsidR="00E21FA4">
        <w:t>earn</w:t>
      </w:r>
      <w:r w:rsidR="009864AC">
        <w:t xml:space="preserve"> a return </w:t>
      </w:r>
      <w:r>
        <w:t xml:space="preserve">comparable </w:t>
      </w:r>
      <w:r w:rsidR="009864AC">
        <w:t xml:space="preserve">to that earned by </w:t>
      </w:r>
      <w:r>
        <w:t>similar risk investments.  These concepts are derived from economic and financial theory and are generally implemented using financial models and economic concepts.</w:t>
      </w:r>
    </w:p>
    <w:p w:rsidR="002579B9" w:rsidRDefault="00476DED" w:rsidP="00413B15">
      <w:pPr>
        <w:tabs>
          <w:tab w:val="left" w:pos="720"/>
          <w:tab w:val="left" w:pos="1440"/>
          <w:tab w:val="right" w:leader="dot" w:pos="8640"/>
          <w:tab w:val="left" w:pos="9240"/>
        </w:tabs>
        <w:spacing w:line="480" w:lineRule="auto"/>
        <w:ind w:left="720" w:hanging="720"/>
      </w:pPr>
      <w:r>
        <w:tab/>
      </w:r>
      <w:r w:rsidR="002579B9">
        <w:tab/>
        <w:t>Although I am not a lawyer</w:t>
      </w:r>
      <w:r w:rsidR="009864AC">
        <w:t>,</w:t>
      </w:r>
      <w:r w:rsidR="002579B9">
        <w:t xml:space="preserve"> and I do not offer a legal opinion, my testimony is based on my understanding that two United States Supreme Court decisions provid</w:t>
      </w:r>
      <w:r w:rsidR="0090371E">
        <w:t>e</w:t>
      </w:r>
      <w:r w:rsidR="002579B9">
        <w:t xml:space="preserve"> the </w:t>
      </w:r>
      <w:r w:rsidR="00574F51">
        <w:t xml:space="preserve">main </w:t>
      </w:r>
      <w:r w:rsidR="002579B9">
        <w:t xml:space="preserve">standards for a fair rate of return.  The first </w:t>
      </w:r>
      <w:r w:rsidR="0090371E">
        <w:t xml:space="preserve">decision </w:t>
      </w:r>
      <w:r w:rsidR="002579B9">
        <w:t xml:space="preserve">is </w:t>
      </w:r>
      <w:r w:rsidR="002579B9" w:rsidRPr="009864AC">
        <w:rPr>
          <w:i/>
        </w:rPr>
        <w:t>Bluefield Water Works and Improvement Co. v. Public Serv</w:t>
      </w:r>
      <w:r w:rsidR="009864AC">
        <w:rPr>
          <w:i/>
        </w:rPr>
        <w:t>ice</w:t>
      </w:r>
      <w:r w:rsidR="002579B9" w:rsidRPr="009864AC">
        <w:rPr>
          <w:i/>
        </w:rPr>
        <w:t xml:space="preserve"> Comm</w:t>
      </w:r>
      <w:r w:rsidR="009864AC">
        <w:rPr>
          <w:i/>
        </w:rPr>
        <w:t>ission</w:t>
      </w:r>
      <w:r w:rsidR="002579B9" w:rsidRPr="009864AC">
        <w:rPr>
          <w:i/>
        </w:rPr>
        <w:t xml:space="preserve"> of West Virginia</w:t>
      </w:r>
      <w:r w:rsidR="002579B9">
        <w:t>, 262 U.S. 679</w:t>
      </w:r>
      <w:r w:rsidR="00924A36">
        <w:t>, 692</w:t>
      </w:r>
      <w:r w:rsidR="002579B9">
        <w:t xml:space="preserve"> (1923).  In this decision, the Court stated:</w:t>
      </w:r>
      <w:r w:rsidR="00E21FA4">
        <w:t xml:space="preserve">  </w:t>
      </w:r>
    </w:p>
    <w:p w:rsidR="002579B9" w:rsidRDefault="002579B9" w:rsidP="00413B15">
      <w:pPr>
        <w:tabs>
          <w:tab w:val="left" w:pos="1440"/>
          <w:tab w:val="right" w:leader="dot" w:pos="8640"/>
          <w:tab w:val="left" w:pos="9240"/>
        </w:tabs>
        <w:ind w:left="1440" w:right="720"/>
        <w:rPr>
          <w:b/>
        </w:rPr>
      </w:pPr>
      <w:r>
        <w:t xml:space="preserve">What annual rate will constitute </w:t>
      </w:r>
      <w:r>
        <w:rPr>
          <w:b/>
        </w:rPr>
        <w:t>just compensation</w:t>
      </w:r>
      <w:r>
        <w:t xml:space="preserve"> depends upon many circumstances and must be </w:t>
      </w:r>
      <w:r>
        <w:rPr>
          <w:b/>
        </w:rPr>
        <w:t>determined by</w:t>
      </w:r>
      <w:r>
        <w:t xml:space="preserve"> the </w:t>
      </w:r>
      <w:r>
        <w:rPr>
          <w:b/>
        </w:rPr>
        <w:t xml:space="preserve">exercise of fair and </w:t>
      </w:r>
      <w:r w:rsidR="00A2161D">
        <w:rPr>
          <w:b/>
        </w:rPr>
        <w:t>enlightened judgment</w:t>
      </w:r>
      <w:r w:rsidR="00A2161D">
        <w:t xml:space="preserve">, having regard to all relevant facts.  A </w:t>
      </w:r>
      <w:r w:rsidR="00A2161D">
        <w:rPr>
          <w:b/>
        </w:rPr>
        <w:t>public utility</w:t>
      </w:r>
      <w:r w:rsidR="00A2161D">
        <w:t xml:space="preserve"> is entitled to such rates as will permit it to </w:t>
      </w:r>
      <w:r w:rsidR="00A2161D">
        <w:rPr>
          <w:b/>
        </w:rPr>
        <w:t xml:space="preserve">earn a </w:t>
      </w:r>
      <w:r w:rsidR="00A2161D">
        <w:rPr>
          <w:b/>
        </w:rPr>
        <w:lastRenderedPageBreak/>
        <w:t>return</w:t>
      </w:r>
      <w:r w:rsidR="00A2161D">
        <w:t xml:space="preserve"> on the value of the property which it employs for the convenience of the public equal to that </w:t>
      </w:r>
      <w:r w:rsidR="00A2161D">
        <w:rPr>
          <w:b/>
        </w:rPr>
        <w:t>generally being made</w:t>
      </w:r>
      <w:r w:rsidR="00A2161D">
        <w:t xml:space="preserve"> at the same time and in the same general part of the country on </w:t>
      </w:r>
      <w:r w:rsidR="00A2161D">
        <w:rPr>
          <w:b/>
        </w:rPr>
        <w:t>investments in other business undertakings</w:t>
      </w:r>
      <w:r w:rsidR="00A2161D">
        <w:t xml:space="preserve"> which are </w:t>
      </w:r>
      <w:r w:rsidR="00A2161D">
        <w:rPr>
          <w:b/>
        </w:rPr>
        <w:t>attended by corresponding risks and uncertainties</w:t>
      </w:r>
      <w:r w:rsidR="00A2161D">
        <w:t>; but i</w:t>
      </w:r>
      <w:r w:rsidR="00800D40">
        <w:t>t</w:t>
      </w:r>
      <w:r w:rsidR="00A2161D">
        <w:t xml:space="preserve"> has no </w:t>
      </w:r>
      <w:r w:rsidR="00A2161D">
        <w:rPr>
          <w:b/>
        </w:rPr>
        <w:t>constitutional right to profits</w:t>
      </w:r>
      <w:r w:rsidR="00A2161D">
        <w:t xml:space="preserve"> such as are realized or anticipated in </w:t>
      </w:r>
      <w:r w:rsidR="00A2161D">
        <w:rPr>
          <w:b/>
        </w:rPr>
        <w:t>highly profitabl</w:t>
      </w:r>
      <w:r w:rsidR="00800D40">
        <w:rPr>
          <w:b/>
        </w:rPr>
        <w:t>e</w:t>
      </w:r>
      <w:r w:rsidR="00A2161D">
        <w:rPr>
          <w:b/>
        </w:rPr>
        <w:t xml:space="preserve"> enterprises or speculative ventures</w:t>
      </w:r>
      <w:r w:rsidR="00A2161D">
        <w:t xml:space="preserve">.  The </w:t>
      </w:r>
      <w:r w:rsidR="00A2161D">
        <w:rPr>
          <w:b/>
        </w:rPr>
        <w:t>return</w:t>
      </w:r>
      <w:r w:rsidR="00A2161D">
        <w:t xml:space="preserve"> should be reasonably sufficient to assure confidence in the </w:t>
      </w:r>
      <w:r w:rsidR="00A2161D">
        <w:rPr>
          <w:b/>
        </w:rPr>
        <w:t>financial soundness</w:t>
      </w:r>
      <w:r w:rsidR="00A2161D">
        <w:t xml:space="preserve"> of the utility, and should be adequate, </w:t>
      </w:r>
      <w:r w:rsidR="00A2161D">
        <w:rPr>
          <w:b/>
        </w:rPr>
        <w:t>under efficient and economical management</w:t>
      </w:r>
      <w:r w:rsidR="00A2161D">
        <w:t xml:space="preserve">, to maintain and </w:t>
      </w:r>
      <w:r w:rsidR="00A2161D">
        <w:rPr>
          <w:b/>
        </w:rPr>
        <w:t>support its credit</w:t>
      </w:r>
      <w:r w:rsidR="00A2161D">
        <w:t xml:space="preserve"> and </w:t>
      </w:r>
      <w:r w:rsidR="00A2161D">
        <w:rPr>
          <w:b/>
        </w:rPr>
        <w:t>enable it to raise the money</w:t>
      </w:r>
      <w:r w:rsidR="00A2161D">
        <w:t xml:space="preserve"> necessary for the proper discharge of its public duties.  A rate of return may be reasonable at one time, and become too high or too low by changes affecting opportunities for investment, the money market, and business conditions generally.  </w:t>
      </w:r>
      <w:r w:rsidR="00A2161D">
        <w:rPr>
          <w:b/>
        </w:rPr>
        <w:t>[Emphasis added.]</w:t>
      </w:r>
    </w:p>
    <w:p w:rsidR="00A2161D" w:rsidRDefault="00A2161D" w:rsidP="00413B15">
      <w:pPr>
        <w:tabs>
          <w:tab w:val="left" w:pos="1440"/>
          <w:tab w:val="right" w:leader="dot" w:pos="8640"/>
          <w:tab w:val="left" w:pos="9240"/>
        </w:tabs>
        <w:ind w:right="720"/>
        <w:rPr>
          <w:b/>
        </w:rPr>
      </w:pPr>
    </w:p>
    <w:p w:rsidR="00A2161D" w:rsidRDefault="00A2161D" w:rsidP="00413B15">
      <w:pPr>
        <w:tabs>
          <w:tab w:val="left" w:pos="720"/>
          <w:tab w:val="left" w:pos="1440"/>
          <w:tab w:val="left" w:pos="9240"/>
        </w:tabs>
        <w:spacing w:line="480" w:lineRule="auto"/>
        <w:ind w:left="720"/>
      </w:pPr>
      <w:r>
        <w:t xml:space="preserve">It is my understanding that the </w:t>
      </w:r>
      <w:r w:rsidRPr="009864AC">
        <w:rPr>
          <w:i/>
        </w:rPr>
        <w:t>Bluefield</w:t>
      </w:r>
      <w:r>
        <w:t xml:space="preserve"> decision established the following standards for a fair rate of return:  comparable earnings, financial integrity, and capital attraction</w:t>
      </w:r>
      <w:r w:rsidR="009864AC">
        <w:t xml:space="preserve">, and </w:t>
      </w:r>
      <w:r>
        <w:t>note</w:t>
      </w:r>
      <w:r w:rsidR="009864AC">
        <w:t>s</w:t>
      </w:r>
      <w:r>
        <w:t xml:space="preserve"> the changing level of required returns over time</w:t>
      </w:r>
      <w:r w:rsidR="009864AC">
        <w:t>,</w:t>
      </w:r>
      <w:r>
        <w:t xml:space="preserve"> </w:t>
      </w:r>
      <w:r w:rsidR="009864AC">
        <w:t xml:space="preserve">and </w:t>
      </w:r>
      <w:r>
        <w:t>assum</w:t>
      </w:r>
      <w:r w:rsidR="009864AC">
        <w:t>es</w:t>
      </w:r>
      <w:r>
        <w:t xml:space="preserve"> that the utility </w:t>
      </w:r>
      <w:r w:rsidR="009864AC">
        <w:t>is</w:t>
      </w:r>
      <w:r>
        <w:t xml:space="preserve"> operated in </w:t>
      </w:r>
      <w:r w:rsidR="00710EAB">
        <w:t>an</w:t>
      </w:r>
      <w:r>
        <w:t xml:space="preserve"> efficient manner.</w:t>
      </w:r>
    </w:p>
    <w:p w:rsidR="00A2161D" w:rsidRDefault="00476DED" w:rsidP="00413B15">
      <w:pPr>
        <w:tabs>
          <w:tab w:val="left" w:pos="720"/>
          <w:tab w:val="left" w:pos="1440"/>
          <w:tab w:val="left" w:pos="9240"/>
        </w:tabs>
        <w:spacing w:line="480" w:lineRule="auto"/>
        <w:ind w:left="720"/>
      </w:pPr>
      <w:r>
        <w:tab/>
      </w:r>
      <w:r w:rsidR="00A2161D">
        <w:t xml:space="preserve">The second decision is </w:t>
      </w:r>
      <w:r w:rsidR="00A2161D" w:rsidRPr="009864AC">
        <w:rPr>
          <w:i/>
        </w:rPr>
        <w:t>Federal Power Comm</w:t>
      </w:r>
      <w:r w:rsidR="009864AC">
        <w:rPr>
          <w:i/>
        </w:rPr>
        <w:t>ission</w:t>
      </w:r>
      <w:r w:rsidR="00A2161D" w:rsidRPr="009864AC">
        <w:rPr>
          <w:i/>
        </w:rPr>
        <w:t xml:space="preserve"> v. Hope Natural Gas Co.</w:t>
      </w:r>
      <w:r w:rsidR="00A2161D">
        <w:t>, 320 U.S. 591</w:t>
      </w:r>
      <w:r w:rsidR="00924A36">
        <w:t>, 603</w:t>
      </w:r>
      <w:r w:rsidR="00A2161D">
        <w:t xml:space="preserve"> (1942).  In that decision, the Court stated:</w:t>
      </w:r>
    </w:p>
    <w:p w:rsidR="00A2161D" w:rsidRDefault="00A2161D" w:rsidP="00413B15">
      <w:pPr>
        <w:tabs>
          <w:tab w:val="left" w:pos="1440"/>
          <w:tab w:val="left" w:pos="9240"/>
        </w:tabs>
        <w:ind w:left="1440" w:right="720"/>
      </w:pPr>
      <w:r>
        <w:t xml:space="preserve">The rate-making process under the [Natural Gas] Act, </w:t>
      </w:r>
      <w:r w:rsidR="009864AC" w:rsidRPr="009864AC">
        <w:t>i.e.</w:t>
      </w:r>
      <w:r>
        <w:t xml:space="preserve">, the fixing of ‘just and reasonable’ rates, involves a </w:t>
      </w:r>
      <w:r>
        <w:rPr>
          <w:b/>
        </w:rPr>
        <w:t>balancing</w:t>
      </w:r>
      <w:r>
        <w:t xml:space="preserve"> of the </w:t>
      </w:r>
      <w:r>
        <w:rPr>
          <w:b/>
        </w:rPr>
        <w:t>investor</w:t>
      </w:r>
      <w:r>
        <w:t xml:space="preserve"> and </w:t>
      </w:r>
      <w:r w:rsidR="0015022B">
        <w:rPr>
          <w:b/>
        </w:rPr>
        <w:t>consumer</w:t>
      </w:r>
      <w:r>
        <w:rPr>
          <w:b/>
        </w:rPr>
        <w:t xml:space="preserve"> interests </w:t>
      </w:r>
      <w:r>
        <w:t>. . . . F</w:t>
      </w:r>
      <w:r w:rsidR="0015022B">
        <w:t>rom</w:t>
      </w:r>
      <w:r>
        <w:t xml:space="preserve"> the investor or company point of view it is important that there be enough revenue not only for operating expenses but also for the capital costs of the business.  These include service on the debt and dividends on the stock.  By that standard the </w:t>
      </w:r>
      <w:r>
        <w:rPr>
          <w:b/>
        </w:rPr>
        <w:t>return</w:t>
      </w:r>
      <w:r>
        <w:t xml:space="preserve"> to the equity</w:t>
      </w:r>
      <w:r>
        <w:rPr>
          <w:b/>
        </w:rPr>
        <w:t xml:space="preserve"> owner </w:t>
      </w:r>
      <w:r>
        <w:t xml:space="preserve">should be </w:t>
      </w:r>
      <w:r>
        <w:rPr>
          <w:b/>
        </w:rPr>
        <w:t xml:space="preserve">commensurate </w:t>
      </w:r>
      <w:r>
        <w:t xml:space="preserve">with </w:t>
      </w:r>
      <w:r>
        <w:rPr>
          <w:b/>
        </w:rPr>
        <w:t>returns</w:t>
      </w:r>
      <w:r>
        <w:t xml:space="preserve"> on </w:t>
      </w:r>
      <w:r>
        <w:rPr>
          <w:b/>
        </w:rPr>
        <w:t xml:space="preserve">investments </w:t>
      </w:r>
      <w:r>
        <w:t xml:space="preserve">in </w:t>
      </w:r>
      <w:r>
        <w:rPr>
          <w:b/>
        </w:rPr>
        <w:t>other enterprises having corresponding risks</w:t>
      </w:r>
      <w:r>
        <w:t xml:space="preserve">.  That return, moreover, should be sufficient to assure confidence in the </w:t>
      </w:r>
      <w:r>
        <w:rPr>
          <w:b/>
        </w:rPr>
        <w:t>financial integrity</w:t>
      </w:r>
      <w:r>
        <w:t xml:space="preserve"> of the enterprise, so as to </w:t>
      </w:r>
      <w:r>
        <w:rPr>
          <w:b/>
        </w:rPr>
        <w:t xml:space="preserve">maintain its credit </w:t>
      </w:r>
      <w:r>
        <w:t xml:space="preserve">and to </w:t>
      </w:r>
      <w:r>
        <w:rPr>
          <w:b/>
        </w:rPr>
        <w:t>attract capital</w:t>
      </w:r>
      <w:r>
        <w:t xml:space="preserve">.  </w:t>
      </w:r>
      <w:r>
        <w:rPr>
          <w:b/>
        </w:rPr>
        <w:t>[</w:t>
      </w:r>
      <w:r w:rsidR="002A37CF">
        <w:rPr>
          <w:b/>
        </w:rPr>
        <w:t>Emphasis</w:t>
      </w:r>
      <w:r>
        <w:rPr>
          <w:b/>
        </w:rPr>
        <w:t xml:space="preserve"> added.]</w:t>
      </w:r>
      <w:r>
        <w:t xml:space="preserve"> </w:t>
      </w:r>
    </w:p>
    <w:p w:rsidR="009864AC" w:rsidRDefault="009864AC" w:rsidP="00413B15">
      <w:pPr>
        <w:tabs>
          <w:tab w:val="left" w:pos="720"/>
          <w:tab w:val="left" w:pos="1440"/>
          <w:tab w:val="left" w:pos="9240"/>
        </w:tabs>
        <w:spacing w:line="480" w:lineRule="auto"/>
        <w:ind w:left="720"/>
      </w:pPr>
    </w:p>
    <w:p w:rsidR="00E67088" w:rsidRDefault="00476DED" w:rsidP="00413B15">
      <w:pPr>
        <w:tabs>
          <w:tab w:val="left" w:pos="720"/>
          <w:tab w:val="left" w:pos="1440"/>
          <w:tab w:val="left" w:pos="9240"/>
        </w:tabs>
        <w:spacing w:line="480" w:lineRule="auto"/>
        <w:ind w:left="720"/>
      </w:pPr>
      <w:r>
        <w:tab/>
      </w:r>
      <w:r w:rsidR="002E3A56">
        <w:t xml:space="preserve">The three economic and financial parameters in </w:t>
      </w:r>
      <w:r w:rsidR="000D4226">
        <w:t xml:space="preserve">the </w:t>
      </w:r>
      <w:r w:rsidR="000D4226" w:rsidRPr="009864AC">
        <w:rPr>
          <w:i/>
        </w:rPr>
        <w:t>Bluefield</w:t>
      </w:r>
      <w:r w:rsidR="000D4226">
        <w:t xml:space="preserve"> and </w:t>
      </w:r>
      <w:r w:rsidR="000D4226" w:rsidRPr="009864AC">
        <w:rPr>
          <w:i/>
        </w:rPr>
        <w:t>Hope</w:t>
      </w:r>
      <w:r w:rsidR="000D4226">
        <w:t xml:space="preserve"> deci</w:t>
      </w:r>
      <w:r w:rsidR="002E3A56" w:rsidRPr="000D4226">
        <w:t>sions</w:t>
      </w:r>
      <w:r w:rsidR="002E3A56">
        <w:t xml:space="preserve"> - comparable earnings, financial integrity, and capital attraction - reflect the economic criteria encompassed in the “opportunity cost” </w:t>
      </w:r>
      <w:r w:rsidR="00A64A1C">
        <w:t>principle of economics</w:t>
      </w:r>
      <w:r w:rsidR="00733626">
        <w:t xml:space="preserve">.  </w:t>
      </w:r>
    </w:p>
    <w:p w:rsidR="00683907" w:rsidRDefault="00683907" w:rsidP="00413B15">
      <w:pPr>
        <w:tabs>
          <w:tab w:val="left" w:pos="720"/>
          <w:tab w:val="left" w:pos="1440"/>
          <w:tab w:val="left" w:pos="9240"/>
        </w:tabs>
        <w:spacing w:line="480" w:lineRule="auto"/>
      </w:pPr>
    </w:p>
    <w:p w:rsidR="002E3A56" w:rsidRDefault="00A64A1C" w:rsidP="00413B15">
      <w:pPr>
        <w:tabs>
          <w:tab w:val="left" w:pos="720"/>
          <w:tab w:val="left" w:pos="1440"/>
          <w:tab w:val="left" w:pos="9240"/>
        </w:tabs>
        <w:spacing w:line="480" w:lineRule="auto"/>
        <w:ind w:left="720" w:hanging="720"/>
      </w:pPr>
      <w:r>
        <w:rPr>
          <w:b/>
        </w:rPr>
        <w:t>Q.</w:t>
      </w:r>
      <w:r>
        <w:rPr>
          <w:b/>
        </w:rPr>
        <w:tab/>
      </w:r>
      <w:r w:rsidR="000C7034">
        <w:rPr>
          <w:b/>
        </w:rPr>
        <w:t>How can these parameters be employed to estimate the cost of capital for a utility</w:t>
      </w:r>
      <w:r>
        <w:rPr>
          <w:b/>
        </w:rPr>
        <w:t>?</w:t>
      </w:r>
      <w:r w:rsidR="002E3A56">
        <w:t xml:space="preserve"> </w:t>
      </w:r>
    </w:p>
    <w:p w:rsidR="00A64A1C" w:rsidRDefault="00A64A1C" w:rsidP="00413B15">
      <w:pPr>
        <w:tabs>
          <w:tab w:val="left" w:pos="720"/>
          <w:tab w:val="left" w:pos="1440"/>
          <w:tab w:val="left" w:pos="9240"/>
        </w:tabs>
        <w:spacing w:line="480" w:lineRule="auto"/>
        <w:ind w:left="720" w:hanging="720"/>
      </w:pPr>
      <w:r>
        <w:t>A.</w:t>
      </w:r>
      <w:r>
        <w:tab/>
        <w:t xml:space="preserve">Neither the courts nor economic/financial theory have developed exact and mechanical procedures for precisely determining the cost of capital.  This is the case because the cost of capital is an opportunity cost and is prospective-looking, which </w:t>
      </w:r>
      <w:r w:rsidR="009864AC">
        <w:t>means</w:t>
      </w:r>
      <w:r>
        <w:t xml:space="preserve"> that it must be estimated.</w:t>
      </w:r>
    </w:p>
    <w:p w:rsidR="00A64A1C" w:rsidRDefault="00A64A1C" w:rsidP="00413B15">
      <w:pPr>
        <w:tabs>
          <w:tab w:val="left" w:pos="720"/>
          <w:tab w:val="left" w:pos="1440"/>
          <w:tab w:val="left" w:pos="9240"/>
        </w:tabs>
        <w:spacing w:line="480" w:lineRule="auto"/>
        <w:ind w:left="720" w:hanging="720"/>
      </w:pPr>
      <w:r>
        <w:tab/>
      </w:r>
      <w:r>
        <w:tab/>
        <w:t xml:space="preserve">There are several </w:t>
      </w:r>
      <w:r w:rsidR="005D12A4">
        <w:t>d</w:t>
      </w:r>
      <w:r w:rsidR="00230984">
        <w:t>i</w:t>
      </w:r>
      <w:r w:rsidR="005D12A4">
        <w:t>fferent methodologies</w:t>
      </w:r>
      <w:r w:rsidR="00230984">
        <w:t>,</w:t>
      </w:r>
      <w:r w:rsidR="005D12A4">
        <w:t xml:space="preserve"> using different sets of market and financial data</w:t>
      </w:r>
      <w:r w:rsidR="00230984">
        <w:t>,</w:t>
      </w:r>
      <w:r w:rsidR="005D12A4">
        <w:t xml:space="preserve"> </w:t>
      </w:r>
      <w:r>
        <w:t>to assist in estimating the cost of equity capital</w:t>
      </w:r>
      <w:r w:rsidR="00230984">
        <w:t xml:space="preserve">.  </w:t>
      </w:r>
      <w:r>
        <w:t xml:space="preserve">These include the </w:t>
      </w:r>
      <w:r w:rsidR="004C62A4">
        <w:t>D</w:t>
      </w:r>
      <w:r>
        <w:t xml:space="preserve">iscounted </w:t>
      </w:r>
      <w:r w:rsidR="004C62A4">
        <w:t>C</w:t>
      </w:r>
      <w:r>
        <w:t xml:space="preserve">ash </w:t>
      </w:r>
      <w:r w:rsidR="004C62A4">
        <w:t>F</w:t>
      </w:r>
      <w:r>
        <w:t>low</w:t>
      </w:r>
      <w:r w:rsidR="005D12A4">
        <w:t xml:space="preserve"> (</w:t>
      </w:r>
      <w:r w:rsidR="00230984">
        <w:t>“</w:t>
      </w:r>
      <w:r w:rsidR="005D12A4">
        <w:t>DCF”)</w:t>
      </w:r>
      <w:r>
        <w:t xml:space="preserve">, </w:t>
      </w:r>
      <w:r w:rsidR="004C62A4">
        <w:t>C</w:t>
      </w:r>
      <w:r>
        <w:t xml:space="preserve">apital </w:t>
      </w:r>
      <w:r w:rsidR="004C62A4">
        <w:t>A</w:t>
      </w:r>
      <w:r>
        <w:t xml:space="preserve">sset </w:t>
      </w:r>
      <w:r w:rsidR="004C62A4">
        <w:t>P</w:t>
      </w:r>
      <w:r>
        <w:t xml:space="preserve">ricing </w:t>
      </w:r>
      <w:r w:rsidR="004C62A4">
        <w:t>M</w:t>
      </w:r>
      <w:r>
        <w:t>odel</w:t>
      </w:r>
      <w:r w:rsidR="005D12A4">
        <w:t xml:space="preserve"> (“CAPM”)</w:t>
      </w:r>
      <w:r>
        <w:t>,</w:t>
      </w:r>
      <w:r w:rsidR="004C62A4">
        <w:t xml:space="preserve"> C</w:t>
      </w:r>
      <w:r>
        <w:t xml:space="preserve">omparable </w:t>
      </w:r>
      <w:r w:rsidR="004C62A4">
        <w:t>E</w:t>
      </w:r>
      <w:r>
        <w:t>arnings</w:t>
      </w:r>
      <w:r w:rsidR="004C62A4">
        <w:t xml:space="preserve"> </w:t>
      </w:r>
      <w:r w:rsidR="00230984">
        <w:t xml:space="preserve">(“CE”) </w:t>
      </w:r>
      <w:r>
        <w:t xml:space="preserve">and </w:t>
      </w:r>
      <w:r w:rsidR="004C62A4">
        <w:t>R</w:t>
      </w:r>
      <w:r>
        <w:t xml:space="preserve">isk </w:t>
      </w:r>
      <w:r w:rsidR="004C62A4">
        <w:t>P</w:t>
      </w:r>
      <w:r>
        <w:t xml:space="preserve">remium (“RP”) methods.  Each of these methods (or models) </w:t>
      </w:r>
      <w:r w:rsidR="009864AC">
        <w:t xml:space="preserve">are </w:t>
      </w:r>
      <w:r>
        <w:t>differ</w:t>
      </w:r>
      <w:r w:rsidR="009864AC">
        <w:t>ent</w:t>
      </w:r>
      <w:r>
        <w:t xml:space="preserve">, </w:t>
      </w:r>
      <w:r w:rsidR="009864AC">
        <w:t xml:space="preserve">but, </w:t>
      </w:r>
      <w:r>
        <w:t xml:space="preserve">if properly employed, can be </w:t>
      </w:r>
      <w:r w:rsidR="005D12A4">
        <w:t>used</w:t>
      </w:r>
      <w:r>
        <w:t xml:space="preserve"> in estimating the cost of common equity for a regulated utility.</w:t>
      </w:r>
    </w:p>
    <w:p w:rsidR="00E67088" w:rsidRDefault="00E67088" w:rsidP="00413B15">
      <w:pPr>
        <w:tabs>
          <w:tab w:val="left" w:pos="720"/>
          <w:tab w:val="left" w:pos="1440"/>
          <w:tab w:val="left" w:pos="9240"/>
        </w:tabs>
        <w:spacing w:line="480" w:lineRule="auto"/>
        <w:ind w:left="720" w:hanging="720"/>
      </w:pPr>
    </w:p>
    <w:p w:rsidR="00A64A1C" w:rsidRDefault="00A64A1C" w:rsidP="00413B15">
      <w:pPr>
        <w:tabs>
          <w:tab w:val="left" w:pos="720"/>
          <w:tab w:val="left" w:pos="1440"/>
          <w:tab w:val="left" w:pos="9240"/>
        </w:tabs>
        <w:spacing w:line="480" w:lineRule="auto"/>
        <w:ind w:left="720" w:hanging="720"/>
        <w:rPr>
          <w:b/>
        </w:rPr>
      </w:pPr>
      <w:r>
        <w:rPr>
          <w:b/>
        </w:rPr>
        <w:t>Q.</w:t>
      </w:r>
      <w:r>
        <w:rPr>
          <w:b/>
        </w:rPr>
        <w:tab/>
      </w:r>
      <w:r w:rsidR="000C7034">
        <w:rPr>
          <w:b/>
        </w:rPr>
        <w:t xml:space="preserve">Which methods </w:t>
      </w:r>
      <w:r w:rsidR="005D12A4">
        <w:rPr>
          <w:b/>
        </w:rPr>
        <w:t xml:space="preserve">do </w:t>
      </w:r>
      <w:r w:rsidR="000C7034">
        <w:rPr>
          <w:b/>
        </w:rPr>
        <w:t xml:space="preserve">you employ in your analyses of the cost of common equity </w:t>
      </w:r>
      <w:r w:rsidR="009864AC">
        <w:rPr>
          <w:b/>
        </w:rPr>
        <w:t xml:space="preserve">of </w:t>
      </w:r>
      <w:r w:rsidR="00B91BA3">
        <w:rPr>
          <w:b/>
        </w:rPr>
        <w:t>PSE</w:t>
      </w:r>
      <w:r w:rsidR="009864AC">
        <w:rPr>
          <w:b/>
        </w:rPr>
        <w:t xml:space="preserve"> </w:t>
      </w:r>
      <w:r w:rsidR="000C7034">
        <w:rPr>
          <w:b/>
        </w:rPr>
        <w:t>in this proceeding</w:t>
      </w:r>
      <w:r>
        <w:rPr>
          <w:b/>
        </w:rPr>
        <w:t>?</w:t>
      </w:r>
    </w:p>
    <w:p w:rsidR="00A64A1C" w:rsidRDefault="00A64A1C" w:rsidP="00413B15">
      <w:pPr>
        <w:tabs>
          <w:tab w:val="left" w:pos="720"/>
          <w:tab w:val="left" w:pos="1440"/>
          <w:tab w:val="left" w:pos="9240"/>
        </w:tabs>
        <w:spacing w:line="480" w:lineRule="auto"/>
        <w:ind w:left="720" w:hanging="720"/>
      </w:pPr>
      <w:r>
        <w:t>A.</w:t>
      </w:r>
      <w:r>
        <w:tab/>
        <w:t xml:space="preserve">I utilize three methodologies to </w:t>
      </w:r>
      <w:r w:rsidR="003B0114">
        <w:t xml:space="preserve">estimate </w:t>
      </w:r>
      <w:r w:rsidR="00B91BA3">
        <w:t>PSE</w:t>
      </w:r>
      <w:r w:rsidR="004D3526">
        <w:t>’s</w:t>
      </w:r>
      <w:r>
        <w:t xml:space="preserve"> cost of common equity:  the DCF, CAPM, and CE methods.  </w:t>
      </w:r>
      <w:r w:rsidR="002A37CF">
        <w:t>I have not employed a RP model in my analyse</w:t>
      </w:r>
      <w:r w:rsidR="005D12A4">
        <w:t>s</w:t>
      </w:r>
      <w:r w:rsidR="00230984">
        <w:t xml:space="preserve">, although it should be noted that the CAPM is a version of the RP methodology.  </w:t>
      </w:r>
      <w:r w:rsidR="009864AC">
        <w:t>I describe e</w:t>
      </w:r>
      <w:r>
        <w:t xml:space="preserve">ach of these methodologies in more detail </w:t>
      </w:r>
      <w:r w:rsidR="009864AC">
        <w:t xml:space="preserve">later </w:t>
      </w:r>
      <w:r>
        <w:t>in my testimony.</w:t>
      </w:r>
    </w:p>
    <w:p w:rsidR="00A64A1C" w:rsidRDefault="00A64A1C" w:rsidP="008802FE">
      <w:pPr>
        <w:keepNext/>
        <w:keepLines/>
        <w:tabs>
          <w:tab w:val="left" w:pos="720"/>
          <w:tab w:val="left" w:pos="1440"/>
          <w:tab w:val="left" w:pos="9240"/>
        </w:tabs>
        <w:spacing w:line="480" w:lineRule="auto"/>
        <w:jc w:val="center"/>
        <w:rPr>
          <w:b/>
          <w:u w:val="single"/>
        </w:rPr>
      </w:pPr>
      <w:r>
        <w:rPr>
          <w:b/>
        </w:rPr>
        <w:lastRenderedPageBreak/>
        <w:t>IV.</w:t>
      </w:r>
      <w:r>
        <w:rPr>
          <w:b/>
        </w:rPr>
        <w:tab/>
      </w:r>
      <w:r w:rsidRPr="000C7034">
        <w:rPr>
          <w:b/>
        </w:rPr>
        <w:t>GENERAL ECONOMIC CONDITIONS</w:t>
      </w:r>
    </w:p>
    <w:p w:rsidR="00A64A1C" w:rsidRDefault="00A64A1C" w:rsidP="008802FE">
      <w:pPr>
        <w:keepNext/>
        <w:keepLines/>
        <w:tabs>
          <w:tab w:val="left" w:pos="720"/>
          <w:tab w:val="left" w:pos="1440"/>
          <w:tab w:val="left" w:pos="9240"/>
        </w:tabs>
        <w:spacing w:line="480" w:lineRule="auto"/>
        <w:ind w:left="720" w:hanging="720"/>
        <w:jc w:val="both"/>
      </w:pPr>
    </w:p>
    <w:p w:rsidR="00A612C8" w:rsidRPr="00B90C66" w:rsidRDefault="00A612C8" w:rsidP="008802FE">
      <w:pPr>
        <w:pStyle w:val="TestimonyQuestion"/>
        <w:keepNext/>
        <w:keepLines/>
        <w:spacing w:before="0" w:after="0" w:line="480" w:lineRule="auto"/>
        <w:jc w:val="left"/>
      </w:pPr>
      <w:r w:rsidRPr="00B90C66">
        <w:t>Q.</w:t>
      </w:r>
      <w:r w:rsidRPr="00B90C66">
        <w:tab/>
      </w:r>
      <w:r w:rsidR="009864AC">
        <w:rPr>
          <w:caps w:val="0"/>
        </w:rPr>
        <w:t>A</w:t>
      </w:r>
      <w:r w:rsidRPr="00B90C66">
        <w:rPr>
          <w:caps w:val="0"/>
        </w:rPr>
        <w:t>re economic and financial conditions important in determining the cost of capital</w:t>
      </w:r>
      <w:r w:rsidR="009864AC">
        <w:rPr>
          <w:caps w:val="0"/>
        </w:rPr>
        <w:t xml:space="preserve"> for </w:t>
      </w:r>
      <w:r w:rsidR="00B91BA3">
        <w:rPr>
          <w:caps w:val="0"/>
        </w:rPr>
        <w:t>PSE</w:t>
      </w:r>
      <w:r w:rsidRPr="00B90C66">
        <w:rPr>
          <w:caps w:val="0"/>
        </w:rPr>
        <w:t>?</w:t>
      </w:r>
    </w:p>
    <w:p w:rsidR="00A612C8" w:rsidRDefault="00A612C8" w:rsidP="00413B15">
      <w:pPr>
        <w:pStyle w:val="TestimonyAnswer"/>
        <w:tabs>
          <w:tab w:val="left" w:pos="1440"/>
        </w:tabs>
        <w:spacing w:after="0" w:line="480" w:lineRule="auto"/>
        <w:jc w:val="left"/>
      </w:pPr>
      <w:r w:rsidRPr="00B90C66">
        <w:t>A.</w:t>
      </w:r>
      <w:r w:rsidRPr="00B90C66">
        <w:tab/>
      </w:r>
      <w:r w:rsidR="009864AC">
        <w:t xml:space="preserve">Yes.  </w:t>
      </w:r>
      <w:r w:rsidRPr="00B90C66">
        <w:t xml:space="preserve">The costs of capital for both fixed-cost (debt and preferred stock) components and </w:t>
      </w:r>
      <w:r w:rsidR="009864AC">
        <w:t xml:space="preserve">for </w:t>
      </w:r>
      <w:r w:rsidR="004C1FC3">
        <w:t>common equity</w:t>
      </w:r>
      <w:r w:rsidRPr="00B90C66">
        <w:t xml:space="preserve"> are determined in part by current and prospective economic and financial conditions.  At any given time, each of the following factors has an influence on the costs of capital:  the level of economic activity (</w:t>
      </w:r>
      <w:r w:rsidR="009864AC" w:rsidRPr="009864AC">
        <w:t>i.e.</w:t>
      </w:r>
      <w:r w:rsidRPr="00B90C66">
        <w:t>, growth rate of the economy), the stage of the business cycle (</w:t>
      </w:r>
      <w:r w:rsidR="009864AC" w:rsidRPr="009864AC">
        <w:t>i.e.</w:t>
      </w:r>
      <w:r w:rsidRPr="00B90C66">
        <w:t xml:space="preserve">, recession, expansion, or transition), the level of inflation, and expected economic conditions.  My understanding is that this position is consistent with the </w:t>
      </w:r>
      <w:r w:rsidRPr="009864AC">
        <w:rPr>
          <w:i/>
        </w:rPr>
        <w:t>Bluefield</w:t>
      </w:r>
      <w:r w:rsidRPr="00B90C66">
        <w:t xml:space="preserve"> decision</w:t>
      </w:r>
      <w:r w:rsidR="009864AC">
        <w:t xml:space="preserve">, where the Court </w:t>
      </w:r>
      <w:r w:rsidRPr="00B90C66">
        <w:t>noted</w:t>
      </w:r>
      <w:r w:rsidR="009864AC">
        <w:t>:</w:t>
      </w:r>
      <w:r w:rsidRPr="00B90C66">
        <w:t xml:space="preserve"> “[a] rate of return may be reasonable at one time, and become too high or too low by changes affecting opportunities for investment, the money market, and business conditions generally.”</w:t>
      </w:r>
      <w:r w:rsidR="00924A36">
        <w:t xml:space="preserve">  262 U.S. at 693.</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What indicators of economic and financial activity have you evaluated in your analyses?</w:t>
      </w:r>
    </w:p>
    <w:p w:rsidR="00A612C8" w:rsidRDefault="00A612C8" w:rsidP="00413B15">
      <w:pPr>
        <w:pStyle w:val="TestimonyAnswer"/>
        <w:tabs>
          <w:tab w:val="left" w:pos="1440"/>
        </w:tabs>
        <w:spacing w:after="0" w:line="480" w:lineRule="auto"/>
        <w:jc w:val="left"/>
      </w:pPr>
      <w:r w:rsidRPr="00B90C66">
        <w:t>A.</w:t>
      </w:r>
      <w:r w:rsidRPr="00B90C66">
        <w:tab/>
        <w:t xml:space="preserve">I have examined several sets of economic statistics from 1975 to the present.  I chose this time period because it permits the evaluation of economic conditions over three full </w:t>
      </w:r>
      <w:r w:rsidR="00774C6D">
        <w:t xml:space="preserve">prior </w:t>
      </w:r>
      <w:r w:rsidRPr="00B90C66">
        <w:t>business cycles plus the current cycle, allowing for an assessment of changes in long-term trends.  This period also approximates the beginning and continuation of active rate case activities by public utilities.</w:t>
      </w:r>
    </w:p>
    <w:p w:rsidR="00A612C8" w:rsidRPr="00B90C66" w:rsidRDefault="00A612C8" w:rsidP="00413B15">
      <w:pPr>
        <w:pStyle w:val="TestimonyAnswer"/>
        <w:tabs>
          <w:tab w:val="left" w:pos="1440"/>
        </w:tabs>
        <w:spacing w:after="0" w:line="480" w:lineRule="auto"/>
        <w:jc w:val="left"/>
      </w:pPr>
      <w:r>
        <w:lastRenderedPageBreak/>
        <w:tab/>
      </w:r>
      <w:r>
        <w:tab/>
      </w:r>
      <w:r w:rsidRPr="00B90C66">
        <w:t>A business cycle is commonly defined as a complete period of expansion (recovery and growth) and contraction (recession).  A full business cycle is a useful and convenient period over which to measure levels and trends in long-term capital costs because it incorporates the cyclical (</w:t>
      </w:r>
      <w:r w:rsidR="009864AC" w:rsidRPr="009864AC">
        <w:t>i.e.</w:t>
      </w:r>
      <w:r w:rsidRPr="00B90C66">
        <w:t>, stage of business cycle) influences, and thus, permits a comparison of structural (or long-term) trends.</w:t>
      </w:r>
    </w:p>
    <w:p w:rsidR="00A612C8" w:rsidRPr="00B90C66" w:rsidRDefault="00A612C8" w:rsidP="00413B15">
      <w:pPr>
        <w:pStyle w:val="TestimonyAnswer"/>
        <w:tabs>
          <w:tab w:val="left" w:pos="1440"/>
        </w:tabs>
        <w:spacing w:after="0" w:line="480" w:lineRule="auto"/>
        <w:jc w:val="left"/>
      </w:pPr>
    </w:p>
    <w:p w:rsidR="00A612C8" w:rsidRDefault="00A612C8" w:rsidP="00413B15">
      <w:pPr>
        <w:pStyle w:val="TestimonyQuestion"/>
        <w:spacing w:before="0" w:after="0" w:line="480" w:lineRule="auto"/>
        <w:jc w:val="left"/>
      </w:pPr>
      <w:r w:rsidRPr="00B90C66">
        <w:t>Q.</w:t>
      </w:r>
      <w:r w:rsidRPr="00B90C66">
        <w:tab/>
      </w:r>
      <w:r w:rsidRPr="00B90C66">
        <w:rPr>
          <w:caps w:val="0"/>
        </w:rPr>
        <w:t>Please describe the timeframe of the three prior business cycles and the most recent cycle.</w:t>
      </w:r>
    </w:p>
    <w:p w:rsidR="00CF2DC4" w:rsidRPr="00B90C66" w:rsidRDefault="00A612C8" w:rsidP="00413B15">
      <w:pPr>
        <w:pStyle w:val="TestimonyAnswer"/>
        <w:tabs>
          <w:tab w:val="left" w:pos="1440"/>
        </w:tabs>
        <w:spacing w:after="0" w:line="480" w:lineRule="auto"/>
        <w:jc w:val="left"/>
      </w:pPr>
      <w:r w:rsidRPr="00B90C66">
        <w:t>A.</w:t>
      </w:r>
      <w:r w:rsidRPr="00B90C66">
        <w:tab/>
        <w:t>The three prior complete cycles and most recent cycle cover the following periods:</w:t>
      </w:r>
    </w:p>
    <w:tbl>
      <w:tblPr>
        <w:tblpPr w:leftFromText="180" w:rightFromText="180" w:vertAnchor="text" w:horzAnchor="margin" w:tblpXSpec="center" w:tblpY="1"/>
        <w:tblW w:w="0" w:type="auto"/>
        <w:tblLook w:val="01E0"/>
      </w:tblPr>
      <w:tblGrid>
        <w:gridCol w:w="1690"/>
        <w:gridCol w:w="222"/>
        <w:gridCol w:w="2296"/>
        <w:gridCol w:w="222"/>
        <w:gridCol w:w="2578"/>
      </w:tblGrid>
      <w:tr w:rsidR="00A612C8" w:rsidRPr="00B90C66" w:rsidTr="00774C6D">
        <w:tc>
          <w:tcPr>
            <w:tcW w:w="0" w:type="auto"/>
            <w:tcBorders>
              <w:bottom w:val="single" w:sz="4" w:space="0" w:color="auto"/>
            </w:tcBorders>
          </w:tcPr>
          <w:p w:rsidR="00A612C8" w:rsidRPr="00B90C66" w:rsidRDefault="00A612C8" w:rsidP="00A612C8">
            <w:pPr>
              <w:tabs>
                <w:tab w:val="left" w:pos="720"/>
                <w:tab w:val="left" w:pos="1440"/>
                <w:tab w:val="left" w:pos="9240"/>
              </w:tabs>
            </w:pPr>
            <w:r w:rsidRPr="00B90C66">
              <w:t>Business Cycle</w:t>
            </w:r>
          </w:p>
        </w:tc>
        <w:tc>
          <w:tcPr>
            <w:tcW w:w="0" w:type="auto"/>
          </w:tcPr>
          <w:p w:rsidR="00A612C8" w:rsidRPr="00B90C66" w:rsidRDefault="00A612C8" w:rsidP="00A612C8">
            <w:pPr>
              <w:tabs>
                <w:tab w:val="left" w:pos="720"/>
                <w:tab w:val="left" w:pos="1440"/>
                <w:tab w:val="left" w:pos="9240"/>
              </w:tabs>
            </w:pPr>
          </w:p>
        </w:tc>
        <w:tc>
          <w:tcPr>
            <w:tcW w:w="0" w:type="auto"/>
            <w:tcBorders>
              <w:bottom w:val="single" w:sz="4" w:space="0" w:color="auto"/>
            </w:tcBorders>
          </w:tcPr>
          <w:p w:rsidR="00A612C8" w:rsidRPr="00B90C66" w:rsidRDefault="00A612C8" w:rsidP="00A612C8">
            <w:pPr>
              <w:tabs>
                <w:tab w:val="left" w:pos="720"/>
                <w:tab w:val="left" w:pos="1440"/>
                <w:tab w:val="left" w:pos="9240"/>
              </w:tabs>
            </w:pPr>
            <w:r w:rsidRPr="00B90C66">
              <w:t>Expansion Cycle</w:t>
            </w:r>
          </w:p>
        </w:tc>
        <w:tc>
          <w:tcPr>
            <w:tcW w:w="0" w:type="auto"/>
          </w:tcPr>
          <w:p w:rsidR="00A612C8" w:rsidRPr="00B90C66" w:rsidRDefault="00A612C8" w:rsidP="00A612C8">
            <w:pPr>
              <w:tabs>
                <w:tab w:val="left" w:pos="720"/>
                <w:tab w:val="left" w:pos="1440"/>
                <w:tab w:val="left" w:pos="9240"/>
              </w:tabs>
            </w:pPr>
          </w:p>
        </w:tc>
        <w:tc>
          <w:tcPr>
            <w:tcW w:w="2578" w:type="dxa"/>
            <w:tcBorders>
              <w:bottom w:val="single" w:sz="4" w:space="0" w:color="auto"/>
            </w:tcBorders>
          </w:tcPr>
          <w:p w:rsidR="00A612C8" w:rsidRPr="00B90C66" w:rsidRDefault="00A612C8" w:rsidP="00A612C8">
            <w:pPr>
              <w:tabs>
                <w:tab w:val="left" w:pos="720"/>
                <w:tab w:val="left" w:pos="1440"/>
                <w:tab w:val="left" w:pos="9240"/>
              </w:tabs>
            </w:pPr>
            <w:r w:rsidRPr="00B90C66">
              <w:t>Contraction Period</w:t>
            </w:r>
          </w:p>
        </w:tc>
      </w:tr>
      <w:tr w:rsidR="00A612C8" w:rsidRPr="00B90C66" w:rsidTr="00774C6D">
        <w:tc>
          <w:tcPr>
            <w:tcW w:w="0" w:type="auto"/>
            <w:tcBorders>
              <w:top w:val="single" w:sz="4" w:space="0" w:color="auto"/>
            </w:tcBorders>
          </w:tcPr>
          <w:p w:rsidR="00A612C8" w:rsidRPr="00B90C66" w:rsidRDefault="00A612C8" w:rsidP="00A612C8">
            <w:pPr>
              <w:tabs>
                <w:tab w:val="left" w:pos="720"/>
                <w:tab w:val="left" w:pos="1440"/>
                <w:tab w:val="left" w:pos="9240"/>
              </w:tabs>
            </w:pPr>
            <w:r w:rsidRPr="00B90C66">
              <w:t>1975-1982</w:t>
            </w:r>
          </w:p>
        </w:tc>
        <w:tc>
          <w:tcPr>
            <w:tcW w:w="0" w:type="auto"/>
          </w:tcPr>
          <w:p w:rsidR="00A612C8" w:rsidRPr="00B90C66" w:rsidRDefault="00A612C8" w:rsidP="00A612C8">
            <w:pPr>
              <w:tabs>
                <w:tab w:val="left" w:pos="720"/>
                <w:tab w:val="left" w:pos="1440"/>
                <w:tab w:val="left" w:pos="9240"/>
              </w:tabs>
            </w:pPr>
          </w:p>
        </w:tc>
        <w:tc>
          <w:tcPr>
            <w:tcW w:w="0" w:type="auto"/>
            <w:tcBorders>
              <w:top w:val="single" w:sz="4" w:space="0" w:color="auto"/>
            </w:tcBorders>
          </w:tcPr>
          <w:p w:rsidR="00A612C8" w:rsidRPr="00B90C66" w:rsidRDefault="00A612C8" w:rsidP="00A612C8">
            <w:pPr>
              <w:tabs>
                <w:tab w:val="left" w:pos="720"/>
                <w:tab w:val="left" w:pos="1440"/>
                <w:tab w:val="left" w:pos="9240"/>
              </w:tabs>
            </w:pPr>
            <w:r w:rsidRPr="00B90C66">
              <w:t>Mar. 1975-July 1981</w:t>
            </w:r>
          </w:p>
        </w:tc>
        <w:tc>
          <w:tcPr>
            <w:tcW w:w="0" w:type="auto"/>
          </w:tcPr>
          <w:p w:rsidR="00A612C8" w:rsidRPr="00B90C66" w:rsidRDefault="00A612C8" w:rsidP="00A612C8">
            <w:pPr>
              <w:tabs>
                <w:tab w:val="left" w:pos="720"/>
                <w:tab w:val="left" w:pos="1440"/>
                <w:tab w:val="left" w:pos="9240"/>
              </w:tabs>
            </w:pPr>
          </w:p>
        </w:tc>
        <w:tc>
          <w:tcPr>
            <w:tcW w:w="2578" w:type="dxa"/>
            <w:tcBorders>
              <w:top w:val="single" w:sz="4" w:space="0" w:color="auto"/>
            </w:tcBorders>
          </w:tcPr>
          <w:p w:rsidR="00A612C8" w:rsidRPr="00B90C66" w:rsidRDefault="00A612C8" w:rsidP="00A612C8">
            <w:pPr>
              <w:tabs>
                <w:tab w:val="left" w:pos="720"/>
                <w:tab w:val="left" w:pos="1440"/>
                <w:tab w:val="left" w:pos="9240"/>
              </w:tabs>
            </w:pPr>
            <w:r w:rsidRPr="00B90C66">
              <w:t>Aug. 1981-Oct. 1982</w:t>
            </w:r>
          </w:p>
        </w:tc>
      </w:tr>
      <w:tr w:rsidR="00A612C8" w:rsidRPr="00B90C66" w:rsidTr="00774C6D">
        <w:tc>
          <w:tcPr>
            <w:tcW w:w="0" w:type="auto"/>
          </w:tcPr>
          <w:p w:rsidR="00A612C8" w:rsidRPr="00B90C66" w:rsidRDefault="00A612C8" w:rsidP="00A612C8">
            <w:pPr>
              <w:tabs>
                <w:tab w:val="left" w:pos="720"/>
                <w:tab w:val="left" w:pos="1440"/>
                <w:tab w:val="left" w:pos="9240"/>
              </w:tabs>
            </w:pPr>
            <w:r w:rsidRPr="00B90C66">
              <w:t>1982-1991</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Nov. 1982-July 1990</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A612C8">
            <w:pPr>
              <w:tabs>
                <w:tab w:val="left" w:pos="720"/>
                <w:tab w:val="left" w:pos="1440"/>
                <w:tab w:val="left" w:pos="9240"/>
              </w:tabs>
            </w:pPr>
            <w:r w:rsidRPr="00B90C66">
              <w:t>Aug. 1990-Mar. 1991</w:t>
            </w:r>
          </w:p>
        </w:tc>
      </w:tr>
      <w:tr w:rsidR="00A612C8" w:rsidRPr="00B90C66" w:rsidTr="00774C6D">
        <w:tc>
          <w:tcPr>
            <w:tcW w:w="0" w:type="auto"/>
          </w:tcPr>
          <w:p w:rsidR="00A612C8" w:rsidRPr="00B90C66" w:rsidRDefault="00A612C8" w:rsidP="00A612C8">
            <w:pPr>
              <w:tabs>
                <w:tab w:val="left" w:pos="720"/>
                <w:tab w:val="left" w:pos="1440"/>
                <w:tab w:val="left" w:pos="9240"/>
              </w:tabs>
            </w:pPr>
            <w:r w:rsidRPr="00B90C66">
              <w:t>1991-2001</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Apr. 1991-Mar. 2001</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A612C8">
            <w:pPr>
              <w:tabs>
                <w:tab w:val="left" w:pos="720"/>
                <w:tab w:val="left" w:pos="1440"/>
                <w:tab w:val="left" w:pos="9240"/>
              </w:tabs>
            </w:pPr>
            <w:r w:rsidRPr="00B90C66">
              <w:t>Apr. 2001-Nov. 2001</w:t>
            </w:r>
          </w:p>
        </w:tc>
      </w:tr>
      <w:tr w:rsidR="00A612C8" w:rsidRPr="00B90C66" w:rsidTr="00774C6D">
        <w:trPr>
          <w:trHeight w:val="243"/>
        </w:trPr>
        <w:tc>
          <w:tcPr>
            <w:tcW w:w="0" w:type="auto"/>
          </w:tcPr>
          <w:p w:rsidR="00A612C8" w:rsidRPr="00B90C66" w:rsidRDefault="00774C6D" w:rsidP="00A612C8">
            <w:pPr>
              <w:tabs>
                <w:tab w:val="left" w:pos="720"/>
                <w:tab w:val="left" w:pos="1440"/>
                <w:tab w:val="left" w:pos="9240"/>
              </w:tabs>
            </w:pPr>
            <w:r>
              <w:t>2001-2009</w:t>
            </w:r>
          </w:p>
        </w:tc>
        <w:tc>
          <w:tcPr>
            <w:tcW w:w="0" w:type="auto"/>
          </w:tcPr>
          <w:p w:rsidR="00A612C8" w:rsidRPr="00B90C66" w:rsidRDefault="00A612C8" w:rsidP="00A612C8">
            <w:pPr>
              <w:tabs>
                <w:tab w:val="left" w:pos="720"/>
                <w:tab w:val="left" w:pos="1440"/>
                <w:tab w:val="left" w:pos="9240"/>
              </w:tabs>
            </w:pPr>
          </w:p>
        </w:tc>
        <w:tc>
          <w:tcPr>
            <w:tcW w:w="0" w:type="auto"/>
          </w:tcPr>
          <w:p w:rsidR="00A612C8" w:rsidRPr="00B90C66" w:rsidRDefault="00A612C8" w:rsidP="00A612C8">
            <w:pPr>
              <w:tabs>
                <w:tab w:val="left" w:pos="720"/>
                <w:tab w:val="left" w:pos="1440"/>
                <w:tab w:val="left" w:pos="9240"/>
              </w:tabs>
            </w:pPr>
            <w:r w:rsidRPr="00B90C66">
              <w:t>Dec. 2001-Nov. 2007</w:t>
            </w:r>
          </w:p>
        </w:tc>
        <w:tc>
          <w:tcPr>
            <w:tcW w:w="0" w:type="auto"/>
          </w:tcPr>
          <w:p w:rsidR="00A612C8" w:rsidRPr="00B90C66" w:rsidRDefault="00A612C8" w:rsidP="00A612C8">
            <w:pPr>
              <w:tabs>
                <w:tab w:val="left" w:pos="720"/>
                <w:tab w:val="left" w:pos="1440"/>
                <w:tab w:val="left" w:pos="9240"/>
              </w:tabs>
            </w:pPr>
          </w:p>
        </w:tc>
        <w:tc>
          <w:tcPr>
            <w:tcW w:w="2578" w:type="dxa"/>
          </w:tcPr>
          <w:p w:rsidR="00A612C8" w:rsidRPr="00B90C66" w:rsidRDefault="00A612C8" w:rsidP="00774C6D">
            <w:pPr>
              <w:tabs>
                <w:tab w:val="left" w:pos="720"/>
                <w:tab w:val="left" w:pos="1440"/>
                <w:tab w:val="left" w:pos="9240"/>
              </w:tabs>
            </w:pPr>
            <w:r w:rsidRPr="00B90C66">
              <w:t>Dec. 2007-</w:t>
            </w:r>
            <w:r w:rsidR="00774C6D">
              <w:t>Aug. 2009</w:t>
            </w:r>
          </w:p>
        </w:tc>
      </w:tr>
    </w:tbl>
    <w:p w:rsidR="00A612C8" w:rsidRPr="00B90C66" w:rsidRDefault="00A612C8" w:rsidP="00A612C8">
      <w:pPr>
        <w:tabs>
          <w:tab w:val="left" w:pos="720"/>
          <w:tab w:val="left" w:pos="1440"/>
          <w:tab w:val="left" w:pos="9240"/>
        </w:tabs>
        <w:spacing w:line="360" w:lineRule="auto"/>
      </w:pPr>
    </w:p>
    <w:p w:rsidR="00A612C8" w:rsidRPr="00B90C66" w:rsidRDefault="00A612C8" w:rsidP="00A612C8">
      <w:pPr>
        <w:tabs>
          <w:tab w:val="left" w:pos="720"/>
          <w:tab w:val="left" w:pos="1440"/>
          <w:tab w:val="left" w:pos="9240"/>
        </w:tabs>
        <w:spacing w:line="360" w:lineRule="auto"/>
      </w:pPr>
    </w:p>
    <w:p w:rsidR="00A612C8" w:rsidRDefault="00A612C8" w:rsidP="00A612C8">
      <w:pPr>
        <w:tabs>
          <w:tab w:val="left" w:pos="720"/>
          <w:tab w:val="left" w:pos="1440"/>
          <w:tab w:val="left" w:pos="9240"/>
        </w:tabs>
        <w:spacing w:line="360" w:lineRule="auto"/>
      </w:pPr>
    </w:p>
    <w:p w:rsidR="00A612C8" w:rsidRDefault="00A612C8" w:rsidP="00A612C8">
      <w:pPr>
        <w:tabs>
          <w:tab w:val="left" w:pos="720"/>
          <w:tab w:val="left" w:pos="1440"/>
          <w:tab w:val="left" w:pos="9240"/>
        </w:tabs>
        <w:spacing w:line="360" w:lineRule="auto"/>
      </w:pPr>
    </w:p>
    <w:p w:rsidR="00A612C8" w:rsidRDefault="00A612C8" w:rsidP="00A612C8">
      <w:pPr>
        <w:pStyle w:val="TestimonyAnswer"/>
        <w:spacing w:after="0"/>
        <w:rPr>
          <w:sz w:val="20"/>
          <w:szCs w:val="20"/>
        </w:rPr>
      </w:pPr>
      <w:r w:rsidRPr="00B90C66">
        <w:rPr>
          <w:sz w:val="20"/>
          <w:szCs w:val="20"/>
        </w:rPr>
        <w:tab/>
        <w:t>Source: National Bureau of Economic, Research, “Business Cycle Expansions and Contractions.”</w:t>
      </w:r>
    </w:p>
    <w:p w:rsidR="00B41296" w:rsidRDefault="00B41296" w:rsidP="00413B15">
      <w:pPr>
        <w:pStyle w:val="TestimonyQuestion"/>
        <w:spacing w:before="0"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t>D</w:t>
      </w:r>
      <w:r w:rsidRPr="00B90C66">
        <w:rPr>
          <w:caps w:val="0"/>
        </w:rPr>
        <w:t>o you have any general observations concerning the recent trends in economic conditions and their impact on capital costs over this broad period?</w:t>
      </w:r>
    </w:p>
    <w:p w:rsidR="00A612C8" w:rsidRDefault="00A612C8" w:rsidP="00413B15">
      <w:pPr>
        <w:pStyle w:val="TestimonyAnswer"/>
        <w:tabs>
          <w:tab w:val="left" w:pos="1440"/>
        </w:tabs>
        <w:spacing w:after="0" w:line="480" w:lineRule="auto"/>
        <w:jc w:val="left"/>
      </w:pPr>
      <w:r w:rsidRPr="00B90C66">
        <w:t>A.</w:t>
      </w:r>
      <w:r w:rsidRPr="00B90C66">
        <w:tab/>
        <w:t xml:space="preserve">Yes, I do.  As I will describe below, until </w:t>
      </w:r>
      <w:r>
        <w:t>the end of 2007,</w:t>
      </w:r>
      <w:r w:rsidRPr="00B90C66">
        <w:t xml:space="preserve"> the U.S. economy </w:t>
      </w:r>
      <w:r>
        <w:t xml:space="preserve">had </w:t>
      </w:r>
      <w:r w:rsidRPr="00B90C66">
        <w:t>enjoyed general prosperity and stability over the period since the early 1980s.  This period ha</w:t>
      </w:r>
      <w:r>
        <w:t>d</w:t>
      </w:r>
      <w:r w:rsidRPr="00B90C66">
        <w:t xml:space="preserve"> been characterized by longer economic expansions, relatively tame contractions, relatively low and declining inflation, and declining interest rates and other capital costs.  </w:t>
      </w:r>
    </w:p>
    <w:p w:rsidR="005911A7" w:rsidRDefault="00A612C8" w:rsidP="00413B15">
      <w:pPr>
        <w:pStyle w:val="TestimonyAnswer"/>
        <w:tabs>
          <w:tab w:val="left" w:pos="1440"/>
        </w:tabs>
        <w:spacing w:after="0" w:line="480" w:lineRule="auto"/>
        <w:jc w:val="left"/>
      </w:pPr>
      <w:r>
        <w:tab/>
      </w:r>
      <w:r w:rsidRPr="00B90C66">
        <w:tab/>
        <w:t xml:space="preserve">Over the past two years, on the other hand, the economy </w:t>
      </w:r>
      <w:r>
        <w:t>declined</w:t>
      </w:r>
      <w:r w:rsidRPr="00B90C66">
        <w:t xml:space="preserve"> significantly, initially as a result of the 2007 collapse of the “sub-prime” mortgage market and </w:t>
      </w:r>
      <w:r w:rsidR="009864AC">
        <w:t xml:space="preserve">the </w:t>
      </w:r>
      <w:r w:rsidRPr="00B90C66">
        <w:t xml:space="preserve">related liquidity crises in the financial sector of the economy.  </w:t>
      </w:r>
      <w:r w:rsidRPr="00B90C66">
        <w:lastRenderedPageBreak/>
        <w:t>Subsequently</w:t>
      </w:r>
      <w:r w:rsidR="009864AC">
        <w:t>,</w:t>
      </w:r>
      <w:r w:rsidRPr="00B90C66">
        <w:t xml:space="preserve"> this financial crisis intensified with a more broad-based decline</w:t>
      </w:r>
      <w:r>
        <w:t>,</w:t>
      </w:r>
      <w:r w:rsidRPr="00B90C66">
        <w:t xml:space="preserve"> initially based on a </w:t>
      </w:r>
      <w:r>
        <w:t xml:space="preserve">substantial </w:t>
      </w:r>
      <w:r w:rsidRPr="00B90C66">
        <w:t>increase in petroleum prices and a</w:t>
      </w:r>
      <w:r>
        <w:t xml:space="preserve"> dramatic</w:t>
      </w:r>
      <w:r w:rsidRPr="00B90C66">
        <w:t xml:space="preserve"> decline in the U.S. financial sector</w:t>
      </w:r>
      <w:r>
        <w:t>,</w:t>
      </w:r>
      <w:r w:rsidRPr="00B90C66">
        <w:t xml:space="preserve"> culminating with the collapse and/or bailouts of a </w:t>
      </w:r>
      <w:r>
        <w:t>significant</w:t>
      </w:r>
      <w:r w:rsidRPr="00B90C66">
        <w:t xml:space="preserve"> number of </w:t>
      </w:r>
      <w:r>
        <w:t>venerable</w:t>
      </w:r>
      <w:r w:rsidRPr="00B90C66">
        <w:t xml:space="preserve"> institutions such as Bear Stearns, Lehman Brothers, Merrill Lynch, Freddie Mac, Fannie Mae, AIG and Wachovia.  </w:t>
      </w:r>
      <w:r>
        <w:t xml:space="preserve">The recession also witnessed the demise of national entities, such as Circuit City, and the declared bankruptcy of automotive manufacturers, such as Chrysler and General Motors.  </w:t>
      </w:r>
    </w:p>
    <w:p w:rsidR="005911A7" w:rsidRDefault="005911A7" w:rsidP="00413B15">
      <w:pPr>
        <w:pStyle w:val="TestimonyAnswer"/>
        <w:tabs>
          <w:tab w:val="left" w:pos="1440"/>
        </w:tabs>
        <w:spacing w:after="0" w:line="480" w:lineRule="auto"/>
        <w:jc w:val="left"/>
      </w:pPr>
      <w:r>
        <w:tab/>
      </w:r>
      <w:r>
        <w:tab/>
      </w:r>
      <w:r w:rsidR="00A612C8" w:rsidRPr="00B90C66">
        <w:t xml:space="preserve">This </w:t>
      </w:r>
      <w:r w:rsidR="00774C6D">
        <w:t>decline</w:t>
      </w:r>
      <w:r w:rsidR="00A612C8" w:rsidRPr="00B90C66">
        <w:t xml:space="preserve"> has been described as the worst financial crisis since the Great Depression</w:t>
      </w:r>
      <w:r w:rsidR="00774C6D">
        <w:t xml:space="preserve"> and has been referred to as the “Great Recession”</w:t>
      </w:r>
      <w:r w:rsidR="00A612C8" w:rsidRPr="00B90C66">
        <w:t xml:space="preserve">.  The U.S. </w:t>
      </w:r>
      <w:r w:rsidR="00A612C8">
        <w:t xml:space="preserve">and other </w:t>
      </w:r>
      <w:r w:rsidR="00A612C8" w:rsidRPr="00B90C66">
        <w:t>government</w:t>
      </w:r>
      <w:r w:rsidR="00A612C8">
        <w:t>s</w:t>
      </w:r>
      <w:r w:rsidR="00A612C8" w:rsidRPr="00B90C66">
        <w:t xml:space="preserve"> </w:t>
      </w:r>
      <w:r w:rsidR="00A612C8">
        <w:t>are</w:t>
      </w:r>
      <w:r w:rsidR="00A612C8" w:rsidRPr="00B90C66">
        <w:t xml:space="preserve"> in the process of implementing unprecedented actions to attempt to correct or minimize its scope and effects.  </w:t>
      </w:r>
    </w:p>
    <w:p w:rsidR="00A612C8" w:rsidRPr="00B90C66" w:rsidRDefault="005911A7" w:rsidP="00413B15">
      <w:pPr>
        <w:pStyle w:val="TestimonyAnswer"/>
        <w:tabs>
          <w:tab w:val="left" w:pos="1440"/>
        </w:tabs>
        <w:spacing w:after="0" w:line="480" w:lineRule="auto"/>
        <w:jc w:val="left"/>
      </w:pPr>
      <w:r>
        <w:tab/>
      </w:r>
      <w:r>
        <w:tab/>
      </w:r>
      <w:r w:rsidR="00774C6D">
        <w:t>It appears that the recession has reached its low point and that the economy has begun to expand again.  However, the length and severity of the recession, as well as an anticipated relatively slow recovery, implies that the impacts of the recession will be felt for an extended period of time.</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Please describe recent and current economic and financial conditions and their impact on the costs of capital.</w:t>
      </w:r>
    </w:p>
    <w:p w:rsidR="005911A7" w:rsidRDefault="00A612C8" w:rsidP="00413B15">
      <w:pPr>
        <w:pStyle w:val="TestimonyAnswer"/>
        <w:tabs>
          <w:tab w:val="left" w:pos="1440"/>
        </w:tabs>
        <w:spacing w:after="0" w:line="480" w:lineRule="auto"/>
        <w:jc w:val="left"/>
      </w:pPr>
      <w:r w:rsidRPr="00B90C66">
        <w:t>A.</w:t>
      </w:r>
      <w:r w:rsidRPr="00B90C66">
        <w:tab/>
      </w:r>
      <w:r w:rsidR="005911A7">
        <w:t>My Exhibit No.</w:t>
      </w:r>
      <w:r w:rsidR="005E407C">
        <w:t xml:space="preserve"> DCP-4</w:t>
      </w:r>
      <w:r w:rsidR="005911A7">
        <w:t xml:space="preserve"> </w:t>
      </w:r>
      <w:r w:rsidRPr="00B90C66">
        <w:t xml:space="preserve">shows several sets of </w:t>
      </w:r>
      <w:r w:rsidR="003B0114">
        <w:t xml:space="preserve">relevant </w:t>
      </w:r>
      <w:r w:rsidRPr="00B90C66">
        <w:t>economic data</w:t>
      </w:r>
      <w:r w:rsidR="005D12A4">
        <w:t xml:space="preserve"> for the </w:t>
      </w:r>
      <w:r w:rsidR="000B5980">
        <w:t>time period</w:t>
      </w:r>
      <w:r w:rsidR="000E71DC">
        <w:t>:</w:t>
      </w:r>
      <w:r w:rsidR="008A6603">
        <w:t xml:space="preserve"> </w:t>
      </w:r>
      <w:r w:rsidR="00924A36">
        <w:t xml:space="preserve"> </w:t>
      </w:r>
      <w:r w:rsidR="000B5980">
        <w:t>p</w:t>
      </w:r>
      <w:r w:rsidRPr="00B90C66">
        <w:t>ages 1 and 2 contain general macroeconomic statistics</w:t>
      </w:r>
      <w:r>
        <w:t>; pages 3 and 4 show interest rates; and</w:t>
      </w:r>
      <w:r w:rsidRPr="00B90C66">
        <w:t xml:space="preserve"> pages </w:t>
      </w:r>
      <w:r>
        <w:t>5</w:t>
      </w:r>
      <w:r w:rsidRPr="00B90C66">
        <w:t xml:space="preserve"> </w:t>
      </w:r>
      <w:r>
        <w:t>and</w:t>
      </w:r>
      <w:r w:rsidRPr="00B90C66">
        <w:t xml:space="preserve"> 6 contain financial market statistics.  </w:t>
      </w:r>
    </w:p>
    <w:p w:rsidR="00A612C8" w:rsidRDefault="005911A7" w:rsidP="00413B15">
      <w:pPr>
        <w:pStyle w:val="TestimonyAnswer"/>
        <w:tabs>
          <w:tab w:val="left" w:pos="1440"/>
        </w:tabs>
        <w:spacing w:after="0" w:line="480" w:lineRule="auto"/>
        <w:jc w:val="left"/>
      </w:pPr>
      <w:r>
        <w:tab/>
      </w:r>
      <w:r>
        <w:tab/>
      </w:r>
      <w:r w:rsidR="00A612C8" w:rsidRPr="00B90C66">
        <w:t xml:space="preserve">Pages 1 and 2 show that the U.S. economy ended 2007 as the sixth year of an economic expansion </w:t>
      </w:r>
      <w:r w:rsidR="00731854">
        <w:t>but</w:t>
      </w:r>
      <w:r w:rsidR="00A612C8" w:rsidRPr="00B90C66">
        <w:t>, as indicated previously,</w:t>
      </w:r>
      <w:r w:rsidR="00A612C8">
        <w:t xml:space="preserve"> it </w:t>
      </w:r>
      <w:r w:rsidR="00A612C8" w:rsidRPr="00B90C66">
        <w:t xml:space="preserve">was then entering a decline.  This </w:t>
      </w:r>
      <w:r w:rsidR="00A612C8" w:rsidRPr="00B90C66">
        <w:lastRenderedPageBreak/>
        <w:t>is indicated by the growth in real (</w:t>
      </w:r>
      <w:r w:rsidR="009864AC" w:rsidRPr="009864AC">
        <w:t>i.e.</w:t>
      </w:r>
      <w:r w:rsidR="00A612C8" w:rsidRPr="00B90C66">
        <w:t>, adjusted for inflation) Gross Domestic Product (“GDP”), industrial production, and the increase in the unemployment rate</w:t>
      </w:r>
      <w:r w:rsidR="00A612C8">
        <w:t xml:space="preserve">, which currently </w:t>
      </w:r>
      <w:r w:rsidR="0001444C">
        <w:t>exceeds</w:t>
      </w:r>
      <w:r w:rsidR="00774C6D">
        <w:t xml:space="preserve"> </w:t>
      </w:r>
      <w:r w:rsidR="00A612C8">
        <w:t>10 percent on a national basis</w:t>
      </w:r>
      <w:r w:rsidR="00A612C8" w:rsidRPr="00B90C66">
        <w:t>.</w:t>
      </w:r>
    </w:p>
    <w:p w:rsidR="00A612C8" w:rsidRDefault="00A612C8" w:rsidP="00413B15">
      <w:pPr>
        <w:pStyle w:val="TestimonyAnswer"/>
        <w:tabs>
          <w:tab w:val="left" w:pos="1440"/>
        </w:tabs>
        <w:spacing w:after="0" w:line="480" w:lineRule="auto"/>
        <w:jc w:val="left"/>
      </w:pPr>
      <w:r w:rsidRPr="00B90C66">
        <w:t xml:space="preserve">  </w:t>
      </w:r>
      <w:r>
        <w:tab/>
      </w:r>
      <w:r w:rsidRPr="00B90C66">
        <w:tab/>
        <w:t xml:space="preserve">The rate of inflation is also shown on pages 1 and 2.  As is reflected in the Consumer Price Index (“CPI”), for example, inflation rose significantly during the 1975-1982 business </w:t>
      </w:r>
      <w:proofErr w:type="gramStart"/>
      <w:r w:rsidRPr="00B90C66">
        <w:t>cycl</w:t>
      </w:r>
      <w:r w:rsidR="008816CA">
        <w:t>e</w:t>
      </w:r>
      <w:proofErr w:type="gramEnd"/>
      <w:r w:rsidRPr="00B90C66">
        <w:t xml:space="preserve"> and reached double-digit levels in 1979-1980.  The rate of inflation declined substantially in 1981</w:t>
      </w:r>
      <w:r w:rsidR="005911A7">
        <w:t>,</w:t>
      </w:r>
      <w:r w:rsidRPr="00B90C66">
        <w:t xml:space="preserve"> and remained at or below 6.1 percent during the 1983-1991 business </w:t>
      </w:r>
      <w:proofErr w:type="gramStart"/>
      <w:r w:rsidRPr="00B90C66">
        <w:t>cycle</w:t>
      </w:r>
      <w:proofErr w:type="gramEnd"/>
      <w:r w:rsidRPr="00B90C66">
        <w:t xml:space="preserve">.  Since 1991, the CPI has been 4.1 percent or lower.  The 0.1 percent rate of inflation in 2008 was the lowest level of the past thirty years.  This is indicative of virtually no inflation, which </w:t>
      </w:r>
      <w:r w:rsidR="00774C6D">
        <w:t>is</w:t>
      </w:r>
      <w:r w:rsidRPr="00B90C66">
        <w:t xml:space="preserve"> reflective of lower capital costs.</w:t>
      </w:r>
    </w:p>
    <w:p w:rsidR="004A3F74" w:rsidRDefault="004A3F74"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What have been the trends in interest rates</w:t>
      </w:r>
      <w:r w:rsidR="003B0114">
        <w:rPr>
          <w:caps w:val="0"/>
        </w:rPr>
        <w:t xml:space="preserve"> over this time </w:t>
      </w:r>
      <w:r w:rsidR="000B5980">
        <w:rPr>
          <w:caps w:val="0"/>
        </w:rPr>
        <w:t>period</w:t>
      </w:r>
      <w:r w:rsidRPr="00B90C66">
        <w:rPr>
          <w:caps w:val="0"/>
        </w:rPr>
        <w:t>?</w:t>
      </w:r>
    </w:p>
    <w:p w:rsidR="00A612C8" w:rsidRDefault="00A612C8" w:rsidP="00413B15">
      <w:pPr>
        <w:pStyle w:val="TestimonyAnswer"/>
        <w:tabs>
          <w:tab w:val="left" w:pos="1440"/>
        </w:tabs>
        <w:spacing w:after="0" w:line="480" w:lineRule="auto"/>
        <w:jc w:val="left"/>
      </w:pPr>
      <w:r w:rsidRPr="00B90C66">
        <w:t>A.</w:t>
      </w:r>
      <w:r w:rsidRPr="00B90C66">
        <w:tab/>
        <w:t xml:space="preserve">Pages 3 and 4 show several series of interest rates.  Rates rose sharply to record levels in 1975-1981 when the inflation rate was high and generally rising.  Interest rates declined substantially in conjunction with inflation rates </w:t>
      </w:r>
      <w:r w:rsidR="00774C6D">
        <w:t>during</w:t>
      </w:r>
      <w:r w:rsidR="00774C6D" w:rsidRPr="00B90C66">
        <w:t xml:space="preserve"> </w:t>
      </w:r>
      <w:r w:rsidRPr="00B90C66">
        <w:t>the remainder of the 1980s and throughout the 1990s.  Interest rates declined even further from 2000-2005 and generally recorded their lowest levels since the 1960s.</w:t>
      </w:r>
    </w:p>
    <w:p w:rsidR="005911A7" w:rsidRDefault="00A612C8" w:rsidP="00413B15">
      <w:pPr>
        <w:pStyle w:val="TestimonyAnswer"/>
        <w:tabs>
          <w:tab w:val="left" w:pos="1440"/>
        </w:tabs>
        <w:spacing w:after="0" w:line="480" w:lineRule="auto"/>
        <w:jc w:val="left"/>
      </w:pPr>
      <w:r>
        <w:tab/>
      </w:r>
      <w:r w:rsidRPr="00B90C66">
        <w:tab/>
        <w:t>During the past several years and up until the lat</w:t>
      </w:r>
      <w:r w:rsidR="00A36584">
        <w:t>t</w:t>
      </w:r>
      <w:r w:rsidRPr="00B90C66">
        <w:t>er half of 2008, long-term interest rates remain</w:t>
      </w:r>
      <w:r>
        <w:t>ed</w:t>
      </w:r>
      <w:r w:rsidRPr="00B90C66">
        <w:t xml:space="preserve"> low by historic standards.  Most recently, the Federal Reserve has lowered the Federal Funds rate (</w:t>
      </w:r>
      <w:r w:rsidR="009864AC" w:rsidRPr="009864AC">
        <w:t>i.e.</w:t>
      </w:r>
      <w:r w:rsidRPr="00B90C66">
        <w:t>, short-term rate) on several occasions</w:t>
      </w:r>
      <w:r>
        <w:t xml:space="preserve">; </w:t>
      </w:r>
      <w:r w:rsidRPr="00B90C66">
        <w:t xml:space="preserve">currently </w:t>
      </w:r>
      <w:r>
        <w:t xml:space="preserve">it is </w:t>
      </w:r>
      <w:r w:rsidRPr="00B90C66">
        <w:t xml:space="preserve">0.25 percent, an all-time low.  The </w:t>
      </w:r>
      <w:r>
        <w:t>fourth quarter of</w:t>
      </w:r>
      <w:r w:rsidRPr="00B90C66">
        <w:t xml:space="preserve"> 2008 </w:t>
      </w:r>
      <w:r w:rsidR="00230984">
        <w:t xml:space="preserve">and first quarter of 2009 </w:t>
      </w:r>
      <w:r w:rsidRPr="00B90C66">
        <w:t xml:space="preserve">experienced a pronounced decline in short-term rates and long-term U.S. Treasury Securities yields and an increase in </w:t>
      </w:r>
      <w:r>
        <w:t>corporate</w:t>
      </w:r>
      <w:r w:rsidRPr="00B90C66">
        <w:t xml:space="preserve"> bond yields</w:t>
      </w:r>
      <w:r>
        <w:t xml:space="preserve">, creating a </w:t>
      </w:r>
      <w:r>
        <w:lastRenderedPageBreak/>
        <w:t>“spread” between government and corporate bond yields unprecedented in recent financial history</w:t>
      </w:r>
      <w:r w:rsidRPr="00B90C66">
        <w:t>.</w:t>
      </w:r>
      <w:r>
        <w:t xml:space="preserve">  This reflects the “flight to safety” </w:t>
      </w:r>
      <w:r w:rsidR="005911A7">
        <w:t>I have mentioned</w:t>
      </w:r>
      <w:r>
        <w:t>.</w:t>
      </w:r>
      <w:r w:rsidR="00230984">
        <w:t xml:space="preserve">  </w:t>
      </w:r>
      <w:r w:rsidR="00EB5BBE">
        <w:t xml:space="preserve"> </w:t>
      </w:r>
    </w:p>
    <w:p w:rsidR="00A612C8" w:rsidRDefault="005911A7" w:rsidP="00413B15">
      <w:pPr>
        <w:pStyle w:val="TestimonyAnswer"/>
        <w:tabs>
          <w:tab w:val="left" w:pos="1440"/>
        </w:tabs>
        <w:spacing w:after="0" w:line="480" w:lineRule="auto"/>
        <w:jc w:val="left"/>
      </w:pPr>
      <w:r>
        <w:tab/>
      </w:r>
      <w:r>
        <w:tab/>
        <w:t xml:space="preserve">On the other hand, </w:t>
      </w:r>
      <w:r w:rsidR="00EB5BBE">
        <w:t>I n</w:t>
      </w:r>
      <w:r w:rsidR="00230984">
        <w:t>ote</w:t>
      </w:r>
      <w:r>
        <w:t xml:space="preserve"> </w:t>
      </w:r>
      <w:r w:rsidR="003B0114">
        <w:t xml:space="preserve">that </w:t>
      </w:r>
      <w:r w:rsidR="00EB5BBE">
        <w:t xml:space="preserve">stock prices have improved and there has been a tightening in spreads between </w:t>
      </w:r>
      <w:r w:rsidR="00DB196E">
        <w:t xml:space="preserve">corporate </w:t>
      </w:r>
      <w:proofErr w:type="gramStart"/>
      <w:r w:rsidR="00DB196E">
        <w:t>debt</w:t>
      </w:r>
      <w:proofErr w:type="gramEnd"/>
      <w:r w:rsidR="00230984">
        <w:t xml:space="preserve"> vs. U</w:t>
      </w:r>
      <w:r>
        <w:t>.</w:t>
      </w:r>
      <w:r w:rsidR="00230984">
        <w:t>S</w:t>
      </w:r>
      <w:r>
        <w:t>.</w:t>
      </w:r>
      <w:r w:rsidR="00230984">
        <w:t xml:space="preserve"> Treasury debt.</w:t>
      </w:r>
      <w:r w:rsidR="004A3F74">
        <w:t xml:space="preserve">  In fact, as noted above, long-term utility bond yields are about 100 basis points lower than they were prior to the financial crisis and at the time of PSE’s last rate case.</w:t>
      </w:r>
      <w:r w:rsidR="00F254E8">
        <w:t xml:space="preserve">  As evidence of this PSE sold 30-year bonds at a rate of 5.757 percent, which is well below the interest rates that prevailed several months ago.</w:t>
      </w:r>
    </w:p>
    <w:p w:rsidR="00A612C8" w:rsidRPr="00B90C66" w:rsidRDefault="00A612C8" w:rsidP="00413B15">
      <w:pPr>
        <w:pStyle w:val="TestimonyAnswer"/>
        <w:tabs>
          <w:tab w:val="left" w:pos="1440"/>
        </w:tabs>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 xml:space="preserve">What </w:t>
      </w:r>
      <w:r w:rsidR="005911A7">
        <w:rPr>
          <w:caps w:val="0"/>
        </w:rPr>
        <w:t xml:space="preserve">does this exhibit show for </w:t>
      </w:r>
      <w:r w:rsidRPr="00B90C66">
        <w:rPr>
          <w:caps w:val="0"/>
        </w:rPr>
        <w:t>the trends in common share prices?</w:t>
      </w:r>
    </w:p>
    <w:p w:rsidR="00A612C8" w:rsidRPr="00B90C66" w:rsidRDefault="00A612C8" w:rsidP="00413B15">
      <w:pPr>
        <w:pStyle w:val="TestimonyAnswer"/>
        <w:tabs>
          <w:tab w:val="left" w:pos="1440"/>
        </w:tabs>
        <w:spacing w:after="0" w:line="480" w:lineRule="auto"/>
        <w:jc w:val="left"/>
      </w:pPr>
      <w:r w:rsidRPr="00B90C66">
        <w:t>A.</w:t>
      </w:r>
      <w:r w:rsidRPr="00B90C66">
        <w:tab/>
        <w:t xml:space="preserve">Pages 5 and 6 show several series of common stock prices and ratios.  These ratios indicate that share prices were essentially stagnant during the high inflation/interest rate environment of the late 1970s and early 1980s.  On the other hand, the 1983-1991 business </w:t>
      </w:r>
      <w:proofErr w:type="gramStart"/>
      <w:r w:rsidRPr="00B90C66">
        <w:t>cycle</w:t>
      </w:r>
      <w:proofErr w:type="gramEnd"/>
      <w:r w:rsidRPr="00B90C66">
        <w:t xml:space="preserve"> and the most recent cycle witnessed a significant upward trend in stock prices.  Since the beginning of the current financial crisis, on the other hand, stock prices declined precipitously and have been very volatile.  Stock prices in 2008 and early 2009 </w:t>
      </w:r>
      <w:r>
        <w:t>were</w:t>
      </w:r>
      <w:r w:rsidRPr="00B90C66">
        <w:t xml:space="preserve"> down significantly from 2007 levels, reflecting the financial/economic crises.</w:t>
      </w:r>
      <w:r>
        <w:t xml:space="preserve">  Beginning in the second quarter of 2009, prices have reco</w:t>
      </w:r>
      <w:r w:rsidR="00E67088">
        <w:t>vered somewhat but still remain</w:t>
      </w:r>
      <w:r>
        <w:t xml:space="preserve"> well below the levels prevailing prior to the current recession.</w:t>
      </w:r>
      <w:r w:rsidRPr="00B90C66">
        <w:t xml:space="preserve"> </w:t>
      </w:r>
    </w:p>
    <w:p w:rsidR="00A612C8" w:rsidRPr="00B90C66" w:rsidRDefault="00A612C8" w:rsidP="00413B15">
      <w:pPr>
        <w:pStyle w:val="TestimonyAnswer"/>
        <w:spacing w:after="0" w:line="480" w:lineRule="auto"/>
        <w:jc w:val="left"/>
      </w:pPr>
    </w:p>
    <w:p w:rsidR="00A612C8" w:rsidRPr="00B90C66" w:rsidRDefault="00A612C8" w:rsidP="00413B15">
      <w:pPr>
        <w:pStyle w:val="TestimonyQuestion"/>
        <w:spacing w:before="0" w:after="0" w:line="480" w:lineRule="auto"/>
        <w:jc w:val="left"/>
      </w:pPr>
      <w:r w:rsidRPr="00B90C66">
        <w:t>Q.</w:t>
      </w:r>
      <w:r w:rsidRPr="00B90C66">
        <w:tab/>
      </w:r>
      <w:r w:rsidRPr="00B90C66">
        <w:rPr>
          <w:caps w:val="0"/>
        </w:rPr>
        <w:t xml:space="preserve">What conclusions </w:t>
      </w:r>
      <w:r w:rsidR="005911A7">
        <w:rPr>
          <w:caps w:val="0"/>
        </w:rPr>
        <w:t xml:space="preserve">should the Commission </w:t>
      </w:r>
      <w:r w:rsidRPr="00B90C66">
        <w:rPr>
          <w:caps w:val="0"/>
        </w:rPr>
        <w:t>draw from your discussion of economic and financial conditions</w:t>
      </w:r>
      <w:r w:rsidR="000B5980">
        <w:rPr>
          <w:caps w:val="0"/>
        </w:rPr>
        <w:t xml:space="preserve"> depicted in your data</w:t>
      </w:r>
      <w:r w:rsidRPr="00B90C66">
        <w:rPr>
          <w:caps w:val="0"/>
        </w:rPr>
        <w:t>?</w:t>
      </w:r>
    </w:p>
    <w:p w:rsidR="00A612C8" w:rsidRDefault="00A612C8" w:rsidP="00413B15">
      <w:pPr>
        <w:tabs>
          <w:tab w:val="left" w:pos="720"/>
          <w:tab w:val="left" w:pos="1440"/>
        </w:tabs>
        <w:spacing w:line="480" w:lineRule="auto"/>
        <w:ind w:left="720" w:hanging="720"/>
      </w:pPr>
      <w:r w:rsidRPr="00B90C66">
        <w:lastRenderedPageBreak/>
        <w:t>A.</w:t>
      </w:r>
      <w:r w:rsidRPr="00B90C66">
        <w:tab/>
        <w:t>It is apparent that recent economic</w:t>
      </w:r>
      <w:r w:rsidR="005911A7">
        <w:t xml:space="preserve"> and</w:t>
      </w:r>
      <w:r w:rsidR="00E953E1">
        <w:t>/or</w:t>
      </w:r>
      <w:r w:rsidR="005911A7">
        <w:t xml:space="preserve"> </w:t>
      </w:r>
      <w:r w:rsidRPr="00B90C66">
        <w:t xml:space="preserve">financial circumstances </w:t>
      </w:r>
      <w:r w:rsidR="00774C6D">
        <w:t>have been</w:t>
      </w:r>
      <w:r w:rsidR="00774C6D" w:rsidRPr="00B90C66">
        <w:t xml:space="preserve"> </w:t>
      </w:r>
      <w:r w:rsidRPr="00B90C66">
        <w:t>radically different from any that have prevailed since at least the 1930s. The recent deterioration in stock prices and the decline in U.S. Treasury bond yields</w:t>
      </w:r>
      <w:r w:rsidR="005911A7">
        <w:t>,</w:t>
      </w:r>
      <w:r w:rsidRPr="00B90C66">
        <w:t xml:space="preserve"> and </w:t>
      </w:r>
      <w:r w:rsidR="005911A7">
        <w:t xml:space="preserve">the </w:t>
      </w:r>
      <w:r w:rsidRPr="00B90C66">
        <w:t>increase in corporate bond yields reflect</w:t>
      </w:r>
      <w:r w:rsidR="00230984">
        <w:t>ed</w:t>
      </w:r>
      <w:r w:rsidRPr="00B90C66">
        <w:t xml:space="preserve"> </w:t>
      </w:r>
      <w:r w:rsidR="005E13FE">
        <w:t xml:space="preserve">in </w:t>
      </w:r>
      <w:r w:rsidRPr="00B90C66">
        <w:t xml:space="preserve">the “flight to </w:t>
      </w:r>
      <w:r>
        <w:t>safety</w:t>
      </w:r>
      <w:r w:rsidR="005911A7">
        <w:t>,</w:t>
      </w:r>
      <w:r w:rsidRPr="00B90C66">
        <w:t>”</w:t>
      </w:r>
      <w:r w:rsidR="00230984">
        <w:t xml:space="preserve"> </w:t>
      </w:r>
      <w:r w:rsidRPr="00B90C66">
        <w:t>describe</w:t>
      </w:r>
      <w:r w:rsidR="004A3F74">
        <w:t>d</w:t>
      </w:r>
      <w:r w:rsidRPr="00B90C66">
        <w:t xml:space="preserve"> the </w:t>
      </w:r>
      <w:r w:rsidR="004A3F74">
        <w:t xml:space="preserve">temporary </w:t>
      </w:r>
      <w:r w:rsidRPr="00B90C66">
        <w:t xml:space="preserve">reluctance of investors to purchase common stocks and corporate bonds while moving </w:t>
      </w:r>
      <w:r w:rsidR="005911A7">
        <w:t>their money</w:t>
      </w:r>
      <w:r w:rsidRPr="00B90C66">
        <w:t xml:space="preserve"> into very safe government bonds.</w:t>
      </w:r>
      <w:r>
        <w:t xml:space="preserve">  </w:t>
      </w:r>
      <w:r w:rsidR="005911A7">
        <w:t>On t</w:t>
      </w:r>
      <w:r w:rsidR="00230984">
        <w:t>he other side of this flight to safety is</w:t>
      </w:r>
      <w:r>
        <w:t xml:space="preserve"> the negative perceptions of the recent decline, which has significantly reduced the value of most retirement accounts, investment por</w:t>
      </w:r>
      <w:r w:rsidR="00230984">
        <w:t xml:space="preserve">tfolios and other assets; </w:t>
      </w:r>
      <w:r w:rsidR="009864AC" w:rsidRPr="009864AC">
        <w:t>i.e.</w:t>
      </w:r>
      <w:r w:rsidR="00230984">
        <w:t xml:space="preserve">, a decline in investor </w:t>
      </w:r>
      <w:r w:rsidR="00EB5BBE">
        <w:t>expectations</w:t>
      </w:r>
      <w:r w:rsidR="00230984">
        <w:t xml:space="preserve"> of returns, including stock returns.</w:t>
      </w:r>
      <w:r w:rsidR="004A3F74">
        <w:t xml:space="preserve">  Finally, as noted above, interest rates have recently declined to levels below those prevailing prior to the financial crisis of late 2008-early 2009.</w:t>
      </w:r>
    </w:p>
    <w:p w:rsidR="000B5980" w:rsidRDefault="000B5980" w:rsidP="00413B15">
      <w:pPr>
        <w:tabs>
          <w:tab w:val="left" w:pos="720"/>
          <w:tab w:val="left" w:pos="1440"/>
        </w:tabs>
        <w:spacing w:line="480" w:lineRule="auto"/>
        <w:ind w:left="720" w:hanging="720"/>
      </w:pPr>
    </w:p>
    <w:p w:rsidR="00230984" w:rsidRDefault="000B5980" w:rsidP="00413B15">
      <w:pPr>
        <w:tabs>
          <w:tab w:val="left" w:pos="720"/>
          <w:tab w:val="left" w:pos="1440"/>
        </w:tabs>
        <w:spacing w:line="480" w:lineRule="auto"/>
        <w:ind w:left="720" w:hanging="720"/>
        <w:rPr>
          <w:b/>
        </w:rPr>
      </w:pPr>
      <w:r w:rsidRPr="00230984">
        <w:rPr>
          <w:b/>
        </w:rPr>
        <w:t>Q.</w:t>
      </w:r>
      <w:r w:rsidRPr="00230984">
        <w:rPr>
          <w:b/>
        </w:rPr>
        <w:tab/>
        <w:t xml:space="preserve">Given the recent </w:t>
      </w:r>
      <w:r w:rsidR="000E71DC" w:rsidRPr="00230984">
        <w:rPr>
          <w:b/>
        </w:rPr>
        <w:t>uncertainty</w:t>
      </w:r>
      <w:r w:rsidRPr="00230984">
        <w:rPr>
          <w:b/>
        </w:rPr>
        <w:t xml:space="preserve"> in the capital markets</w:t>
      </w:r>
      <w:r w:rsidR="00EB5BBE">
        <w:rPr>
          <w:b/>
        </w:rPr>
        <w:t>,</w:t>
      </w:r>
      <w:r w:rsidRPr="00230984">
        <w:rPr>
          <w:b/>
        </w:rPr>
        <w:t xml:space="preserve"> why isn’t it reasonable to conclude that the cost of capital for equities has increased?</w:t>
      </w:r>
    </w:p>
    <w:p w:rsidR="00A612C8" w:rsidRDefault="00230984" w:rsidP="00413B15">
      <w:pPr>
        <w:tabs>
          <w:tab w:val="left" w:pos="720"/>
          <w:tab w:val="left" w:pos="1440"/>
        </w:tabs>
        <w:spacing w:line="480" w:lineRule="auto"/>
        <w:ind w:left="720" w:hanging="720"/>
      </w:pPr>
      <w:r w:rsidRPr="00230984">
        <w:t>A.</w:t>
      </w:r>
      <w:r w:rsidR="00A612C8">
        <w:tab/>
      </w:r>
      <w:r w:rsidR="00A612C8" w:rsidRPr="00B90C66">
        <w:t>This “flight to safety” should not be interpreted to reflect an increase in the cost of capital.  Rather, it more properly reflects an “availability of capital” since investors</w:t>
      </w:r>
      <w:r w:rsidR="004C1FC3">
        <w:t>,</w:t>
      </w:r>
      <w:r w:rsidR="00774C6D">
        <w:t xml:space="preserve"> for a period</w:t>
      </w:r>
      <w:r w:rsidR="004C1FC3">
        <w:t>,</w:t>
      </w:r>
      <w:r w:rsidR="00774C6D">
        <w:t xml:space="preserve"> were</w:t>
      </w:r>
      <w:r w:rsidR="00A612C8" w:rsidRPr="00B90C66">
        <w:t xml:space="preserve"> unwilling to invest in any assets other than U.S. Treasury </w:t>
      </w:r>
      <w:r w:rsidR="00A612C8">
        <w:t>securities</w:t>
      </w:r>
      <w:r w:rsidR="00A612C8" w:rsidRPr="00B90C66">
        <w:t xml:space="preserve">.  As I noted previously, the opportunity cost of capital, as measured by the recent and current returns of unregulated firms, has been the lowest in recent memory.  Clearly, this cannot be claimed to reflect an increase in the cost of capital for a regulated firm such as </w:t>
      </w:r>
      <w:r w:rsidR="00B91BA3">
        <w:t>PSE</w:t>
      </w:r>
      <w:r w:rsidR="00A612C8" w:rsidRPr="00B90C66">
        <w:t>.</w:t>
      </w:r>
      <w:r w:rsidR="00DB196E">
        <w:t xml:space="preserve">  </w:t>
      </w:r>
    </w:p>
    <w:p w:rsidR="00A64A1C" w:rsidRDefault="003C7477" w:rsidP="008B65D4">
      <w:pPr>
        <w:keepNext/>
        <w:tabs>
          <w:tab w:val="left" w:pos="720"/>
          <w:tab w:val="left" w:pos="1440"/>
          <w:tab w:val="left" w:pos="9240"/>
        </w:tabs>
        <w:spacing w:line="480" w:lineRule="auto"/>
        <w:ind w:left="720" w:hanging="720"/>
        <w:jc w:val="center"/>
        <w:rPr>
          <w:b/>
          <w:u w:val="single"/>
        </w:rPr>
      </w:pPr>
      <w:r>
        <w:rPr>
          <w:b/>
        </w:rPr>
        <w:lastRenderedPageBreak/>
        <w:t>V.</w:t>
      </w:r>
      <w:r>
        <w:rPr>
          <w:b/>
        </w:rPr>
        <w:tab/>
      </w:r>
      <w:r w:rsidR="00FB1E69">
        <w:rPr>
          <w:b/>
        </w:rPr>
        <w:t>PSE</w:t>
      </w:r>
      <w:r w:rsidR="00D341AA">
        <w:rPr>
          <w:b/>
        </w:rPr>
        <w:t>’S OPERATIONS AND RISKS</w:t>
      </w:r>
    </w:p>
    <w:p w:rsidR="00FF14D8" w:rsidRDefault="00FF14D8" w:rsidP="008B65D4">
      <w:pPr>
        <w:keepNext/>
        <w:tabs>
          <w:tab w:val="left" w:pos="720"/>
          <w:tab w:val="left" w:pos="1440"/>
          <w:tab w:val="left" w:pos="9240"/>
        </w:tabs>
        <w:spacing w:line="480" w:lineRule="auto"/>
        <w:ind w:left="720" w:hanging="720"/>
        <w:jc w:val="both"/>
        <w:rPr>
          <w:b/>
        </w:rPr>
      </w:pPr>
    </w:p>
    <w:p w:rsidR="00B32572" w:rsidRDefault="00B32572" w:rsidP="00B32572">
      <w:pPr>
        <w:spacing w:line="480" w:lineRule="auto"/>
        <w:rPr>
          <w:b/>
        </w:rPr>
      </w:pPr>
      <w:r>
        <w:rPr>
          <w:b/>
        </w:rPr>
        <w:t>Q.</w:t>
      </w:r>
      <w:r>
        <w:rPr>
          <w:b/>
        </w:rPr>
        <w:tab/>
        <w:t>Please summarize PSE and its operations.</w:t>
      </w:r>
    </w:p>
    <w:p w:rsidR="00B32572" w:rsidRDefault="00B32572" w:rsidP="00B32572">
      <w:pPr>
        <w:spacing w:line="480" w:lineRule="auto"/>
        <w:ind w:left="720" w:hanging="720"/>
      </w:pPr>
      <w:r>
        <w:t>A.</w:t>
      </w:r>
      <w:r>
        <w:tab/>
        <w:t>PSE, in its current configuration, was formed in 1997 when Puget Sound Power &amp; Light merged with Washington Energy.  PSE is a public utility that has two regulated business segments:  (1) it is engaged in the distribution, transmission, generation, purchase and sale of electric energy to about 1 million customers in the Puget Sound region of Washington</w:t>
      </w:r>
      <w:r w:rsidR="005E13FE">
        <w:t>;</w:t>
      </w:r>
      <w:r>
        <w:t xml:space="preserve"> and (2) it has gas distribution service to about 7</w:t>
      </w:r>
      <w:r w:rsidR="006E089F">
        <w:t>5</w:t>
      </w:r>
      <w:r>
        <w:t xml:space="preserve">0,000 customers in the same area.  PSE is a subsidiary of </w:t>
      </w:r>
      <w:r w:rsidR="004A3F74">
        <w:t>Puget Holdings (“PH”), which in turn is owned by Macquarie Infrastructure Partners Consortium.</w:t>
      </w:r>
      <w:r>
        <w:t xml:space="preserve">  I note that PSE’s regulated electric and gas operations are recognized as being lower risk than the unregulated operations.  This relationship is recognized by the rating agencies in the reports </w:t>
      </w:r>
      <w:r w:rsidR="005E13FE">
        <w:t xml:space="preserve">cited </w:t>
      </w:r>
      <w:r>
        <w:t>later in this section.</w:t>
      </w:r>
    </w:p>
    <w:p w:rsidR="00B32572" w:rsidRDefault="00B32572" w:rsidP="00B32572">
      <w:pPr>
        <w:spacing w:line="480" w:lineRule="auto"/>
        <w:ind w:left="720" w:hanging="720"/>
      </w:pPr>
    </w:p>
    <w:p w:rsidR="00B32572" w:rsidRDefault="00B32572" w:rsidP="00B32572">
      <w:pPr>
        <w:keepNext/>
        <w:spacing w:line="480" w:lineRule="auto"/>
        <w:ind w:left="720" w:hanging="720"/>
        <w:rPr>
          <w:b/>
        </w:rPr>
      </w:pPr>
      <w:r>
        <w:rPr>
          <w:b/>
        </w:rPr>
        <w:t>Q.</w:t>
      </w:r>
      <w:r>
        <w:rPr>
          <w:b/>
        </w:rPr>
        <w:tab/>
        <w:t xml:space="preserve">Please describe Puget </w:t>
      </w:r>
      <w:r w:rsidR="004A3F74">
        <w:rPr>
          <w:b/>
        </w:rPr>
        <w:t>Holdings</w:t>
      </w:r>
      <w:r>
        <w:rPr>
          <w:b/>
        </w:rPr>
        <w:t>.</w:t>
      </w:r>
    </w:p>
    <w:p w:rsidR="00B32572" w:rsidRDefault="00B32572" w:rsidP="00B32572">
      <w:pPr>
        <w:spacing w:line="480" w:lineRule="auto"/>
        <w:ind w:left="720" w:hanging="720"/>
      </w:pPr>
      <w:r>
        <w:t>A.</w:t>
      </w:r>
      <w:r>
        <w:tab/>
        <w:t>P</w:t>
      </w:r>
      <w:r w:rsidR="004A3F74">
        <w:t>H, formerly Puget Energy (“PE”)</w:t>
      </w:r>
      <w:r w:rsidR="005E13FE">
        <w:t>,</w:t>
      </w:r>
      <w:r>
        <w:t xml:space="preserve"> is a holding company, which was formed in 2001 to own PSE, which is its only subsidiary</w:t>
      </w:r>
      <w:r w:rsidR="004A3F74">
        <w:t xml:space="preserve">.  </w:t>
      </w:r>
      <w:r>
        <w:t>In 200</w:t>
      </w:r>
      <w:r w:rsidR="00774C6D">
        <w:t>9</w:t>
      </w:r>
      <w:r>
        <w:t xml:space="preserve">, PE was </w:t>
      </w:r>
      <w:r w:rsidR="00B91BA3">
        <w:t>acquired by Macquarie Infrastructure Partners Consortium.  S</w:t>
      </w:r>
      <w:r>
        <w:t>ubsequent to this merger, P</w:t>
      </w:r>
      <w:r w:rsidR="004A3F74">
        <w:t>H</w:t>
      </w:r>
      <w:r>
        <w:t xml:space="preserve">’s ultimate parent is not publicly traded, a financial transaction frequently described as “going private.” </w:t>
      </w:r>
    </w:p>
    <w:p w:rsidR="00B41296" w:rsidRDefault="00B41296" w:rsidP="00B32572">
      <w:pPr>
        <w:spacing w:line="480" w:lineRule="auto"/>
        <w:ind w:left="720" w:hanging="720"/>
      </w:pPr>
    </w:p>
    <w:p w:rsidR="005343FB" w:rsidRDefault="00B32572" w:rsidP="00B32572">
      <w:pPr>
        <w:spacing w:line="480" w:lineRule="auto"/>
        <w:ind w:left="720" w:hanging="720"/>
        <w:rPr>
          <w:b/>
        </w:rPr>
        <w:sectPr w:rsidR="005343FB" w:rsidSect="00E83DA3">
          <w:footerReference w:type="default" r:id="rId14"/>
          <w:pgSz w:w="12240" w:h="15840" w:code="1"/>
          <w:pgMar w:top="1440" w:right="1440" w:bottom="720" w:left="1872" w:header="720" w:footer="720" w:gutter="0"/>
          <w:lnNumType w:countBy="1"/>
          <w:cols w:space="720"/>
          <w:docGrid w:linePitch="360"/>
        </w:sectPr>
      </w:pPr>
      <w:r>
        <w:rPr>
          <w:b/>
        </w:rPr>
        <w:t>Q.</w:t>
      </w:r>
      <w:r>
        <w:rPr>
          <w:b/>
        </w:rPr>
        <w:tab/>
        <w:t>Are you aware that PSE maintained in its testimony in the merger proceeding (Docket U-072375), that because of “ring-fencing” provisions, the utility and its customers are insulated from holding company activities or difficulties?</w:t>
      </w:r>
    </w:p>
    <w:p w:rsidR="00B32572" w:rsidRDefault="00B32572" w:rsidP="00B32572">
      <w:pPr>
        <w:spacing w:line="480" w:lineRule="auto"/>
        <w:ind w:left="720" w:hanging="720"/>
      </w:pPr>
      <w:r>
        <w:lastRenderedPageBreak/>
        <w:t>A.</w:t>
      </w:r>
      <w:r>
        <w:tab/>
        <w:t>Yes, I am aware of this.  I note, on the other hand, that Moody’s and Standard &amp; Poor</w:t>
      </w:r>
      <w:r w:rsidR="00B91BA3">
        <w:t>’</w:t>
      </w:r>
      <w:r>
        <w:t xml:space="preserve">s </w:t>
      </w:r>
      <w:r w:rsidR="00632A49">
        <w:t xml:space="preserve">initially </w:t>
      </w:r>
      <w:r>
        <w:t xml:space="preserve">put PE and PSE on review or CreditWatch with negative implications despite the proposed ring-fencing provisions.  My Exhibit No. DCP-5 contains the documents in which </w:t>
      </w:r>
      <w:r w:rsidRPr="005343FB">
        <w:rPr>
          <w:strike/>
        </w:rPr>
        <w:t>Moody’s and</w:t>
      </w:r>
      <w:r>
        <w:t xml:space="preserve"> Standard &amp; Poor’s took this action.</w:t>
      </w:r>
    </w:p>
    <w:p w:rsidR="00B32572" w:rsidRDefault="00B32572" w:rsidP="00B32572">
      <w:pPr>
        <w:spacing w:line="480" w:lineRule="auto"/>
        <w:ind w:left="720" w:hanging="720"/>
      </w:pPr>
      <w:r>
        <w:tab/>
      </w:r>
      <w:r>
        <w:tab/>
      </w:r>
    </w:p>
    <w:p w:rsidR="00B41296" w:rsidRDefault="00B41296" w:rsidP="00B41296">
      <w:pPr>
        <w:spacing w:line="480" w:lineRule="auto"/>
        <w:ind w:left="720" w:hanging="720"/>
      </w:pPr>
      <w:r>
        <w:rPr>
          <w:b/>
        </w:rPr>
        <w:t>Q.</w:t>
      </w:r>
      <w:r>
        <w:rPr>
          <w:b/>
        </w:rPr>
        <w:tab/>
        <w:t>What have been the rating agencies reaction</w:t>
      </w:r>
      <w:r w:rsidR="00EC74AD">
        <w:rPr>
          <w:b/>
        </w:rPr>
        <w:t>s</w:t>
      </w:r>
      <w:r>
        <w:rPr>
          <w:b/>
        </w:rPr>
        <w:t xml:space="preserve"> to the completion of the merger?</w:t>
      </w:r>
    </w:p>
    <w:p w:rsidR="004A3F74" w:rsidRDefault="00B41296" w:rsidP="00B41296">
      <w:pPr>
        <w:spacing w:line="480" w:lineRule="auto"/>
        <w:ind w:left="720" w:hanging="720"/>
      </w:pPr>
      <w:r>
        <w:t>A.</w:t>
      </w:r>
      <w:r>
        <w:tab/>
      </w:r>
      <w:r w:rsidR="004A3F74">
        <w:t xml:space="preserve">Standard &amp; Poor’s made the following comments on PSE in a January 16, 2009 </w:t>
      </w:r>
      <w:proofErr w:type="spellStart"/>
      <w:r w:rsidR="004A3F74">
        <w:t>RatingsDirect</w:t>
      </w:r>
      <w:proofErr w:type="spellEnd"/>
      <w:r w:rsidR="004A3F74">
        <w:t>, just prior to the merger</w:t>
      </w:r>
      <w:r w:rsidR="00EC74AD">
        <w:t xml:space="preserve"> completion</w:t>
      </w:r>
      <w:r w:rsidR="004A3F74">
        <w:t>:</w:t>
      </w:r>
    </w:p>
    <w:p w:rsidR="004A3F74" w:rsidRDefault="004A3F74" w:rsidP="00D4179D">
      <w:pPr>
        <w:ind w:left="1440" w:right="720"/>
      </w:pPr>
      <w:r>
        <w:t>On Jan. 16, 2009, Standard &amp; Poor’s Ratings Services raised its corporate credit rating on integrated electric and gas utility company Puget Sound Energy Inc. (PSE) to ‘BBB’ from ‘BBB-</w:t>
      </w:r>
      <w:r w:rsidR="00CA7E06">
        <w:t>’</w:t>
      </w:r>
      <w:r>
        <w:t>, its secured ratings to ‘A-</w:t>
      </w:r>
      <w:r w:rsidR="00CA7E06">
        <w:t>’</w:t>
      </w:r>
      <w:r>
        <w:t xml:space="preserve"> from ‘BBB+’, and its preferred stock and junior subordinated debt ratings to ‘BB+’ from ‘BB’.  At the same time, Standard &amp; Poor’s lowered its corporate credit rating on Puget Energy Inc. (Puget) to ‘BB+’ from ‘BBB-</w:t>
      </w:r>
      <w:r w:rsidR="00CA7E06">
        <w:t>’</w:t>
      </w:r>
      <w:r>
        <w:t xml:space="preserve">.  Standard &amp; Poor’s removed all the ratings from CreditWatch with negative implications.  The outlook is stable.  </w:t>
      </w:r>
    </w:p>
    <w:p w:rsidR="004A3F74" w:rsidRDefault="004A3F74" w:rsidP="00D4179D">
      <w:pPr>
        <w:ind w:left="1440" w:right="720"/>
      </w:pPr>
    </w:p>
    <w:p w:rsidR="00CA7E06" w:rsidRDefault="00CA7E06" w:rsidP="00D4179D">
      <w:pPr>
        <w:ind w:left="1440" w:right="720"/>
      </w:pPr>
      <w:r>
        <w:t xml:space="preserve">The rating actions on PSE and Puget reflect their acquisition led by Macquarie Infrastructure Partners.  All federal and state </w:t>
      </w:r>
      <w:proofErr w:type="spellStart"/>
      <w:r>
        <w:t>regualtory</w:t>
      </w:r>
      <w:proofErr w:type="spellEnd"/>
      <w:r>
        <w:t xml:space="preserve"> and shareholder approvals required for the merger have now been obtained, and the company expects the transaction to close by Feb. 6, 2009.</w:t>
      </w:r>
    </w:p>
    <w:p w:rsidR="00CA7E06" w:rsidRDefault="00CA7E06" w:rsidP="00D4179D">
      <w:pPr>
        <w:ind w:left="1440" w:right="720"/>
      </w:pPr>
    </w:p>
    <w:p w:rsidR="00CA7E06" w:rsidRDefault="00CA7E06" w:rsidP="00D4179D">
      <w:pPr>
        <w:ind w:left="1440" w:right="720"/>
      </w:pPr>
      <w:r>
        <w:t>Standard &amp; Poor’s placed the ratings on CreditWatch with negative implications on Oct. 26, 2007.  The action followed the announcement that Puget has agreed to sell itself to a consortium of private investors led by Macquarie Infrastructure Partners, an affiliate of Macquarie Group Ltd. (A-/Negative/A-2) for $7.4 billion.  The approved transaction is expected to increase total net debt by $850 million on consolidated basis while reducing debt at PSE.</w:t>
      </w:r>
    </w:p>
    <w:p w:rsidR="00CA7E06" w:rsidRDefault="00CA7E06" w:rsidP="00D4179D">
      <w:pPr>
        <w:ind w:left="1440" w:right="720"/>
      </w:pPr>
    </w:p>
    <w:p w:rsidR="005343FB" w:rsidRDefault="00CA7E06" w:rsidP="00D4179D">
      <w:pPr>
        <w:ind w:left="1440" w:right="720"/>
        <w:sectPr w:rsidR="005343FB" w:rsidSect="00E83DA3">
          <w:footerReference w:type="default" r:id="rId15"/>
          <w:pgSz w:w="12240" w:h="15840" w:code="1"/>
          <w:pgMar w:top="1440" w:right="1440" w:bottom="720" w:left="1872" w:header="720" w:footer="720" w:gutter="0"/>
          <w:lnNumType w:countBy="1"/>
          <w:cols w:space="720"/>
          <w:docGrid w:linePitch="360"/>
        </w:sectPr>
      </w:pPr>
      <w:r>
        <w:t xml:space="preserve">The upgrade of PSE and its related securities reflects Standard &amp; Poor’s view that plans to place an independent director on the board of directors of the utility company, coupled with other commitments, such as dividend restrictions, provides insulation to the utility company.  In addition, the utility company’s stand-alone financial metrics are expected to improve post-transaction as some debt is </w:t>
      </w:r>
    </w:p>
    <w:p w:rsidR="00CA7E06" w:rsidRDefault="00CA7E06" w:rsidP="00D4179D">
      <w:pPr>
        <w:ind w:left="1440" w:right="720"/>
      </w:pPr>
      <w:proofErr w:type="gramStart"/>
      <w:r>
        <w:lastRenderedPageBreak/>
        <w:t>repaid</w:t>
      </w:r>
      <w:proofErr w:type="gramEnd"/>
      <w:r>
        <w:t xml:space="preserve"> and, on a forward basis, the capital structure is expected to be managed to a more credit supportive level. The downgrade of Puget Energy reflects the additional transaction debt and our expectation that the amount of priority debt, including all operating company debt and credit facilities, in addition to the insulation of the utility company, is a disadvantage to creditors of Puget Energy.</w:t>
      </w:r>
    </w:p>
    <w:p w:rsidR="00CA7E06" w:rsidRDefault="00CA7E06" w:rsidP="00D4179D">
      <w:pPr>
        <w:ind w:left="1440" w:right="720"/>
      </w:pPr>
    </w:p>
    <w:p w:rsidR="00CA7E06" w:rsidRDefault="00CA7E06" w:rsidP="00D4179D">
      <w:pPr>
        <w:spacing w:line="480" w:lineRule="auto"/>
        <w:ind w:left="720"/>
      </w:pPr>
      <w:r>
        <w:t xml:space="preserve">Just following the merger, S&amp;P made the following comments in a March 27, 2009 </w:t>
      </w:r>
      <w:proofErr w:type="spellStart"/>
      <w:r>
        <w:t>RatingsDirect</w:t>
      </w:r>
      <w:proofErr w:type="spellEnd"/>
      <w:r>
        <w:t>:</w:t>
      </w:r>
    </w:p>
    <w:p w:rsidR="00FB10AF" w:rsidRDefault="00FB10AF" w:rsidP="00D4179D">
      <w:pPr>
        <w:ind w:left="1440" w:right="720"/>
      </w:pPr>
      <w:r>
        <w:t>The ‘BBB’ corporate credit rating on Puget Sound Energy Inc. (PSE) primarily reflects the risk profile of its integrated electric and gas utility operations, and the ‘BB+’ corporate credit rating on Puget Energy Inc. (Puget) primarily reflects the consolidated financial measures that are weaker due to additional debt leverage and disadvantaged by insulating provisions, following Puget’s acquisition by an investor consortium that closed on Feb. 6, 2009.  However, the relationship between these entities and lack of other operating units constrains the degree of separation between the two credit ratings.</w:t>
      </w:r>
    </w:p>
    <w:p w:rsidR="00FB10AF" w:rsidRDefault="00FB10AF" w:rsidP="00D4179D">
      <w:pPr>
        <w:ind w:left="1440" w:right="720"/>
      </w:pPr>
    </w:p>
    <w:p w:rsidR="003B7EF5" w:rsidRDefault="00FB10AF" w:rsidP="00D4179D">
      <w:pPr>
        <w:ind w:left="1440" w:right="720"/>
      </w:pPr>
      <w:r>
        <w:t xml:space="preserve">Standard &amp; Poor’s Ratings Services views the package of commitments entered into by the company prior to the close of the merger, including the placement an independent director on the board of directors of the utility company, dividend restrictions based on minimum equity, financial tests, and credit ratings, as providing a degree of insulation to the utility company.  In addition, the utility company’s stand-alone financial metrics are expected to improve post-transaction as some debt is repaid and, on a forward basis, the capital structure is expected to be managed to a credit-supportive level.  The corporate credit rating on Puget reflects the additional transaction debt and our expectation that the amount of priority debt, including all operating company debt and credit facilities, in addition to the insulation of the utility company, is a disadvantage to creditors of Puget. </w:t>
      </w:r>
    </w:p>
    <w:p w:rsidR="003B7EF5" w:rsidRDefault="003B7EF5" w:rsidP="00D4179D">
      <w:pPr>
        <w:ind w:left="1440" w:right="720"/>
      </w:pPr>
    </w:p>
    <w:p w:rsidR="00CA7E06" w:rsidRDefault="003B7EF5" w:rsidP="00D4179D">
      <w:pPr>
        <w:ind w:left="1440" w:right="720"/>
      </w:pPr>
      <w:r>
        <w:t>The business risk profile is ‘excellent’, reflecting the combined electric and gas utility business of PSE, which is subject to regulation by the Washington Utilities and Transportation Commission (WUTC).  The regulatory environment in Washington and how the company manages its relationship with the WUTC are key drivers of credit quality, especially in light of PSE’s high capital needs and commodity price exposure.  PSE’s cost recovery mechanisms support credit quality.</w:t>
      </w:r>
      <w:r w:rsidR="00FB10AF">
        <w:t xml:space="preserve"> </w:t>
      </w:r>
    </w:p>
    <w:p w:rsidR="008B65D4" w:rsidRDefault="008B65D4" w:rsidP="00D4179D">
      <w:pPr>
        <w:ind w:left="1440" w:right="720"/>
      </w:pPr>
    </w:p>
    <w:p w:rsidR="00F254E8" w:rsidRPr="00A36584" w:rsidRDefault="00F254E8" w:rsidP="008F7AF5">
      <w:pPr>
        <w:spacing w:line="480" w:lineRule="auto"/>
        <w:ind w:left="720" w:hanging="720"/>
      </w:pPr>
      <w:r>
        <w:rPr>
          <w:b/>
        </w:rPr>
        <w:tab/>
      </w:r>
      <w:r w:rsidRPr="00A36584">
        <w:t>Each of these reports is contained in Exhibit No. DCP-5.</w:t>
      </w:r>
    </w:p>
    <w:p w:rsidR="00F254E8" w:rsidRDefault="00F254E8" w:rsidP="008F7AF5">
      <w:pPr>
        <w:spacing w:line="480" w:lineRule="auto"/>
        <w:ind w:left="720" w:hanging="720"/>
        <w:rPr>
          <w:b/>
        </w:rPr>
      </w:pPr>
    </w:p>
    <w:p w:rsidR="008F7AF5" w:rsidRDefault="008F7AF5" w:rsidP="008F7AF5">
      <w:pPr>
        <w:spacing w:line="480" w:lineRule="auto"/>
        <w:ind w:left="720" w:hanging="720"/>
        <w:rPr>
          <w:b/>
        </w:rPr>
      </w:pPr>
      <w:r>
        <w:rPr>
          <w:b/>
        </w:rPr>
        <w:t>Q.</w:t>
      </w:r>
      <w:r>
        <w:rPr>
          <w:b/>
        </w:rPr>
        <w:tab/>
        <w:t>What has been the trend in PH’s business segment ratios in recent years?</w:t>
      </w:r>
    </w:p>
    <w:p w:rsidR="008F7AF5" w:rsidRDefault="008F7AF5" w:rsidP="008F7AF5">
      <w:pPr>
        <w:spacing w:line="480" w:lineRule="auto"/>
        <w:ind w:left="720" w:hanging="720"/>
      </w:pPr>
      <w:smartTag w:uri="urn:schemas-microsoft-com:office:smarttags" w:element="City">
        <w:r>
          <w:t>A.</w:t>
        </w:r>
      </w:smartTag>
      <w:r>
        <w:tab/>
        <w:t>PH reports two business segments – regulated utility and other.  The other subsidiaries do not contribute significantly to PH’s financial operations.  The segment ratios are shown on Exhibit No. DCP-6.  As indicated, the regulated utility operations of PH accounted for the following percentages:</w:t>
      </w:r>
    </w:p>
    <w:tbl>
      <w:tblPr>
        <w:tblpPr w:leftFromText="180" w:rightFromText="180" w:vertAnchor="text" w:horzAnchor="margin" w:tblpXSpec="center" w:tblpY="38"/>
        <w:tblW w:w="0" w:type="auto"/>
        <w:tblLook w:val="01E0"/>
      </w:tblPr>
      <w:tblGrid>
        <w:gridCol w:w="696"/>
        <w:gridCol w:w="222"/>
        <w:gridCol w:w="1176"/>
        <w:gridCol w:w="222"/>
        <w:gridCol w:w="956"/>
        <w:gridCol w:w="222"/>
        <w:gridCol w:w="843"/>
      </w:tblGrid>
      <w:tr w:rsidR="008F7AF5" w:rsidTr="008F15A3">
        <w:tc>
          <w:tcPr>
            <w:tcW w:w="0" w:type="auto"/>
          </w:tcPr>
          <w:p w:rsidR="008F7AF5" w:rsidRDefault="008F7AF5" w:rsidP="008F15A3">
            <w:pPr>
              <w:jc w:val="center"/>
            </w:pPr>
          </w:p>
        </w:tc>
        <w:tc>
          <w:tcPr>
            <w:tcW w:w="0" w:type="auto"/>
          </w:tcPr>
          <w:p w:rsidR="008F7AF5" w:rsidRDefault="008F7AF5" w:rsidP="008F15A3">
            <w:pPr>
              <w:jc w:val="center"/>
            </w:pPr>
          </w:p>
        </w:tc>
        <w:tc>
          <w:tcPr>
            <w:tcW w:w="0" w:type="auto"/>
          </w:tcPr>
          <w:p w:rsidR="008F7AF5" w:rsidRDefault="008F7AF5" w:rsidP="008F15A3">
            <w:pPr>
              <w:jc w:val="center"/>
            </w:pPr>
            <w:r>
              <w:t>Operating</w:t>
            </w:r>
          </w:p>
        </w:tc>
        <w:tc>
          <w:tcPr>
            <w:tcW w:w="0" w:type="auto"/>
          </w:tcPr>
          <w:p w:rsidR="008F7AF5" w:rsidRDefault="008F7AF5" w:rsidP="008F15A3">
            <w:pPr>
              <w:jc w:val="center"/>
            </w:pPr>
          </w:p>
        </w:tc>
        <w:tc>
          <w:tcPr>
            <w:tcW w:w="0" w:type="auto"/>
          </w:tcPr>
          <w:p w:rsidR="008F7AF5" w:rsidRDefault="008F7AF5" w:rsidP="008F15A3">
            <w:pPr>
              <w:jc w:val="center"/>
            </w:pPr>
            <w:r>
              <w:t>Net</w:t>
            </w:r>
          </w:p>
        </w:tc>
        <w:tc>
          <w:tcPr>
            <w:tcW w:w="0" w:type="auto"/>
          </w:tcPr>
          <w:p w:rsidR="008F7AF5" w:rsidRDefault="008F7AF5" w:rsidP="008F15A3">
            <w:pPr>
              <w:jc w:val="center"/>
            </w:pPr>
          </w:p>
        </w:tc>
        <w:tc>
          <w:tcPr>
            <w:tcW w:w="0" w:type="auto"/>
          </w:tcPr>
          <w:p w:rsidR="008F7AF5" w:rsidRDefault="008F7AF5" w:rsidP="008F15A3">
            <w:pPr>
              <w:jc w:val="center"/>
            </w:pPr>
          </w:p>
        </w:tc>
      </w:tr>
      <w:tr w:rsidR="008F7AF5" w:rsidTr="008F15A3">
        <w:tc>
          <w:tcPr>
            <w:tcW w:w="0" w:type="auto"/>
            <w:tcBorders>
              <w:bottom w:val="single" w:sz="4" w:space="0" w:color="auto"/>
            </w:tcBorders>
          </w:tcPr>
          <w:p w:rsidR="008F7AF5" w:rsidRDefault="008F7AF5" w:rsidP="008F15A3">
            <w:pPr>
              <w:jc w:val="center"/>
            </w:pPr>
            <w:r>
              <w:t>Year</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Revenues</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Income</w:t>
            </w:r>
          </w:p>
        </w:tc>
        <w:tc>
          <w:tcPr>
            <w:tcW w:w="0" w:type="auto"/>
          </w:tcPr>
          <w:p w:rsidR="008F7AF5" w:rsidRDefault="008F7AF5" w:rsidP="008F15A3">
            <w:pPr>
              <w:jc w:val="center"/>
            </w:pPr>
          </w:p>
        </w:tc>
        <w:tc>
          <w:tcPr>
            <w:tcW w:w="0" w:type="auto"/>
            <w:tcBorders>
              <w:bottom w:val="single" w:sz="4" w:space="0" w:color="auto"/>
            </w:tcBorders>
          </w:tcPr>
          <w:p w:rsidR="008F7AF5" w:rsidRDefault="008F7AF5" w:rsidP="008F15A3">
            <w:pPr>
              <w:jc w:val="center"/>
            </w:pPr>
            <w:r>
              <w:t>Assets</w:t>
            </w:r>
          </w:p>
        </w:tc>
      </w:tr>
      <w:tr w:rsidR="008F7AF5" w:rsidTr="008F15A3">
        <w:tc>
          <w:tcPr>
            <w:tcW w:w="0" w:type="auto"/>
          </w:tcPr>
          <w:p w:rsidR="008F7AF5" w:rsidRDefault="008F7AF5" w:rsidP="008F15A3">
            <w:pPr>
              <w:jc w:val="center"/>
            </w:pPr>
            <w:r>
              <w:t>2006</w:t>
            </w:r>
          </w:p>
        </w:tc>
        <w:tc>
          <w:tcPr>
            <w:tcW w:w="0" w:type="auto"/>
          </w:tcPr>
          <w:p w:rsidR="008F7AF5" w:rsidRDefault="008F7AF5" w:rsidP="008F15A3">
            <w:pPr>
              <w:jc w:val="center"/>
            </w:pPr>
          </w:p>
        </w:tc>
        <w:tc>
          <w:tcPr>
            <w:tcW w:w="0" w:type="auto"/>
          </w:tcPr>
          <w:p w:rsidR="008F7AF5" w:rsidRDefault="008F7AF5" w:rsidP="008F15A3">
            <w:pPr>
              <w:jc w:val="center"/>
            </w:pPr>
            <w:r>
              <w:t>99.7%</w:t>
            </w:r>
          </w:p>
        </w:tc>
        <w:tc>
          <w:tcPr>
            <w:tcW w:w="0" w:type="auto"/>
          </w:tcPr>
          <w:p w:rsidR="008F7AF5" w:rsidRDefault="008F7AF5" w:rsidP="008F15A3">
            <w:pPr>
              <w:jc w:val="center"/>
            </w:pPr>
          </w:p>
        </w:tc>
        <w:tc>
          <w:tcPr>
            <w:tcW w:w="0" w:type="auto"/>
          </w:tcPr>
          <w:p w:rsidR="008F7AF5" w:rsidRDefault="008F7AF5" w:rsidP="008F15A3">
            <w:pPr>
              <w:jc w:val="center"/>
            </w:pPr>
            <w:r>
              <w:t>103.2%</w:t>
            </w:r>
          </w:p>
        </w:tc>
        <w:tc>
          <w:tcPr>
            <w:tcW w:w="0" w:type="auto"/>
          </w:tcPr>
          <w:p w:rsidR="008F7AF5" w:rsidRDefault="008F7AF5" w:rsidP="008F15A3">
            <w:pPr>
              <w:jc w:val="center"/>
            </w:pPr>
          </w:p>
        </w:tc>
        <w:tc>
          <w:tcPr>
            <w:tcW w:w="0" w:type="auto"/>
          </w:tcPr>
          <w:p w:rsidR="008F7AF5" w:rsidRDefault="008F7AF5" w:rsidP="008F15A3">
            <w:pPr>
              <w:jc w:val="center"/>
            </w:pPr>
            <w:r>
              <w:t>99.0%</w:t>
            </w:r>
          </w:p>
        </w:tc>
      </w:tr>
      <w:tr w:rsidR="008F7AF5" w:rsidTr="008F15A3">
        <w:tc>
          <w:tcPr>
            <w:tcW w:w="0" w:type="auto"/>
          </w:tcPr>
          <w:p w:rsidR="008F7AF5" w:rsidRDefault="008F7AF5" w:rsidP="008F15A3">
            <w:pPr>
              <w:jc w:val="center"/>
            </w:pPr>
            <w:r>
              <w:t>2007</w:t>
            </w:r>
          </w:p>
        </w:tc>
        <w:tc>
          <w:tcPr>
            <w:tcW w:w="0" w:type="auto"/>
          </w:tcPr>
          <w:p w:rsidR="008F7AF5" w:rsidRDefault="008F7AF5" w:rsidP="008F15A3">
            <w:pPr>
              <w:jc w:val="center"/>
            </w:pPr>
          </w:p>
        </w:tc>
        <w:tc>
          <w:tcPr>
            <w:tcW w:w="0" w:type="auto"/>
          </w:tcPr>
          <w:p w:rsidR="008F7AF5" w:rsidRDefault="008F7AF5" w:rsidP="008F15A3">
            <w:pPr>
              <w:jc w:val="center"/>
            </w:pPr>
            <w:r>
              <w:t>99.6%</w:t>
            </w:r>
          </w:p>
        </w:tc>
        <w:tc>
          <w:tcPr>
            <w:tcW w:w="0" w:type="auto"/>
          </w:tcPr>
          <w:p w:rsidR="008F7AF5" w:rsidRDefault="008F7AF5" w:rsidP="008F15A3">
            <w:pPr>
              <w:jc w:val="center"/>
            </w:pPr>
          </w:p>
        </w:tc>
        <w:tc>
          <w:tcPr>
            <w:tcW w:w="0" w:type="auto"/>
          </w:tcPr>
          <w:p w:rsidR="008F7AF5" w:rsidRDefault="008F7AF5" w:rsidP="008F15A3">
            <w:pPr>
              <w:jc w:val="center"/>
            </w:pPr>
            <w:r>
              <w:t>99.7%</w:t>
            </w:r>
          </w:p>
        </w:tc>
        <w:tc>
          <w:tcPr>
            <w:tcW w:w="0" w:type="auto"/>
          </w:tcPr>
          <w:p w:rsidR="008F7AF5" w:rsidRDefault="008F7AF5" w:rsidP="008F15A3">
            <w:pPr>
              <w:jc w:val="center"/>
            </w:pPr>
          </w:p>
        </w:tc>
        <w:tc>
          <w:tcPr>
            <w:tcW w:w="0" w:type="auto"/>
          </w:tcPr>
          <w:p w:rsidR="008F7AF5" w:rsidRDefault="008F7AF5" w:rsidP="008F15A3">
            <w:pPr>
              <w:jc w:val="center"/>
            </w:pPr>
            <w:r>
              <w:t>98.9%</w:t>
            </w:r>
          </w:p>
        </w:tc>
      </w:tr>
      <w:tr w:rsidR="008F7AF5" w:rsidTr="008F15A3">
        <w:tc>
          <w:tcPr>
            <w:tcW w:w="0" w:type="auto"/>
          </w:tcPr>
          <w:p w:rsidR="008F7AF5" w:rsidRDefault="008F7AF5" w:rsidP="008F15A3">
            <w:pPr>
              <w:jc w:val="center"/>
            </w:pPr>
            <w:r>
              <w:t>2008</w:t>
            </w:r>
          </w:p>
        </w:tc>
        <w:tc>
          <w:tcPr>
            <w:tcW w:w="0" w:type="auto"/>
          </w:tcPr>
          <w:p w:rsidR="008F7AF5" w:rsidRDefault="008F7AF5" w:rsidP="008F15A3">
            <w:pPr>
              <w:jc w:val="center"/>
            </w:pPr>
          </w:p>
        </w:tc>
        <w:tc>
          <w:tcPr>
            <w:tcW w:w="0" w:type="auto"/>
          </w:tcPr>
          <w:p w:rsidR="008F7AF5" w:rsidRDefault="008F7AF5" w:rsidP="008F15A3">
            <w:pPr>
              <w:jc w:val="center"/>
            </w:pPr>
            <w:r>
              <w:t>99.8%</w:t>
            </w:r>
          </w:p>
        </w:tc>
        <w:tc>
          <w:tcPr>
            <w:tcW w:w="0" w:type="auto"/>
          </w:tcPr>
          <w:p w:rsidR="008F7AF5" w:rsidRDefault="008F7AF5" w:rsidP="008F15A3">
            <w:pPr>
              <w:jc w:val="center"/>
            </w:pPr>
          </w:p>
        </w:tc>
        <w:tc>
          <w:tcPr>
            <w:tcW w:w="0" w:type="auto"/>
          </w:tcPr>
          <w:p w:rsidR="008F7AF5" w:rsidRDefault="008F7AF5" w:rsidP="008F15A3">
            <w:pPr>
              <w:jc w:val="center"/>
            </w:pPr>
            <w:r>
              <w:t>102.9%</w:t>
            </w:r>
          </w:p>
        </w:tc>
        <w:tc>
          <w:tcPr>
            <w:tcW w:w="0" w:type="auto"/>
          </w:tcPr>
          <w:p w:rsidR="008F7AF5" w:rsidRDefault="008F7AF5" w:rsidP="008F15A3">
            <w:pPr>
              <w:jc w:val="center"/>
            </w:pPr>
          </w:p>
        </w:tc>
        <w:tc>
          <w:tcPr>
            <w:tcW w:w="0" w:type="auto"/>
          </w:tcPr>
          <w:p w:rsidR="008F7AF5" w:rsidRDefault="008F7AF5" w:rsidP="008F15A3">
            <w:pPr>
              <w:jc w:val="center"/>
            </w:pPr>
            <w:r>
              <w:t>99.0%</w:t>
            </w:r>
          </w:p>
        </w:tc>
      </w:tr>
    </w:tbl>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360" w:lineRule="auto"/>
        <w:ind w:left="720" w:hanging="720"/>
        <w:jc w:val="both"/>
      </w:pPr>
    </w:p>
    <w:p w:rsidR="008F7AF5" w:rsidRDefault="008F7AF5" w:rsidP="008F7AF5">
      <w:pPr>
        <w:spacing w:line="480" w:lineRule="auto"/>
        <w:ind w:left="720" w:hanging="720"/>
      </w:pPr>
      <w:r>
        <w:tab/>
        <w:t>The table above indicates that the regulated utility operations of PH account for the vast majority of its consolidated operations.</w:t>
      </w:r>
    </w:p>
    <w:p w:rsidR="006E089F" w:rsidRDefault="006E089F" w:rsidP="008F7AF5">
      <w:pPr>
        <w:spacing w:line="480" w:lineRule="auto"/>
        <w:ind w:left="720" w:hanging="720"/>
      </w:pPr>
    </w:p>
    <w:p w:rsidR="006E089F" w:rsidRDefault="006E089F" w:rsidP="006E089F">
      <w:pPr>
        <w:keepNext/>
        <w:spacing w:line="480" w:lineRule="auto"/>
        <w:ind w:left="720" w:hanging="720"/>
        <w:rPr>
          <w:b/>
        </w:rPr>
      </w:pPr>
      <w:r>
        <w:rPr>
          <w:b/>
        </w:rPr>
        <w:t>Q.</w:t>
      </w:r>
      <w:r>
        <w:rPr>
          <w:b/>
        </w:rPr>
        <w:tab/>
        <w:t>What has been the trend in PSE’s bond ratings in recent years?</w:t>
      </w:r>
    </w:p>
    <w:p w:rsidR="006E089F" w:rsidRDefault="006E089F" w:rsidP="006E089F">
      <w:pPr>
        <w:spacing w:line="480" w:lineRule="auto"/>
        <w:ind w:left="720" w:hanging="720"/>
      </w:pPr>
      <w:r>
        <w:t>A.</w:t>
      </w:r>
      <w:r>
        <w:tab/>
        <w:t xml:space="preserve">This is shown on Exhibit No. DCP-7.  PSE’s most senior debt is rated in the Baa2 category (per Moody’s) and </w:t>
      </w:r>
      <w:r w:rsidR="00410A06">
        <w:t xml:space="preserve">in the </w:t>
      </w:r>
      <w:r>
        <w:t xml:space="preserve">A- category (per Standard &amp; Poor’s).  </w:t>
      </w:r>
    </w:p>
    <w:p w:rsidR="008F7AF5" w:rsidRDefault="008F7AF5" w:rsidP="008802FE">
      <w:pPr>
        <w:spacing w:line="480" w:lineRule="auto"/>
        <w:ind w:left="720" w:hanging="720"/>
        <w:rPr>
          <w:b/>
        </w:rPr>
      </w:pPr>
    </w:p>
    <w:p w:rsidR="00981E8F" w:rsidRPr="00981E8F" w:rsidRDefault="00981E8F" w:rsidP="008802FE">
      <w:pPr>
        <w:spacing w:line="480" w:lineRule="auto"/>
        <w:ind w:left="720" w:hanging="720"/>
        <w:rPr>
          <w:b/>
        </w:rPr>
      </w:pPr>
      <w:r>
        <w:rPr>
          <w:b/>
        </w:rPr>
        <w:t>Q.</w:t>
      </w:r>
      <w:r>
        <w:rPr>
          <w:b/>
        </w:rPr>
        <w:tab/>
        <w:t xml:space="preserve">How do </w:t>
      </w:r>
      <w:r w:rsidR="00FB1E69">
        <w:rPr>
          <w:b/>
        </w:rPr>
        <w:t>PSE</w:t>
      </w:r>
      <w:r w:rsidR="00C21B20">
        <w:rPr>
          <w:b/>
        </w:rPr>
        <w:t>’s bond ratings</w:t>
      </w:r>
      <w:r>
        <w:rPr>
          <w:b/>
        </w:rPr>
        <w:t xml:space="preserve"> compare to other electric </w:t>
      </w:r>
      <w:r w:rsidR="00EA695C">
        <w:rPr>
          <w:b/>
        </w:rPr>
        <w:t xml:space="preserve">and combination </w:t>
      </w:r>
      <w:r>
        <w:rPr>
          <w:b/>
        </w:rPr>
        <w:t>utilities?</w:t>
      </w:r>
    </w:p>
    <w:p w:rsidR="00EE0C54" w:rsidRDefault="00FF14D8" w:rsidP="00D4179D">
      <w:pPr>
        <w:tabs>
          <w:tab w:val="left" w:pos="720"/>
          <w:tab w:val="left" w:pos="1440"/>
          <w:tab w:val="left" w:pos="9240"/>
        </w:tabs>
        <w:spacing w:line="480" w:lineRule="auto"/>
        <w:ind w:left="720" w:hanging="720"/>
      </w:pPr>
      <w:r>
        <w:t>A.</w:t>
      </w:r>
      <w:r>
        <w:tab/>
        <w:t xml:space="preserve">As I indicated in a previous answer, </w:t>
      </w:r>
      <w:r w:rsidR="00FB1E69">
        <w:t xml:space="preserve">PSE </w:t>
      </w:r>
      <w:r>
        <w:t xml:space="preserve">has </w:t>
      </w:r>
      <w:r w:rsidR="00FB1E69">
        <w:t>single A/</w:t>
      </w:r>
      <w:r>
        <w:t>triple B bond ratings</w:t>
      </w:r>
      <w:r w:rsidR="007C6E29">
        <w:t>,</w:t>
      </w:r>
      <w:r>
        <w:t xml:space="preserve"> </w:t>
      </w:r>
      <w:r w:rsidR="0001444C">
        <w:t>respectively</w:t>
      </w:r>
      <w:r w:rsidR="007C6E29">
        <w:t>,</w:t>
      </w:r>
      <w:r w:rsidR="0001444C">
        <w:t xml:space="preserve"> </w:t>
      </w:r>
      <w:r>
        <w:t xml:space="preserve">on its secured and unsecured debt.  </w:t>
      </w:r>
      <w:r w:rsidR="000B5980">
        <w:t xml:space="preserve">Below is a table depicting </w:t>
      </w:r>
      <w:r>
        <w:t>the</w:t>
      </w:r>
      <w:r w:rsidR="000B5980">
        <w:t xml:space="preserve"> bond rating data of the </w:t>
      </w:r>
      <w:r>
        <w:t>6</w:t>
      </w:r>
      <w:r w:rsidR="00570FE0">
        <w:t>0</w:t>
      </w:r>
      <w:r>
        <w:t xml:space="preserve"> electric utilities and combination gas</w:t>
      </w:r>
      <w:r w:rsidR="00E67088">
        <w:t>/</w:t>
      </w:r>
      <w:r>
        <w:t xml:space="preserve">electric utilities covered by AUS Utility </w:t>
      </w:r>
      <w:proofErr w:type="gramStart"/>
      <w:r>
        <w:t>Reports</w:t>
      </w:r>
      <w:r w:rsidR="000B5980">
        <w:t>:</w:t>
      </w:r>
      <w:proofErr w:type="gramEnd"/>
    </w:p>
    <w:p w:rsidR="00937A08" w:rsidRDefault="00937A08" w:rsidP="00D4179D">
      <w:pPr>
        <w:tabs>
          <w:tab w:val="left" w:pos="720"/>
          <w:tab w:val="left" w:pos="1440"/>
          <w:tab w:val="left" w:pos="9240"/>
        </w:tabs>
        <w:spacing w:line="480" w:lineRule="auto"/>
        <w:ind w:left="720" w:hanging="720"/>
      </w:pPr>
    </w:p>
    <w:p w:rsidR="008B65D4" w:rsidRDefault="008B65D4" w:rsidP="00D4179D">
      <w:pPr>
        <w:tabs>
          <w:tab w:val="left" w:pos="720"/>
          <w:tab w:val="left" w:pos="1440"/>
          <w:tab w:val="left" w:pos="9240"/>
        </w:tabs>
        <w:spacing w:line="480" w:lineRule="auto"/>
        <w:ind w:left="720" w:hanging="720"/>
      </w:pPr>
    </w:p>
    <w:tbl>
      <w:tblPr>
        <w:tblpPr w:leftFromText="180" w:rightFromText="180" w:vertAnchor="text" w:horzAnchor="margin" w:tblpXSpec="center" w:tblpY="158"/>
        <w:tblW w:w="0" w:type="auto"/>
        <w:tblLayout w:type="fixed"/>
        <w:tblLook w:val="01E0"/>
      </w:tblPr>
      <w:tblGrid>
        <w:gridCol w:w="1548"/>
        <w:gridCol w:w="236"/>
        <w:gridCol w:w="1324"/>
        <w:gridCol w:w="354"/>
        <w:gridCol w:w="1567"/>
        <w:gridCol w:w="240"/>
        <w:gridCol w:w="1319"/>
      </w:tblGrid>
      <w:tr w:rsidR="00981E8F" w:rsidTr="00570FE0">
        <w:tc>
          <w:tcPr>
            <w:tcW w:w="1548" w:type="dxa"/>
          </w:tcPr>
          <w:p w:rsidR="00981E8F" w:rsidRDefault="00570FE0" w:rsidP="00937A08">
            <w:pPr>
              <w:keepNext/>
              <w:keepLines/>
              <w:tabs>
                <w:tab w:val="left" w:pos="720"/>
                <w:tab w:val="left" w:pos="1440"/>
                <w:tab w:val="left" w:pos="9240"/>
              </w:tabs>
              <w:jc w:val="center"/>
            </w:pPr>
            <w:r>
              <w:lastRenderedPageBreak/>
              <w:t>Moody’s</w:t>
            </w:r>
          </w:p>
        </w:tc>
        <w:tc>
          <w:tcPr>
            <w:tcW w:w="236" w:type="dxa"/>
          </w:tcPr>
          <w:p w:rsidR="00981E8F" w:rsidRDefault="00981E8F" w:rsidP="00937A08">
            <w:pPr>
              <w:keepNext/>
              <w:keepLines/>
              <w:tabs>
                <w:tab w:val="left" w:pos="720"/>
                <w:tab w:val="left" w:pos="1440"/>
                <w:tab w:val="left" w:pos="9240"/>
              </w:tabs>
              <w:jc w:val="center"/>
            </w:pPr>
          </w:p>
        </w:tc>
        <w:tc>
          <w:tcPr>
            <w:tcW w:w="1324" w:type="dxa"/>
          </w:tcPr>
          <w:p w:rsidR="00981E8F" w:rsidRDefault="00981E8F" w:rsidP="00937A08">
            <w:pPr>
              <w:keepNext/>
              <w:keepLines/>
              <w:tabs>
                <w:tab w:val="left" w:pos="720"/>
                <w:tab w:val="left" w:pos="1440"/>
                <w:tab w:val="left" w:pos="9240"/>
              </w:tabs>
              <w:jc w:val="center"/>
            </w:pPr>
            <w:r>
              <w:t>Number of</w:t>
            </w:r>
          </w:p>
        </w:tc>
        <w:tc>
          <w:tcPr>
            <w:tcW w:w="354" w:type="dxa"/>
          </w:tcPr>
          <w:p w:rsidR="00981E8F" w:rsidRDefault="00981E8F" w:rsidP="00937A08">
            <w:pPr>
              <w:keepNext/>
              <w:keepLines/>
              <w:tabs>
                <w:tab w:val="left" w:pos="720"/>
                <w:tab w:val="left" w:pos="1440"/>
                <w:tab w:val="left" w:pos="9240"/>
              </w:tabs>
              <w:jc w:val="center"/>
            </w:pPr>
          </w:p>
        </w:tc>
        <w:tc>
          <w:tcPr>
            <w:tcW w:w="1567" w:type="dxa"/>
          </w:tcPr>
          <w:p w:rsidR="00981E8F" w:rsidRDefault="00570FE0" w:rsidP="00937A08">
            <w:pPr>
              <w:keepNext/>
              <w:keepLines/>
              <w:tabs>
                <w:tab w:val="left" w:pos="720"/>
                <w:tab w:val="left" w:pos="1440"/>
                <w:tab w:val="left" w:pos="9240"/>
              </w:tabs>
              <w:jc w:val="center"/>
            </w:pPr>
            <w:r>
              <w:t>S&amp;P</w:t>
            </w:r>
          </w:p>
        </w:tc>
        <w:tc>
          <w:tcPr>
            <w:tcW w:w="240" w:type="dxa"/>
          </w:tcPr>
          <w:p w:rsidR="00981E8F" w:rsidRDefault="00981E8F" w:rsidP="00937A08">
            <w:pPr>
              <w:keepNext/>
              <w:keepLines/>
              <w:tabs>
                <w:tab w:val="left" w:pos="720"/>
                <w:tab w:val="left" w:pos="1440"/>
                <w:tab w:val="left" w:pos="9240"/>
              </w:tabs>
              <w:ind w:left="-116" w:firstLine="116"/>
              <w:jc w:val="center"/>
            </w:pPr>
          </w:p>
        </w:tc>
        <w:tc>
          <w:tcPr>
            <w:tcW w:w="1319" w:type="dxa"/>
          </w:tcPr>
          <w:p w:rsidR="00981E8F" w:rsidRDefault="00981E8F" w:rsidP="00937A08">
            <w:pPr>
              <w:keepNext/>
              <w:keepLines/>
              <w:tabs>
                <w:tab w:val="left" w:pos="720"/>
                <w:tab w:val="left" w:pos="1440"/>
                <w:tab w:val="left" w:pos="9240"/>
              </w:tabs>
              <w:jc w:val="center"/>
            </w:pPr>
            <w:r>
              <w:t>No. of</w:t>
            </w:r>
          </w:p>
        </w:tc>
      </w:tr>
      <w:tr w:rsidR="00FF14D8" w:rsidTr="00CC06DB">
        <w:tc>
          <w:tcPr>
            <w:tcW w:w="1548" w:type="dxa"/>
            <w:tcBorders>
              <w:bottom w:val="single" w:sz="4" w:space="0" w:color="auto"/>
            </w:tcBorders>
          </w:tcPr>
          <w:p w:rsidR="00FF14D8" w:rsidRDefault="00981E8F" w:rsidP="00D4179D">
            <w:pPr>
              <w:tabs>
                <w:tab w:val="left" w:pos="720"/>
                <w:tab w:val="left" w:pos="1440"/>
                <w:tab w:val="left" w:pos="9240"/>
              </w:tabs>
              <w:jc w:val="center"/>
            </w:pPr>
            <w:r>
              <w:t>Rating</w:t>
            </w:r>
          </w:p>
        </w:tc>
        <w:tc>
          <w:tcPr>
            <w:tcW w:w="236" w:type="dxa"/>
          </w:tcPr>
          <w:p w:rsidR="00FF14D8" w:rsidRDefault="00FF14D8" w:rsidP="00D4179D">
            <w:pPr>
              <w:tabs>
                <w:tab w:val="left" w:pos="720"/>
                <w:tab w:val="left" w:pos="1440"/>
                <w:tab w:val="left" w:pos="9240"/>
              </w:tabs>
              <w:jc w:val="center"/>
            </w:pPr>
          </w:p>
        </w:tc>
        <w:tc>
          <w:tcPr>
            <w:tcW w:w="1324" w:type="dxa"/>
            <w:tcBorders>
              <w:bottom w:val="single" w:sz="4" w:space="0" w:color="auto"/>
            </w:tcBorders>
          </w:tcPr>
          <w:p w:rsidR="00FF14D8" w:rsidRDefault="00981E8F" w:rsidP="00D4179D">
            <w:pPr>
              <w:tabs>
                <w:tab w:val="left" w:pos="720"/>
                <w:tab w:val="left" w:pos="1440"/>
                <w:tab w:val="left" w:pos="9240"/>
              </w:tabs>
              <w:jc w:val="center"/>
            </w:pPr>
            <w:r>
              <w:t>Companies</w:t>
            </w:r>
          </w:p>
        </w:tc>
        <w:tc>
          <w:tcPr>
            <w:tcW w:w="354" w:type="dxa"/>
          </w:tcPr>
          <w:p w:rsidR="00FF14D8" w:rsidRDefault="00FF14D8" w:rsidP="00D4179D">
            <w:pPr>
              <w:tabs>
                <w:tab w:val="left" w:pos="720"/>
                <w:tab w:val="left" w:pos="1440"/>
                <w:tab w:val="left" w:pos="9240"/>
              </w:tabs>
              <w:jc w:val="center"/>
            </w:pPr>
          </w:p>
        </w:tc>
        <w:tc>
          <w:tcPr>
            <w:tcW w:w="1567" w:type="dxa"/>
            <w:tcBorders>
              <w:bottom w:val="single" w:sz="4" w:space="0" w:color="auto"/>
            </w:tcBorders>
          </w:tcPr>
          <w:p w:rsidR="00FF14D8" w:rsidRDefault="00981E8F" w:rsidP="00D4179D">
            <w:pPr>
              <w:tabs>
                <w:tab w:val="left" w:pos="720"/>
                <w:tab w:val="left" w:pos="1440"/>
                <w:tab w:val="left" w:pos="9240"/>
              </w:tabs>
              <w:jc w:val="center"/>
            </w:pPr>
            <w:r>
              <w:t>Rating</w:t>
            </w:r>
          </w:p>
        </w:tc>
        <w:tc>
          <w:tcPr>
            <w:tcW w:w="240" w:type="dxa"/>
          </w:tcPr>
          <w:p w:rsidR="00FF14D8" w:rsidRDefault="00FF14D8" w:rsidP="00D4179D">
            <w:pPr>
              <w:tabs>
                <w:tab w:val="left" w:pos="720"/>
                <w:tab w:val="left" w:pos="1440"/>
                <w:tab w:val="left" w:pos="9240"/>
              </w:tabs>
              <w:ind w:left="-116" w:firstLine="116"/>
              <w:jc w:val="center"/>
            </w:pPr>
          </w:p>
        </w:tc>
        <w:tc>
          <w:tcPr>
            <w:tcW w:w="1319" w:type="dxa"/>
            <w:tcBorders>
              <w:bottom w:val="single" w:sz="4" w:space="0" w:color="auto"/>
            </w:tcBorders>
          </w:tcPr>
          <w:p w:rsidR="00FF14D8" w:rsidRDefault="00981E8F" w:rsidP="00D4179D">
            <w:pPr>
              <w:tabs>
                <w:tab w:val="left" w:pos="720"/>
                <w:tab w:val="left" w:pos="1440"/>
                <w:tab w:val="left" w:pos="9240"/>
              </w:tabs>
              <w:jc w:val="center"/>
            </w:pPr>
            <w:r>
              <w:t>Companies</w:t>
            </w:r>
          </w:p>
        </w:tc>
      </w:tr>
      <w:tr w:rsidR="00FF14D8" w:rsidTr="00CC06DB">
        <w:tc>
          <w:tcPr>
            <w:tcW w:w="1548" w:type="dxa"/>
            <w:tcBorders>
              <w:top w:val="single" w:sz="4" w:space="0" w:color="auto"/>
            </w:tcBorders>
          </w:tcPr>
          <w:p w:rsidR="00FF14D8" w:rsidRDefault="00FF14D8" w:rsidP="00D4179D">
            <w:pPr>
              <w:tabs>
                <w:tab w:val="left" w:pos="720"/>
                <w:tab w:val="left" w:pos="1440"/>
                <w:tab w:val="left" w:pos="9240"/>
              </w:tabs>
              <w:jc w:val="both"/>
            </w:pPr>
            <w:r>
              <w:t>Aa</w:t>
            </w:r>
            <w:r w:rsidR="00570FE0">
              <w:t>2</w:t>
            </w:r>
          </w:p>
        </w:tc>
        <w:tc>
          <w:tcPr>
            <w:tcW w:w="236" w:type="dxa"/>
          </w:tcPr>
          <w:p w:rsidR="00FF14D8" w:rsidRDefault="00FF14D8" w:rsidP="00D4179D">
            <w:pPr>
              <w:tabs>
                <w:tab w:val="left" w:pos="720"/>
                <w:tab w:val="left" w:pos="1440"/>
                <w:tab w:val="left" w:pos="9240"/>
              </w:tabs>
              <w:jc w:val="both"/>
            </w:pPr>
          </w:p>
        </w:tc>
        <w:tc>
          <w:tcPr>
            <w:tcW w:w="1324" w:type="dxa"/>
            <w:tcBorders>
              <w:top w:val="single" w:sz="4" w:space="0" w:color="auto"/>
            </w:tcBorders>
          </w:tcPr>
          <w:p w:rsidR="00FF14D8" w:rsidRDefault="00570FE0" w:rsidP="00D4179D">
            <w:pPr>
              <w:tabs>
                <w:tab w:val="left" w:pos="720"/>
                <w:tab w:val="left" w:pos="1440"/>
                <w:tab w:val="left" w:pos="9240"/>
              </w:tabs>
              <w:jc w:val="center"/>
            </w:pPr>
            <w:r>
              <w:t>1</w:t>
            </w:r>
          </w:p>
        </w:tc>
        <w:tc>
          <w:tcPr>
            <w:tcW w:w="354" w:type="dxa"/>
          </w:tcPr>
          <w:p w:rsidR="00FF14D8" w:rsidRDefault="00FF14D8" w:rsidP="00D4179D">
            <w:pPr>
              <w:tabs>
                <w:tab w:val="left" w:pos="720"/>
                <w:tab w:val="left" w:pos="1440"/>
                <w:tab w:val="left" w:pos="9240"/>
              </w:tabs>
              <w:jc w:val="both"/>
            </w:pPr>
          </w:p>
        </w:tc>
        <w:tc>
          <w:tcPr>
            <w:tcW w:w="1567" w:type="dxa"/>
            <w:tcBorders>
              <w:top w:val="single" w:sz="4" w:space="0" w:color="auto"/>
            </w:tcBorders>
          </w:tcPr>
          <w:p w:rsidR="00FF14D8" w:rsidRDefault="00FF14D8" w:rsidP="00D4179D">
            <w:pPr>
              <w:tabs>
                <w:tab w:val="left" w:pos="720"/>
                <w:tab w:val="left" w:pos="1440"/>
                <w:tab w:val="left" w:pos="9240"/>
              </w:tabs>
              <w:jc w:val="both"/>
            </w:pPr>
          </w:p>
        </w:tc>
        <w:tc>
          <w:tcPr>
            <w:tcW w:w="240" w:type="dxa"/>
          </w:tcPr>
          <w:p w:rsidR="00FF14D8" w:rsidRDefault="00FF14D8" w:rsidP="00D4179D">
            <w:pPr>
              <w:tabs>
                <w:tab w:val="left" w:pos="720"/>
                <w:tab w:val="left" w:pos="1440"/>
                <w:tab w:val="left" w:pos="9240"/>
              </w:tabs>
              <w:jc w:val="both"/>
            </w:pPr>
          </w:p>
        </w:tc>
        <w:tc>
          <w:tcPr>
            <w:tcW w:w="1319" w:type="dxa"/>
            <w:tcBorders>
              <w:top w:val="single" w:sz="4" w:space="0" w:color="auto"/>
            </w:tcBorders>
          </w:tcPr>
          <w:p w:rsidR="00FF14D8" w:rsidRDefault="00FF14D8" w:rsidP="00D4179D">
            <w:pPr>
              <w:tabs>
                <w:tab w:val="left" w:pos="720"/>
                <w:tab w:val="left" w:pos="1440"/>
                <w:tab w:val="left" w:pos="9240"/>
              </w:tabs>
              <w:jc w:val="center"/>
            </w:pPr>
          </w:p>
        </w:tc>
      </w:tr>
      <w:tr w:rsidR="00FF14D8" w:rsidTr="00CC06DB">
        <w:tc>
          <w:tcPr>
            <w:tcW w:w="1548" w:type="dxa"/>
          </w:tcPr>
          <w:p w:rsidR="00FF14D8" w:rsidRDefault="00FF14D8" w:rsidP="00D4179D">
            <w:pPr>
              <w:tabs>
                <w:tab w:val="left" w:pos="720"/>
                <w:tab w:val="left" w:pos="1440"/>
                <w:tab w:val="left" w:pos="9240"/>
              </w:tabs>
              <w:jc w:val="both"/>
            </w:pPr>
            <w:r>
              <w:t>A</w:t>
            </w:r>
            <w:r w:rsidR="00570FE0">
              <w:t>a3</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2</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FF14D8" w:rsidP="00D4179D">
            <w:pPr>
              <w:tabs>
                <w:tab w:val="left" w:pos="720"/>
                <w:tab w:val="left" w:pos="1440"/>
                <w:tab w:val="left" w:pos="9240"/>
              </w:tabs>
              <w:jc w:val="both"/>
            </w:pPr>
            <w:r>
              <w:t>A</w:t>
            </w:r>
            <w:r w:rsidR="00570FE0">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2</w:t>
            </w:r>
          </w:p>
        </w:tc>
      </w:tr>
      <w:tr w:rsidR="00FF14D8" w:rsidTr="00CC06DB">
        <w:tc>
          <w:tcPr>
            <w:tcW w:w="1548" w:type="dxa"/>
          </w:tcPr>
          <w:p w:rsidR="00FF14D8" w:rsidRDefault="00570FE0" w:rsidP="00D4179D">
            <w:pPr>
              <w:tabs>
                <w:tab w:val="left" w:pos="720"/>
                <w:tab w:val="left" w:pos="1440"/>
                <w:tab w:val="left" w:pos="9240"/>
              </w:tabs>
              <w:jc w:val="both"/>
            </w:pPr>
            <w:r>
              <w:t>A1</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4</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1</w:t>
            </w:r>
          </w:p>
        </w:tc>
      </w:tr>
      <w:tr w:rsidR="00FF14D8" w:rsidTr="00CC06DB">
        <w:tc>
          <w:tcPr>
            <w:tcW w:w="1548" w:type="dxa"/>
          </w:tcPr>
          <w:p w:rsidR="00FF14D8" w:rsidRDefault="00570FE0" w:rsidP="00D4179D">
            <w:pPr>
              <w:tabs>
                <w:tab w:val="left" w:pos="720"/>
                <w:tab w:val="left" w:pos="1440"/>
                <w:tab w:val="left" w:pos="9240"/>
              </w:tabs>
              <w:jc w:val="both"/>
            </w:pPr>
            <w:r>
              <w:t>A2</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8</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8</w:t>
            </w:r>
          </w:p>
        </w:tc>
      </w:tr>
      <w:tr w:rsidR="00FF14D8" w:rsidTr="00CC06DB">
        <w:tc>
          <w:tcPr>
            <w:tcW w:w="1548" w:type="dxa"/>
          </w:tcPr>
          <w:p w:rsidR="00FF14D8" w:rsidRDefault="00570FE0" w:rsidP="00D4179D">
            <w:pPr>
              <w:tabs>
                <w:tab w:val="left" w:pos="720"/>
                <w:tab w:val="left" w:pos="1440"/>
                <w:tab w:val="left" w:pos="9240"/>
              </w:tabs>
              <w:jc w:val="both"/>
            </w:pPr>
            <w:r>
              <w:t>A3</w:t>
            </w:r>
          </w:p>
        </w:tc>
        <w:tc>
          <w:tcPr>
            <w:tcW w:w="236" w:type="dxa"/>
          </w:tcPr>
          <w:p w:rsidR="00FF14D8" w:rsidRDefault="00FF14D8" w:rsidP="00D4179D">
            <w:pPr>
              <w:tabs>
                <w:tab w:val="left" w:pos="720"/>
                <w:tab w:val="left" w:pos="1440"/>
                <w:tab w:val="left" w:pos="9240"/>
              </w:tabs>
              <w:jc w:val="both"/>
            </w:pPr>
          </w:p>
        </w:tc>
        <w:tc>
          <w:tcPr>
            <w:tcW w:w="1324" w:type="dxa"/>
          </w:tcPr>
          <w:p w:rsidR="00FF14D8" w:rsidRDefault="00570FE0" w:rsidP="00D4179D">
            <w:pPr>
              <w:tabs>
                <w:tab w:val="left" w:pos="720"/>
                <w:tab w:val="left" w:pos="1440"/>
                <w:tab w:val="left" w:pos="9240"/>
              </w:tabs>
              <w:jc w:val="center"/>
            </w:pPr>
            <w:r>
              <w:t>12</w:t>
            </w:r>
          </w:p>
        </w:tc>
        <w:tc>
          <w:tcPr>
            <w:tcW w:w="354" w:type="dxa"/>
          </w:tcPr>
          <w:p w:rsidR="00FF14D8" w:rsidRDefault="00FF14D8" w:rsidP="00D4179D">
            <w:pPr>
              <w:tabs>
                <w:tab w:val="left" w:pos="720"/>
                <w:tab w:val="left" w:pos="1440"/>
                <w:tab w:val="left" w:pos="9240"/>
              </w:tabs>
              <w:jc w:val="both"/>
            </w:pPr>
          </w:p>
        </w:tc>
        <w:tc>
          <w:tcPr>
            <w:tcW w:w="1567" w:type="dxa"/>
          </w:tcPr>
          <w:p w:rsidR="00FF14D8" w:rsidRDefault="00570FE0" w:rsidP="00D4179D">
            <w:pPr>
              <w:tabs>
                <w:tab w:val="left" w:pos="720"/>
                <w:tab w:val="left" w:pos="1440"/>
                <w:tab w:val="left" w:pos="9240"/>
              </w:tabs>
              <w:jc w:val="both"/>
            </w:pPr>
            <w:r>
              <w:t>A-</w:t>
            </w:r>
            <w:r w:rsidR="00FB1E69">
              <w:t>*</w:t>
            </w:r>
          </w:p>
        </w:tc>
        <w:tc>
          <w:tcPr>
            <w:tcW w:w="240" w:type="dxa"/>
          </w:tcPr>
          <w:p w:rsidR="00FF14D8" w:rsidRDefault="00FF14D8" w:rsidP="00D4179D">
            <w:pPr>
              <w:tabs>
                <w:tab w:val="left" w:pos="720"/>
                <w:tab w:val="left" w:pos="1440"/>
                <w:tab w:val="left" w:pos="9240"/>
              </w:tabs>
              <w:jc w:val="both"/>
            </w:pPr>
          </w:p>
        </w:tc>
        <w:tc>
          <w:tcPr>
            <w:tcW w:w="1319" w:type="dxa"/>
          </w:tcPr>
          <w:p w:rsidR="00FF14D8" w:rsidRDefault="00570FE0" w:rsidP="00D4179D">
            <w:pPr>
              <w:tabs>
                <w:tab w:val="left" w:pos="720"/>
                <w:tab w:val="left" w:pos="1440"/>
                <w:tab w:val="left" w:pos="9240"/>
              </w:tabs>
              <w:jc w:val="center"/>
            </w:pPr>
            <w:r>
              <w:t>18</w:t>
            </w:r>
          </w:p>
        </w:tc>
      </w:tr>
      <w:tr w:rsidR="00570FE0" w:rsidTr="00CC06DB">
        <w:tc>
          <w:tcPr>
            <w:tcW w:w="1548" w:type="dxa"/>
          </w:tcPr>
          <w:p w:rsidR="00570FE0" w:rsidRDefault="00570FE0" w:rsidP="00D4179D">
            <w:pPr>
              <w:tabs>
                <w:tab w:val="left" w:pos="720"/>
                <w:tab w:val="left" w:pos="1440"/>
                <w:tab w:val="left" w:pos="9240"/>
              </w:tabs>
              <w:jc w:val="both"/>
            </w:pPr>
            <w:r>
              <w:t>Baa1</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10</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9</w:t>
            </w:r>
          </w:p>
        </w:tc>
      </w:tr>
      <w:tr w:rsidR="00570FE0" w:rsidTr="00CC06DB">
        <w:tc>
          <w:tcPr>
            <w:tcW w:w="1548" w:type="dxa"/>
          </w:tcPr>
          <w:p w:rsidR="00570FE0" w:rsidRDefault="00570FE0" w:rsidP="00D4179D">
            <w:pPr>
              <w:tabs>
                <w:tab w:val="left" w:pos="720"/>
                <w:tab w:val="left" w:pos="1440"/>
                <w:tab w:val="left" w:pos="9240"/>
              </w:tabs>
              <w:jc w:val="both"/>
            </w:pPr>
            <w:r>
              <w:t>Baa2</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 xml:space="preserve"> 15</w:t>
            </w:r>
            <w:r w:rsidR="00D644AC">
              <w:t xml:space="preserve"> </w:t>
            </w:r>
            <w:r w:rsidR="00FB1E69">
              <w:t>*</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11</w:t>
            </w:r>
          </w:p>
        </w:tc>
      </w:tr>
      <w:tr w:rsidR="00570FE0" w:rsidTr="00CC06DB">
        <w:tc>
          <w:tcPr>
            <w:tcW w:w="1548" w:type="dxa"/>
          </w:tcPr>
          <w:p w:rsidR="00570FE0" w:rsidRDefault="00570FE0" w:rsidP="00D4179D">
            <w:pPr>
              <w:tabs>
                <w:tab w:val="left" w:pos="720"/>
                <w:tab w:val="left" w:pos="1440"/>
                <w:tab w:val="left" w:pos="9240"/>
              </w:tabs>
              <w:jc w:val="both"/>
            </w:pPr>
            <w:r>
              <w:t>Baa3</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5</w:t>
            </w:r>
          </w:p>
        </w:tc>
      </w:tr>
      <w:tr w:rsidR="00570FE0" w:rsidTr="00570FE0">
        <w:tc>
          <w:tcPr>
            <w:tcW w:w="1548" w:type="dxa"/>
          </w:tcPr>
          <w:p w:rsidR="00570FE0" w:rsidRDefault="00570FE0" w:rsidP="00D4179D">
            <w:pPr>
              <w:tabs>
                <w:tab w:val="left" w:pos="720"/>
                <w:tab w:val="left" w:pos="1440"/>
                <w:tab w:val="left" w:pos="9240"/>
              </w:tabs>
              <w:jc w:val="both"/>
            </w:pPr>
            <w:proofErr w:type="spellStart"/>
            <w:r>
              <w:t>Ba</w:t>
            </w:r>
            <w:proofErr w:type="spellEnd"/>
            <w:r>
              <w:t xml:space="preserve"> or less</w:t>
            </w:r>
          </w:p>
        </w:tc>
        <w:tc>
          <w:tcPr>
            <w:tcW w:w="236" w:type="dxa"/>
          </w:tcPr>
          <w:p w:rsidR="00570FE0" w:rsidRDefault="00570FE0" w:rsidP="00D4179D">
            <w:pPr>
              <w:tabs>
                <w:tab w:val="left" w:pos="720"/>
                <w:tab w:val="left" w:pos="1440"/>
                <w:tab w:val="left" w:pos="9240"/>
              </w:tabs>
              <w:jc w:val="both"/>
            </w:pPr>
          </w:p>
        </w:tc>
        <w:tc>
          <w:tcPr>
            <w:tcW w:w="1324" w:type="dxa"/>
          </w:tcPr>
          <w:p w:rsidR="00570FE0" w:rsidRDefault="00570FE0" w:rsidP="00D4179D">
            <w:pPr>
              <w:tabs>
                <w:tab w:val="left" w:pos="720"/>
                <w:tab w:val="left" w:pos="1440"/>
                <w:tab w:val="left" w:pos="9240"/>
              </w:tabs>
              <w:jc w:val="center"/>
            </w:pPr>
            <w:r>
              <w:t>1</w:t>
            </w:r>
          </w:p>
        </w:tc>
        <w:tc>
          <w:tcPr>
            <w:tcW w:w="354" w:type="dxa"/>
          </w:tcPr>
          <w:p w:rsidR="00570FE0" w:rsidRDefault="00570FE0" w:rsidP="00D4179D">
            <w:pPr>
              <w:tabs>
                <w:tab w:val="left" w:pos="720"/>
                <w:tab w:val="left" w:pos="1440"/>
                <w:tab w:val="left" w:pos="9240"/>
              </w:tabs>
              <w:jc w:val="both"/>
            </w:pPr>
          </w:p>
        </w:tc>
        <w:tc>
          <w:tcPr>
            <w:tcW w:w="1567" w:type="dxa"/>
          </w:tcPr>
          <w:p w:rsidR="00570FE0" w:rsidRDefault="00570FE0" w:rsidP="00D4179D">
            <w:pPr>
              <w:tabs>
                <w:tab w:val="left" w:pos="720"/>
                <w:tab w:val="left" w:pos="1440"/>
                <w:tab w:val="left" w:pos="9240"/>
              </w:tabs>
              <w:jc w:val="both"/>
            </w:pPr>
            <w:r>
              <w:t>BB</w:t>
            </w:r>
          </w:p>
        </w:tc>
        <w:tc>
          <w:tcPr>
            <w:tcW w:w="240" w:type="dxa"/>
          </w:tcPr>
          <w:p w:rsidR="00570FE0" w:rsidRDefault="00570FE0" w:rsidP="00D4179D">
            <w:pPr>
              <w:tabs>
                <w:tab w:val="left" w:pos="720"/>
                <w:tab w:val="left" w:pos="1440"/>
                <w:tab w:val="left" w:pos="9240"/>
              </w:tabs>
              <w:jc w:val="both"/>
            </w:pPr>
          </w:p>
        </w:tc>
        <w:tc>
          <w:tcPr>
            <w:tcW w:w="1319" w:type="dxa"/>
          </w:tcPr>
          <w:p w:rsidR="00570FE0" w:rsidRDefault="00570FE0" w:rsidP="00D4179D">
            <w:pPr>
              <w:tabs>
                <w:tab w:val="left" w:pos="720"/>
                <w:tab w:val="left" w:pos="1440"/>
                <w:tab w:val="left" w:pos="9240"/>
              </w:tabs>
              <w:jc w:val="center"/>
            </w:pPr>
            <w:r>
              <w:t>1</w:t>
            </w:r>
          </w:p>
        </w:tc>
      </w:tr>
      <w:tr w:rsidR="00570FE0" w:rsidTr="00570FE0">
        <w:tc>
          <w:tcPr>
            <w:tcW w:w="1548" w:type="dxa"/>
            <w:tcBorders>
              <w:bottom w:val="single" w:sz="4" w:space="0" w:color="auto"/>
            </w:tcBorders>
          </w:tcPr>
          <w:p w:rsidR="00570FE0" w:rsidRDefault="00570FE0" w:rsidP="00D4179D">
            <w:pPr>
              <w:tabs>
                <w:tab w:val="left" w:pos="720"/>
                <w:tab w:val="left" w:pos="1440"/>
                <w:tab w:val="left" w:pos="9240"/>
              </w:tabs>
              <w:jc w:val="both"/>
            </w:pPr>
            <w:r>
              <w:t>NR</w:t>
            </w:r>
          </w:p>
        </w:tc>
        <w:tc>
          <w:tcPr>
            <w:tcW w:w="236" w:type="dxa"/>
            <w:tcBorders>
              <w:bottom w:val="single" w:sz="4" w:space="0" w:color="auto"/>
            </w:tcBorders>
          </w:tcPr>
          <w:p w:rsidR="00570FE0" w:rsidRDefault="00570FE0" w:rsidP="00D4179D">
            <w:pPr>
              <w:tabs>
                <w:tab w:val="left" w:pos="720"/>
                <w:tab w:val="left" w:pos="1440"/>
                <w:tab w:val="left" w:pos="9240"/>
              </w:tabs>
              <w:jc w:val="both"/>
            </w:pPr>
          </w:p>
        </w:tc>
        <w:tc>
          <w:tcPr>
            <w:tcW w:w="1324" w:type="dxa"/>
            <w:tcBorders>
              <w:bottom w:val="single" w:sz="4" w:space="0" w:color="auto"/>
            </w:tcBorders>
          </w:tcPr>
          <w:p w:rsidR="00570FE0" w:rsidRDefault="00570FE0" w:rsidP="00D4179D">
            <w:pPr>
              <w:tabs>
                <w:tab w:val="left" w:pos="720"/>
                <w:tab w:val="left" w:pos="1440"/>
                <w:tab w:val="left" w:pos="9240"/>
              </w:tabs>
              <w:jc w:val="center"/>
            </w:pPr>
            <w:r>
              <w:t>6</w:t>
            </w:r>
          </w:p>
        </w:tc>
        <w:tc>
          <w:tcPr>
            <w:tcW w:w="354" w:type="dxa"/>
            <w:tcBorders>
              <w:bottom w:val="single" w:sz="4" w:space="0" w:color="auto"/>
            </w:tcBorders>
          </w:tcPr>
          <w:p w:rsidR="00570FE0" w:rsidRDefault="00570FE0" w:rsidP="00D4179D">
            <w:pPr>
              <w:tabs>
                <w:tab w:val="left" w:pos="720"/>
                <w:tab w:val="left" w:pos="1440"/>
                <w:tab w:val="left" w:pos="9240"/>
              </w:tabs>
              <w:jc w:val="both"/>
            </w:pPr>
          </w:p>
        </w:tc>
        <w:tc>
          <w:tcPr>
            <w:tcW w:w="1567" w:type="dxa"/>
            <w:tcBorders>
              <w:bottom w:val="single" w:sz="4" w:space="0" w:color="auto"/>
            </w:tcBorders>
          </w:tcPr>
          <w:p w:rsidR="00570FE0" w:rsidRDefault="00570FE0" w:rsidP="00D4179D">
            <w:pPr>
              <w:tabs>
                <w:tab w:val="left" w:pos="720"/>
                <w:tab w:val="left" w:pos="1440"/>
                <w:tab w:val="left" w:pos="9240"/>
              </w:tabs>
              <w:jc w:val="both"/>
            </w:pPr>
            <w:r>
              <w:t>NR</w:t>
            </w:r>
          </w:p>
        </w:tc>
        <w:tc>
          <w:tcPr>
            <w:tcW w:w="240" w:type="dxa"/>
            <w:tcBorders>
              <w:bottom w:val="single" w:sz="4" w:space="0" w:color="auto"/>
            </w:tcBorders>
          </w:tcPr>
          <w:p w:rsidR="00570FE0" w:rsidRDefault="00570FE0" w:rsidP="00D4179D">
            <w:pPr>
              <w:tabs>
                <w:tab w:val="left" w:pos="720"/>
                <w:tab w:val="left" w:pos="1440"/>
                <w:tab w:val="left" w:pos="9240"/>
              </w:tabs>
              <w:jc w:val="both"/>
            </w:pPr>
          </w:p>
        </w:tc>
        <w:tc>
          <w:tcPr>
            <w:tcW w:w="1319" w:type="dxa"/>
            <w:tcBorders>
              <w:bottom w:val="single" w:sz="4" w:space="0" w:color="auto"/>
            </w:tcBorders>
          </w:tcPr>
          <w:p w:rsidR="00570FE0" w:rsidRDefault="00570FE0" w:rsidP="00D4179D">
            <w:pPr>
              <w:tabs>
                <w:tab w:val="left" w:pos="720"/>
                <w:tab w:val="left" w:pos="1440"/>
                <w:tab w:val="left" w:pos="9240"/>
              </w:tabs>
              <w:jc w:val="center"/>
            </w:pPr>
            <w:r>
              <w:t>5</w:t>
            </w:r>
          </w:p>
        </w:tc>
      </w:tr>
      <w:tr w:rsidR="00570FE0" w:rsidTr="00570FE0">
        <w:tc>
          <w:tcPr>
            <w:tcW w:w="3108" w:type="dxa"/>
            <w:gridSpan w:val="3"/>
            <w:tcBorders>
              <w:top w:val="single" w:sz="4" w:space="0" w:color="auto"/>
            </w:tcBorders>
          </w:tcPr>
          <w:p w:rsidR="00570FE0" w:rsidRDefault="00570FE0" w:rsidP="00D4179D">
            <w:pPr>
              <w:tabs>
                <w:tab w:val="left" w:pos="720"/>
                <w:tab w:val="left" w:pos="1440"/>
                <w:tab w:val="left" w:pos="9240"/>
              </w:tabs>
            </w:pPr>
            <w:r>
              <w:t xml:space="preserve">* </w:t>
            </w:r>
            <w:r w:rsidR="00FB1E69">
              <w:t>PSE</w:t>
            </w:r>
            <w:r>
              <w:t>’s rating.</w:t>
            </w:r>
          </w:p>
        </w:tc>
        <w:tc>
          <w:tcPr>
            <w:tcW w:w="354" w:type="dxa"/>
            <w:tcBorders>
              <w:top w:val="single" w:sz="4" w:space="0" w:color="auto"/>
            </w:tcBorders>
          </w:tcPr>
          <w:p w:rsidR="00570FE0" w:rsidRDefault="00570FE0" w:rsidP="00D4179D">
            <w:pPr>
              <w:tabs>
                <w:tab w:val="left" w:pos="720"/>
                <w:tab w:val="left" w:pos="1440"/>
                <w:tab w:val="left" w:pos="9240"/>
              </w:tabs>
              <w:jc w:val="both"/>
            </w:pPr>
          </w:p>
        </w:tc>
        <w:tc>
          <w:tcPr>
            <w:tcW w:w="1567" w:type="dxa"/>
            <w:tcBorders>
              <w:top w:val="single" w:sz="4" w:space="0" w:color="auto"/>
            </w:tcBorders>
          </w:tcPr>
          <w:p w:rsidR="00570FE0" w:rsidRDefault="00570FE0" w:rsidP="00D4179D">
            <w:pPr>
              <w:tabs>
                <w:tab w:val="left" w:pos="720"/>
                <w:tab w:val="left" w:pos="1440"/>
                <w:tab w:val="left" w:pos="9240"/>
              </w:tabs>
              <w:jc w:val="both"/>
            </w:pPr>
          </w:p>
        </w:tc>
        <w:tc>
          <w:tcPr>
            <w:tcW w:w="240" w:type="dxa"/>
            <w:tcBorders>
              <w:top w:val="single" w:sz="4" w:space="0" w:color="auto"/>
            </w:tcBorders>
          </w:tcPr>
          <w:p w:rsidR="00570FE0" w:rsidRDefault="00570FE0" w:rsidP="00D4179D">
            <w:pPr>
              <w:tabs>
                <w:tab w:val="left" w:pos="720"/>
                <w:tab w:val="left" w:pos="1440"/>
                <w:tab w:val="left" w:pos="9240"/>
              </w:tabs>
              <w:jc w:val="both"/>
            </w:pPr>
          </w:p>
        </w:tc>
        <w:tc>
          <w:tcPr>
            <w:tcW w:w="1319" w:type="dxa"/>
            <w:tcBorders>
              <w:top w:val="single" w:sz="4" w:space="0" w:color="auto"/>
            </w:tcBorders>
          </w:tcPr>
          <w:p w:rsidR="00570FE0" w:rsidRDefault="00570FE0" w:rsidP="00D4179D">
            <w:pPr>
              <w:tabs>
                <w:tab w:val="left" w:pos="720"/>
                <w:tab w:val="left" w:pos="1440"/>
                <w:tab w:val="left" w:pos="9240"/>
              </w:tabs>
              <w:jc w:val="center"/>
            </w:pPr>
          </w:p>
        </w:tc>
      </w:tr>
    </w:tbl>
    <w:p w:rsidR="00FF14D8" w:rsidRDefault="00FF14D8" w:rsidP="00CA2476">
      <w:pPr>
        <w:tabs>
          <w:tab w:val="left" w:pos="720"/>
          <w:tab w:val="left" w:pos="1440"/>
          <w:tab w:val="left" w:pos="9240"/>
        </w:tabs>
        <w:spacing w:line="480" w:lineRule="auto"/>
        <w:jc w:val="both"/>
      </w:pPr>
    </w:p>
    <w:p w:rsidR="00FF14D8" w:rsidRDefault="00FF14D8" w:rsidP="009E2531">
      <w:pPr>
        <w:tabs>
          <w:tab w:val="left" w:pos="720"/>
          <w:tab w:val="left" w:pos="1440"/>
          <w:tab w:val="left" w:pos="9240"/>
        </w:tabs>
        <w:spacing w:line="480" w:lineRule="auto"/>
        <w:ind w:left="720" w:hanging="720"/>
        <w:jc w:val="both"/>
      </w:pPr>
    </w:p>
    <w:p w:rsidR="00FF14D8" w:rsidRDefault="00FF14D8" w:rsidP="009E2531">
      <w:pPr>
        <w:tabs>
          <w:tab w:val="left" w:pos="720"/>
          <w:tab w:val="left" w:pos="1440"/>
          <w:tab w:val="left" w:pos="9240"/>
        </w:tabs>
        <w:spacing w:line="480" w:lineRule="auto"/>
        <w:ind w:left="720" w:hanging="720"/>
        <w:jc w:val="both"/>
      </w:pPr>
    </w:p>
    <w:p w:rsidR="00981E8F" w:rsidRDefault="00981E8F" w:rsidP="009E2531">
      <w:pPr>
        <w:tabs>
          <w:tab w:val="left" w:pos="720"/>
          <w:tab w:val="left" w:pos="1440"/>
          <w:tab w:val="left" w:pos="9240"/>
        </w:tabs>
        <w:spacing w:line="480" w:lineRule="auto"/>
        <w:ind w:left="720" w:hanging="720"/>
        <w:jc w:val="both"/>
      </w:pPr>
    </w:p>
    <w:p w:rsidR="00FF14D8" w:rsidRDefault="00FF14D8" w:rsidP="009E2531">
      <w:pPr>
        <w:tabs>
          <w:tab w:val="left" w:pos="720"/>
          <w:tab w:val="left" w:pos="1440"/>
          <w:tab w:val="left" w:pos="9240"/>
        </w:tabs>
        <w:spacing w:line="480" w:lineRule="auto"/>
        <w:ind w:left="720" w:hanging="720"/>
        <w:jc w:val="both"/>
      </w:pPr>
      <w:r>
        <w:tab/>
      </w:r>
    </w:p>
    <w:p w:rsidR="00570FE0" w:rsidRDefault="00570FE0" w:rsidP="009E2531">
      <w:pPr>
        <w:tabs>
          <w:tab w:val="left" w:pos="720"/>
          <w:tab w:val="left" w:pos="1440"/>
          <w:tab w:val="left" w:pos="9240"/>
        </w:tabs>
        <w:spacing w:line="480" w:lineRule="auto"/>
        <w:ind w:left="720" w:hanging="720"/>
        <w:jc w:val="both"/>
      </w:pPr>
    </w:p>
    <w:p w:rsidR="00B91BA3" w:rsidRDefault="00B91BA3" w:rsidP="009E2531">
      <w:pPr>
        <w:tabs>
          <w:tab w:val="left" w:pos="720"/>
          <w:tab w:val="left" w:pos="1440"/>
          <w:tab w:val="left" w:pos="9240"/>
        </w:tabs>
        <w:spacing w:line="480" w:lineRule="auto"/>
        <w:ind w:left="720" w:hanging="720"/>
        <w:jc w:val="both"/>
      </w:pPr>
    </w:p>
    <w:p w:rsidR="00C21B20" w:rsidRDefault="00FF14D8" w:rsidP="00417CF7">
      <w:pPr>
        <w:tabs>
          <w:tab w:val="left" w:pos="720"/>
          <w:tab w:val="left" w:pos="1440"/>
          <w:tab w:val="left" w:pos="9240"/>
        </w:tabs>
        <w:spacing w:line="480" w:lineRule="auto"/>
        <w:ind w:left="720" w:hanging="720"/>
      </w:pPr>
      <w:r>
        <w:tab/>
        <w:t xml:space="preserve">This comparison indicates that </w:t>
      </w:r>
      <w:r w:rsidR="00FB1E69">
        <w:t>PSE</w:t>
      </w:r>
      <w:r>
        <w:t xml:space="preserve">’s </w:t>
      </w:r>
      <w:r w:rsidR="00C21B20">
        <w:t xml:space="preserve">current </w:t>
      </w:r>
      <w:r>
        <w:t xml:space="preserve">ratings are </w:t>
      </w:r>
      <w:r w:rsidR="00E47CCF">
        <w:t>similar to</w:t>
      </w:r>
      <w:r>
        <w:t xml:space="preserve"> the most common rating categor</w:t>
      </w:r>
      <w:r w:rsidR="00E47CCF">
        <w:t>ies</w:t>
      </w:r>
      <w:r>
        <w:t xml:space="preserve"> of </w:t>
      </w:r>
      <w:r w:rsidR="00EA695C">
        <w:t xml:space="preserve">combination </w:t>
      </w:r>
      <w:r w:rsidR="00EC74AD">
        <w:t>gas/</w:t>
      </w:r>
      <w:r>
        <w:t>electric utilities.</w:t>
      </w:r>
    </w:p>
    <w:p w:rsidR="00FB10AF" w:rsidRDefault="00FF14D8" w:rsidP="00417CF7">
      <w:pPr>
        <w:tabs>
          <w:tab w:val="left" w:pos="720"/>
          <w:tab w:val="left" w:pos="1440"/>
          <w:tab w:val="left" w:pos="9240"/>
        </w:tabs>
        <w:spacing w:line="480" w:lineRule="auto"/>
        <w:ind w:left="720" w:hanging="720"/>
      </w:pPr>
      <w:r>
        <w:t xml:space="preserve">  </w:t>
      </w:r>
    </w:p>
    <w:p w:rsidR="00DE2546" w:rsidRDefault="00ED75A8" w:rsidP="00981E8F">
      <w:pPr>
        <w:tabs>
          <w:tab w:val="left" w:pos="720"/>
          <w:tab w:val="left" w:pos="1440"/>
          <w:tab w:val="left" w:pos="9240"/>
        </w:tabs>
        <w:spacing w:line="480" w:lineRule="auto"/>
        <w:jc w:val="center"/>
        <w:rPr>
          <w:b/>
          <w:u w:val="single"/>
        </w:rPr>
      </w:pPr>
      <w:r>
        <w:rPr>
          <w:b/>
        </w:rPr>
        <w:t>VI.</w:t>
      </w:r>
      <w:r>
        <w:rPr>
          <w:b/>
        </w:rPr>
        <w:tab/>
      </w:r>
      <w:r w:rsidRPr="000C7034">
        <w:rPr>
          <w:b/>
        </w:rPr>
        <w:t>CAPITAL STRUCTURE AND COST OF DEBT</w:t>
      </w:r>
    </w:p>
    <w:p w:rsidR="00ED75A8" w:rsidRDefault="00ED75A8" w:rsidP="009E2531">
      <w:pPr>
        <w:tabs>
          <w:tab w:val="left" w:pos="720"/>
          <w:tab w:val="left" w:pos="1440"/>
          <w:tab w:val="left" w:pos="9240"/>
        </w:tabs>
        <w:spacing w:line="480" w:lineRule="auto"/>
        <w:jc w:val="both"/>
        <w:rPr>
          <w:b/>
          <w:u w:val="single"/>
        </w:rPr>
      </w:pPr>
    </w:p>
    <w:p w:rsidR="00772498" w:rsidRDefault="00772498" w:rsidP="00417CF7">
      <w:pPr>
        <w:tabs>
          <w:tab w:val="left" w:pos="720"/>
          <w:tab w:val="left" w:pos="1440"/>
          <w:tab w:val="left" w:pos="9240"/>
        </w:tabs>
        <w:spacing w:line="480" w:lineRule="auto"/>
        <w:ind w:left="720" w:hanging="720"/>
        <w:rPr>
          <w:b/>
        </w:rPr>
      </w:pPr>
      <w:r>
        <w:rPr>
          <w:b/>
        </w:rPr>
        <w:t>Q.</w:t>
      </w:r>
      <w:r>
        <w:rPr>
          <w:b/>
        </w:rPr>
        <w:tab/>
        <w:t>W</w:t>
      </w:r>
      <w:r w:rsidR="000C7034">
        <w:rPr>
          <w:b/>
        </w:rPr>
        <w:t>hat is the importance of determining a proper capital structure in a regulatory framework</w:t>
      </w:r>
      <w:r>
        <w:rPr>
          <w:b/>
        </w:rPr>
        <w:t>?</w:t>
      </w:r>
    </w:p>
    <w:p w:rsidR="00772498" w:rsidRDefault="000C7034" w:rsidP="00417CF7">
      <w:pPr>
        <w:tabs>
          <w:tab w:val="left" w:pos="720"/>
          <w:tab w:val="left" w:pos="1440"/>
          <w:tab w:val="left" w:pos="9240"/>
        </w:tabs>
        <w:spacing w:line="480" w:lineRule="auto"/>
        <w:ind w:left="720" w:hanging="720"/>
      </w:pPr>
      <w:r>
        <w:t>A.</w:t>
      </w:r>
      <w:r>
        <w:tab/>
      </w:r>
      <w:r w:rsidR="00772498">
        <w:t>A utility’s capital structure is important because the concept of rate base – rate of return regulation requires that a utility’s capital structure be determined and utilized in estimating the total cost of capital.  Within this framework, it is proper to ascertain whether the utility’s capital structure is appropriate relative to its level of business risk and relative to other utilities.</w:t>
      </w:r>
    </w:p>
    <w:p w:rsidR="00772498" w:rsidRDefault="00772498" w:rsidP="00417CF7">
      <w:pPr>
        <w:tabs>
          <w:tab w:val="left" w:pos="720"/>
          <w:tab w:val="left" w:pos="1440"/>
          <w:tab w:val="left" w:pos="9240"/>
        </w:tabs>
        <w:spacing w:line="480" w:lineRule="auto"/>
        <w:ind w:left="720" w:hanging="720"/>
      </w:pPr>
      <w:r>
        <w:tab/>
      </w:r>
      <w:r>
        <w:tab/>
        <w:t xml:space="preserve">As </w:t>
      </w:r>
      <w:r w:rsidR="00C21B20">
        <w:t xml:space="preserve">I </w:t>
      </w:r>
      <w:r>
        <w:t xml:space="preserve">discussed in Section III of my testimony, the purpose of determining the proper capital structure for a utility is to help ascertain its capital costs.  The rate base – rate of return concept recognizes the assets employed in providing utility services and provides for a return on these assets by identifying the liabilities and common </w:t>
      </w:r>
      <w:r>
        <w:lastRenderedPageBreak/>
        <w:t>equity (and their cost rates) used to finance the assets.  In this process, the rate base is derived from the asset side of the balance sheet and the cost of capital is derived from the liabilities/owners’ equity side of the balance sheet.  The inherent assumption in this procedure is that the dollar values of the capital structure and the rate base are approximately equal and the former is utilized to finance the latter.</w:t>
      </w:r>
    </w:p>
    <w:p w:rsidR="00772498" w:rsidRDefault="00772498" w:rsidP="00417CF7">
      <w:pPr>
        <w:tabs>
          <w:tab w:val="left" w:pos="720"/>
          <w:tab w:val="left" w:pos="1440"/>
          <w:tab w:val="left" w:pos="9240"/>
        </w:tabs>
        <w:spacing w:line="480" w:lineRule="auto"/>
        <w:ind w:left="720" w:hanging="720"/>
      </w:pPr>
      <w:r>
        <w:tab/>
      </w:r>
      <w:r w:rsidR="003D3630">
        <w:tab/>
      </w:r>
      <w:r>
        <w:t>The common equity ratio (</w:t>
      </w:r>
      <w:r w:rsidR="009864AC" w:rsidRPr="009864AC">
        <w:t>i.e.</w:t>
      </w:r>
      <w:r>
        <w:t>, the percentage of common equity in the capital structure) is the capital structure item which normally receives the most attention.  This is the case because common equity:  (1) usually commands the highest cost rate; (2) generates associated income tax liabilities; and, (3) causes the most controversy since its cost cannot be precisely determined.</w:t>
      </w:r>
    </w:p>
    <w:p w:rsidR="00ED4F04" w:rsidRDefault="00ED4F04" w:rsidP="00417CF7">
      <w:pPr>
        <w:tabs>
          <w:tab w:val="left" w:pos="720"/>
          <w:tab w:val="left" w:pos="1440"/>
          <w:tab w:val="left" w:pos="9240"/>
        </w:tabs>
        <w:spacing w:line="480" w:lineRule="auto"/>
        <w:ind w:left="720" w:hanging="720"/>
      </w:pPr>
    </w:p>
    <w:p w:rsidR="00772498" w:rsidRDefault="00264C53" w:rsidP="00264C53">
      <w:pPr>
        <w:keepNext/>
        <w:keepLines/>
        <w:tabs>
          <w:tab w:val="left" w:pos="720"/>
          <w:tab w:val="left" w:pos="1440"/>
          <w:tab w:val="left" w:pos="9240"/>
        </w:tabs>
        <w:spacing w:line="480" w:lineRule="auto"/>
        <w:rPr>
          <w:b/>
        </w:rPr>
      </w:pPr>
      <w:r>
        <w:rPr>
          <w:b/>
        </w:rPr>
        <w:t>Q.</w:t>
      </w:r>
      <w:r>
        <w:rPr>
          <w:b/>
        </w:rPr>
        <w:tab/>
        <w:t>H</w:t>
      </w:r>
      <w:r w:rsidR="000C7034">
        <w:rPr>
          <w:b/>
        </w:rPr>
        <w:t>ow have you evaluated the capital structure of</w:t>
      </w:r>
      <w:r w:rsidR="00772498">
        <w:rPr>
          <w:b/>
        </w:rPr>
        <w:t xml:space="preserve"> </w:t>
      </w:r>
      <w:r w:rsidR="00FB1E69">
        <w:rPr>
          <w:b/>
        </w:rPr>
        <w:t>PSE</w:t>
      </w:r>
      <w:r w:rsidR="00772498">
        <w:rPr>
          <w:b/>
        </w:rPr>
        <w:t>?</w:t>
      </w:r>
    </w:p>
    <w:p w:rsidR="008F7AF5" w:rsidRDefault="00772498" w:rsidP="00CA2476">
      <w:pPr>
        <w:keepNext/>
        <w:keepLines/>
        <w:tabs>
          <w:tab w:val="left" w:pos="720"/>
          <w:tab w:val="left" w:pos="1440"/>
          <w:tab w:val="left" w:pos="9240"/>
        </w:tabs>
        <w:spacing w:line="480" w:lineRule="auto"/>
        <w:ind w:left="720" w:hanging="720"/>
      </w:pPr>
      <w:r>
        <w:t>A.</w:t>
      </w:r>
      <w:r>
        <w:tab/>
        <w:t>I have first exami</w:t>
      </w:r>
      <w:r w:rsidR="00570FE0">
        <w:t>ned the five year historic (2004</w:t>
      </w:r>
      <w:r>
        <w:t>-200</w:t>
      </w:r>
      <w:r w:rsidR="00FF14D8">
        <w:t>8</w:t>
      </w:r>
      <w:r>
        <w:t xml:space="preserve">) capital structure ratios of </w:t>
      </w:r>
      <w:r w:rsidR="00FB1E69">
        <w:t>PSE</w:t>
      </w:r>
      <w:r>
        <w:t xml:space="preserve">.  These are shown on </w:t>
      </w:r>
      <w:r w:rsidR="00993D58">
        <w:t xml:space="preserve">Exhibit No. </w:t>
      </w:r>
      <w:r w:rsidR="00A10438">
        <w:t>DCP-</w:t>
      </w:r>
      <w:r w:rsidR="00FB1E69">
        <w:t>8</w:t>
      </w:r>
      <w:r>
        <w:t>.</w:t>
      </w:r>
      <w:r w:rsidR="00E47CCF">
        <w:t xml:space="preserve">  </w:t>
      </w:r>
      <w:r w:rsidR="00C21B20">
        <w:t xml:space="preserve">Here are </w:t>
      </w:r>
      <w:r>
        <w:t xml:space="preserve">the common equity ratios for </w:t>
      </w:r>
      <w:r w:rsidR="00FB1E69">
        <w:t>PSE</w:t>
      </w:r>
      <w:r w:rsidR="00C21B20">
        <w:t xml:space="preserve"> between 2004 and 2008</w:t>
      </w:r>
      <w:r>
        <w:t>:</w:t>
      </w:r>
    </w:p>
    <w:p w:rsidR="008F7AF5" w:rsidRDefault="008F7AF5" w:rsidP="00CA2476">
      <w:pPr>
        <w:keepNext/>
        <w:keepLines/>
        <w:tabs>
          <w:tab w:val="left" w:pos="720"/>
          <w:tab w:val="left" w:pos="1440"/>
          <w:tab w:val="left" w:pos="9240"/>
        </w:tabs>
        <w:spacing w:line="480" w:lineRule="auto"/>
        <w:ind w:left="720" w:hanging="720"/>
      </w:pPr>
    </w:p>
    <w:tbl>
      <w:tblPr>
        <w:tblpPr w:leftFromText="180" w:rightFromText="180" w:vertAnchor="text" w:horzAnchor="page" w:tblpX="3343" w:tblpY="-119"/>
        <w:tblW w:w="0" w:type="auto"/>
        <w:tblLook w:val="01E0"/>
      </w:tblPr>
      <w:tblGrid>
        <w:gridCol w:w="696"/>
        <w:gridCol w:w="222"/>
        <w:gridCol w:w="2083"/>
        <w:gridCol w:w="222"/>
        <w:gridCol w:w="2150"/>
      </w:tblGrid>
      <w:tr w:rsidR="008F7AF5" w:rsidTr="008F7AF5">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both"/>
            </w:pPr>
          </w:p>
        </w:tc>
        <w:tc>
          <w:tcPr>
            <w:tcW w:w="0" w:type="auto"/>
            <w:tcBorders>
              <w:bottom w:val="single" w:sz="4" w:space="0" w:color="auto"/>
            </w:tcBorders>
          </w:tcPr>
          <w:p w:rsidR="008F7AF5" w:rsidRDefault="008F7AF5" w:rsidP="008F7AF5">
            <w:pPr>
              <w:tabs>
                <w:tab w:val="left" w:pos="720"/>
                <w:tab w:val="left" w:pos="1440"/>
                <w:tab w:val="left" w:pos="9240"/>
              </w:tabs>
              <w:jc w:val="center"/>
            </w:pPr>
            <w:r>
              <w:t>Including S-T Debt</w:t>
            </w:r>
          </w:p>
        </w:tc>
        <w:tc>
          <w:tcPr>
            <w:tcW w:w="0" w:type="auto"/>
          </w:tcPr>
          <w:p w:rsidR="008F7AF5" w:rsidRDefault="008F7AF5" w:rsidP="008F7AF5">
            <w:pPr>
              <w:tabs>
                <w:tab w:val="left" w:pos="720"/>
                <w:tab w:val="left" w:pos="1440"/>
                <w:tab w:val="left" w:pos="9240"/>
              </w:tabs>
              <w:jc w:val="center"/>
            </w:pPr>
          </w:p>
        </w:tc>
        <w:tc>
          <w:tcPr>
            <w:tcW w:w="0" w:type="auto"/>
            <w:tcBorders>
              <w:bottom w:val="single" w:sz="4" w:space="0" w:color="auto"/>
            </w:tcBorders>
          </w:tcPr>
          <w:p w:rsidR="008F7AF5" w:rsidRDefault="008F7AF5" w:rsidP="008F7AF5">
            <w:pPr>
              <w:tabs>
                <w:tab w:val="left" w:pos="720"/>
                <w:tab w:val="left" w:pos="1440"/>
                <w:tab w:val="left" w:pos="9240"/>
              </w:tabs>
              <w:jc w:val="center"/>
            </w:pPr>
            <w:r>
              <w:t>Excluding S-T Debt</w:t>
            </w:r>
          </w:p>
        </w:tc>
      </w:tr>
      <w:tr w:rsidR="008F7AF5" w:rsidTr="008F7AF5">
        <w:tc>
          <w:tcPr>
            <w:tcW w:w="0" w:type="auto"/>
          </w:tcPr>
          <w:p w:rsidR="008F7AF5" w:rsidRDefault="008F7AF5" w:rsidP="008F7AF5">
            <w:pPr>
              <w:tabs>
                <w:tab w:val="left" w:pos="720"/>
                <w:tab w:val="left" w:pos="1440"/>
                <w:tab w:val="left" w:pos="9240"/>
              </w:tabs>
              <w:jc w:val="both"/>
            </w:pPr>
            <w:r>
              <w:t>2004</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38.7%</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40.1%</w:t>
            </w:r>
          </w:p>
        </w:tc>
      </w:tr>
      <w:tr w:rsidR="008F7AF5" w:rsidTr="008F7AF5">
        <w:tc>
          <w:tcPr>
            <w:tcW w:w="0" w:type="auto"/>
          </w:tcPr>
          <w:p w:rsidR="008F7AF5" w:rsidRDefault="008F7AF5" w:rsidP="008F7AF5">
            <w:pPr>
              <w:tabs>
                <w:tab w:val="left" w:pos="720"/>
                <w:tab w:val="left" w:pos="1440"/>
                <w:tab w:val="left" w:pos="9240"/>
              </w:tabs>
              <w:jc w:val="both"/>
            </w:pPr>
            <w:r>
              <w:t>2005</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43.8%</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44.2%</w:t>
            </w:r>
          </w:p>
        </w:tc>
      </w:tr>
      <w:tr w:rsidR="008F7AF5" w:rsidTr="008F7AF5">
        <w:tc>
          <w:tcPr>
            <w:tcW w:w="0" w:type="auto"/>
          </w:tcPr>
          <w:p w:rsidR="008F7AF5" w:rsidRDefault="008F7AF5" w:rsidP="008F7AF5">
            <w:pPr>
              <w:tabs>
                <w:tab w:val="left" w:pos="720"/>
                <w:tab w:val="left" w:pos="1440"/>
                <w:tab w:val="left" w:pos="9240"/>
              </w:tabs>
              <w:jc w:val="both"/>
            </w:pPr>
            <w:r>
              <w:t>2006</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40.1%</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43.0%</w:t>
            </w:r>
          </w:p>
        </w:tc>
      </w:tr>
      <w:tr w:rsidR="008F7AF5" w:rsidTr="008F7AF5">
        <w:tc>
          <w:tcPr>
            <w:tcW w:w="0" w:type="auto"/>
          </w:tcPr>
          <w:p w:rsidR="008F7AF5" w:rsidRDefault="008F7AF5" w:rsidP="008F7AF5">
            <w:pPr>
              <w:tabs>
                <w:tab w:val="left" w:pos="720"/>
                <w:tab w:val="left" w:pos="1440"/>
                <w:tab w:val="left" w:pos="9240"/>
              </w:tabs>
              <w:jc w:val="both"/>
            </w:pPr>
            <w:r>
              <w:t>2007</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44.4%</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46.7%</w:t>
            </w:r>
          </w:p>
        </w:tc>
      </w:tr>
      <w:tr w:rsidR="008F7AF5" w:rsidTr="008F7AF5">
        <w:tc>
          <w:tcPr>
            <w:tcW w:w="0" w:type="auto"/>
          </w:tcPr>
          <w:p w:rsidR="008F7AF5" w:rsidRDefault="008F7AF5" w:rsidP="008F7AF5">
            <w:pPr>
              <w:tabs>
                <w:tab w:val="left" w:pos="720"/>
                <w:tab w:val="left" w:pos="1440"/>
                <w:tab w:val="left" w:pos="9240"/>
              </w:tabs>
              <w:jc w:val="both"/>
            </w:pPr>
            <w:r>
              <w:t>2008</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38.0%</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45.6%</w:t>
            </w:r>
          </w:p>
        </w:tc>
      </w:tr>
    </w:tbl>
    <w:p w:rsidR="008F7AF5" w:rsidRDefault="008F7AF5" w:rsidP="00CA2476">
      <w:pPr>
        <w:keepNext/>
        <w:keepLines/>
        <w:tabs>
          <w:tab w:val="left" w:pos="720"/>
          <w:tab w:val="left" w:pos="1440"/>
          <w:tab w:val="left" w:pos="9240"/>
        </w:tabs>
        <w:spacing w:line="480" w:lineRule="auto"/>
        <w:ind w:left="720" w:hanging="720"/>
      </w:pPr>
    </w:p>
    <w:p w:rsidR="008F7AF5" w:rsidRDefault="008F7AF5" w:rsidP="00CA2476">
      <w:pPr>
        <w:keepNext/>
        <w:keepLines/>
        <w:tabs>
          <w:tab w:val="left" w:pos="720"/>
          <w:tab w:val="left" w:pos="1440"/>
          <w:tab w:val="left" w:pos="9240"/>
        </w:tabs>
        <w:spacing w:line="480" w:lineRule="auto"/>
        <w:ind w:left="720" w:hanging="720"/>
      </w:pPr>
    </w:p>
    <w:p w:rsidR="00FB10AF" w:rsidRDefault="00FB10AF" w:rsidP="00CA2476">
      <w:pPr>
        <w:keepNext/>
        <w:keepLines/>
        <w:tabs>
          <w:tab w:val="left" w:pos="720"/>
          <w:tab w:val="left" w:pos="1440"/>
          <w:tab w:val="left" w:pos="9240"/>
        </w:tabs>
        <w:spacing w:line="480" w:lineRule="auto"/>
        <w:ind w:left="720" w:hanging="720"/>
      </w:pPr>
    </w:p>
    <w:p w:rsidR="00BC09DA" w:rsidRDefault="00B41296" w:rsidP="00417CF7">
      <w:pPr>
        <w:tabs>
          <w:tab w:val="left" w:pos="720"/>
          <w:tab w:val="left" w:pos="1440"/>
          <w:tab w:val="left" w:pos="9240"/>
        </w:tabs>
        <w:spacing w:line="480" w:lineRule="auto"/>
        <w:ind w:left="720" w:hanging="720"/>
      </w:pPr>
      <w:r>
        <w:rPr>
          <w:b/>
        </w:rPr>
        <w:tab/>
      </w:r>
      <w:r w:rsidR="00772498" w:rsidRPr="00B91598">
        <w:t xml:space="preserve">This </w:t>
      </w:r>
      <w:r w:rsidR="00C21B20">
        <w:t xml:space="preserve">chart </w:t>
      </w:r>
      <w:r w:rsidR="00772498" w:rsidRPr="00B91598">
        <w:t xml:space="preserve">indicates </w:t>
      </w:r>
      <w:r w:rsidR="00C21B20">
        <w:t xml:space="preserve">that </w:t>
      </w:r>
      <w:r w:rsidR="00FB1E69">
        <w:t>PSE</w:t>
      </w:r>
      <w:r w:rsidR="00C21B20">
        <w:t xml:space="preserve">’s common equity ratio </w:t>
      </w:r>
      <w:r w:rsidR="00FB10AF">
        <w:t xml:space="preserve">(excluding short-term debt) </w:t>
      </w:r>
      <w:r w:rsidR="00C21B20">
        <w:t xml:space="preserve">has </w:t>
      </w:r>
      <w:r w:rsidR="00392003">
        <w:t xml:space="preserve">generally </w:t>
      </w:r>
      <w:r w:rsidR="004C1FC3">
        <w:t>remained in the mid-</w:t>
      </w:r>
      <w:r w:rsidR="00FB1E69">
        <w:t>forty percent range.</w:t>
      </w:r>
      <w:r w:rsidR="00FB10AF">
        <w:t xml:space="preserve">  Including short-term debt, the equity ratios were lower and were less than 40 percent in 2008.</w:t>
      </w:r>
    </w:p>
    <w:p w:rsidR="008B65D4" w:rsidRDefault="008B65D4"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pPr>
      <w:r>
        <w:rPr>
          <w:b/>
        </w:rPr>
        <w:lastRenderedPageBreak/>
        <w:t>Q.</w:t>
      </w:r>
      <w:r>
        <w:rPr>
          <w:b/>
        </w:rPr>
        <w:tab/>
        <w:t>How do these compare to the</w:t>
      </w:r>
      <w:r w:rsidR="00B41296">
        <w:rPr>
          <w:b/>
        </w:rPr>
        <w:t xml:space="preserve"> historic capital structure of P</w:t>
      </w:r>
      <w:r>
        <w:rPr>
          <w:b/>
        </w:rPr>
        <w:t>H?</w:t>
      </w:r>
    </w:p>
    <w:p w:rsidR="00FB10AF" w:rsidRDefault="00FB10AF" w:rsidP="00417CF7">
      <w:pPr>
        <w:tabs>
          <w:tab w:val="left" w:pos="720"/>
          <w:tab w:val="left" w:pos="1440"/>
          <w:tab w:val="left" w:pos="9240"/>
        </w:tabs>
        <w:spacing w:line="480" w:lineRule="auto"/>
        <w:ind w:left="720" w:hanging="720"/>
      </w:pPr>
      <w:r>
        <w:t>A.</w:t>
      </w:r>
      <w:r>
        <w:tab/>
        <w:t>Those are shown on page 2 of Exhibit No.</w:t>
      </w:r>
      <w:r w:rsidR="007C6E29">
        <w:t xml:space="preserve"> </w:t>
      </w:r>
      <w:r>
        <w:t>DCP-8.  The annual common equity ratios are:</w:t>
      </w:r>
    </w:p>
    <w:tbl>
      <w:tblPr>
        <w:tblpPr w:leftFromText="180" w:rightFromText="180" w:vertAnchor="text" w:horzAnchor="page" w:tblpX="3643" w:tblpY="17"/>
        <w:tblW w:w="0" w:type="auto"/>
        <w:tblLook w:val="01E0"/>
      </w:tblPr>
      <w:tblGrid>
        <w:gridCol w:w="696"/>
        <w:gridCol w:w="222"/>
        <w:gridCol w:w="2083"/>
        <w:gridCol w:w="222"/>
        <w:gridCol w:w="2150"/>
      </w:tblGrid>
      <w:tr w:rsidR="008F7AF5" w:rsidTr="008F7AF5">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both"/>
            </w:pPr>
          </w:p>
        </w:tc>
        <w:tc>
          <w:tcPr>
            <w:tcW w:w="0" w:type="auto"/>
            <w:tcBorders>
              <w:bottom w:val="single" w:sz="4" w:space="0" w:color="auto"/>
            </w:tcBorders>
          </w:tcPr>
          <w:p w:rsidR="008F7AF5" w:rsidRDefault="008F7AF5" w:rsidP="008F7AF5">
            <w:pPr>
              <w:tabs>
                <w:tab w:val="left" w:pos="720"/>
                <w:tab w:val="left" w:pos="1440"/>
                <w:tab w:val="left" w:pos="9240"/>
              </w:tabs>
              <w:jc w:val="center"/>
            </w:pPr>
            <w:r>
              <w:t>Including S-T Debt</w:t>
            </w:r>
          </w:p>
        </w:tc>
        <w:tc>
          <w:tcPr>
            <w:tcW w:w="0" w:type="auto"/>
          </w:tcPr>
          <w:p w:rsidR="008F7AF5" w:rsidRDefault="008F7AF5" w:rsidP="008F7AF5">
            <w:pPr>
              <w:tabs>
                <w:tab w:val="left" w:pos="720"/>
                <w:tab w:val="left" w:pos="1440"/>
                <w:tab w:val="left" w:pos="9240"/>
              </w:tabs>
              <w:jc w:val="center"/>
            </w:pPr>
          </w:p>
        </w:tc>
        <w:tc>
          <w:tcPr>
            <w:tcW w:w="0" w:type="auto"/>
            <w:tcBorders>
              <w:bottom w:val="single" w:sz="4" w:space="0" w:color="auto"/>
            </w:tcBorders>
          </w:tcPr>
          <w:p w:rsidR="008F7AF5" w:rsidRDefault="008F7AF5" w:rsidP="008F7AF5">
            <w:pPr>
              <w:tabs>
                <w:tab w:val="left" w:pos="720"/>
                <w:tab w:val="left" w:pos="1440"/>
                <w:tab w:val="left" w:pos="9240"/>
              </w:tabs>
              <w:jc w:val="center"/>
            </w:pPr>
            <w:r>
              <w:t>Excluding S-T Debt</w:t>
            </w:r>
          </w:p>
        </w:tc>
      </w:tr>
      <w:tr w:rsidR="008F7AF5" w:rsidTr="008F7AF5">
        <w:tc>
          <w:tcPr>
            <w:tcW w:w="0" w:type="auto"/>
          </w:tcPr>
          <w:p w:rsidR="008F7AF5" w:rsidRDefault="008F7AF5" w:rsidP="008F7AF5">
            <w:pPr>
              <w:tabs>
                <w:tab w:val="left" w:pos="720"/>
                <w:tab w:val="left" w:pos="1440"/>
                <w:tab w:val="left" w:pos="9240"/>
              </w:tabs>
              <w:jc w:val="both"/>
            </w:pPr>
            <w:r>
              <w:t>2004</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39.0%</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40.5%</w:t>
            </w:r>
          </w:p>
        </w:tc>
      </w:tr>
      <w:tr w:rsidR="008F7AF5" w:rsidTr="008F7AF5">
        <w:tc>
          <w:tcPr>
            <w:tcW w:w="0" w:type="auto"/>
          </w:tcPr>
          <w:p w:rsidR="008F7AF5" w:rsidRDefault="008F7AF5" w:rsidP="008F7AF5">
            <w:pPr>
              <w:tabs>
                <w:tab w:val="left" w:pos="720"/>
                <w:tab w:val="left" w:pos="1440"/>
                <w:tab w:val="left" w:pos="9240"/>
              </w:tabs>
              <w:jc w:val="both"/>
            </w:pPr>
            <w:r>
              <w:t>2005</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44.3%</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44.7%</w:t>
            </w:r>
          </w:p>
        </w:tc>
      </w:tr>
      <w:tr w:rsidR="008F7AF5" w:rsidTr="008F7AF5">
        <w:tc>
          <w:tcPr>
            <w:tcW w:w="0" w:type="auto"/>
          </w:tcPr>
          <w:p w:rsidR="008F7AF5" w:rsidRDefault="008F7AF5" w:rsidP="008F7AF5">
            <w:pPr>
              <w:tabs>
                <w:tab w:val="left" w:pos="720"/>
                <w:tab w:val="left" w:pos="1440"/>
                <w:tab w:val="left" w:pos="9240"/>
              </w:tabs>
              <w:jc w:val="both"/>
            </w:pPr>
            <w:r>
              <w:t>2006</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40.6%</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43.3%</w:t>
            </w:r>
          </w:p>
        </w:tc>
      </w:tr>
      <w:tr w:rsidR="008F7AF5" w:rsidTr="008F7AF5">
        <w:tc>
          <w:tcPr>
            <w:tcW w:w="0" w:type="auto"/>
          </w:tcPr>
          <w:p w:rsidR="008F7AF5" w:rsidRDefault="008F7AF5" w:rsidP="008F7AF5">
            <w:pPr>
              <w:tabs>
                <w:tab w:val="left" w:pos="720"/>
                <w:tab w:val="left" w:pos="1440"/>
                <w:tab w:val="left" w:pos="9240"/>
              </w:tabs>
              <w:jc w:val="both"/>
            </w:pPr>
            <w:r>
              <w:t>2007</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44.7%</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46.9%</w:t>
            </w:r>
          </w:p>
        </w:tc>
      </w:tr>
      <w:tr w:rsidR="008F7AF5" w:rsidTr="008F7AF5">
        <w:tc>
          <w:tcPr>
            <w:tcW w:w="0" w:type="auto"/>
          </w:tcPr>
          <w:p w:rsidR="008F7AF5" w:rsidRDefault="008F7AF5" w:rsidP="008F7AF5">
            <w:pPr>
              <w:tabs>
                <w:tab w:val="left" w:pos="720"/>
                <w:tab w:val="left" w:pos="1440"/>
                <w:tab w:val="left" w:pos="9240"/>
              </w:tabs>
              <w:jc w:val="both"/>
            </w:pPr>
            <w:r>
              <w:t>2008</w:t>
            </w:r>
          </w:p>
        </w:tc>
        <w:tc>
          <w:tcPr>
            <w:tcW w:w="0" w:type="auto"/>
          </w:tcPr>
          <w:p w:rsidR="008F7AF5" w:rsidRDefault="008F7AF5" w:rsidP="008F7AF5">
            <w:pPr>
              <w:tabs>
                <w:tab w:val="left" w:pos="720"/>
                <w:tab w:val="left" w:pos="1440"/>
                <w:tab w:val="left" w:pos="9240"/>
              </w:tabs>
              <w:jc w:val="both"/>
            </w:pPr>
          </w:p>
        </w:tc>
        <w:tc>
          <w:tcPr>
            <w:tcW w:w="0" w:type="auto"/>
          </w:tcPr>
          <w:p w:rsidR="008F7AF5" w:rsidRDefault="008F7AF5" w:rsidP="008F7AF5">
            <w:pPr>
              <w:tabs>
                <w:tab w:val="left" w:pos="720"/>
                <w:tab w:val="left" w:pos="1440"/>
                <w:tab w:val="left" w:pos="9240"/>
              </w:tabs>
              <w:jc w:val="center"/>
            </w:pPr>
            <w:r>
              <w:t>38.4%</w:t>
            </w:r>
          </w:p>
        </w:tc>
        <w:tc>
          <w:tcPr>
            <w:tcW w:w="0" w:type="auto"/>
          </w:tcPr>
          <w:p w:rsidR="008F7AF5" w:rsidRDefault="008F7AF5" w:rsidP="008F7AF5">
            <w:pPr>
              <w:tabs>
                <w:tab w:val="left" w:pos="720"/>
                <w:tab w:val="left" w:pos="1440"/>
                <w:tab w:val="left" w:pos="9240"/>
              </w:tabs>
              <w:jc w:val="center"/>
            </w:pPr>
          </w:p>
        </w:tc>
        <w:tc>
          <w:tcPr>
            <w:tcW w:w="0" w:type="auto"/>
          </w:tcPr>
          <w:p w:rsidR="008F7AF5" w:rsidRDefault="008F7AF5" w:rsidP="008F7AF5">
            <w:pPr>
              <w:tabs>
                <w:tab w:val="left" w:pos="720"/>
                <w:tab w:val="left" w:pos="1440"/>
                <w:tab w:val="left" w:pos="9240"/>
              </w:tabs>
              <w:jc w:val="center"/>
            </w:pPr>
            <w:r>
              <w:t>45.9%</w:t>
            </w:r>
          </w:p>
        </w:tc>
      </w:tr>
    </w:tbl>
    <w:p w:rsidR="00FB10AF" w:rsidRPr="00FB10AF" w:rsidRDefault="00FB10AF" w:rsidP="00417CF7">
      <w:pPr>
        <w:tabs>
          <w:tab w:val="left" w:pos="720"/>
          <w:tab w:val="left" w:pos="1440"/>
          <w:tab w:val="left" w:pos="9240"/>
        </w:tabs>
        <w:spacing w:line="480" w:lineRule="auto"/>
        <w:ind w:left="720" w:hanging="720"/>
      </w:pPr>
    </w:p>
    <w:p w:rsidR="00EA695C" w:rsidRDefault="00EA695C"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rPr>
          <w:b/>
        </w:rPr>
      </w:pPr>
    </w:p>
    <w:p w:rsidR="00FB10AF" w:rsidRDefault="00FB10AF" w:rsidP="00417CF7">
      <w:pPr>
        <w:tabs>
          <w:tab w:val="left" w:pos="720"/>
          <w:tab w:val="left" w:pos="1440"/>
          <w:tab w:val="left" w:pos="9240"/>
        </w:tabs>
        <w:spacing w:line="480" w:lineRule="auto"/>
        <w:ind w:left="720" w:hanging="720"/>
      </w:pPr>
      <w:r>
        <w:rPr>
          <w:b/>
        </w:rPr>
        <w:tab/>
      </w:r>
      <w:r w:rsidRPr="00FB10AF">
        <w:t>Those are similar to those of PSE.</w:t>
      </w:r>
    </w:p>
    <w:p w:rsidR="00FB10AF" w:rsidRPr="00FB10AF" w:rsidRDefault="00FB10AF" w:rsidP="00417CF7">
      <w:pPr>
        <w:tabs>
          <w:tab w:val="left" w:pos="720"/>
          <w:tab w:val="left" w:pos="1440"/>
          <w:tab w:val="left" w:pos="9240"/>
        </w:tabs>
        <w:spacing w:line="480" w:lineRule="auto"/>
        <w:ind w:left="720" w:hanging="720"/>
      </w:pPr>
    </w:p>
    <w:p w:rsidR="00772498" w:rsidRDefault="00772498" w:rsidP="00417CF7">
      <w:pPr>
        <w:tabs>
          <w:tab w:val="left" w:pos="720"/>
          <w:tab w:val="left" w:pos="1440"/>
          <w:tab w:val="left" w:pos="9240"/>
        </w:tabs>
        <w:spacing w:line="480" w:lineRule="auto"/>
        <w:ind w:left="720" w:hanging="720"/>
        <w:rPr>
          <w:b/>
        </w:rPr>
      </w:pPr>
      <w:r>
        <w:rPr>
          <w:b/>
        </w:rPr>
        <w:t>Q</w:t>
      </w:r>
      <w:r w:rsidR="00B235F1">
        <w:rPr>
          <w:b/>
        </w:rPr>
        <w:t>.</w:t>
      </w:r>
      <w:r>
        <w:rPr>
          <w:b/>
        </w:rPr>
        <w:tab/>
        <w:t>H</w:t>
      </w:r>
      <w:r w:rsidR="000C7034">
        <w:rPr>
          <w:b/>
        </w:rPr>
        <w:t xml:space="preserve">ow do </w:t>
      </w:r>
      <w:r w:rsidR="00C21B20">
        <w:rPr>
          <w:b/>
        </w:rPr>
        <w:t xml:space="preserve">these equity ratios for </w:t>
      </w:r>
      <w:r w:rsidR="00FB1E69">
        <w:rPr>
          <w:b/>
        </w:rPr>
        <w:t>PSE</w:t>
      </w:r>
      <w:r w:rsidR="000C7034">
        <w:rPr>
          <w:b/>
        </w:rPr>
        <w:t xml:space="preserve"> compare to those of investor-owned electric utilities</w:t>
      </w:r>
      <w:r>
        <w:rPr>
          <w:b/>
        </w:rPr>
        <w:t>?</w:t>
      </w:r>
    </w:p>
    <w:p w:rsidR="003B7EF5" w:rsidRDefault="00772498" w:rsidP="00CA2476">
      <w:pPr>
        <w:keepNext/>
        <w:keepLines/>
        <w:tabs>
          <w:tab w:val="left" w:pos="720"/>
          <w:tab w:val="left" w:pos="1440"/>
          <w:tab w:val="left" w:pos="9240"/>
        </w:tabs>
        <w:spacing w:line="480" w:lineRule="auto"/>
        <w:ind w:left="720" w:hanging="720"/>
      </w:pPr>
      <w:r>
        <w:t>A.</w:t>
      </w:r>
      <w:r>
        <w:tab/>
      </w:r>
      <w:r w:rsidR="00993D58">
        <w:t xml:space="preserve">Exhibit No. </w:t>
      </w:r>
      <w:r w:rsidR="00A10438">
        <w:t>DCP-</w:t>
      </w:r>
      <w:r w:rsidR="00FB1E69">
        <w:t>9</w:t>
      </w:r>
      <w:r w:rsidR="00A10438">
        <w:t xml:space="preserve"> </w:t>
      </w:r>
      <w:r>
        <w:t xml:space="preserve">shows the </w:t>
      </w:r>
      <w:r w:rsidR="002849ED">
        <w:t>average</w:t>
      </w:r>
      <w:r w:rsidR="00EA695C">
        <w:t xml:space="preserve"> </w:t>
      </w:r>
      <w:r>
        <w:t>common equity ratios (including short-term debt in capitalization) for the two groups of electric utilities covered by AUS Utility Reports.  These are:</w:t>
      </w:r>
      <w:r w:rsidR="00F463A8">
        <w:t xml:space="preserve"> </w:t>
      </w:r>
    </w:p>
    <w:tbl>
      <w:tblPr>
        <w:tblpPr w:leftFromText="180" w:rightFromText="180" w:vertAnchor="text" w:horzAnchor="margin" w:tblpXSpec="center" w:tblpY="218"/>
        <w:tblW w:w="0" w:type="auto"/>
        <w:tblLook w:val="01E0"/>
      </w:tblPr>
      <w:tblGrid>
        <w:gridCol w:w="696"/>
        <w:gridCol w:w="222"/>
        <w:gridCol w:w="963"/>
        <w:gridCol w:w="222"/>
        <w:gridCol w:w="1903"/>
      </w:tblGrid>
      <w:tr w:rsidR="00772498">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Combination Gas</w:t>
            </w:r>
          </w:p>
        </w:tc>
      </w:tr>
      <w:tr w:rsidR="00772498">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Year</w:t>
            </w:r>
          </w:p>
        </w:tc>
        <w:tc>
          <w:tcPr>
            <w:tcW w:w="0" w:type="auto"/>
          </w:tcPr>
          <w:p w:rsidR="00772498" w:rsidRDefault="00772498" w:rsidP="00CA2476">
            <w:pPr>
              <w:keepNext/>
              <w:keepLines/>
              <w:tabs>
                <w:tab w:val="left" w:pos="720"/>
                <w:tab w:val="left" w:pos="1440"/>
                <w:tab w:val="left" w:pos="9240"/>
              </w:tabs>
              <w:jc w:val="center"/>
            </w:pPr>
          </w:p>
        </w:tc>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Electric</w:t>
            </w:r>
          </w:p>
        </w:tc>
        <w:tc>
          <w:tcPr>
            <w:tcW w:w="0" w:type="auto"/>
          </w:tcPr>
          <w:p w:rsidR="00772498" w:rsidRDefault="00772498" w:rsidP="00CA2476">
            <w:pPr>
              <w:keepNext/>
              <w:keepLines/>
              <w:tabs>
                <w:tab w:val="left" w:pos="720"/>
                <w:tab w:val="left" w:pos="1440"/>
                <w:tab w:val="left" w:pos="9240"/>
              </w:tabs>
              <w:jc w:val="center"/>
            </w:pPr>
          </w:p>
        </w:tc>
        <w:tc>
          <w:tcPr>
            <w:tcW w:w="0" w:type="auto"/>
            <w:tcBorders>
              <w:bottom w:val="single" w:sz="4" w:space="0" w:color="auto"/>
            </w:tcBorders>
          </w:tcPr>
          <w:p w:rsidR="00772498" w:rsidRDefault="00772498" w:rsidP="00CA2476">
            <w:pPr>
              <w:keepNext/>
              <w:keepLines/>
              <w:tabs>
                <w:tab w:val="left" w:pos="720"/>
                <w:tab w:val="left" w:pos="1440"/>
                <w:tab w:val="left" w:pos="9240"/>
              </w:tabs>
              <w:jc w:val="center"/>
            </w:pPr>
            <w:r>
              <w:t xml:space="preserve">And </w:t>
            </w:r>
            <w:r w:rsidR="00022D1B">
              <w:t>Electric</w:t>
            </w:r>
          </w:p>
        </w:tc>
      </w:tr>
      <w:tr w:rsidR="00772498">
        <w:tc>
          <w:tcPr>
            <w:tcW w:w="0" w:type="auto"/>
          </w:tcPr>
          <w:p w:rsidR="00772498" w:rsidRDefault="00772498" w:rsidP="00CA2476">
            <w:pPr>
              <w:keepNext/>
              <w:keepLines/>
              <w:tabs>
                <w:tab w:val="left" w:pos="720"/>
                <w:tab w:val="left" w:pos="1440"/>
                <w:tab w:val="left" w:pos="9240"/>
              </w:tabs>
              <w:jc w:val="center"/>
            </w:pPr>
            <w:r>
              <w:t>2004</w:t>
            </w: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47%</w:t>
            </w:r>
          </w:p>
        </w:tc>
        <w:tc>
          <w:tcPr>
            <w:tcW w:w="0" w:type="auto"/>
          </w:tcPr>
          <w:p w:rsidR="00772498" w:rsidRDefault="00772498" w:rsidP="00CA2476">
            <w:pPr>
              <w:keepNext/>
              <w:keepLines/>
              <w:tabs>
                <w:tab w:val="left" w:pos="720"/>
                <w:tab w:val="left" w:pos="1440"/>
                <w:tab w:val="left" w:pos="9240"/>
              </w:tabs>
              <w:jc w:val="center"/>
            </w:pPr>
          </w:p>
        </w:tc>
        <w:tc>
          <w:tcPr>
            <w:tcW w:w="0" w:type="auto"/>
          </w:tcPr>
          <w:p w:rsidR="00772498" w:rsidRDefault="00772498" w:rsidP="00CA2476">
            <w:pPr>
              <w:keepNext/>
              <w:keepLines/>
              <w:tabs>
                <w:tab w:val="left" w:pos="720"/>
                <w:tab w:val="left" w:pos="1440"/>
                <w:tab w:val="left" w:pos="9240"/>
              </w:tabs>
              <w:jc w:val="center"/>
            </w:pPr>
            <w:r>
              <w:t>43%</w:t>
            </w:r>
          </w:p>
        </w:tc>
      </w:tr>
      <w:tr w:rsidR="00F463A8">
        <w:tc>
          <w:tcPr>
            <w:tcW w:w="0" w:type="auto"/>
          </w:tcPr>
          <w:p w:rsidR="00F463A8" w:rsidRDefault="00F463A8" w:rsidP="00CA2476">
            <w:pPr>
              <w:keepNext/>
              <w:keepLines/>
              <w:tabs>
                <w:tab w:val="left" w:pos="720"/>
                <w:tab w:val="left" w:pos="1440"/>
                <w:tab w:val="left" w:pos="9240"/>
              </w:tabs>
              <w:jc w:val="center"/>
            </w:pPr>
            <w:r>
              <w:t>2005</w:t>
            </w:r>
          </w:p>
        </w:tc>
        <w:tc>
          <w:tcPr>
            <w:tcW w:w="0" w:type="auto"/>
          </w:tcPr>
          <w:p w:rsidR="00F463A8" w:rsidRDefault="00F463A8" w:rsidP="00CA2476">
            <w:pPr>
              <w:keepNext/>
              <w:keepLines/>
              <w:tabs>
                <w:tab w:val="left" w:pos="720"/>
                <w:tab w:val="left" w:pos="1440"/>
                <w:tab w:val="left" w:pos="9240"/>
              </w:tabs>
              <w:jc w:val="center"/>
            </w:pPr>
          </w:p>
        </w:tc>
        <w:tc>
          <w:tcPr>
            <w:tcW w:w="0" w:type="auto"/>
          </w:tcPr>
          <w:p w:rsidR="00F463A8" w:rsidRDefault="00F463A8" w:rsidP="00CA2476">
            <w:pPr>
              <w:keepNext/>
              <w:keepLines/>
              <w:tabs>
                <w:tab w:val="left" w:pos="720"/>
                <w:tab w:val="left" w:pos="1440"/>
                <w:tab w:val="left" w:pos="9240"/>
              </w:tabs>
              <w:jc w:val="center"/>
            </w:pPr>
            <w:r>
              <w:t>44%</w:t>
            </w:r>
          </w:p>
        </w:tc>
        <w:tc>
          <w:tcPr>
            <w:tcW w:w="0" w:type="auto"/>
          </w:tcPr>
          <w:p w:rsidR="00F463A8" w:rsidRDefault="00F463A8" w:rsidP="00CA2476">
            <w:pPr>
              <w:keepNext/>
              <w:keepLines/>
              <w:tabs>
                <w:tab w:val="left" w:pos="720"/>
                <w:tab w:val="left" w:pos="1440"/>
                <w:tab w:val="left" w:pos="9240"/>
              </w:tabs>
              <w:jc w:val="center"/>
            </w:pPr>
          </w:p>
        </w:tc>
        <w:tc>
          <w:tcPr>
            <w:tcW w:w="0" w:type="auto"/>
          </w:tcPr>
          <w:p w:rsidR="00F463A8" w:rsidRDefault="00227FD7" w:rsidP="00CA2476">
            <w:pPr>
              <w:keepNext/>
              <w:keepLines/>
              <w:tabs>
                <w:tab w:val="left" w:pos="720"/>
                <w:tab w:val="left" w:pos="1440"/>
                <w:tab w:val="left" w:pos="9240"/>
              </w:tabs>
              <w:jc w:val="center"/>
            </w:pPr>
            <w:r>
              <w:t>4</w:t>
            </w:r>
            <w:r w:rsidR="00F463A8">
              <w:t>7%</w:t>
            </w:r>
          </w:p>
        </w:tc>
      </w:tr>
      <w:tr w:rsidR="00060B17">
        <w:tc>
          <w:tcPr>
            <w:tcW w:w="0" w:type="auto"/>
          </w:tcPr>
          <w:p w:rsidR="00060B17" w:rsidRDefault="00060B17" w:rsidP="00CA2476">
            <w:pPr>
              <w:keepNext/>
              <w:keepLines/>
              <w:tabs>
                <w:tab w:val="left" w:pos="720"/>
                <w:tab w:val="left" w:pos="1440"/>
                <w:tab w:val="left" w:pos="9240"/>
              </w:tabs>
              <w:jc w:val="center"/>
            </w:pPr>
            <w:r>
              <w:t>2006</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60B17" w:rsidP="00CA2476">
            <w:pPr>
              <w:keepNext/>
              <w:keepLines/>
              <w:tabs>
                <w:tab w:val="left" w:pos="720"/>
                <w:tab w:val="left" w:pos="1440"/>
                <w:tab w:val="left" w:pos="9240"/>
              </w:tabs>
              <w:jc w:val="center"/>
            </w:pPr>
            <w:r>
              <w:t>45%</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60B17" w:rsidP="00CA2476">
            <w:pPr>
              <w:keepNext/>
              <w:keepLines/>
              <w:tabs>
                <w:tab w:val="left" w:pos="720"/>
                <w:tab w:val="left" w:pos="1440"/>
                <w:tab w:val="left" w:pos="9240"/>
              </w:tabs>
              <w:jc w:val="center"/>
            </w:pPr>
            <w:r>
              <w:t>44%</w:t>
            </w:r>
          </w:p>
        </w:tc>
      </w:tr>
      <w:tr w:rsidR="00060B17">
        <w:tc>
          <w:tcPr>
            <w:tcW w:w="0" w:type="auto"/>
          </w:tcPr>
          <w:p w:rsidR="00060B17" w:rsidRDefault="00060B17" w:rsidP="00CA2476">
            <w:pPr>
              <w:keepNext/>
              <w:keepLines/>
              <w:tabs>
                <w:tab w:val="left" w:pos="720"/>
                <w:tab w:val="left" w:pos="1440"/>
                <w:tab w:val="left" w:pos="9240"/>
              </w:tabs>
              <w:jc w:val="center"/>
            </w:pPr>
            <w:r>
              <w:t>2007</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060B17" w:rsidRDefault="000C6CA7" w:rsidP="00CA2476">
            <w:pPr>
              <w:keepNext/>
              <w:keepLines/>
              <w:tabs>
                <w:tab w:val="left" w:pos="720"/>
                <w:tab w:val="left" w:pos="1440"/>
                <w:tab w:val="left" w:pos="9240"/>
              </w:tabs>
              <w:jc w:val="center"/>
            </w:pPr>
            <w:r>
              <w:t>47%</w:t>
            </w:r>
          </w:p>
        </w:tc>
        <w:tc>
          <w:tcPr>
            <w:tcW w:w="0" w:type="auto"/>
          </w:tcPr>
          <w:p w:rsidR="00060B17" w:rsidRDefault="00060B17" w:rsidP="00CA2476">
            <w:pPr>
              <w:keepNext/>
              <w:keepLines/>
              <w:tabs>
                <w:tab w:val="left" w:pos="720"/>
                <w:tab w:val="left" w:pos="1440"/>
                <w:tab w:val="left" w:pos="9240"/>
              </w:tabs>
              <w:jc w:val="center"/>
            </w:pPr>
          </w:p>
        </w:tc>
        <w:tc>
          <w:tcPr>
            <w:tcW w:w="0" w:type="auto"/>
          </w:tcPr>
          <w:p w:rsidR="006B6E94" w:rsidRDefault="000C6CA7" w:rsidP="00CA2476">
            <w:pPr>
              <w:keepNext/>
              <w:keepLines/>
              <w:tabs>
                <w:tab w:val="left" w:pos="720"/>
                <w:tab w:val="left" w:pos="1440"/>
                <w:tab w:val="left" w:pos="9240"/>
              </w:tabs>
              <w:jc w:val="center"/>
            </w:pPr>
            <w:r>
              <w:t>46%</w:t>
            </w:r>
          </w:p>
        </w:tc>
      </w:tr>
      <w:tr w:rsidR="00570FE0">
        <w:tc>
          <w:tcPr>
            <w:tcW w:w="0" w:type="auto"/>
          </w:tcPr>
          <w:p w:rsidR="00570FE0" w:rsidRDefault="00570FE0" w:rsidP="00CA2476">
            <w:pPr>
              <w:keepNext/>
              <w:keepLines/>
              <w:tabs>
                <w:tab w:val="left" w:pos="720"/>
                <w:tab w:val="left" w:pos="1440"/>
                <w:tab w:val="left" w:pos="9240"/>
              </w:tabs>
              <w:jc w:val="center"/>
            </w:pPr>
            <w:r>
              <w:t>2008</w:t>
            </w:r>
          </w:p>
        </w:tc>
        <w:tc>
          <w:tcPr>
            <w:tcW w:w="0" w:type="auto"/>
          </w:tcPr>
          <w:p w:rsidR="00570FE0" w:rsidRDefault="00570FE0" w:rsidP="00CA2476">
            <w:pPr>
              <w:keepNext/>
              <w:keepLines/>
              <w:tabs>
                <w:tab w:val="left" w:pos="720"/>
                <w:tab w:val="left" w:pos="1440"/>
                <w:tab w:val="left" w:pos="9240"/>
              </w:tabs>
              <w:jc w:val="center"/>
            </w:pPr>
          </w:p>
        </w:tc>
        <w:tc>
          <w:tcPr>
            <w:tcW w:w="0" w:type="auto"/>
          </w:tcPr>
          <w:p w:rsidR="00570FE0" w:rsidRDefault="00570FE0" w:rsidP="00CA2476">
            <w:pPr>
              <w:keepNext/>
              <w:keepLines/>
              <w:tabs>
                <w:tab w:val="left" w:pos="720"/>
                <w:tab w:val="left" w:pos="1440"/>
                <w:tab w:val="left" w:pos="9240"/>
              </w:tabs>
              <w:jc w:val="center"/>
            </w:pPr>
            <w:r>
              <w:t>45%</w:t>
            </w:r>
          </w:p>
        </w:tc>
        <w:tc>
          <w:tcPr>
            <w:tcW w:w="0" w:type="auto"/>
          </w:tcPr>
          <w:p w:rsidR="00570FE0" w:rsidRDefault="00570FE0" w:rsidP="00CA2476">
            <w:pPr>
              <w:keepNext/>
              <w:keepLines/>
              <w:tabs>
                <w:tab w:val="left" w:pos="720"/>
                <w:tab w:val="left" w:pos="1440"/>
                <w:tab w:val="left" w:pos="9240"/>
              </w:tabs>
              <w:jc w:val="center"/>
            </w:pPr>
          </w:p>
        </w:tc>
        <w:tc>
          <w:tcPr>
            <w:tcW w:w="0" w:type="auto"/>
          </w:tcPr>
          <w:p w:rsidR="00570FE0" w:rsidRDefault="00570FE0" w:rsidP="00CA2476">
            <w:pPr>
              <w:keepNext/>
              <w:keepLines/>
              <w:tabs>
                <w:tab w:val="left" w:pos="720"/>
                <w:tab w:val="left" w:pos="1440"/>
                <w:tab w:val="left" w:pos="9240"/>
              </w:tabs>
              <w:jc w:val="center"/>
            </w:pPr>
            <w:r>
              <w:t>43%</w:t>
            </w:r>
          </w:p>
        </w:tc>
      </w:tr>
    </w:tbl>
    <w:p w:rsidR="00772498" w:rsidRDefault="00772498" w:rsidP="00CA2476">
      <w:pPr>
        <w:keepNext/>
        <w:keepLines/>
        <w:tabs>
          <w:tab w:val="left" w:pos="720"/>
          <w:tab w:val="left" w:pos="1440"/>
          <w:tab w:val="left" w:pos="9240"/>
        </w:tabs>
        <w:spacing w:line="360" w:lineRule="auto"/>
        <w:ind w:left="720" w:hanging="720"/>
        <w:jc w:val="both"/>
      </w:pPr>
    </w:p>
    <w:p w:rsidR="00772498" w:rsidRDefault="00772498" w:rsidP="00CA2476">
      <w:pPr>
        <w:keepNext/>
        <w:keepLines/>
        <w:tabs>
          <w:tab w:val="left" w:pos="720"/>
          <w:tab w:val="left" w:pos="1440"/>
          <w:tab w:val="left" w:pos="9240"/>
        </w:tabs>
        <w:spacing w:line="360" w:lineRule="auto"/>
        <w:ind w:left="720" w:hanging="720"/>
        <w:jc w:val="both"/>
      </w:pPr>
    </w:p>
    <w:p w:rsidR="008802FE" w:rsidRDefault="008802FE" w:rsidP="00417CF7">
      <w:pPr>
        <w:tabs>
          <w:tab w:val="left" w:pos="720"/>
          <w:tab w:val="left" w:pos="1440"/>
          <w:tab w:val="left" w:pos="9240"/>
        </w:tabs>
        <w:spacing w:line="480" w:lineRule="auto"/>
        <w:ind w:left="720" w:hanging="720"/>
      </w:pPr>
    </w:p>
    <w:p w:rsidR="00264C53" w:rsidRDefault="00264C53" w:rsidP="00417CF7">
      <w:pPr>
        <w:tabs>
          <w:tab w:val="left" w:pos="720"/>
          <w:tab w:val="left" w:pos="1440"/>
          <w:tab w:val="left" w:pos="9240"/>
        </w:tabs>
        <w:spacing w:line="480" w:lineRule="auto"/>
        <w:ind w:left="720" w:hanging="720"/>
      </w:pPr>
    </w:p>
    <w:p w:rsidR="001370EC" w:rsidRDefault="008802FE" w:rsidP="00417CF7">
      <w:pPr>
        <w:tabs>
          <w:tab w:val="left" w:pos="720"/>
          <w:tab w:val="left" w:pos="1440"/>
          <w:tab w:val="left" w:pos="9240"/>
        </w:tabs>
        <w:spacing w:line="480" w:lineRule="auto"/>
        <w:ind w:left="720" w:hanging="720"/>
      </w:pPr>
      <w:r>
        <w:tab/>
      </w:r>
    </w:p>
    <w:p w:rsidR="00772498" w:rsidRDefault="00264C53" w:rsidP="00417CF7">
      <w:pPr>
        <w:tabs>
          <w:tab w:val="left" w:pos="720"/>
          <w:tab w:val="left" w:pos="1440"/>
          <w:tab w:val="left" w:pos="9240"/>
        </w:tabs>
        <w:spacing w:line="480" w:lineRule="auto"/>
        <w:ind w:left="720" w:hanging="720"/>
      </w:pPr>
      <w:r>
        <w:tab/>
      </w:r>
      <w:r w:rsidR="00772498">
        <w:t>The</w:t>
      </w:r>
      <w:r w:rsidR="002849ED">
        <w:t>s</w:t>
      </w:r>
      <w:r w:rsidR="00EA695C">
        <w:t>e</w:t>
      </w:r>
      <w:r w:rsidR="00772498">
        <w:t xml:space="preserve"> </w:t>
      </w:r>
      <w:r w:rsidR="002849ED">
        <w:t xml:space="preserve">average </w:t>
      </w:r>
      <w:r w:rsidR="00772498">
        <w:t xml:space="preserve">common equity ratios </w:t>
      </w:r>
      <w:r w:rsidR="00ED4F04">
        <w:t xml:space="preserve">are </w:t>
      </w:r>
      <w:r w:rsidR="009B343F">
        <w:t xml:space="preserve">similar to </w:t>
      </w:r>
      <w:r w:rsidR="000A79F0">
        <w:t xml:space="preserve">those </w:t>
      </w:r>
      <w:r w:rsidR="0001444C">
        <w:t xml:space="preserve">that </w:t>
      </w:r>
      <w:r w:rsidR="009B343F">
        <w:t>PSE</w:t>
      </w:r>
      <w:r w:rsidR="0001444C">
        <w:t xml:space="preserve"> maintained during the same time period</w:t>
      </w:r>
      <w:r w:rsidR="00772498">
        <w:t>.</w:t>
      </w:r>
    </w:p>
    <w:p w:rsidR="00772498" w:rsidRPr="00C9119E" w:rsidRDefault="00772498" w:rsidP="00417CF7">
      <w:pPr>
        <w:tabs>
          <w:tab w:val="left" w:pos="720"/>
          <w:tab w:val="left" w:pos="1440"/>
          <w:tab w:val="left" w:pos="9240"/>
        </w:tabs>
        <w:spacing w:line="480" w:lineRule="auto"/>
        <w:ind w:left="720" w:hanging="720"/>
      </w:pPr>
    </w:p>
    <w:p w:rsidR="00772498" w:rsidRDefault="00772498" w:rsidP="00417CF7">
      <w:pPr>
        <w:keepNext/>
        <w:tabs>
          <w:tab w:val="left" w:pos="720"/>
          <w:tab w:val="left" w:pos="1440"/>
          <w:tab w:val="left" w:pos="9240"/>
        </w:tabs>
        <w:spacing w:line="480" w:lineRule="auto"/>
        <w:ind w:left="720" w:hanging="720"/>
      </w:pPr>
      <w:r>
        <w:rPr>
          <w:b/>
        </w:rPr>
        <w:t>Q</w:t>
      </w:r>
      <w:r w:rsidR="00B235F1">
        <w:rPr>
          <w:b/>
        </w:rPr>
        <w:t>.</w:t>
      </w:r>
      <w:r>
        <w:rPr>
          <w:b/>
        </w:rPr>
        <w:tab/>
        <w:t>W</w:t>
      </w:r>
      <w:r w:rsidR="000C7034">
        <w:rPr>
          <w:b/>
        </w:rPr>
        <w:t xml:space="preserve">hat </w:t>
      </w:r>
      <w:r w:rsidR="00060B17">
        <w:rPr>
          <w:b/>
        </w:rPr>
        <w:t xml:space="preserve">capital structure ratios has </w:t>
      </w:r>
      <w:r w:rsidR="009B343F">
        <w:rPr>
          <w:b/>
        </w:rPr>
        <w:t>PSE</w:t>
      </w:r>
      <w:r w:rsidR="000C7034">
        <w:rPr>
          <w:b/>
        </w:rPr>
        <w:t xml:space="preserve"> requested in this proceeding</w:t>
      </w:r>
      <w:r>
        <w:rPr>
          <w:b/>
        </w:rPr>
        <w:t>?</w:t>
      </w:r>
    </w:p>
    <w:p w:rsidR="005343FB" w:rsidRDefault="00772498" w:rsidP="00417CF7">
      <w:pPr>
        <w:tabs>
          <w:tab w:val="left" w:pos="720"/>
          <w:tab w:val="left" w:pos="1440"/>
          <w:tab w:val="left" w:pos="9240"/>
        </w:tabs>
        <w:spacing w:line="480" w:lineRule="auto"/>
        <w:ind w:left="720" w:hanging="720"/>
        <w:sectPr w:rsidR="005343FB" w:rsidSect="00E83DA3">
          <w:footerReference w:type="default" r:id="rId16"/>
          <w:pgSz w:w="12240" w:h="15840" w:code="1"/>
          <w:pgMar w:top="1440" w:right="1440" w:bottom="720" w:left="1872" w:header="720" w:footer="720" w:gutter="0"/>
          <w:lnNumType w:countBy="1"/>
          <w:cols w:space="720"/>
          <w:docGrid w:linePitch="360"/>
        </w:sectPr>
      </w:pPr>
      <w:r>
        <w:t>A.</w:t>
      </w:r>
      <w:r>
        <w:tab/>
        <w:t xml:space="preserve">The Company requests use of </w:t>
      </w:r>
      <w:r w:rsidR="009A18D8">
        <w:t>a</w:t>
      </w:r>
      <w:r>
        <w:t xml:space="preserve"> </w:t>
      </w:r>
      <w:r w:rsidR="009B343F">
        <w:t>hypothetical</w:t>
      </w:r>
      <w:r w:rsidR="009A18D8">
        <w:t xml:space="preserve"> capital structure</w:t>
      </w:r>
      <w:r w:rsidR="00BC09DA">
        <w:t xml:space="preserve"> as follows:</w:t>
      </w:r>
    </w:p>
    <w:p w:rsidR="009B343F" w:rsidRDefault="00BC09DA" w:rsidP="009E2531">
      <w:pPr>
        <w:spacing w:line="480" w:lineRule="auto"/>
        <w:jc w:val="both"/>
      </w:pPr>
      <w:r>
        <w:lastRenderedPageBreak/>
        <w:tab/>
      </w:r>
      <w:r>
        <w:tab/>
      </w:r>
      <w:r>
        <w:tab/>
      </w:r>
      <w:r w:rsidR="009B343F">
        <w:t>Short-Term Debt</w:t>
      </w:r>
      <w:r w:rsidR="009B343F">
        <w:tab/>
        <w:t xml:space="preserve">  3.95%</w:t>
      </w:r>
    </w:p>
    <w:p w:rsidR="00BC09DA" w:rsidRDefault="009B343F" w:rsidP="009E2531">
      <w:pPr>
        <w:spacing w:line="480" w:lineRule="auto"/>
        <w:jc w:val="both"/>
      </w:pPr>
      <w:r>
        <w:tab/>
      </w:r>
      <w:r>
        <w:tab/>
      </w:r>
      <w:r>
        <w:tab/>
        <w:t>Long-</w:t>
      </w:r>
      <w:r w:rsidR="00BC09DA">
        <w:t>Term Debt</w:t>
      </w:r>
      <w:r w:rsidR="00B51709">
        <w:tab/>
      </w:r>
      <w:r>
        <w:t>48.05</w:t>
      </w:r>
      <w:r w:rsidR="00B51709">
        <w:t>%</w:t>
      </w:r>
    </w:p>
    <w:p w:rsidR="00BC09DA" w:rsidRDefault="00BC09DA" w:rsidP="009E2531">
      <w:pPr>
        <w:spacing w:line="480" w:lineRule="auto"/>
        <w:jc w:val="both"/>
      </w:pPr>
      <w:r>
        <w:tab/>
      </w:r>
      <w:r>
        <w:tab/>
      </w:r>
      <w:r>
        <w:tab/>
        <w:t>Common Equity</w:t>
      </w:r>
      <w:r w:rsidR="00B51709">
        <w:tab/>
      </w:r>
      <w:r w:rsidR="009B343F">
        <w:t>48.00</w:t>
      </w:r>
      <w:r w:rsidR="00B51709">
        <w:t>%</w:t>
      </w:r>
    </w:p>
    <w:p w:rsidR="00A10438" w:rsidRDefault="00CE63E5" w:rsidP="00417CF7">
      <w:pPr>
        <w:spacing w:line="480" w:lineRule="auto"/>
        <w:ind w:left="720"/>
      </w:pPr>
      <w:r>
        <w:t xml:space="preserve">This </w:t>
      </w:r>
      <w:r w:rsidR="0001444C">
        <w:t xml:space="preserve">proposed </w:t>
      </w:r>
      <w:r>
        <w:t xml:space="preserve">capital structure contains </w:t>
      </w:r>
      <w:r w:rsidR="00392003">
        <w:t>a higher</w:t>
      </w:r>
      <w:r>
        <w:t xml:space="preserve"> common equity </w:t>
      </w:r>
      <w:r w:rsidR="00392003">
        <w:t>ratio</w:t>
      </w:r>
      <w:r w:rsidR="006A0BB3">
        <w:t xml:space="preserve"> </w:t>
      </w:r>
      <w:r w:rsidR="00EA695C">
        <w:t xml:space="preserve">than the </w:t>
      </w:r>
      <w:r w:rsidR="009B343F">
        <w:t xml:space="preserve">common equity requested </w:t>
      </w:r>
      <w:r w:rsidR="00ED4F04">
        <w:t xml:space="preserve">by PSE </w:t>
      </w:r>
      <w:r w:rsidR="009B343F">
        <w:t xml:space="preserve">in </w:t>
      </w:r>
      <w:r w:rsidR="00ED4F04">
        <w:t>recent general rate case</w:t>
      </w:r>
      <w:r w:rsidR="005343FB">
        <w:rPr>
          <w:u w:val="single"/>
        </w:rPr>
        <w:t>s</w:t>
      </w:r>
      <w:r w:rsidR="00ED4F04">
        <w:t xml:space="preserve"> </w:t>
      </w:r>
      <w:r w:rsidR="009B343F">
        <w:t>(i.e., 45.0 percent).</w:t>
      </w:r>
      <w:r w:rsidR="00EB5BBE">
        <w:t xml:space="preserve">  It is also higher than the average common equity ratios of publicly-traded combination electric</w:t>
      </w:r>
      <w:r w:rsidR="003350BD">
        <w:t>/gas</w:t>
      </w:r>
      <w:r w:rsidR="00EB5BBE">
        <w:t xml:space="preserve"> utilities.</w:t>
      </w:r>
    </w:p>
    <w:p w:rsidR="006A0BB3" w:rsidRDefault="006A0BB3" w:rsidP="00417CF7">
      <w:pPr>
        <w:spacing w:line="480" w:lineRule="auto"/>
        <w:ind w:left="720"/>
      </w:pPr>
    </w:p>
    <w:p w:rsidR="00772498" w:rsidRDefault="00772498" w:rsidP="00417CF7">
      <w:pPr>
        <w:keepNext/>
        <w:tabs>
          <w:tab w:val="left" w:pos="720"/>
          <w:tab w:val="left" w:pos="1440"/>
          <w:tab w:val="left" w:pos="9240"/>
        </w:tabs>
        <w:spacing w:line="480" w:lineRule="auto"/>
        <w:ind w:left="720" w:hanging="720"/>
        <w:rPr>
          <w:b/>
        </w:rPr>
      </w:pPr>
      <w:r>
        <w:rPr>
          <w:b/>
        </w:rPr>
        <w:t>Q</w:t>
      </w:r>
      <w:r w:rsidR="00B235F1">
        <w:rPr>
          <w:b/>
        </w:rPr>
        <w:t>.</w:t>
      </w:r>
      <w:r>
        <w:rPr>
          <w:b/>
        </w:rPr>
        <w:tab/>
        <w:t>W</w:t>
      </w:r>
      <w:r w:rsidR="00060B17">
        <w:rPr>
          <w:b/>
        </w:rPr>
        <w:t xml:space="preserve">hat capital structure </w:t>
      </w:r>
      <w:r w:rsidR="00C21B20">
        <w:rPr>
          <w:b/>
        </w:rPr>
        <w:t xml:space="preserve">should the Commission use to develop </w:t>
      </w:r>
      <w:r w:rsidR="009B343F">
        <w:rPr>
          <w:b/>
        </w:rPr>
        <w:t>PSE</w:t>
      </w:r>
      <w:r w:rsidR="00C21B20">
        <w:rPr>
          <w:b/>
        </w:rPr>
        <w:t xml:space="preserve">’s cost of capital </w:t>
      </w:r>
      <w:r w:rsidR="00060B17">
        <w:rPr>
          <w:b/>
        </w:rPr>
        <w:t>in this proceeding</w:t>
      </w:r>
      <w:r>
        <w:rPr>
          <w:b/>
        </w:rPr>
        <w:t>?</w:t>
      </w:r>
    </w:p>
    <w:p w:rsidR="00772498" w:rsidRDefault="00772498" w:rsidP="00417CF7">
      <w:pPr>
        <w:tabs>
          <w:tab w:val="left" w:pos="720"/>
          <w:tab w:val="left" w:pos="1440"/>
          <w:tab w:val="left" w:pos="9240"/>
        </w:tabs>
        <w:spacing w:line="480" w:lineRule="auto"/>
        <w:ind w:left="720" w:hanging="720"/>
      </w:pPr>
      <w:r>
        <w:t>A.</w:t>
      </w:r>
      <w:r>
        <w:tab/>
      </w:r>
      <w:r w:rsidR="00B51709">
        <w:t xml:space="preserve">I </w:t>
      </w:r>
      <w:r w:rsidR="002849ED">
        <w:t xml:space="preserve">recommend that </w:t>
      </w:r>
      <w:r w:rsidR="00C21B20">
        <w:t xml:space="preserve">the Commission use </w:t>
      </w:r>
      <w:r w:rsidR="009B343F">
        <w:t>the same</w:t>
      </w:r>
      <w:r w:rsidR="00B51709">
        <w:t xml:space="preserve"> capital structure ratios </w:t>
      </w:r>
      <w:r w:rsidR="00C87EE0">
        <w:t xml:space="preserve">requested by PSE </w:t>
      </w:r>
      <w:r w:rsidR="009B343F">
        <w:t>in prior cases</w:t>
      </w:r>
      <w:r w:rsidR="00982418">
        <w:t>, which is 45</w:t>
      </w:r>
      <w:r w:rsidR="00C21B20">
        <w:t>.</w:t>
      </w:r>
      <w:r w:rsidR="009B343F">
        <w:t>0</w:t>
      </w:r>
      <w:r w:rsidR="00C21B20">
        <w:t xml:space="preserve"> percent</w:t>
      </w:r>
      <w:r w:rsidR="00E953E1">
        <w:t xml:space="preserve"> common equity</w:t>
      </w:r>
      <w:r w:rsidR="00982418">
        <w:t xml:space="preserve"> (and</w:t>
      </w:r>
      <w:r w:rsidR="004D6128">
        <w:t xml:space="preserve"> includes short-term debt</w:t>
      </w:r>
      <w:r w:rsidR="00982418">
        <w:t>)</w:t>
      </w:r>
      <w:r w:rsidR="00B51709">
        <w:t xml:space="preserve">. </w:t>
      </w:r>
      <w:r w:rsidR="009B343F">
        <w:t xml:space="preserve"> T</w:t>
      </w:r>
      <w:r w:rsidR="00C21B20">
        <w:t xml:space="preserve">his </w:t>
      </w:r>
      <w:r w:rsidR="00982418">
        <w:t>4</w:t>
      </w:r>
      <w:r w:rsidR="006A0BB3">
        <w:t>5</w:t>
      </w:r>
      <w:r w:rsidR="00CE63E5">
        <w:t>.</w:t>
      </w:r>
      <w:r w:rsidR="009B343F">
        <w:t>0</w:t>
      </w:r>
      <w:r w:rsidR="00982418">
        <w:t xml:space="preserve"> percent common equity ratio</w:t>
      </w:r>
      <w:r w:rsidR="00C21B20">
        <w:t xml:space="preserve"> </w:t>
      </w:r>
      <w:r w:rsidR="009B343F">
        <w:t>is similar to</w:t>
      </w:r>
      <w:r w:rsidR="00392003">
        <w:t xml:space="preserve"> that of the industry-wide electric and combination electric utilities </w:t>
      </w:r>
      <w:r w:rsidR="00C21B20">
        <w:t xml:space="preserve">I </w:t>
      </w:r>
      <w:r w:rsidR="00392003">
        <w:t>just cited.</w:t>
      </w:r>
      <w:r w:rsidR="00B41296">
        <w:t xml:space="preserve">  My Exhibit No. DCP-3 describes the derivation of my proposed capital structure.</w:t>
      </w:r>
    </w:p>
    <w:p w:rsidR="00C21B20" w:rsidRDefault="00C21B20" w:rsidP="00417CF7">
      <w:pPr>
        <w:tabs>
          <w:tab w:val="left" w:pos="720"/>
          <w:tab w:val="left" w:pos="1440"/>
          <w:tab w:val="left" w:pos="9240"/>
        </w:tabs>
        <w:spacing w:line="480" w:lineRule="auto"/>
        <w:ind w:left="720" w:hanging="720"/>
        <w:rPr>
          <w:b/>
        </w:rPr>
      </w:pPr>
    </w:p>
    <w:p w:rsidR="00EA695C" w:rsidRDefault="00EA695C" w:rsidP="00417CF7">
      <w:pPr>
        <w:tabs>
          <w:tab w:val="left" w:pos="720"/>
          <w:tab w:val="left" w:pos="1440"/>
          <w:tab w:val="left" w:pos="9240"/>
        </w:tabs>
        <w:spacing w:line="480" w:lineRule="auto"/>
        <w:ind w:left="720" w:hanging="720"/>
        <w:rPr>
          <w:b/>
        </w:rPr>
      </w:pPr>
      <w:r>
        <w:rPr>
          <w:b/>
        </w:rPr>
        <w:t>Q.</w:t>
      </w:r>
      <w:r>
        <w:rPr>
          <w:b/>
        </w:rPr>
        <w:tab/>
        <w:t>What is your understanding of this Commission’s recent policy on the proper capital structure to use to determine the cost of capital?</w:t>
      </w:r>
    </w:p>
    <w:p w:rsidR="00EA695C" w:rsidRDefault="00EA695C" w:rsidP="005343FB">
      <w:pPr>
        <w:tabs>
          <w:tab w:val="left" w:pos="720"/>
          <w:tab w:val="left" w:pos="1440"/>
          <w:tab w:val="left" w:pos="9240"/>
        </w:tabs>
        <w:spacing w:line="480" w:lineRule="auto"/>
        <w:ind w:left="720" w:hanging="720"/>
      </w:pPr>
      <w:r>
        <w:t>A.</w:t>
      </w:r>
      <w:r>
        <w:tab/>
      </w:r>
      <w:r w:rsidR="00EB5BBE">
        <w:t>It is my understanding that the Commission’s policy on determining a capital structure balance</w:t>
      </w:r>
      <w:r w:rsidR="00A36584">
        <w:t>s</w:t>
      </w:r>
      <w:r w:rsidR="00EB5BBE">
        <w:t xml:space="preserve"> safety (the preservation of investment quality credit ratings and access to capital) against economy (the lowest overall cost to attract and maintain capital).  </w:t>
      </w:r>
      <w:r w:rsidR="00A36584" w:rsidRPr="00A36584">
        <w:rPr>
          <w:i/>
        </w:rPr>
        <w:t>WUTC v. Puget Sound Energy, Inc.,</w:t>
      </w:r>
      <w:r w:rsidR="00A36584">
        <w:t xml:space="preserve"> Dockets UE-040640 and UG-040641, Order 0</w:t>
      </w:r>
      <w:r w:rsidR="004C1FC3">
        <w:t>6</w:t>
      </w:r>
      <w:r w:rsidR="00A36584">
        <w:t xml:space="preserve"> at ¶27 (February 18, 2005).  </w:t>
      </w:r>
      <w:r w:rsidR="00EB5BBE">
        <w:t xml:space="preserve">The Commission noted </w:t>
      </w:r>
      <w:r w:rsidR="00C21B20">
        <w:t xml:space="preserve">that the appropriate </w:t>
      </w:r>
      <w:r w:rsidR="00C21B20">
        <w:lastRenderedPageBreak/>
        <w:t xml:space="preserve">capital structure </w:t>
      </w:r>
      <w:r w:rsidR="00EB5BBE">
        <w:t>can either</w:t>
      </w:r>
      <w:r w:rsidR="00C21B20">
        <w:t xml:space="preserve"> be </w:t>
      </w:r>
      <w:r w:rsidR="00EB5BBE">
        <w:t xml:space="preserve">the </w:t>
      </w:r>
      <w:r w:rsidR="00C21B20">
        <w:t xml:space="preserve">Company’s </w:t>
      </w:r>
      <w:r w:rsidR="00EB5BBE">
        <w:t>historical capital structure, the projected capital structure, or a hypothetical capital structure.</w:t>
      </w:r>
    </w:p>
    <w:p w:rsidR="00C21B20" w:rsidRDefault="00C21B20" w:rsidP="00417CF7">
      <w:pPr>
        <w:tabs>
          <w:tab w:val="left" w:pos="720"/>
          <w:tab w:val="left" w:pos="1440"/>
          <w:tab w:val="left" w:pos="9240"/>
        </w:tabs>
        <w:spacing w:line="480" w:lineRule="auto"/>
        <w:ind w:left="720" w:hanging="720"/>
      </w:pPr>
    </w:p>
    <w:p w:rsidR="00C21B20" w:rsidRPr="00C21B20" w:rsidRDefault="00C21B20" w:rsidP="00417CF7">
      <w:pPr>
        <w:tabs>
          <w:tab w:val="left" w:pos="720"/>
          <w:tab w:val="left" w:pos="1440"/>
          <w:tab w:val="left" w:pos="9240"/>
        </w:tabs>
        <w:spacing w:line="480" w:lineRule="auto"/>
        <w:ind w:left="720" w:hanging="720"/>
        <w:rPr>
          <w:b/>
        </w:rPr>
      </w:pPr>
      <w:r>
        <w:rPr>
          <w:b/>
        </w:rPr>
        <w:t>Q.</w:t>
      </w:r>
      <w:r>
        <w:rPr>
          <w:b/>
        </w:rPr>
        <w:tab/>
        <w:t>Is your recommended capital structure consistent with this policy?</w:t>
      </w:r>
    </w:p>
    <w:p w:rsidR="00EB5BBE" w:rsidRDefault="00C21B20" w:rsidP="00417CF7">
      <w:pPr>
        <w:tabs>
          <w:tab w:val="left" w:pos="720"/>
          <w:tab w:val="left" w:pos="1440"/>
          <w:tab w:val="left" w:pos="9240"/>
        </w:tabs>
        <w:spacing w:line="480" w:lineRule="auto"/>
        <w:ind w:left="720" w:hanging="720"/>
      </w:pPr>
      <w:r>
        <w:t>A.</w:t>
      </w:r>
      <w:r>
        <w:tab/>
        <w:t xml:space="preserve">Yes.  </w:t>
      </w:r>
      <w:r w:rsidR="00CA6ADA">
        <w:t>T</w:t>
      </w:r>
      <w:r w:rsidR="00EB5BBE">
        <w:t>he capital structure</w:t>
      </w:r>
      <w:r w:rsidR="00CA6ADA">
        <w:t xml:space="preserve"> that I use </w:t>
      </w:r>
      <w:r w:rsidR="009B343F">
        <w:t>is similar to</w:t>
      </w:r>
      <w:r w:rsidR="00E67088">
        <w:t xml:space="preserve"> recent actual ratios and is consistent with the capital structures of other utilities</w:t>
      </w:r>
      <w:r w:rsidR="00EB5BBE">
        <w:t>.</w:t>
      </w:r>
      <w:r w:rsidR="003350BD">
        <w:t xml:space="preserve">  I also believe that the actual capital structure that I propose provides a “balance of safety and economy” as cited above.</w:t>
      </w:r>
    </w:p>
    <w:p w:rsidR="00D801D7" w:rsidRPr="003A007D" w:rsidRDefault="00D801D7" w:rsidP="00417CF7">
      <w:pPr>
        <w:tabs>
          <w:tab w:val="left" w:pos="720"/>
          <w:tab w:val="left" w:pos="1440"/>
          <w:tab w:val="left" w:pos="9240"/>
        </w:tabs>
        <w:spacing w:line="480" w:lineRule="auto"/>
        <w:ind w:left="720" w:hanging="720"/>
      </w:pPr>
    </w:p>
    <w:p w:rsidR="008F7AF5" w:rsidRDefault="008F7AF5" w:rsidP="00417CF7">
      <w:pPr>
        <w:tabs>
          <w:tab w:val="left" w:pos="720"/>
          <w:tab w:val="left" w:pos="1440"/>
          <w:tab w:val="left" w:pos="9240"/>
        </w:tabs>
        <w:spacing w:line="480" w:lineRule="auto"/>
        <w:ind w:left="720" w:hanging="720"/>
        <w:rPr>
          <w:b/>
        </w:rPr>
      </w:pPr>
      <w:r>
        <w:rPr>
          <w:b/>
        </w:rPr>
        <w:t>Q.</w:t>
      </w:r>
      <w:r>
        <w:rPr>
          <w:b/>
        </w:rPr>
        <w:tab/>
        <w:t>Please contrast your recommendation with that of PSE witness Gaines.</w:t>
      </w:r>
    </w:p>
    <w:p w:rsidR="008F7AF5" w:rsidRDefault="008F7AF5" w:rsidP="005343FB">
      <w:pPr>
        <w:tabs>
          <w:tab w:val="left" w:pos="720"/>
          <w:tab w:val="left" w:pos="1440"/>
        </w:tabs>
        <w:spacing w:line="480" w:lineRule="auto"/>
        <w:ind w:left="720" w:right="-162" w:hanging="720"/>
      </w:pPr>
      <w:r>
        <w:t>A.</w:t>
      </w:r>
      <w:r>
        <w:tab/>
        <w:t>Mr. Gaines propos</w:t>
      </w:r>
      <w:r w:rsidR="00C4485B">
        <w:t>es</w:t>
      </w:r>
      <w:r>
        <w:t xml:space="preserve"> a hypothetical capital structure that contains 48 percent common equity.  This 48 percent common ratio exceeds </w:t>
      </w:r>
      <w:r w:rsidR="005343FB">
        <w:rPr>
          <w:u w:val="single"/>
        </w:rPr>
        <w:t xml:space="preserve">the 45 </w:t>
      </w:r>
      <w:r>
        <w:t>percent common equity ratio</w:t>
      </w:r>
      <w:r w:rsidR="002122A0">
        <w:t>s</w:t>
      </w:r>
      <w:r>
        <w:t xml:space="preserve"> requested by PSE and approved by the Commission in several recent rate proceedings of the Company.  It also exceeds the 46 percent common equity ratio stipulated in the 200</w:t>
      </w:r>
      <w:r w:rsidR="00C4485B">
        <w:t>7</w:t>
      </w:r>
      <w:r>
        <w:t xml:space="preserve"> PSE rate proceeding</w:t>
      </w:r>
      <w:r w:rsidR="00C4485B">
        <w:t>, Dockets UE-072300 and UG-072301</w:t>
      </w:r>
      <w:r>
        <w:t>.</w:t>
      </w:r>
    </w:p>
    <w:p w:rsidR="005343FB" w:rsidRDefault="008F7AF5" w:rsidP="00417CF7">
      <w:pPr>
        <w:tabs>
          <w:tab w:val="left" w:pos="720"/>
          <w:tab w:val="left" w:pos="1440"/>
          <w:tab w:val="left" w:pos="9240"/>
        </w:tabs>
        <w:spacing w:line="480" w:lineRule="auto"/>
        <w:ind w:left="720" w:hanging="720"/>
        <w:sectPr w:rsidR="005343FB" w:rsidSect="00E83DA3">
          <w:footerReference w:type="default" r:id="rId17"/>
          <w:pgSz w:w="12240" w:h="15840" w:code="1"/>
          <w:pgMar w:top="1440" w:right="1440" w:bottom="720" w:left="1872" w:header="720" w:footer="720" w:gutter="0"/>
          <w:lnNumType w:countBy="1"/>
          <w:cols w:space="720"/>
          <w:docGrid w:linePitch="360"/>
        </w:sectPr>
      </w:pPr>
      <w:r>
        <w:tab/>
      </w:r>
      <w:r>
        <w:tab/>
        <w:t xml:space="preserve">Mr. Gaines maintains that the 48 percent common equity ratio </w:t>
      </w:r>
      <w:r w:rsidR="007C6E29">
        <w:t>PSE</w:t>
      </w:r>
      <w:r>
        <w:t xml:space="preserve"> propose</w:t>
      </w:r>
      <w:r w:rsidR="007C6E29">
        <w:t>s</w:t>
      </w:r>
      <w:r>
        <w:t xml:space="preserve"> is justified by the recent capital structures of the Company.  </w:t>
      </w:r>
      <w:r w:rsidR="006E089F">
        <w:t>Exhibit No. DEG-1T, page 12</w:t>
      </w:r>
      <w:r w:rsidR="00C4485B">
        <w:t>.</w:t>
      </w:r>
      <w:r w:rsidR="006E089F">
        <w:t xml:space="preserve"> </w:t>
      </w:r>
      <w:r w:rsidR="0001444C">
        <w:t xml:space="preserve"> </w:t>
      </w:r>
      <w:r>
        <w:t xml:space="preserve">However, I note that the actual common equity ratio of PSE at the end of 2008 (i.e., just prior to the completion of the merger) was well below 48 percent.  I also note that any changes to PSE’s common equity subsequent to the merger reflect </w:t>
      </w:r>
      <w:r w:rsidR="0001444C">
        <w:t xml:space="preserve">decisions by the new owner’s of PSE.  These decisions regarding PSE’s capital structure are not necessarily </w:t>
      </w:r>
      <w:r w:rsidR="005716BA">
        <w:t>consistent with</w:t>
      </w:r>
      <w:r w:rsidR="0001444C">
        <w:t xml:space="preserve"> the interests of ratepayers.  </w:t>
      </w:r>
      <w:r w:rsidR="005716BA">
        <w:t xml:space="preserve">Under these circumstances, the new owner’s managing </w:t>
      </w:r>
      <w:r w:rsidR="007C6E29">
        <w:t xml:space="preserve">of </w:t>
      </w:r>
      <w:r w:rsidR="005716BA">
        <w:t xml:space="preserve">capital structure to maximize the </w:t>
      </w:r>
    </w:p>
    <w:p w:rsidR="008F15A3" w:rsidRDefault="005716BA" w:rsidP="005343FB">
      <w:pPr>
        <w:tabs>
          <w:tab w:val="left" w:pos="720"/>
          <w:tab w:val="left" w:pos="1440"/>
          <w:tab w:val="left" w:pos="9240"/>
        </w:tabs>
        <w:spacing w:line="480" w:lineRule="auto"/>
        <w:ind w:left="720"/>
      </w:pPr>
      <w:proofErr w:type="gramStart"/>
      <w:r>
        <w:lastRenderedPageBreak/>
        <w:t>effects</w:t>
      </w:r>
      <w:proofErr w:type="gramEnd"/>
      <w:r>
        <w:t xml:space="preserve"> of leverage through the holding company structure may</w:t>
      </w:r>
      <w:r w:rsidR="008F15A3">
        <w:t xml:space="preserve"> not be consistent with the </w:t>
      </w:r>
      <w:r>
        <w:t xml:space="preserve">Commission’s policy to </w:t>
      </w:r>
      <w:r w:rsidR="008F15A3">
        <w:t>balance safety and economy.</w:t>
      </w:r>
    </w:p>
    <w:p w:rsidR="008F7AF5" w:rsidRDefault="008F15A3" w:rsidP="00417CF7">
      <w:pPr>
        <w:tabs>
          <w:tab w:val="left" w:pos="720"/>
          <w:tab w:val="left" w:pos="1440"/>
          <w:tab w:val="left" w:pos="9240"/>
        </w:tabs>
        <w:spacing w:line="480" w:lineRule="auto"/>
        <w:ind w:left="720" w:hanging="720"/>
      </w:pPr>
      <w:r>
        <w:tab/>
      </w:r>
      <w:r>
        <w:tab/>
        <w:t>I also believe that an increase in PSE’s regulatory equity ratio, immediately following the completion of the merger, may give the appearance of capital structure manipulation by PSE’s parent company.  There is also no indication that PSE’s risks have increased, thus, there is no justification for an increase in the required equity ratio of the Company.</w:t>
      </w:r>
    </w:p>
    <w:p w:rsidR="008F15A3" w:rsidRDefault="008F15A3" w:rsidP="00417CF7">
      <w:pPr>
        <w:tabs>
          <w:tab w:val="left" w:pos="720"/>
          <w:tab w:val="left" w:pos="1440"/>
          <w:tab w:val="left" w:pos="9240"/>
        </w:tabs>
        <w:spacing w:line="480" w:lineRule="auto"/>
        <w:ind w:left="720" w:hanging="720"/>
      </w:pPr>
    </w:p>
    <w:p w:rsidR="008F15A3" w:rsidRDefault="008F15A3" w:rsidP="00417CF7">
      <w:pPr>
        <w:tabs>
          <w:tab w:val="left" w:pos="720"/>
          <w:tab w:val="left" w:pos="1440"/>
          <w:tab w:val="left" w:pos="9240"/>
        </w:tabs>
        <w:spacing w:line="480" w:lineRule="auto"/>
        <w:ind w:left="720" w:hanging="720"/>
        <w:rPr>
          <w:b/>
        </w:rPr>
      </w:pPr>
      <w:r>
        <w:rPr>
          <w:b/>
        </w:rPr>
        <w:t>Q.</w:t>
      </w:r>
      <w:r>
        <w:rPr>
          <w:b/>
        </w:rPr>
        <w:tab/>
        <w:t xml:space="preserve">PSE witness Morin indicates </w:t>
      </w:r>
      <w:r w:rsidR="007C6E29">
        <w:rPr>
          <w:b/>
        </w:rPr>
        <w:t>at Exhibit No. RAM-1T, page</w:t>
      </w:r>
      <w:r w:rsidR="006E089F">
        <w:rPr>
          <w:b/>
        </w:rPr>
        <w:t>s 65-66</w:t>
      </w:r>
      <w:r>
        <w:rPr>
          <w:b/>
        </w:rPr>
        <w:t xml:space="preserve"> that a utility bond rating of single-A is “optimal.”  Do you have </w:t>
      </w:r>
      <w:r w:rsidR="006E089F">
        <w:rPr>
          <w:b/>
        </w:rPr>
        <w:t xml:space="preserve">any </w:t>
      </w:r>
      <w:r>
        <w:rPr>
          <w:b/>
        </w:rPr>
        <w:t>response to this?</w:t>
      </w:r>
    </w:p>
    <w:p w:rsidR="008F15A3" w:rsidRDefault="008F15A3" w:rsidP="00417CF7">
      <w:pPr>
        <w:tabs>
          <w:tab w:val="left" w:pos="720"/>
          <w:tab w:val="left" w:pos="1440"/>
          <w:tab w:val="left" w:pos="9240"/>
        </w:tabs>
        <w:spacing w:line="480" w:lineRule="auto"/>
        <w:ind w:left="720" w:hanging="720"/>
      </w:pPr>
      <w:r>
        <w:t>A.</w:t>
      </w:r>
      <w:r>
        <w:tab/>
        <w:t>Yes, I do.  I noted previously that the current bond ratings of electric and combination electric/gas utilities are about evenly sp</w:t>
      </w:r>
      <w:r w:rsidR="003A007D">
        <w:t xml:space="preserve">lit between single-A and </w:t>
      </w:r>
      <w:proofErr w:type="spellStart"/>
      <w:r w:rsidR="003A007D">
        <w:t>triple</w:t>
      </w:r>
      <w:r w:rsidR="003A007D">
        <w:noBreakHyphen/>
      </w:r>
      <w:r>
        <w:t>B</w:t>
      </w:r>
      <w:proofErr w:type="spellEnd"/>
      <w:r>
        <w:t>.  In addition, PSE’s ratings are split between A- (S&amp;P) and Baa2 (Moody’s)</w:t>
      </w:r>
    </w:p>
    <w:p w:rsidR="008F15A3" w:rsidRDefault="008F15A3" w:rsidP="00417CF7">
      <w:pPr>
        <w:tabs>
          <w:tab w:val="left" w:pos="720"/>
          <w:tab w:val="left" w:pos="1440"/>
          <w:tab w:val="left" w:pos="9240"/>
        </w:tabs>
        <w:spacing w:line="480" w:lineRule="auto"/>
        <w:ind w:left="720" w:hanging="720"/>
      </w:pPr>
      <w:r>
        <w:tab/>
      </w:r>
      <w:r>
        <w:tab/>
        <w:t>I do not believe there is any justification for attempting to “create” a single-A rating for a utility.  Such an objective would require either a higher return on equity or a higher common equity ratio, or both.  This would require ratepayers to pay higher rates immediately on all of the Company’s common equity and/or an expanded level of common equity.  In contrast, any positive impact of a higher bond rating would only be beneficial on the incremental long-term debt issued subsequent to the upgrade.</w:t>
      </w:r>
    </w:p>
    <w:p w:rsidR="008F15A3" w:rsidRDefault="008F15A3" w:rsidP="00417CF7">
      <w:pPr>
        <w:tabs>
          <w:tab w:val="left" w:pos="720"/>
          <w:tab w:val="left" w:pos="1440"/>
          <w:tab w:val="left" w:pos="9240"/>
        </w:tabs>
        <w:spacing w:line="480" w:lineRule="auto"/>
        <w:ind w:left="720" w:hanging="720"/>
      </w:pPr>
      <w:r>
        <w:tab/>
      </w:r>
      <w:r>
        <w:tab/>
        <w:t xml:space="preserve">As a result, it is apparent that an “objective” to “create” a higher bond rating (i.e., to single-A) has an immediate and potentially significant impact </w:t>
      </w:r>
      <w:r w:rsidR="00C4485B">
        <w:t>on</w:t>
      </w:r>
      <w:r>
        <w:t xml:space="preserve"> ratepayers (through a higher return on equity and/or higher equity ratio) which is “offset” by </w:t>
      </w:r>
      <w:r>
        <w:lastRenderedPageBreak/>
        <w:t>only a limited and potential “savings” of debt costs limited to only subsequent deb</w:t>
      </w:r>
      <w:r w:rsidR="004C1FC3">
        <w:t xml:space="preserve">t issues.  Such an “objective” </w:t>
      </w:r>
      <w:r>
        <w:t xml:space="preserve">should only </w:t>
      </w:r>
      <w:proofErr w:type="gramStart"/>
      <w:r>
        <w:t>considered</w:t>
      </w:r>
      <w:proofErr w:type="gramEnd"/>
      <w:r>
        <w:t xml:space="preserve"> with a demonstration that the “benefits” exceed the “costs.”</w:t>
      </w:r>
      <w:r w:rsidR="005716BA">
        <w:t xml:space="preserve">  </w:t>
      </w:r>
      <w:r>
        <w:t xml:space="preserve">  </w:t>
      </w:r>
    </w:p>
    <w:p w:rsidR="00B6204D" w:rsidRDefault="00B6204D" w:rsidP="00417CF7">
      <w:pPr>
        <w:tabs>
          <w:tab w:val="left" w:pos="720"/>
          <w:tab w:val="left" w:pos="1440"/>
          <w:tab w:val="left" w:pos="9240"/>
        </w:tabs>
        <w:spacing w:line="480" w:lineRule="auto"/>
        <w:ind w:left="720" w:hanging="720"/>
        <w:rPr>
          <w:b/>
        </w:rPr>
      </w:pPr>
    </w:p>
    <w:p w:rsidR="006E089F" w:rsidRDefault="006E089F" w:rsidP="00417CF7">
      <w:pPr>
        <w:tabs>
          <w:tab w:val="left" w:pos="720"/>
          <w:tab w:val="left" w:pos="1440"/>
          <w:tab w:val="left" w:pos="9240"/>
        </w:tabs>
        <w:spacing w:line="480" w:lineRule="auto"/>
        <w:ind w:left="720" w:hanging="720"/>
      </w:pPr>
      <w:r>
        <w:rPr>
          <w:b/>
        </w:rPr>
        <w:t>Q.</w:t>
      </w:r>
      <w:r>
        <w:rPr>
          <w:b/>
        </w:rPr>
        <w:tab/>
        <w:t>How did you derive your recommended capital structure?</w:t>
      </w:r>
    </w:p>
    <w:p w:rsidR="006E089F" w:rsidRDefault="006E089F" w:rsidP="00417CF7">
      <w:pPr>
        <w:tabs>
          <w:tab w:val="left" w:pos="720"/>
          <w:tab w:val="left" w:pos="1440"/>
          <w:tab w:val="left" w:pos="9240"/>
        </w:tabs>
        <w:spacing w:line="480" w:lineRule="auto"/>
        <w:ind w:left="720" w:hanging="720"/>
      </w:pPr>
      <w:r>
        <w:t>A.</w:t>
      </w:r>
      <w:r>
        <w:tab/>
        <w:t>I began with the level of total capital ($7,206,450,000) for PSE, as is shown on Exhibit N</w:t>
      </w:r>
      <w:r w:rsidR="003B253B">
        <w:t>o</w:t>
      </w:r>
      <w:r>
        <w:t>. DEG-10C, page 1.  I accept</w:t>
      </w:r>
      <w:r w:rsidR="00C4485B">
        <w:t>ed</w:t>
      </w:r>
      <w:r>
        <w:t xml:space="preserve"> the level of short-term debt from </w:t>
      </w:r>
      <w:r w:rsidR="00C4485B">
        <w:t>Mr. Gaines’</w:t>
      </w:r>
      <w:r>
        <w:t xml:space="preserve"> schedule.  I </w:t>
      </w:r>
      <w:r w:rsidR="00C4485B">
        <w:t xml:space="preserve">then </w:t>
      </w:r>
      <w:r>
        <w:t>determined the amount of common equity by using the 45 percent common equity ratio I described above.  Then, I added an amount of long-term debt to the level proposed by PSE in the amount required for the total capital to remain the same.  This is shown on page 1 of Exhibit No.</w:t>
      </w:r>
      <w:r w:rsidR="00CF56ED">
        <w:t xml:space="preserve"> </w:t>
      </w:r>
      <w:r>
        <w:t>DCP-3.</w:t>
      </w:r>
    </w:p>
    <w:p w:rsidR="006E089F" w:rsidRPr="006E089F" w:rsidRDefault="006E089F" w:rsidP="00417CF7">
      <w:pPr>
        <w:tabs>
          <w:tab w:val="left" w:pos="720"/>
          <w:tab w:val="left" w:pos="1440"/>
          <w:tab w:val="left" w:pos="9240"/>
        </w:tabs>
        <w:spacing w:line="480" w:lineRule="auto"/>
        <w:ind w:left="720" w:hanging="720"/>
      </w:pPr>
    </w:p>
    <w:p w:rsidR="00772498" w:rsidRDefault="00772498" w:rsidP="00417CF7">
      <w:pPr>
        <w:tabs>
          <w:tab w:val="left" w:pos="720"/>
          <w:tab w:val="left" w:pos="1440"/>
          <w:tab w:val="left" w:pos="9240"/>
        </w:tabs>
        <w:spacing w:line="480" w:lineRule="auto"/>
        <w:ind w:left="720" w:hanging="720"/>
        <w:rPr>
          <w:b/>
        </w:rPr>
      </w:pPr>
      <w:r>
        <w:rPr>
          <w:b/>
        </w:rPr>
        <w:t>Q</w:t>
      </w:r>
      <w:r w:rsidR="00B235F1">
        <w:rPr>
          <w:b/>
        </w:rPr>
        <w:t>.</w:t>
      </w:r>
      <w:r>
        <w:rPr>
          <w:b/>
        </w:rPr>
        <w:tab/>
        <w:t>W</w:t>
      </w:r>
      <w:r w:rsidR="00060B17">
        <w:rPr>
          <w:b/>
        </w:rPr>
        <w:t xml:space="preserve">hat </w:t>
      </w:r>
      <w:r w:rsidR="006A0BB3">
        <w:rPr>
          <w:b/>
        </w:rPr>
        <w:t>is</w:t>
      </w:r>
      <w:r w:rsidR="00060B17">
        <w:rPr>
          <w:b/>
        </w:rPr>
        <w:t xml:space="preserve"> the cost rate of </w:t>
      </w:r>
      <w:r w:rsidR="006A0BB3">
        <w:rPr>
          <w:b/>
        </w:rPr>
        <w:t>d</w:t>
      </w:r>
      <w:r w:rsidR="00060B17">
        <w:rPr>
          <w:b/>
        </w:rPr>
        <w:t xml:space="preserve">ebt in the </w:t>
      </w:r>
      <w:r w:rsidR="00ED4F04">
        <w:rPr>
          <w:b/>
        </w:rPr>
        <w:t>C</w:t>
      </w:r>
      <w:r w:rsidR="00060B17">
        <w:rPr>
          <w:b/>
        </w:rPr>
        <w:t>ompany’s application</w:t>
      </w:r>
      <w:r>
        <w:rPr>
          <w:b/>
        </w:rPr>
        <w:t>?</w:t>
      </w:r>
    </w:p>
    <w:p w:rsidR="002E401B" w:rsidRDefault="00772498" w:rsidP="00417CF7">
      <w:pPr>
        <w:tabs>
          <w:tab w:val="left" w:pos="720"/>
          <w:tab w:val="left" w:pos="1440"/>
          <w:tab w:val="left" w:pos="9240"/>
        </w:tabs>
        <w:spacing w:line="480" w:lineRule="auto"/>
        <w:ind w:left="720" w:hanging="720"/>
      </w:pPr>
      <w:r>
        <w:t>A.</w:t>
      </w:r>
      <w:r>
        <w:tab/>
        <w:t>The Company’s filing</w:t>
      </w:r>
      <w:r w:rsidR="009B343F">
        <w:t xml:space="preserve">, as supplemented, </w:t>
      </w:r>
      <w:r>
        <w:t>cites the following cost rates:</w:t>
      </w:r>
    </w:p>
    <w:tbl>
      <w:tblPr>
        <w:tblpPr w:leftFromText="180" w:rightFromText="180" w:vertAnchor="text" w:horzAnchor="margin" w:tblpXSpec="center" w:tblpY="218"/>
        <w:tblW w:w="0" w:type="auto"/>
        <w:tblLook w:val="01E0"/>
      </w:tblPr>
      <w:tblGrid>
        <w:gridCol w:w="2388"/>
        <w:gridCol w:w="222"/>
        <w:gridCol w:w="836"/>
      </w:tblGrid>
      <w:tr w:rsidR="00772498">
        <w:tc>
          <w:tcPr>
            <w:tcW w:w="2388" w:type="dxa"/>
          </w:tcPr>
          <w:p w:rsidR="00772498" w:rsidRDefault="00B51709" w:rsidP="009E2531">
            <w:pPr>
              <w:tabs>
                <w:tab w:val="left" w:pos="720"/>
                <w:tab w:val="left" w:pos="1440"/>
                <w:tab w:val="left" w:pos="9240"/>
              </w:tabs>
              <w:jc w:val="both"/>
            </w:pPr>
            <w:r>
              <w:t>Short-Term Debt</w:t>
            </w:r>
          </w:p>
        </w:tc>
        <w:tc>
          <w:tcPr>
            <w:tcW w:w="0" w:type="auto"/>
          </w:tcPr>
          <w:p w:rsidR="00772498" w:rsidRDefault="00772498" w:rsidP="009E2531">
            <w:pPr>
              <w:tabs>
                <w:tab w:val="left" w:pos="720"/>
                <w:tab w:val="left" w:pos="1440"/>
                <w:tab w:val="left" w:pos="9240"/>
              </w:tabs>
              <w:jc w:val="both"/>
            </w:pPr>
          </w:p>
        </w:tc>
        <w:tc>
          <w:tcPr>
            <w:tcW w:w="0" w:type="auto"/>
          </w:tcPr>
          <w:p w:rsidR="00772498" w:rsidRDefault="009B343F" w:rsidP="00A453C1">
            <w:pPr>
              <w:tabs>
                <w:tab w:val="left" w:pos="720"/>
                <w:tab w:val="left" w:pos="1440"/>
                <w:tab w:val="left" w:pos="9240"/>
              </w:tabs>
              <w:jc w:val="right"/>
            </w:pPr>
            <w:r>
              <w:t>2.47</w:t>
            </w:r>
            <w:r w:rsidR="00B51709">
              <w:t>%</w:t>
            </w:r>
          </w:p>
        </w:tc>
      </w:tr>
      <w:tr w:rsidR="00772498">
        <w:tc>
          <w:tcPr>
            <w:tcW w:w="2388" w:type="dxa"/>
          </w:tcPr>
          <w:p w:rsidR="00772498" w:rsidRDefault="00B51709" w:rsidP="009E2531">
            <w:pPr>
              <w:tabs>
                <w:tab w:val="left" w:pos="720"/>
                <w:tab w:val="left" w:pos="1440"/>
                <w:tab w:val="left" w:pos="9240"/>
              </w:tabs>
              <w:jc w:val="both"/>
            </w:pPr>
            <w:r>
              <w:t>Long-Term Debt</w:t>
            </w:r>
          </w:p>
        </w:tc>
        <w:tc>
          <w:tcPr>
            <w:tcW w:w="0" w:type="auto"/>
          </w:tcPr>
          <w:p w:rsidR="00772498" w:rsidRDefault="00772498" w:rsidP="009E2531">
            <w:pPr>
              <w:tabs>
                <w:tab w:val="left" w:pos="720"/>
                <w:tab w:val="left" w:pos="1440"/>
                <w:tab w:val="left" w:pos="9240"/>
              </w:tabs>
              <w:jc w:val="both"/>
            </w:pPr>
          </w:p>
        </w:tc>
        <w:tc>
          <w:tcPr>
            <w:tcW w:w="0" w:type="auto"/>
          </w:tcPr>
          <w:p w:rsidR="00772498" w:rsidRDefault="009B343F" w:rsidP="00A453C1">
            <w:pPr>
              <w:tabs>
                <w:tab w:val="left" w:pos="720"/>
                <w:tab w:val="left" w:pos="1440"/>
                <w:tab w:val="left" w:pos="9240"/>
              </w:tabs>
              <w:jc w:val="right"/>
            </w:pPr>
            <w:r>
              <w:t>6.70</w:t>
            </w:r>
            <w:r w:rsidR="00772498">
              <w:t>%</w:t>
            </w:r>
          </w:p>
        </w:tc>
      </w:tr>
    </w:tbl>
    <w:p w:rsidR="00772498" w:rsidRDefault="00772498" w:rsidP="009E2531">
      <w:pPr>
        <w:tabs>
          <w:tab w:val="left" w:pos="720"/>
          <w:tab w:val="left" w:pos="1440"/>
          <w:tab w:val="left" w:pos="9240"/>
        </w:tabs>
        <w:spacing w:line="360" w:lineRule="auto"/>
        <w:ind w:left="720" w:hanging="720"/>
        <w:jc w:val="both"/>
      </w:pPr>
    </w:p>
    <w:p w:rsidR="00B6204D" w:rsidRDefault="00B6204D" w:rsidP="003A007D">
      <w:pPr>
        <w:tabs>
          <w:tab w:val="left" w:pos="720"/>
          <w:tab w:val="left" w:pos="1440"/>
          <w:tab w:val="left" w:pos="9240"/>
        </w:tabs>
        <w:spacing w:line="480" w:lineRule="auto"/>
      </w:pPr>
    </w:p>
    <w:p w:rsidR="00574AEF" w:rsidRDefault="00B6204D" w:rsidP="00ED4F04">
      <w:pPr>
        <w:tabs>
          <w:tab w:val="left" w:pos="720"/>
          <w:tab w:val="left" w:pos="1440"/>
          <w:tab w:val="left" w:pos="9240"/>
        </w:tabs>
        <w:spacing w:line="480" w:lineRule="auto"/>
        <w:ind w:left="720" w:hanging="720"/>
        <w:sectPr w:rsidR="00574AEF" w:rsidSect="00E83DA3">
          <w:pgSz w:w="12240" w:h="15840" w:code="1"/>
          <w:pgMar w:top="1440" w:right="1440" w:bottom="720" w:left="1872" w:header="720" w:footer="720" w:gutter="0"/>
          <w:lnNumType w:countBy="1"/>
          <w:cols w:space="720"/>
          <w:docGrid w:linePitch="360"/>
        </w:sectPr>
      </w:pPr>
      <w:r>
        <w:tab/>
      </w:r>
      <w:r w:rsidR="00BA0EA8">
        <w:t xml:space="preserve">I use </w:t>
      </w:r>
      <w:r w:rsidR="009B343F">
        <w:t>th</w:t>
      </w:r>
      <w:r w:rsidR="008F15A3">
        <w:t>is</w:t>
      </w:r>
      <w:r w:rsidR="00B41296">
        <w:t xml:space="preserve"> short-term</w:t>
      </w:r>
      <w:r w:rsidR="009B343F">
        <w:t xml:space="preserve"> </w:t>
      </w:r>
      <w:r w:rsidR="00A453C1">
        <w:t>debt</w:t>
      </w:r>
      <w:r w:rsidR="00BA0EA8">
        <w:t xml:space="preserve"> rate</w:t>
      </w:r>
      <w:r w:rsidR="005741BD">
        <w:t xml:space="preserve"> </w:t>
      </w:r>
      <w:r w:rsidR="00B51709">
        <w:t xml:space="preserve">in </w:t>
      </w:r>
      <w:r w:rsidR="00772498">
        <w:t>my cost of capital analyses.</w:t>
      </w:r>
      <w:r w:rsidR="00B41296">
        <w:t xml:space="preserve">  I do not use the 6.70 percent cost of long-term debt proposed by PSE.  The 6.70 percent cost of long-term debt proposed by PSE contains two future debt issues that are to be sold in 2010.  Those contain cost rates of 6.72 percent and 6.86 percent.  These cost </w:t>
      </w:r>
      <w:r w:rsidR="00F60940">
        <w:t xml:space="preserve">rates significantly exceed the </w:t>
      </w:r>
      <w:r w:rsidR="002C0CAC">
        <w:t>actual</w:t>
      </w:r>
      <w:r w:rsidR="00F60940">
        <w:t xml:space="preserve"> 5.757 percent cost rate that PSE </w:t>
      </w:r>
      <w:r w:rsidR="008F15A3">
        <w:t xml:space="preserve">actually </w:t>
      </w:r>
      <w:r w:rsidR="00F60940">
        <w:t>paid on 30-year bonds in September of this year.  I have “</w:t>
      </w:r>
      <w:proofErr w:type="spellStart"/>
      <w:r w:rsidR="00F60940">
        <w:t>repriced</w:t>
      </w:r>
      <w:proofErr w:type="spellEnd"/>
      <w:r w:rsidR="00F60940">
        <w:t xml:space="preserve">” the cost rate of the two 2010 debt issues of PSE at this 5.757 percent cost rate.  </w:t>
      </w:r>
      <w:r w:rsidR="006E089F">
        <w:t xml:space="preserve">I have also “priced” the long-term debt increment (i.e., differential between the </w:t>
      </w:r>
      <w:proofErr w:type="gramStart"/>
      <w:r w:rsidR="006E089F">
        <w:t>amount</w:t>
      </w:r>
      <w:proofErr w:type="gramEnd"/>
      <w:r w:rsidR="006E089F">
        <w:t xml:space="preserve"> of common equity at 48 percent </w:t>
      </w:r>
    </w:p>
    <w:p w:rsidR="00F676FA" w:rsidRPr="005716BA" w:rsidRDefault="006E089F" w:rsidP="00574AEF">
      <w:pPr>
        <w:tabs>
          <w:tab w:val="left" w:pos="720"/>
          <w:tab w:val="left" w:pos="1440"/>
          <w:tab w:val="left" w:pos="9240"/>
        </w:tabs>
        <w:spacing w:line="480" w:lineRule="auto"/>
        <w:ind w:left="720"/>
        <w:rPr>
          <w:b/>
          <w:u w:val="single"/>
        </w:rPr>
      </w:pPr>
      <w:proofErr w:type="gramStart"/>
      <w:r>
        <w:lastRenderedPageBreak/>
        <w:t>versus</w:t>
      </w:r>
      <w:proofErr w:type="gramEnd"/>
      <w:r>
        <w:t xml:space="preserve"> 45 percent) at 5.757 percent.  </w:t>
      </w:r>
      <w:r w:rsidR="00F60940">
        <w:t xml:space="preserve">The resulting cost of long-term debt is </w:t>
      </w:r>
      <w:r w:rsidR="00F60940" w:rsidRPr="00574AEF">
        <w:rPr>
          <w:strike/>
        </w:rPr>
        <w:t>6.4</w:t>
      </w:r>
      <w:r w:rsidRPr="00574AEF">
        <w:rPr>
          <w:strike/>
        </w:rPr>
        <w:t>5</w:t>
      </w:r>
      <w:r w:rsidR="00F60940">
        <w:t xml:space="preserve"> </w:t>
      </w:r>
      <w:r w:rsidR="00574AEF">
        <w:rPr>
          <w:u w:val="single"/>
        </w:rPr>
        <w:t xml:space="preserve">6.48 </w:t>
      </w:r>
      <w:r w:rsidR="00F60940">
        <w:t>percent.</w:t>
      </w:r>
      <w:r w:rsidR="008F15A3">
        <w:t xml:space="preserve">  This is shown on page 2</w:t>
      </w:r>
      <w:r>
        <w:t xml:space="preserve"> </w:t>
      </w:r>
      <w:r w:rsidR="008F15A3">
        <w:t>of Exhibit No. DCP-3</w:t>
      </w:r>
      <w:r w:rsidR="00B6204D">
        <w:t xml:space="preserve">.  </w:t>
      </w:r>
    </w:p>
    <w:p w:rsidR="008802FE" w:rsidRDefault="008802FE" w:rsidP="00CA2476">
      <w:pPr>
        <w:tabs>
          <w:tab w:val="left" w:pos="9240"/>
        </w:tabs>
        <w:spacing w:line="480" w:lineRule="auto"/>
        <w:jc w:val="center"/>
        <w:rPr>
          <w:b/>
        </w:rPr>
      </w:pPr>
    </w:p>
    <w:p w:rsidR="00DB2FA7" w:rsidRDefault="00F64542" w:rsidP="00CA2476">
      <w:pPr>
        <w:tabs>
          <w:tab w:val="left" w:pos="9240"/>
        </w:tabs>
        <w:spacing w:line="480" w:lineRule="auto"/>
        <w:jc w:val="center"/>
        <w:rPr>
          <w:b/>
        </w:rPr>
      </w:pPr>
      <w:r>
        <w:rPr>
          <w:b/>
        </w:rPr>
        <w:t>VII</w:t>
      </w:r>
      <w:proofErr w:type="gramStart"/>
      <w:r>
        <w:rPr>
          <w:b/>
        </w:rPr>
        <w:t>.</w:t>
      </w:r>
      <w:r w:rsidR="003A007D">
        <w:rPr>
          <w:b/>
        </w:rPr>
        <w:t xml:space="preserve"> </w:t>
      </w:r>
      <w:r w:rsidR="00CA2476">
        <w:rPr>
          <w:b/>
        </w:rPr>
        <w:t xml:space="preserve"> </w:t>
      </w:r>
      <w:r w:rsidR="00DB2FA7">
        <w:rPr>
          <w:b/>
        </w:rPr>
        <w:t>COST</w:t>
      </w:r>
      <w:proofErr w:type="gramEnd"/>
      <w:r w:rsidR="00DB2FA7">
        <w:rPr>
          <w:b/>
        </w:rPr>
        <w:t xml:space="preserve"> OF EQUITY</w:t>
      </w:r>
    </w:p>
    <w:p w:rsidR="00D4179D" w:rsidRDefault="00D4179D" w:rsidP="00CA2476">
      <w:pPr>
        <w:tabs>
          <w:tab w:val="left" w:pos="9240"/>
        </w:tabs>
        <w:spacing w:line="480" w:lineRule="auto"/>
        <w:jc w:val="center"/>
        <w:rPr>
          <w:b/>
        </w:rPr>
      </w:pPr>
    </w:p>
    <w:p w:rsidR="008A2D0B" w:rsidRPr="00D4179D" w:rsidRDefault="00DB2FA7" w:rsidP="00D4179D">
      <w:pPr>
        <w:pStyle w:val="ListParagraph"/>
        <w:numPr>
          <w:ilvl w:val="0"/>
          <w:numId w:val="41"/>
        </w:numPr>
        <w:tabs>
          <w:tab w:val="left" w:pos="9240"/>
        </w:tabs>
        <w:spacing w:line="480" w:lineRule="auto"/>
        <w:ind w:hanging="720"/>
        <w:rPr>
          <w:b/>
          <w:u w:val="single"/>
        </w:rPr>
      </w:pPr>
      <w:r w:rsidRPr="00D4179D">
        <w:rPr>
          <w:b/>
        </w:rPr>
        <w:t>Selection of Proxy Companies</w:t>
      </w:r>
    </w:p>
    <w:p w:rsidR="00F64542" w:rsidRDefault="00F64542" w:rsidP="009E2531">
      <w:pPr>
        <w:tabs>
          <w:tab w:val="left" w:pos="720"/>
          <w:tab w:val="left" w:pos="1440"/>
          <w:tab w:val="left" w:pos="9240"/>
        </w:tabs>
        <w:spacing w:line="480" w:lineRule="auto"/>
        <w:ind w:left="720" w:hanging="720"/>
        <w:jc w:val="both"/>
      </w:pPr>
    </w:p>
    <w:p w:rsidR="00F64542" w:rsidRDefault="00F64542" w:rsidP="00417CF7">
      <w:pPr>
        <w:tabs>
          <w:tab w:val="left" w:pos="720"/>
          <w:tab w:val="left" w:pos="1440"/>
          <w:tab w:val="left" w:pos="9240"/>
        </w:tabs>
        <w:spacing w:line="480" w:lineRule="auto"/>
        <w:ind w:left="720" w:hanging="720"/>
        <w:rPr>
          <w:b/>
        </w:rPr>
      </w:pPr>
      <w:r>
        <w:rPr>
          <w:b/>
        </w:rPr>
        <w:t>Q.</w:t>
      </w:r>
      <w:r>
        <w:rPr>
          <w:b/>
        </w:rPr>
        <w:tab/>
        <w:t>H</w:t>
      </w:r>
      <w:r w:rsidR="00060B17">
        <w:rPr>
          <w:b/>
        </w:rPr>
        <w:t>ow have you estimated the cost of common equity for</w:t>
      </w:r>
      <w:r>
        <w:rPr>
          <w:b/>
        </w:rPr>
        <w:t xml:space="preserve"> </w:t>
      </w:r>
      <w:r w:rsidR="00B91BA3">
        <w:rPr>
          <w:b/>
        </w:rPr>
        <w:t>PSE</w:t>
      </w:r>
      <w:r>
        <w:rPr>
          <w:b/>
        </w:rPr>
        <w:t>?</w:t>
      </w:r>
    </w:p>
    <w:p w:rsidR="00F64542" w:rsidRDefault="00F64542" w:rsidP="00417CF7">
      <w:pPr>
        <w:tabs>
          <w:tab w:val="left" w:pos="720"/>
          <w:tab w:val="left" w:pos="1440"/>
          <w:tab w:val="left" w:pos="9240"/>
        </w:tabs>
        <w:spacing w:line="480" w:lineRule="auto"/>
        <w:ind w:left="720" w:hanging="720"/>
      </w:pPr>
      <w:r>
        <w:t>A.</w:t>
      </w:r>
      <w:r>
        <w:tab/>
      </w:r>
      <w:r w:rsidR="009B343F">
        <w:t>PSE</w:t>
      </w:r>
      <w:r w:rsidR="000A6B4E">
        <w:t xml:space="preserve"> is </w:t>
      </w:r>
      <w:r w:rsidR="009B343F">
        <w:t xml:space="preserve">not </w:t>
      </w:r>
      <w:r w:rsidR="000A6B4E">
        <w:t xml:space="preserve">a </w:t>
      </w:r>
      <w:r>
        <w:t>publicly-traded compan</w:t>
      </w:r>
      <w:r w:rsidR="000A6B4E">
        <w:t>y</w:t>
      </w:r>
      <w:r>
        <w:t xml:space="preserve">.  Consequently, </w:t>
      </w:r>
      <w:r w:rsidR="00CA6ADA">
        <w:t xml:space="preserve">market information is </w:t>
      </w:r>
      <w:r w:rsidR="009B343F">
        <w:t xml:space="preserve">not </w:t>
      </w:r>
      <w:r w:rsidR="00CA6ADA">
        <w:t xml:space="preserve">available for </w:t>
      </w:r>
      <w:r w:rsidR="009B343F">
        <w:t>PSE</w:t>
      </w:r>
      <w:r w:rsidR="00CA6ADA">
        <w:t xml:space="preserve">’s common stock, and </w:t>
      </w:r>
      <w:r>
        <w:t xml:space="preserve">it is </w:t>
      </w:r>
      <w:r w:rsidR="009B343F">
        <w:t xml:space="preserve">not </w:t>
      </w:r>
      <w:r>
        <w:t xml:space="preserve">possible to directly apply cost of equity models </w:t>
      </w:r>
      <w:r w:rsidR="00CA6ADA">
        <w:t>using that information</w:t>
      </w:r>
      <w:r>
        <w:t xml:space="preserve">.  </w:t>
      </w:r>
      <w:r w:rsidR="009B343F">
        <w:t xml:space="preserve">Moreover, PSE’s parent is not publicly-traded.  As a result, </w:t>
      </w:r>
      <w:r w:rsidR="000A6B4E">
        <w:t xml:space="preserve">it is generally </w:t>
      </w:r>
      <w:r w:rsidR="00F7189E">
        <w:t>preferable</w:t>
      </w:r>
      <w:r w:rsidR="000A6B4E">
        <w:t xml:space="preserve"> to analyze groups of comparison or “proxy” companies as a substitute for </w:t>
      </w:r>
      <w:r w:rsidR="009B343F">
        <w:t>PSE</w:t>
      </w:r>
      <w:r w:rsidR="002C2D25">
        <w:t xml:space="preserve"> </w:t>
      </w:r>
      <w:r w:rsidR="000A6B4E">
        <w:t>to determine its cost of common equity.</w:t>
      </w:r>
      <w:r w:rsidR="00B51709">
        <w:t xml:space="preserve">  </w:t>
      </w:r>
      <w:r w:rsidR="00D801D7">
        <w:t>The use of proxy companies is also preferable to use of only a single company</w:t>
      </w:r>
      <w:r w:rsidR="00CA6ADA">
        <w:t>, because</w:t>
      </w:r>
      <w:r w:rsidR="00D801D7">
        <w:t xml:space="preserve"> a group of companies provides for a balancing or averaging of statistics for multiple companies deemed to be of similar risk to the subject company.</w:t>
      </w:r>
    </w:p>
    <w:p w:rsidR="000A6B4E" w:rsidRDefault="000A6B4E" w:rsidP="00417CF7">
      <w:pPr>
        <w:tabs>
          <w:tab w:val="left" w:pos="720"/>
          <w:tab w:val="left" w:pos="1440"/>
          <w:tab w:val="left" w:pos="9240"/>
        </w:tabs>
        <w:spacing w:line="480" w:lineRule="auto"/>
        <w:ind w:left="720" w:hanging="720"/>
      </w:pPr>
      <w:r>
        <w:tab/>
      </w:r>
      <w:r>
        <w:tab/>
      </w:r>
      <w:r w:rsidR="00CA6ADA">
        <w:t xml:space="preserve">Therefore, </w:t>
      </w:r>
      <w:r>
        <w:t xml:space="preserve">I examined </w:t>
      </w:r>
      <w:r w:rsidR="009B343F">
        <w:t>three</w:t>
      </w:r>
      <w:r>
        <w:t xml:space="preserve"> </w:t>
      </w:r>
      <w:r w:rsidR="00CA6ADA">
        <w:t>proxy</w:t>
      </w:r>
      <w:r>
        <w:t xml:space="preserve"> groups for comparison to </w:t>
      </w:r>
      <w:r w:rsidR="009B343F">
        <w:t>PSE</w:t>
      </w:r>
      <w:r>
        <w:t xml:space="preserve">.  I selected one group of electric utilities similar to </w:t>
      </w:r>
      <w:r w:rsidR="009B343F">
        <w:t>PSE</w:t>
      </w:r>
      <w:r w:rsidR="00C0589D">
        <w:t xml:space="preserve"> </w:t>
      </w:r>
      <w:r>
        <w:t xml:space="preserve">using the criteria listed on </w:t>
      </w:r>
      <w:r w:rsidR="00CA6ADA">
        <w:t xml:space="preserve">my </w:t>
      </w:r>
      <w:r w:rsidR="00993D58">
        <w:t xml:space="preserve">Exhibit No. </w:t>
      </w:r>
      <w:r w:rsidR="00F32CAF">
        <w:t>DCP-</w:t>
      </w:r>
      <w:r w:rsidR="009B343F">
        <w:t>10</w:t>
      </w:r>
      <w:r>
        <w:t>.  These criteria are as follows:</w:t>
      </w:r>
    </w:p>
    <w:p w:rsidR="000A6B4E" w:rsidRDefault="000A6B4E" w:rsidP="00D4179D">
      <w:pPr>
        <w:keepNext/>
        <w:tabs>
          <w:tab w:val="left" w:pos="720"/>
          <w:tab w:val="left" w:pos="1440"/>
          <w:tab w:val="left" w:pos="2160"/>
          <w:tab w:val="left" w:pos="9240"/>
        </w:tabs>
        <w:ind w:left="720" w:hanging="720"/>
      </w:pPr>
      <w:r>
        <w:tab/>
      </w:r>
      <w:r>
        <w:tab/>
        <w:t>(1)</w:t>
      </w:r>
      <w:r>
        <w:tab/>
      </w:r>
      <w:r w:rsidR="009B343F">
        <w:t xml:space="preserve">Net Plant </w:t>
      </w:r>
      <w:r w:rsidR="001609A7">
        <w:t>of $</w:t>
      </w:r>
      <w:r w:rsidR="009B343F">
        <w:t>1</w:t>
      </w:r>
      <w:r w:rsidR="001609A7">
        <w:t xml:space="preserve"> </w:t>
      </w:r>
      <w:r w:rsidR="009B343F">
        <w:t>b</w:t>
      </w:r>
      <w:r w:rsidR="006A0BB3">
        <w:t>i</w:t>
      </w:r>
      <w:r w:rsidR="001609A7">
        <w:t xml:space="preserve">llion </w:t>
      </w:r>
      <w:r w:rsidR="00F7189E">
        <w:t>to $</w:t>
      </w:r>
      <w:r w:rsidR="009B343F">
        <w:t>10</w:t>
      </w:r>
      <w:r w:rsidR="00F7189E">
        <w:t xml:space="preserve"> billion</w:t>
      </w:r>
      <w:r>
        <w:t>;</w:t>
      </w:r>
    </w:p>
    <w:p w:rsidR="000A6B4E" w:rsidRDefault="000A6B4E" w:rsidP="00D4179D">
      <w:pPr>
        <w:keepNext/>
        <w:tabs>
          <w:tab w:val="left" w:pos="720"/>
          <w:tab w:val="left" w:pos="1440"/>
          <w:tab w:val="left" w:pos="2160"/>
          <w:tab w:val="left" w:pos="9240"/>
        </w:tabs>
        <w:ind w:left="720" w:hanging="720"/>
      </w:pPr>
      <w:r>
        <w:tab/>
      </w:r>
      <w:r>
        <w:tab/>
        <w:t>(2)</w:t>
      </w:r>
      <w:r>
        <w:tab/>
        <w:t xml:space="preserve">Electric revenues </w:t>
      </w:r>
      <w:r w:rsidR="001609A7">
        <w:t>5</w:t>
      </w:r>
      <w:r>
        <w:t>0% or greater;</w:t>
      </w:r>
    </w:p>
    <w:p w:rsidR="00A453C1" w:rsidRDefault="000A6B4E" w:rsidP="00D4179D">
      <w:pPr>
        <w:keepNext/>
        <w:tabs>
          <w:tab w:val="left" w:pos="720"/>
          <w:tab w:val="left" w:pos="1440"/>
          <w:tab w:val="left" w:pos="2160"/>
          <w:tab w:val="left" w:pos="9240"/>
        </w:tabs>
        <w:ind w:left="720" w:hanging="720"/>
      </w:pPr>
      <w:r>
        <w:tab/>
      </w:r>
      <w:r>
        <w:tab/>
        <w:t>(3)</w:t>
      </w:r>
      <w:r>
        <w:tab/>
        <w:t xml:space="preserve">Common equity ratio </w:t>
      </w:r>
      <w:r w:rsidR="000A79F0">
        <w:t>4</w:t>
      </w:r>
      <w:r w:rsidR="006A0BB3">
        <w:t>0</w:t>
      </w:r>
      <w:r>
        <w:t>% or greater;</w:t>
      </w:r>
    </w:p>
    <w:p w:rsidR="000A6B4E" w:rsidRDefault="00F7189E" w:rsidP="00D4179D">
      <w:pPr>
        <w:keepNext/>
        <w:tabs>
          <w:tab w:val="left" w:pos="720"/>
          <w:tab w:val="left" w:pos="1440"/>
          <w:tab w:val="left" w:pos="2160"/>
          <w:tab w:val="left" w:pos="9240"/>
        </w:tabs>
        <w:ind w:left="720" w:hanging="720"/>
      </w:pPr>
      <w:r>
        <w:tab/>
      </w:r>
      <w:r>
        <w:tab/>
      </w:r>
      <w:r w:rsidR="000A6B4E">
        <w:t>(</w:t>
      </w:r>
      <w:r w:rsidR="009B343F">
        <w:t>4</w:t>
      </w:r>
      <w:r w:rsidR="000A6B4E">
        <w:t>)</w:t>
      </w:r>
      <w:r w:rsidR="000A6B4E">
        <w:tab/>
        <w:t xml:space="preserve">S&amp;P </w:t>
      </w:r>
      <w:r w:rsidR="00582F43">
        <w:t>and</w:t>
      </w:r>
      <w:r w:rsidR="000A6B4E">
        <w:t xml:space="preserve"> Moody’s bond ratings of </w:t>
      </w:r>
      <w:r>
        <w:t>BBB;</w:t>
      </w:r>
      <w:r w:rsidR="000A6B4E">
        <w:t xml:space="preserve"> </w:t>
      </w:r>
    </w:p>
    <w:p w:rsidR="000A6B4E" w:rsidRDefault="000A6B4E" w:rsidP="00D4179D">
      <w:pPr>
        <w:keepNext/>
        <w:tabs>
          <w:tab w:val="left" w:pos="720"/>
          <w:tab w:val="left" w:pos="1440"/>
          <w:tab w:val="left" w:pos="2160"/>
          <w:tab w:val="left" w:pos="9240"/>
        </w:tabs>
        <w:ind w:left="720" w:hanging="720"/>
      </w:pPr>
      <w:r>
        <w:tab/>
      </w:r>
      <w:r>
        <w:tab/>
        <w:t>(</w:t>
      </w:r>
      <w:r w:rsidR="009B343F">
        <w:t>5</w:t>
      </w:r>
      <w:r>
        <w:t>)</w:t>
      </w:r>
      <w:r>
        <w:tab/>
        <w:t>S</w:t>
      </w:r>
      <w:r w:rsidR="00F73E84">
        <w:t>&amp;</w:t>
      </w:r>
      <w:r>
        <w:t xml:space="preserve">P stock ranking of </w:t>
      </w:r>
      <w:r w:rsidR="00F7189E">
        <w:t>B</w:t>
      </w:r>
      <w:r w:rsidR="00A453C1">
        <w:t xml:space="preserve"> or</w:t>
      </w:r>
      <w:r w:rsidR="000A79F0">
        <w:t xml:space="preserve"> B+</w:t>
      </w:r>
      <w:r w:rsidR="00354D74">
        <w:t>; and,</w:t>
      </w:r>
    </w:p>
    <w:p w:rsidR="005A6287" w:rsidRDefault="00A453C1" w:rsidP="00D4179D">
      <w:pPr>
        <w:keepNext/>
        <w:tabs>
          <w:tab w:val="left" w:pos="720"/>
          <w:tab w:val="left" w:pos="1440"/>
          <w:tab w:val="left" w:pos="2160"/>
          <w:tab w:val="left" w:pos="9240"/>
        </w:tabs>
        <w:ind w:left="720" w:hanging="720"/>
      </w:pPr>
      <w:r>
        <w:tab/>
      </w:r>
      <w:r>
        <w:tab/>
        <w:t>(</w:t>
      </w:r>
      <w:r w:rsidR="009B343F">
        <w:t>6</w:t>
      </w:r>
      <w:r w:rsidR="00354D74">
        <w:t>)</w:t>
      </w:r>
      <w:r w:rsidR="00354D74">
        <w:tab/>
      </w:r>
      <w:r w:rsidR="00392003">
        <w:t xml:space="preserve">Has </w:t>
      </w:r>
      <w:r w:rsidR="00EE0279">
        <w:t>pa</w:t>
      </w:r>
      <w:r w:rsidR="00D801D7">
        <w:t>id</w:t>
      </w:r>
      <w:r w:rsidR="00392003">
        <w:t xml:space="preserve"> </w:t>
      </w:r>
      <w:r w:rsidR="00354D74">
        <w:t>dividends</w:t>
      </w:r>
      <w:r w:rsidR="00392003">
        <w:t xml:space="preserve"> for 5 years.</w:t>
      </w:r>
    </w:p>
    <w:p w:rsidR="00574AEF" w:rsidRDefault="00574AEF" w:rsidP="00417CF7">
      <w:pPr>
        <w:tabs>
          <w:tab w:val="left" w:pos="720"/>
          <w:tab w:val="left" w:pos="1440"/>
          <w:tab w:val="left" w:pos="2160"/>
          <w:tab w:val="left" w:pos="9240"/>
        </w:tabs>
        <w:spacing w:line="360" w:lineRule="auto"/>
        <w:ind w:left="720" w:hanging="720"/>
      </w:pPr>
    </w:p>
    <w:p w:rsidR="00574AEF" w:rsidRDefault="00574AEF" w:rsidP="00417CF7">
      <w:pPr>
        <w:tabs>
          <w:tab w:val="left" w:pos="720"/>
          <w:tab w:val="left" w:pos="1440"/>
          <w:tab w:val="left" w:pos="2160"/>
          <w:tab w:val="left" w:pos="9240"/>
        </w:tabs>
        <w:spacing w:line="360" w:lineRule="auto"/>
        <w:ind w:left="720" w:hanging="720"/>
        <w:sectPr w:rsidR="00574AEF" w:rsidSect="00E83DA3">
          <w:footerReference w:type="default" r:id="rId18"/>
          <w:pgSz w:w="12240" w:h="15840" w:code="1"/>
          <w:pgMar w:top="1440" w:right="1440" w:bottom="720" w:left="1872" w:header="720" w:footer="720" w:gutter="0"/>
          <w:lnNumType w:countBy="1"/>
          <w:cols w:space="720"/>
          <w:docGrid w:linePitch="360"/>
        </w:sectPr>
      </w:pPr>
    </w:p>
    <w:p w:rsidR="00A36584" w:rsidRDefault="000A6B4E">
      <w:pPr>
        <w:tabs>
          <w:tab w:val="left" w:pos="720"/>
          <w:tab w:val="left" w:pos="1440"/>
          <w:tab w:val="left" w:pos="2160"/>
          <w:tab w:val="left" w:pos="9240"/>
        </w:tabs>
        <w:spacing w:line="480" w:lineRule="auto"/>
        <w:ind w:left="720" w:hanging="720"/>
      </w:pPr>
      <w:r>
        <w:lastRenderedPageBreak/>
        <w:tab/>
      </w:r>
      <w:r w:rsidR="00E67088">
        <w:tab/>
      </w:r>
      <w:r w:rsidR="002C2D25">
        <w:t>Second</w:t>
      </w:r>
      <w:r>
        <w:t>, I conducted studies of the cost of equit</w:t>
      </w:r>
      <w:r w:rsidR="001609A7">
        <w:t xml:space="preserve">y for the </w:t>
      </w:r>
      <w:r w:rsidR="009B343F">
        <w:t>two proxy groups</w:t>
      </w:r>
      <w:r w:rsidR="006A0BB3">
        <w:t xml:space="preserve"> selected by </w:t>
      </w:r>
      <w:r w:rsidR="009B343F">
        <w:t>PSE</w:t>
      </w:r>
      <w:r w:rsidR="006A0BB3">
        <w:t>’s witness Dr.</w:t>
      </w:r>
      <w:r w:rsidR="009B343F">
        <w:t xml:space="preserve"> Morin</w:t>
      </w:r>
      <w:r w:rsidR="006A0BB3">
        <w:t xml:space="preserve">. </w:t>
      </w:r>
      <w:r w:rsidR="00CA6ADA">
        <w:t xml:space="preserve"> </w:t>
      </w:r>
      <w:r w:rsidR="00D801D7">
        <w:t xml:space="preserve">It is my intention that, by using both my own proxy group and Dr. </w:t>
      </w:r>
      <w:r w:rsidR="009B343F">
        <w:t>Morin</w:t>
      </w:r>
      <w:r w:rsidR="00D801D7">
        <w:t>’s proxy group</w:t>
      </w:r>
      <w:r w:rsidR="009B343F">
        <w:t>s</w:t>
      </w:r>
      <w:r w:rsidR="00D801D7">
        <w:t xml:space="preserve">, the proxy group selection does not form a major controversy in the cost of equity </w:t>
      </w:r>
      <w:r w:rsidR="001D6B2C">
        <w:t>estimation process</w:t>
      </w:r>
      <w:r w:rsidR="00D801D7">
        <w:t xml:space="preserve">.  </w:t>
      </w:r>
      <w:r w:rsidR="00F91DD0">
        <w:t xml:space="preserve">I note, on the other hand, that I regard my proxy group to be more appropriate than Dr. </w:t>
      </w:r>
      <w:r w:rsidR="009B343F">
        <w:t>Morin</w:t>
      </w:r>
      <w:r w:rsidR="00F91DD0">
        <w:t>’s proxy group</w:t>
      </w:r>
      <w:r w:rsidR="009B343F">
        <w:t>s</w:t>
      </w:r>
      <w:r w:rsidR="00F91DD0">
        <w:t xml:space="preserve"> since my group was selected based on risk and operating characteristics more directly reflect</w:t>
      </w:r>
      <w:r w:rsidR="006A58AE">
        <w:t>ive</w:t>
      </w:r>
      <w:r w:rsidR="00F91DD0">
        <w:t xml:space="preserve"> of </w:t>
      </w:r>
      <w:r w:rsidR="009B343F">
        <w:t>PSE</w:t>
      </w:r>
      <w:r w:rsidR="00F91DD0">
        <w:t>.</w:t>
      </w:r>
    </w:p>
    <w:p w:rsidR="00D4179D" w:rsidRDefault="00D4179D">
      <w:pPr>
        <w:tabs>
          <w:tab w:val="left" w:pos="720"/>
          <w:tab w:val="left" w:pos="1440"/>
          <w:tab w:val="left" w:pos="2160"/>
          <w:tab w:val="left" w:pos="9240"/>
        </w:tabs>
        <w:spacing w:line="480" w:lineRule="auto"/>
        <w:ind w:left="720" w:hanging="720"/>
      </w:pPr>
    </w:p>
    <w:p w:rsidR="001D72E0" w:rsidRDefault="00DB2FA7" w:rsidP="00D4179D">
      <w:pPr>
        <w:tabs>
          <w:tab w:val="left" w:pos="720"/>
          <w:tab w:val="left" w:pos="1440"/>
          <w:tab w:val="left" w:pos="2160"/>
          <w:tab w:val="left" w:pos="9240"/>
        </w:tabs>
        <w:spacing w:line="480" w:lineRule="auto"/>
        <w:ind w:left="720" w:hanging="720"/>
        <w:rPr>
          <w:b/>
          <w:u w:val="single"/>
        </w:rPr>
      </w:pPr>
      <w:r>
        <w:rPr>
          <w:b/>
        </w:rPr>
        <w:t>B</w:t>
      </w:r>
      <w:r w:rsidR="006F1546">
        <w:rPr>
          <w:b/>
        </w:rPr>
        <w:t>.</w:t>
      </w:r>
      <w:r w:rsidR="006F1546">
        <w:rPr>
          <w:b/>
        </w:rPr>
        <w:tab/>
      </w:r>
      <w:r w:rsidR="006F1546" w:rsidRPr="00060B17">
        <w:rPr>
          <w:b/>
        </w:rPr>
        <w:t>D</w:t>
      </w:r>
      <w:r>
        <w:rPr>
          <w:b/>
        </w:rPr>
        <w:t>iscounted Cash Flow Analysis</w:t>
      </w:r>
    </w:p>
    <w:p w:rsidR="006F1546" w:rsidRDefault="006F1546" w:rsidP="009E2531">
      <w:pPr>
        <w:tabs>
          <w:tab w:val="left" w:pos="720"/>
          <w:tab w:val="left" w:pos="1440"/>
          <w:tab w:val="left" w:pos="9240"/>
        </w:tabs>
        <w:spacing w:line="480" w:lineRule="auto"/>
        <w:ind w:left="720" w:hanging="720"/>
        <w:jc w:val="both"/>
        <w:rPr>
          <w:b/>
        </w:rPr>
      </w:pPr>
    </w:p>
    <w:p w:rsidR="006F1546" w:rsidRDefault="006F1546" w:rsidP="00417CF7">
      <w:pPr>
        <w:tabs>
          <w:tab w:val="left" w:pos="720"/>
          <w:tab w:val="left" w:pos="1440"/>
          <w:tab w:val="left" w:pos="9240"/>
        </w:tabs>
        <w:spacing w:line="480" w:lineRule="auto"/>
        <w:ind w:left="720" w:hanging="720"/>
        <w:rPr>
          <w:b/>
        </w:rPr>
      </w:pPr>
      <w:r>
        <w:rPr>
          <w:b/>
        </w:rPr>
        <w:t>Q.</w:t>
      </w:r>
      <w:r>
        <w:rPr>
          <w:b/>
        </w:rPr>
        <w:tab/>
        <w:t>W</w:t>
      </w:r>
      <w:r w:rsidR="00060B17">
        <w:rPr>
          <w:b/>
        </w:rPr>
        <w:t>hat is the theory and methodological basis of the discounted cash flow model</w:t>
      </w:r>
      <w:r>
        <w:rPr>
          <w:b/>
        </w:rPr>
        <w:t>?</w:t>
      </w:r>
    </w:p>
    <w:p w:rsidR="006F1546" w:rsidRDefault="006F1546" w:rsidP="00417CF7">
      <w:pPr>
        <w:tabs>
          <w:tab w:val="left" w:pos="720"/>
          <w:tab w:val="left" w:pos="1440"/>
          <w:tab w:val="left" w:pos="9240"/>
        </w:tabs>
        <w:spacing w:line="480" w:lineRule="auto"/>
        <w:ind w:left="720" w:hanging="720"/>
      </w:pPr>
      <w:r>
        <w:t>A.</w:t>
      </w:r>
      <w:r>
        <w:tab/>
        <w:t>The discounted cash flow (DCF) model is one of the oldest</w:t>
      </w:r>
      <w:r w:rsidR="00733626">
        <w:t>, as well as the most commonly-</w:t>
      </w:r>
      <w:r>
        <w:t>u</w:t>
      </w:r>
      <w:r w:rsidR="00733626">
        <w:t>s</w:t>
      </w:r>
      <w:r>
        <w:t xml:space="preserve">ed, models for estimating the cost of common equity for public utilities.  </w:t>
      </w:r>
      <w:r w:rsidR="00060B17">
        <w:t>It is my un</w:t>
      </w:r>
      <w:r w:rsidR="00FA0B27">
        <w:t xml:space="preserve">derstanding that the </w:t>
      </w:r>
      <w:r w:rsidR="001D6B2C">
        <w:t>Commission</w:t>
      </w:r>
      <w:r w:rsidR="00CA6ADA">
        <w:t xml:space="preserve">’s policy is to </w:t>
      </w:r>
      <w:r w:rsidR="00060B17">
        <w:t>place primary reliance on DCF results in setting the cost of capital for the utilities it regulates.</w:t>
      </w:r>
      <w:r w:rsidR="00F80B6F">
        <w:t xml:space="preserve"> </w:t>
      </w:r>
      <w:r w:rsidR="00060B17">
        <w:t xml:space="preserve">  </w:t>
      </w:r>
      <w:r>
        <w:t>The DCF model is based on the “dividend discount model” of financial theory, which maintains that the value (price) of any security or commodity is the discounted present value of all future cash flows.</w:t>
      </w:r>
    </w:p>
    <w:p w:rsidR="006F1546" w:rsidRDefault="006F1546" w:rsidP="00417CF7">
      <w:pPr>
        <w:tabs>
          <w:tab w:val="left" w:pos="720"/>
          <w:tab w:val="left" w:pos="1440"/>
          <w:tab w:val="left" w:pos="9240"/>
        </w:tabs>
        <w:spacing w:line="480" w:lineRule="auto"/>
        <w:ind w:left="720" w:hanging="720"/>
      </w:pPr>
      <w:r>
        <w:tab/>
      </w:r>
      <w:r>
        <w:tab/>
        <w:t>The most common variant of the DCF model assumes that dividends are expected to grow at a constant rate.  This variant of the dividend discount model is known as the constant growth or Gordon DCF model.  In this framework cost of capital is derived by the following formula:</w:t>
      </w:r>
    </w:p>
    <w:p w:rsidR="006F1546" w:rsidRDefault="006F1546" w:rsidP="00D52A4D">
      <w:pPr>
        <w:tabs>
          <w:tab w:val="left" w:pos="720"/>
          <w:tab w:val="left" w:pos="1440"/>
          <w:tab w:val="left" w:pos="9240"/>
        </w:tabs>
        <w:spacing w:line="360" w:lineRule="auto"/>
        <w:ind w:left="720" w:hanging="720"/>
        <w:jc w:val="center"/>
      </w:pPr>
      <w:r w:rsidRPr="006F1546">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5pt;height:31.7pt" o:ole="">
            <v:imagedata r:id="rId19" o:title=""/>
          </v:shape>
          <o:OLEObject Type="Embed" ProgID="Equation.3" ShapeID="_x0000_i1025" DrawAspect="Content" ObjectID="_1321965336" r:id="rId20"/>
        </w:object>
      </w:r>
    </w:p>
    <w:p w:rsidR="00647849" w:rsidRDefault="006F1546" w:rsidP="009E2531">
      <w:pPr>
        <w:tabs>
          <w:tab w:val="left" w:pos="720"/>
          <w:tab w:val="left" w:pos="1440"/>
          <w:tab w:val="left" w:pos="9240"/>
        </w:tabs>
        <w:spacing w:line="360" w:lineRule="auto"/>
        <w:ind w:left="720" w:hanging="720"/>
        <w:jc w:val="both"/>
      </w:pPr>
      <w:r>
        <w:lastRenderedPageBreak/>
        <w:tab/>
      </w:r>
    </w:p>
    <w:p w:rsidR="00A36584" w:rsidRDefault="006F1546">
      <w:pPr>
        <w:tabs>
          <w:tab w:val="left" w:pos="720"/>
          <w:tab w:val="left" w:pos="1440"/>
          <w:tab w:val="left" w:pos="2160"/>
          <w:tab w:val="left" w:pos="9240"/>
        </w:tabs>
        <w:spacing w:line="360" w:lineRule="auto"/>
        <w:ind w:left="720" w:hanging="720"/>
      </w:pPr>
      <w:r>
        <w:tab/>
        <w:t xml:space="preserve">where: </w:t>
      </w:r>
      <w:r>
        <w:tab/>
      </w:r>
      <w:r>
        <w:tab/>
      </w:r>
      <w:r w:rsidR="00800D40">
        <w:t>K = discount rate (cost of capital)</w:t>
      </w:r>
    </w:p>
    <w:p w:rsidR="00A36584" w:rsidRDefault="00800D40">
      <w:pPr>
        <w:tabs>
          <w:tab w:val="left" w:pos="720"/>
          <w:tab w:val="left" w:pos="1440"/>
          <w:tab w:val="left" w:pos="2160"/>
          <w:tab w:val="left" w:pos="9240"/>
        </w:tabs>
        <w:spacing w:line="360" w:lineRule="auto"/>
        <w:ind w:left="720" w:hanging="720"/>
      </w:pPr>
      <w:r>
        <w:tab/>
      </w:r>
      <w:r>
        <w:tab/>
      </w:r>
      <w:r>
        <w:tab/>
      </w:r>
      <w:r w:rsidR="006F1546">
        <w:t>P = current price</w:t>
      </w:r>
    </w:p>
    <w:p w:rsidR="00A36584" w:rsidRDefault="006F1546">
      <w:pPr>
        <w:tabs>
          <w:tab w:val="left" w:pos="720"/>
          <w:tab w:val="left" w:pos="1440"/>
          <w:tab w:val="left" w:pos="2160"/>
          <w:tab w:val="left" w:pos="9240"/>
        </w:tabs>
        <w:spacing w:line="360" w:lineRule="auto"/>
        <w:ind w:left="720" w:hanging="720"/>
      </w:pPr>
      <w:r>
        <w:tab/>
      </w:r>
      <w:r>
        <w:tab/>
      </w:r>
      <w:r>
        <w:tab/>
        <w:t>D = current dividend rate</w:t>
      </w:r>
    </w:p>
    <w:p w:rsidR="00A36584" w:rsidRDefault="00DB6361">
      <w:pPr>
        <w:tabs>
          <w:tab w:val="left" w:pos="720"/>
          <w:tab w:val="left" w:pos="1440"/>
          <w:tab w:val="left" w:pos="2160"/>
          <w:tab w:val="left" w:pos="9240"/>
        </w:tabs>
        <w:spacing w:line="360" w:lineRule="auto"/>
        <w:ind w:left="720" w:hanging="720"/>
      </w:pPr>
      <w:r>
        <w:tab/>
      </w:r>
      <w:r>
        <w:tab/>
      </w:r>
      <w:r>
        <w:tab/>
        <w:t>g</w:t>
      </w:r>
      <w:r w:rsidR="006F1546">
        <w:t xml:space="preserve"> = constant rate of expected growth</w:t>
      </w:r>
    </w:p>
    <w:p w:rsidR="00A36584" w:rsidRDefault="006F1546">
      <w:pPr>
        <w:tabs>
          <w:tab w:val="left" w:pos="720"/>
          <w:tab w:val="left" w:pos="1440"/>
          <w:tab w:val="left" w:pos="2160"/>
          <w:tab w:val="left" w:pos="9240"/>
        </w:tabs>
        <w:spacing w:line="480" w:lineRule="auto"/>
        <w:ind w:left="720" w:hanging="720"/>
      </w:pPr>
      <w:r>
        <w:tab/>
        <w:t>This formula essentially recognizes that the return expected or required by investors is</w:t>
      </w:r>
      <w:r w:rsidR="004C1FC3">
        <w:t xml:space="preserve"> comprised of two factors:  </w:t>
      </w:r>
      <w:r>
        <w:t>dividend</w:t>
      </w:r>
      <w:r w:rsidR="005D245F">
        <w:t xml:space="preserve"> </w:t>
      </w:r>
      <w:r>
        <w:t>yield (current income) and expected growth in dividends (future income).</w:t>
      </w:r>
    </w:p>
    <w:p w:rsidR="00392003" w:rsidRDefault="00392003" w:rsidP="00417CF7">
      <w:pPr>
        <w:tabs>
          <w:tab w:val="left" w:pos="720"/>
          <w:tab w:val="left" w:pos="1440"/>
          <w:tab w:val="left" w:pos="2160"/>
          <w:tab w:val="left" w:pos="9240"/>
        </w:tabs>
        <w:spacing w:line="480" w:lineRule="auto"/>
        <w:ind w:left="720" w:hanging="720"/>
      </w:pPr>
    </w:p>
    <w:p w:rsidR="006F1546" w:rsidRDefault="006F1546" w:rsidP="00417CF7">
      <w:pPr>
        <w:tabs>
          <w:tab w:val="left" w:pos="720"/>
          <w:tab w:val="left" w:pos="1440"/>
          <w:tab w:val="left" w:pos="2160"/>
          <w:tab w:val="left" w:pos="9240"/>
        </w:tabs>
        <w:spacing w:line="480" w:lineRule="auto"/>
        <w:ind w:left="720" w:hanging="720"/>
        <w:rPr>
          <w:b/>
        </w:rPr>
      </w:pPr>
      <w:r>
        <w:rPr>
          <w:b/>
        </w:rPr>
        <w:t>Q.</w:t>
      </w:r>
      <w:r>
        <w:rPr>
          <w:b/>
        </w:rPr>
        <w:tab/>
        <w:t>P</w:t>
      </w:r>
      <w:r w:rsidR="00060B17">
        <w:rPr>
          <w:b/>
        </w:rPr>
        <w:t>lease explain how you have employed the DCF model</w:t>
      </w:r>
      <w:r>
        <w:rPr>
          <w:b/>
        </w:rPr>
        <w:t>.</w:t>
      </w:r>
    </w:p>
    <w:p w:rsidR="006F1546" w:rsidRDefault="006F1546" w:rsidP="00417CF7">
      <w:pPr>
        <w:tabs>
          <w:tab w:val="left" w:pos="720"/>
          <w:tab w:val="left" w:pos="1440"/>
          <w:tab w:val="left" w:pos="2160"/>
          <w:tab w:val="left" w:pos="9240"/>
        </w:tabs>
        <w:spacing w:line="480" w:lineRule="auto"/>
        <w:ind w:left="720" w:hanging="720"/>
      </w:pPr>
      <w:r>
        <w:t>A.</w:t>
      </w:r>
      <w:r>
        <w:tab/>
        <w:t>I have utilized the constant growth DCF model.  In doing so, I have combined the current dividend yield for each group of proxy utility stocks described in the previous section with several indicators of expected dividend growth.</w:t>
      </w:r>
    </w:p>
    <w:p w:rsidR="00A453C1" w:rsidRDefault="00A453C1" w:rsidP="00417CF7">
      <w:pPr>
        <w:tabs>
          <w:tab w:val="left" w:pos="720"/>
          <w:tab w:val="left" w:pos="1440"/>
          <w:tab w:val="left" w:pos="2160"/>
          <w:tab w:val="left" w:pos="9240"/>
        </w:tabs>
        <w:spacing w:line="480" w:lineRule="auto"/>
        <w:ind w:left="720" w:hanging="720"/>
      </w:pPr>
    </w:p>
    <w:p w:rsidR="006F1546" w:rsidRDefault="006F1546" w:rsidP="00417CF7">
      <w:pPr>
        <w:keepNext/>
        <w:tabs>
          <w:tab w:val="left" w:pos="720"/>
          <w:tab w:val="left" w:pos="1440"/>
          <w:tab w:val="left" w:pos="2160"/>
          <w:tab w:val="left" w:pos="9240"/>
        </w:tabs>
        <w:spacing w:line="480" w:lineRule="auto"/>
        <w:ind w:left="720" w:hanging="720"/>
        <w:rPr>
          <w:b/>
        </w:rPr>
      </w:pPr>
      <w:r>
        <w:rPr>
          <w:b/>
        </w:rPr>
        <w:t>Q.</w:t>
      </w:r>
      <w:r>
        <w:rPr>
          <w:b/>
        </w:rPr>
        <w:tab/>
        <w:t>H</w:t>
      </w:r>
      <w:r w:rsidR="00DE055E">
        <w:rPr>
          <w:b/>
        </w:rPr>
        <w:t>ow did you derive the dividend yield component of the DCF equation</w:t>
      </w:r>
      <w:r w:rsidR="000F4D60">
        <w:rPr>
          <w:b/>
        </w:rPr>
        <w:t>?</w:t>
      </w:r>
    </w:p>
    <w:p w:rsidR="006F1546" w:rsidRDefault="006F1546" w:rsidP="00417CF7">
      <w:pPr>
        <w:tabs>
          <w:tab w:val="left" w:pos="720"/>
          <w:tab w:val="left" w:pos="1440"/>
          <w:tab w:val="left" w:pos="2160"/>
          <w:tab w:val="left" w:pos="9240"/>
        </w:tabs>
        <w:spacing w:line="480" w:lineRule="auto"/>
        <w:ind w:left="720" w:hanging="720"/>
      </w:pPr>
      <w:r>
        <w:t>A.</w:t>
      </w:r>
      <w:r>
        <w:tab/>
        <w:t xml:space="preserve">There are several methods that can be used for calculating the dividend yield component.  These methods generally differ in the manner in which the dividend rate is employed; </w:t>
      </w:r>
      <w:r w:rsidR="009864AC" w:rsidRPr="009864AC">
        <w:t>i.e.</w:t>
      </w:r>
      <w:r>
        <w:t xml:space="preserve">, current versus future dividends or annual versus quarterly compounding of dividends.  I believe the most appropriate dividend yield component is </w:t>
      </w:r>
      <w:r w:rsidR="00574F51">
        <w:t>the version listed below</w:t>
      </w:r>
      <w:r>
        <w:t>:</w:t>
      </w:r>
    </w:p>
    <w:p w:rsidR="006F1546" w:rsidRDefault="009E4C3A" w:rsidP="00D52A4D">
      <w:pPr>
        <w:tabs>
          <w:tab w:val="left" w:pos="720"/>
          <w:tab w:val="left" w:pos="1440"/>
          <w:tab w:val="left" w:pos="2160"/>
          <w:tab w:val="left" w:pos="9240"/>
        </w:tabs>
        <w:spacing w:line="360" w:lineRule="auto"/>
        <w:ind w:left="720" w:hanging="720"/>
        <w:jc w:val="center"/>
      </w:pPr>
      <w:r w:rsidRPr="006F1546">
        <w:rPr>
          <w:position w:val="-30"/>
        </w:rPr>
        <w:object w:dxaOrig="2079" w:dyaOrig="700">
          <v:shape id="_x0000_i1026" type="#_x0000_t75" style="width:105.45pt;height:35.15pt" o:ole="">
            <v:imagedata r:id="rId21" o:title=""/>
          </v:shape>
          <o:OLEObject Type="Embed" ProgID="Equation.3" ShapeID="_x0000_i1026" DrawAspect="Content" ObjectID="_1321965337" r:id="rId22"/>
        </w:object>
      </w:r>
    </w:p>
    <w:p w:rsidR="006F1546" w:rsidRPr="003A007D" w:rsidRDefault="006F1546" w:rsidP="00417CF7">
      <w:pPr>
        <w:tabs>
          <w:tab w:val="left" w:pos="720"/>
          <w:tab w:val="left" w:pos="1440"/>
          <w:tab w:val="left" w:pos="2160"/>
          <w:tab w:val="left" w:pos="9240"/>
        </w:tabs>
        <w:spacing w:line="480" w:lineRule="auto"/>
        <w:ind w:left="720" w:hanging="720"/>
      </w:pPr>
      <w:r>
        <w:tab/>
        <w:t>This dividend yield component recognizes the timing of dividend payments and dividend increases</w:t>
      </w:r>
      <w:r w:rsidRPr="003A007D">
        <w:t>.</w:t>
      </w:r>
      <w:r w:rsidR="00CA6ADA" w:rsidRPr="003A007D">
        <w:t xml:space="preserve">  </w:t>
      </w:r>
    </w:p>
    <w:p w:rsidR="005D245F" w:rsidRDefault="006F1546" w:rsidP="00417CF7">
      <w:pPr>
        <w:tabs>
          <w:tab w:val="left" w:pos="720"/>
          <w:tab w:val="left" w:pos="1440"/>
          <w:tab w:val="left" w:pos="2160"/>
          <w:tab w:val="left" w:pos="9240"/>
        </w:tabs>
        <w:spacing w:line="480" w:lineRule="auto"/>
        <w:ind w:left="720" w:hanging="720"/>
      </w:pPr>
      <w:r>
        <w:lastRenderedPageBreak/>
        <w:tab/>
      </w:r>
      <w:r>
        <w:tab/>
        <w:t>The P</w:t>
      </w:r>
      <w:r>
        <w:rPr>
          <w:vertAlign w:val="subscript"/>
        </w:rPr>
        <w:t>0</w:t>
      </w:r>
      <w:r>
        <w:t xml:space="preserve"> in my yield calculation is the average (of high and low) stock price for each proxy company for the most recent three month period (</w:t>
      </w:r>
      <w:r w:rsidR="008F15A3">
        <w:t>August-October</w:t>
      </w:r>
      <w:r w:rsidR="00B51709">
        <w:t xml:space="preserve">, </w:t>
      </w:r>
      <w:r w:rsidR="00067784">
        <w:t>200</w:t>
      </w:r>
      <w:r w:rsidR="001B5EF1">
        <w:t>9</w:t>
      </w:r>
      <w:r>
        <w:t>).  The D</w:t>
      </w:r>
      <w:r>
        <w:rPr>
          <w:vertAlign w:val="subscript"/>
        </w:rPr>
        <w:t xml:space="preserve">0 </w:t>
      </w:r>
      <w:r>
        <w:t>is the current annualized dividend rate for each proxy company.</w:t>
      </w:r>
    </w:p>
    <w:p w:rsidR="00E47CCF" w:rsidRDefault="00E47CCF" w:rsidP="00417CF7">
      <w:pPr>
        <w:tabs>
          <w:tab w:val="left" w:pos="720"/>
          <w:tab w:val="left" w:pos="1440"/>
          <w:tab w:val="left" w:pos="2160"/>
          <w:tab w:val="left" w:pos="9240"/>
        </w:tabs>
        <w:spacing w:line="480" w:lineRule="auto"/>
        <w:ind w:left="720" w:hanging="720"/>
      </w:pPr>
    </w:p>
    <w:p w:rsidR="006F1546" w:rsidRDefault="00993D58" w:rsidP="00417CF7">
      <w:pPr>
        <w:tabs>
          <w:tab w:val="left" w:pos="720"/>
          <w:tab w:val="left" w:pos="1440"/>
          <w:tab w:val="left" w:pos="2160"/>
          <w:tab w:val="left" w:pos="9240"/>
        </w:tabs>
        <w:spacing w:line="480" w:lineRule="auto"/>
        <w:ind w:left="720" w:hanging="720"/>
        <w:rPr>
          <w:b/>
        </w:rPr>
      </w:pPr>
      <w:r>
        <w:rPr>
          <w:b/>
        </w:rPr>
        <w:t>Q.</w:t>
      </w:r>
      <w:r>
        <w:rPr>
          <w:b/>
        </w:rPr>
        <w:tab/>
      </w:r>
      <w:r w:rsidR="00133EDD">
        <w:rPr>
          <w:b/>
        </w:rPr>
        <w:t>H</w:t>
      </w:r>
      <w:r w:rsidR="00DE055E">
        <w:rPr>
          <w:b/>
        </w:rPr>
        <w:t>ow have you estimated the dividend growth component of the DCF equation</w:t>
      </w:r>
      <w:r w:rsidR="00133EDD">
        <w:rPr>
          <w:b/>
        </w:rPr>
        <w:t>?</w:t>
      </w:r>
    </w:p>
    <w:p w:rsidR="00AB6860" w:rsidRDefault="00133EDD" w:rsidP="00417CF7">
      <w:pPr>
        <w:tabs>
          <w:tab w:val="left" w:pos="720"/>
          <w:tab w:val="left" w:pos="1440"/>
          <w:tab w:val="left" w:pos="2160"/>
          <w:tab w:val="left" w:pos="9240"/>
        </w:tabs>
        <w:spacing w:line="480" w:lineRule="auto"/>
        <w:ind w:left="720" w:hanging="720"/>
      </w:pPr>
      <w:r>
        <w:t>A.</w:t>
      </w:r>
      <w:r>
        <w:tab/>
        <w:t>The dividend growth rate component of the DCF model is usually the most crucial and controversial element involved in using this methodology.  The objective of estimating the dividend growth component is to reflect the growth expected by investors that is embodied in the price (and yield) of a company’s stock.  As such, it is important to recognize that individual investors have different expectations and consider alternative indicators in deriving their expectations.  This is evidenced by the fact that every investment decision resulting in the purchase of a particular stock is matched by another investment decision to sell that stock.</w:t>
      </w:r>
      <w:r w:rsidR="001609A7">
        <w:t xml:space="preserve">  Obviously, since two investors reach different decisions at the same market price, their expectations differ</w:t>
      </w:r>
      <w:r w:rsidR="00275C54">
        <w:t>.</w:t>
      </w:r>
    </w:p>
    <w:p w:rsidR="000A6B4E" w:rsidRDefault="00133EDD" w:rsidP="00417CF7">
      <w:pPr>
        <w:tabs>
          <w:tab w:val="left" w:pos="720"/>
          <w:tab w:val="left" w:pos="1440"/>
          <w:tab w:val="left" w:pos="2160"/>
          <w:tab w:val="left" w:pos="9240"/>
        </w:tabs>
        <w:spacing w:line="480" w:lineRule="auto"/>
        <w:ind w:left="720" w:hanging="720"/>
      </w:pPr>
      <w:r>
        <w:tab/>
      </w:r>
      <w:r w:rsidR="00AC074F">
        <w:tab/>
      </w:r>
      <w:r>
        <w:t>A wide array of indicators exist</w:t>
      </w:r>
      <w:r w:rsidR="00F32CAF">
        <w:t>s</w:t>
      </w:r>
      <w:r>
        <w:t xml:space="preserve"> for estimating the growth expectations of investors.  As a result, it is evident that no single indicator o</w:t>
      </w:r>
      <w:r w:rsidR="00800D40">
        <w:t>f</w:t>
      </w:r>
      <w:r>
        <w:t xml:space="preserve"> growth is always used by all investors.  It therefore is necessary to consider alternative indicators of dividend growth in deriving the growth component of the DCF model.</w:t>
      </w:r>
    </w:p>
    <w:p w:rsidR="00133EDD" w:rsidRDefault="00AC074F" w:rsidP="00417CF7">
      <w:pPr>
        <w:tabs>
          <w:tab w:val="left" w:pos="720"/>
          <w:tab w:val="left" w:pos="1440"/>
          <w:tab w:val="left" w:pos="2160"/>
          <w:tab w:val="left" w:pos="9240"/>
        </w:tabs>
        <w:spacing w:line="480" w:lineRule="auto"/>
        <w:ind w:left="720" w:hanging="720"/>
      </w:pPr>
      <w:r>
        <w:tab/>
      </w:r>
      <w:r w:rsidR="00133EDD">
        <w:tab/>
        <w:t>I have considered five indicators of growth in my DCF analyses.  These are:</w:t>
      </w:r>
    </w:p>
    <w:p w:rsidR="00133EDD" w:rsidRDefault="00133EDD" w:rsidP="00417CF7">
      <w:pPr>
        <w:tabs>
          <w:tab w:val="left" w:pos="720"/>
          <w:tab w:val="left" w:pos="1440"/>
          <w:tab w:val="left" w:pos="2160"/>
          <w:tab w:val="left" w:pos="9240"/>
        </w:tabs>
        <w:ind w:left="2160" w:hanging="2160"/>
      </w:pPr>
      <w:r>
        <w:tab/>
      </w:r>
      <w:r>
        <w:tab/>
        <w:t>1.</w:t>
      </w:r>
      <w:r>
        <w:tab/>
        <w:t>200</w:t>
      </w:r>
      <w:r w:rsidR="00A453C1">
        <w:t>4</w:t>
      </w:r>
      <w:r>
        <w:t>-200</w:t>
      </w:r>
      <w:r w:rsidR="00A453C1">
        <w:t>8</w:t>
      </w:r>
      <w:r>
        <w:t xml:space="preserve"> (5-year average) earnings retention, or fundamental growth (per Value Line); </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2.</w:t>
      </w:r>
      <w:r>
        <w:tab/>
        <w:t>5-year average of historic growth in earnings per share (</w:t>
      </w:r>
      <w:r w:rsidR="00275C54">
        <w:t>“</w:t>
      </w:r>
      <w:r>
        <w:t>EPS</w:t>
      </w:r>
      <w:r w:rsidR="00275C54">
        <w:t>”</w:t>
      </w:r>
      <w:r>
        <w:t>), dividends per share (</w:t>
      </w:r>
      <w:r w:rsidR="00275C54">
        <w:t>“</w:t>
      </w:r>
      <w:r>
        <w:t>DPS</w:t>
      </w:r>
      <w:r w:rsidR="00275C54">
        <w:t>”</w:t>
      </w:r>
      <w:r>
        <w:t>), and book value per share (</w:t>
      </w:r>
      <w:r w:rsidR="00275C54">
        <w:t>“</w:t>
      </w:r>
      <w:r>
        <w:t>BVPS</w:t>
      </w:r>
      <w:r w:rsidR="00275C54">
        <w:t>”</w:t>
      </w:r>
      <w:r>
        <w:t>) (per Value Line);</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lastRenderedPageBreak/>
        <w:tab/>
      </w:r>
      <w:r>
        <w:tab/>
        <w:t>3.</w:t>
      </w:r>
      <w:r>
        <w:tab/>
        <w:t>200</w:t>
      </w:r>
      <w:r w:rsidR="00A453C1">
        <w:t>9</w:t>
      </w:r>
      <w:r>
        <w:t>, 20</w:t>
      </w:r>
      <w:r w:rsidR="00A453C1">
        <w:t>10</w:t>
      </w:r>
      <w:r>
        <w:t>, and 20</w:t>
      </w:r>
      <w:r w:rsidR="00067784">
        <w:t>1</w:t>
      </w:r>
      <w:r w:rsidR="00A453C1">
        <w:t>2</w:t>
      </w:r>
      <w:r>
        <w:t>-201</w:t>
      </w:r>
      <w:r w:rsidR="00A453C1">
        <w:t>4</w:t>
      </w:r>
      <w:r w:rsidR="00067784">
        <w:t xml:space="preserve"> </w:t>
      </w:r>
      <w:r>
        <w:t>projections of earnings retention growth (per Value Line);</w:t>
      </w:r>
    </w:p>
    <w:p w:rsidR="00CA6ADA" w:rsidRDefault="00CA6ADA"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4.</w:t>
      </w:r>
      <w:r>
        <w:tab/>
        <w:t>200</w:t>
      </w:r>
      <w:r w:rsidR="00A453C1">
        <w:t>6</w:t>
      </w:r>
      <w:r>
        <w:t>-200</w:t>
      </w:r>
      <w:r w:rsidR="00A453C1">
        <w:t>8</w:t>
      </w:r>
      <w:r>
        <w:t xml:space="preserve"> to 20</w:t>
      </w:r>
      <w:r w:rsidR="001368C1">
        <w:t>1</w:t>
      </w:r>
      <w:r w:rsidR="00A453C1">
        <w:t>2</w:t>
      </w:r>
      <w:r>
        <w:t>-201</w:t>
      </w:r>
      <w:r w:rsidR="00A453C1">
        <w:t>4</w:t>
      </w:r>
      <w:r>
        <w:t xml:space="preserve"> projections of EPS, DPS, and BVPS (per Value Line); and</w:t>
      </w:r>
    </w:p>
    <w:p w:rsidR="00D52A4D" w:rsidRDefault="00D52A4D" w:rsidP="00417CF7">
      <w:pPr>
        <w:tabs>
          <w:tab w:val="left" w:pos="720"/>
          <w:tab w:val="left" w:pos="1440"/>
          <w:tab w:val="left" w:pos="2160"/>
          <w:tab w:val="left" w:pos="9240"/>
        </w:tabs>
        <w:ind w:left="2160" w:hanging="2160"/>
      </w:pPr>
    </w:p>
    <w:p w:rsidR="00133EDD" w:rsidRDefault="00133EDD" w:rsidP="00417CF7">
      <w:pPr>
        <w:tabs>
          <w:tab w:val="left" w:pos="720"/>
          <w:tab w:val="left" w:pos="1440"/>
          <w:tab w:val="left" w:pos="2160"/>
          <w:tab w:val="left" w:pos="9240"/>
        </w:tabs>
        <w:ind w:left="2160" w:hanging="2160"/>
      </w:pPr>
      <w:r>
        <w:tab/>
      </w:r>
      <w:r>
        <w:tab/>
        <w:t>5.</w:t>
      </w:r>
      <w:r>
        <w:tab/>
        <w:t>5-year projections of EPS growth as reported in First Call (per Yahoo! Finance).</w:t>
      </w:r>
    </w:p>
    <w:p w:rsidR="00D52A4D" w:rsidRDefault="00D52A4D" w:rsidP="00417CF7">
      <w:pPr>
        <w:tabs>
          <w:tab w:val="left" w:pos="720"/>
          <w:tab w:val="left" w:pos="1440"/>
          <w:tab w:val="left" w:pos="2160"/>
          <w:tab w:val="left" w:pos="9240"/>
        </w:tabs>
        <w:ind w:left="2160" w:hanging="2160"/>
      </w:pPr>
    </w:p>
    <w:p w:rsidR="00133EDD" w:rsidRDefault="00DE055E" w:rsidP="00417CF7">
      <w:pPr>
        <w:tabs>
          <w:tab w:val="left" w:pos="720"/>
          <w:tab w:val="left" w:pos="1440"/>
          <w:tab w:val="left" w:pos="9240"/>
        </w:tabs>
        <w:spacing w:line="480" w:lineRule="auto"/>
        <w:ind w:left="720"/>
      </w:pPr>
      <w:r>
        <w:t>I</w:t>
      </w:r>
      <w:r w:rsidR="00133EDD">
        <w:t xml:space="preserve"> believe this combination of growth indicators is a representative and appropriate set with which to begin the process of estimating investor expectations of dividend growth for the groups of proxy companies.  I also believe that these growth indicators reflect the types of information that investors consider in making their investment decisions.  As I indicated previously, investors have an array of information available to them, all of which should be expected to have some impact on their decision-making process.</w:t>
      </w:r>
    </w:p>
    <w:p w:rsidR="00392003" w:rsidRDefault="00392003" w:rsidP="00417CF7">
      <w:pPr>
        <w:tabs>
          <w:tab w:val="left" w:pos="720"/>
          <w:tab w:val="left" w:pos="1440"/>
          <w:tab w:val="left" w:pos="9240"/>
        </w:tabs>
        <w:spacing w:line="480" w:lineRule="auto"/>
        <w:ind w:left="720"/>
      </w:pPr>
    </w:p>
    <w:p w:rsidR="00133EDD" w:rsidRDefault="00133EDD" w:rsidP="00417CF7">
      <w:pPr>
        <w:keepNext/>
        <w:tabs>
          <w:tab w:val="left" w:pos="720"/>
          <w:tab w:val="left" w:pos="1440"/>
          <w:tab w:val="left" w:pos="9240"/>
        </w:tabs>
        <w:spacing w:line="480" w:lineRule="auto"/>
        <w:rPr>
          <w:b/>
        </w:rPr>
      </w:pPr>
      <w:r>
        <w:rPr>
          <w:b/>
        </w:rPr>
        <w:t>Q.</w:t>
      </w:r>
      <w:r>
        <w:rPr>
          <w:b/>
        </w:rPr>
        <w:tab/>
        <w:t>P</w:t>
      </w:r>
      <w:r w:rsidR="00DE055E">
        <w:rPr>
          <w:b/>
        </w:rPr>
        <w:t>lease describe your initial DCF calculations</w:t>
      </w:r>
      <w:r>
        <w:rPr>
          <w:b/>
        </w:rPr>
        <w:t>.</w:t>
      </w:r>
    </w:p>
    <w:p w:rsidR="00F60940" w:rsidRDefault="00133EDD" w:rsidP="0019507D">
      <w:pPr>
        <w:tabs>
          <w:tab w:val="left" w:pos="720"/>
          <w:tab w:val="left" w:pos="1440"/>
          <w:tab w:val="left" w:pos="9240"/>
        </w:tabs>
        <w:spacing w:line="480" w:lineRule="auto"/>
        <w:ind w:left="720" w:right="-252" w:hanging="720"/>
      </w:pPr>
      <w:r>
        <w:t>A.</w:t>
      </w:r>
      <w:r>
        <w:tab/>
      </w:r>
      <w:r w:rsidR="00993D58">
        <w:t xml:space="preserve">Exhibit No. </w:t>
      </w:r>
      <w:r w:rsidR="00F32CAF">
        <w:t>DCP-</w:t>
      </w:r>
      <w:r w:rsidR="005E407C">
        <w:t>1</w:t>
      </w:r>
      <w:r w:rsidR="009B343F">
        <w:t>1</w:t>
      </w:r>
      <w:r w:rsidR="00F32CAF">
        <w:t xml:space="preserve"> </w:t>
      </w:r>
      <w:r>
        <w:t>presents my DCF analysis.  Page 1 shows the calculation of the “raw” (</w:t>
      </w:r>
      <w:r w:rsidR="009864AC" w:rsidRPr="009864AC">
        <w:t>i.e.</w:t>
      </w:r>
      <w:r>
        <w:t>, prior to adjustment for growth) dividend yield for each company</w:t>
      </w:r>
      <w:r w:rsidR="00CA6ADA">
        <w:t xml:space="preserve"> in the proxy group</w:t>
      </w:r>
      <w:r w:rsidR="001D6B2C">
        <w:t>s</w:t>
      </w:r>
      <w:r>
        <w:t>.  Pages 2 and 3 show the growth rate for the groups of proxy companies.  Page 4 shows the “raw” DCF calculations, which</w:t>
      </w:r>
      <w:r w:rsidR="001609A7">
        <w:t xml:space="preserve"> </w:t>
      </w:r>
      <w:r>
        <w:t>are presented on several bases:  mean, median, and high values.  These results can be summarized as follows:</w:t>
      </w: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tbl>
      <w:tblPr>
        <w:tblpPr w:leftFromText="180" w:rightFromText="180" w:vertAnchor="text" w:horzAnchor="margin" w:tblpXSpec="right" w:tblpY="131"/>
        <w:tblW w:w="0" w:type="auto"/>
        <w:tblLayout w:type="fixed"/>
        <w:tblLook w:val="01E0"/>
      </w:tblPr>
      <w:tblGrid>
        <w:gridCol w:w="1548"/>
        <w:gridCol w:w="236"/>
        <w:gridCol w:w="956"/>
        <w:gridCol w:w="236"/>
        <w:gridCol w:w="956"/>
        <w:gridCol w:w="236"/>
        <w:gridCol w:w="842"/>
        <w:gridCol w:w="236"/>
        <w:gridCol w:w="892"/>
        <w:gridCol w:w="236"/>
        <w:gridCol w:w="870"/>
        <w:gridCol w:w="236"/>
        <w:gridCol w:w="934"/>
      </w:tblGrid>
      <w:tr w:rsidR="00B763DD" w:rsidTr="00F254E8">
        <w:tc>
          <w:tcPr>
            <w:tcW w:w="1548" w:type="dxa"/>
          </w:tcPr>
          <w:p w:rsidR="00B763DD" w:rsidRDefault="00B763DD" w:rsidP="00B763DD">
            <w:pPr>
              <w:keepNext/>
              <w:keepLines/>
              <w:tabs>
                <w:tab w:val="left" w:pos="720"/>
                <w:tab w:val="left" w:pos="1440"/>
                <w:tab w:val="left" w:pos="9240"/>
              </w:tabs>
              <w:jc w:val="both"/>
            </w:pP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center"/>
            </w:pPr>
          </w:p>
        </w:tc>
        <w:tc>
          <w:tcPr>
            <w:tcW w:w="236" w:type="dxa"/>
          </w:tcPr>
          <w:p w:rsidR="00B763DD" w:rsidRDefault="00B763DD" w:rsidP="00B763DD">
            <w:pPr>
              <w:keepNext/>
              <w:keepLines/>
              <w:tabs>
                <w:tab w:val="left" w:pos="720"/>
                <w:tab w:val="left" w:pos="1440"/>
                <w:tab w:val="left" w:pos="9240"/>
              </w:tabs>
              <w:jc w:val="center"/>
            </w:pPr>
          </w:p>
        </w:tc>
        <w:tc>
          <w:tcPr>
            <w:tcW w:w="956" w:type="dxa"/>
          </w:tcPr>
          <w:p w:rsidR="00B763DD" w:rsidRDefault="00B763DD" w:rsidP="00B763DD">
            <w:pPr>
              <w:keepNext/>
              <w:keepLines/>
              <w:tabs>
                <w:tab w:val="left" w:pos="720"/>
                <w:tab w:val="left" w:pos="1440"/>
                <w:tab w:val="left" w:pos="9240"/>
              </w:tabs>
              <w:jc w:val="center"/>
            </w:pPr>
          </w:p>
        </w:tc>
        <w:tc>
          <w:tcPr>
            <w:tcW w:w="236" w:type="dxa"/>
          </w:tcPr>
          <w:p w:rsidR="00B763DD" w:rsidRDefault="00B763DD" w:rsidP="00B763DD">
            <w:pPr>
              <w:keepNext/>
              <w:keepLines/>
              <w:tabs>
                <w:tab w:val="left" w:pos="720"/>
                <w:tab w:val="left" w:pos="1440"/>
                <w:tab w:val="left" w:pos="9240"/>
              </w:tabs>
              <w:jc w:val="center"/>
            </w:pPr>
          </w:p>
        </w:tc>
        <w:tc>
          <w:tcPr>
            <w:tcW w:w="1970" w:type="dxa"/>
            <w:gridSpan w:val="3"/>
            <w:tcBorders>
              <w:bottom w:val="single" w:sz="4" w:space="0" w:color="auto"/>
            </w:tcBorders>
          </w:tcPr>
          <w:p w:rsidR="00B763DD" w:rsidRDefault="00B763DD" w:rsidP="00B763DD">
            <w:pPr>
              <w:keepNext/>
              <w:keepLines/>
              <w:tabs>
                <w:tab w:val="left" w:pos="720"/>
                <w:tab w:val="left" w:pos="1440"/>
                <w:tab w:val="left" w:pos="9240"/>
              </w:tabs>
              <w:jc w:val="center"/>
            </w:pPr>
            <w:r>
              <w:t>Mean</w:t>
            </w:r>
          </w:p>
        </w:tc>
        <w:tc>
          <w:tcPr>
            <w:tcW w:w="236" w:type="dxa"/>
          </w:tcPr>
          <w:p w:rsidR="00B763DD" w:rsidRDefault="00B763DD" w:rsidP="00B763DD">
            <w:pPr>
              <w:keepNext/>
              <w:keepLines/>
              <w:tabs>
                <w:tab w:val="left" w:pos="720"/>
                <w:tab w:val="left" w:pos="1440"/>
                <w:tab w:val="left" w:pos="9240"/>
              </w:tabs>
              <w:jc w:val="center"/>
            </w:pPr>
          </w:p>
        </w:tc>
        <w:tc>
          <w:tcPr>
            <w:tcW w:w="2040" w:type="dxa"/>
            <w:gridSpan w:val="3"/>
            <w:tcBorders>
              <w:bottom w:val="single" w:sz="4" w:space="0" w:color="auto"/>
            </w:tcBorders>
          </w:tcPr>
          <w:p w:rsidR="00B763DD" w:rsidRDefault="00B763DD" w:rsidP="00B763DD">
            <w:pPr>
              <w:keepNext/>
              <w:keepLines/>
              <w:tabs>
                <w:tab w:val="left" w:pos="720"/>
                <w:tab w:val="left" w:pos="1440"/>
                <w:tab w:val="left" w:pos="9240"/>
              </w:tabs>
              <w:jc w:val="center"/>
            </w:pPr>
            <w:r>
              <w:t>Median</w:t>
            </w:r>
          </w:p>
        </w:tc>
      </w:tr>
      <w:tr w:rsidR="00B763DD" w:rsidTr="00F254E8">
        <w:tc>
          <w:tcPr>
            <w:tcW w:w="1548" w:type="dxa"/>
          </w:tcPr>
          <w:p w:rsidR="00B763DD" w:rsidRDefault="00B763DD" w:rsidP="00B763DD">
            <w:pPr>
              <w:keepNext/>
              <w:keepLines/>
              <w:tabs>
                <w:tab w:val="left" w:pos="720"/>
                <w:tab w:val="left" w:pos="1440"/>
                <w:tab w:val="left" w:pos="9240"/>
              </w:tabs>
              <w:jc w:val="both"/>
            </w:pP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center"/>
            </w:pPr>
            <w:r>
              <w:t>Mean</w:t>
            </w:r>
          </w:p>
        </w:tc>
        <w:tc>
          <w:tcPr>
            <w:tcW w:w="236" w:type="dxa"/>
          </w:tcPr>
          <w:p w:rsidR="00B763DD" w:rsidRDefault="00B763DD" w:rsidP="00B763DD">
            <w:pPr>
              <w:keepNext/>
              <w:keepLines/>
              <w:tabs>
                <w:tab w:val="left" w:pos="720"/>
                <w:tab w:val="left" w:pos="1440"/>
                <w:tab w:val="left" w:pos="9240"/>
              </w:tabs>
              <w:jc w:val="center"/>
            </w:pPr>
          </w:p>
        </w:tc>
        <w:tc>
          <w:tcPr>
            <w:tcW w:w="956" w:type="dxa"/>
          </w:tcPr>
          <w:p w:rsidR="00B763DD" w:rsidRDefault="00B763DD" w:rsidP="00B763DD">
            <w:pPr>
              <w:keepNext/>
              <w:keepLines/>
              <w:tabs>
                <w:tab w:val="left" w:pos="720"/>
                <w:tab w:val="left" w:pos="1440"/>
                <w:tab w:val="left" w:pos="9240"/>
              </w:tabs>
              <w:jc w:val="center"/>
            </w:pPr>
            <w:r>
              <w:t>Median</w:t>
            </w:r>
          </w:p>
        </w:tc>
        <w:tc>
          <w:tcPr>
            <w:tcW w:w="236" w:type="dxa"/>
          </w:tcPr>
          <w:p w:rsidR="00B763DD" w:rsidRDefault="00B763DD" w:rsidP="00B763DD">
            <w:pPr>
              <w:keepNext/>
              <w:keepLines/>
              <w:tabs>
                <w:tab w:val="left" w:pos="720"/>
                <w:tab w:val="left" w:pos="1440"/>
                <w:tab w:val="left" w:pos="9240"/>
              </w:tabs>
              <w:jc w:val="center"/>
            </w:pPr>
          </w:p>
        </w:tc>
        <w:tc>
          <w:tcPr>
            <w:tcW w:w="842" w:type="dxa"/>
            <w:tcBorders>
              <w:top w:val="single" w:sz="4" w:space="0" w:color="auto"/>
            </w:tcBorders>
          </w:tcPr>
          <w:p w:rsidR="00B763DD" w:rsidRDefault="00B763DD" w:rsidP="00B763DD">
            <w:pPr>
              <w:keepNext/>
              <w:keepLines/>
              <w:tabs>
                <w:tab w:val="left" w:pos="720"/>
                <w:tab w:val="left" w:pos="1440"/>
                <w:tab w:val="left" w:pos="9240"/>
              </w:tabs>
              <w:jc w:val="center"/>
            </w:pPr>
            <w:r>
              <w:t>Low</w:t>
            </w:r>
          </w:p>
        </w:tc>
        <w:tc>
          <w:tcPr>
            <w:tcW w:w="236" w:type="dxa"/>
            <w:tcBorders>
              <w:top w:val="single" w:sz="4" w:space="0" w:color="auto"/>
            </w:tcBorders>
          </w:tcPr>
          <w:p w:rsidR="00B763DD" w:rsidRDefault="00B763DD" w:rsidP="00B763DD">
            <w:pPr>
              <w:keepNext/>
              <w:keepLines/>
              <w:tabs>
                <w:tab w:val="left" w:pos="720"/>
                <w:tab w:val="left" w:pos="1440"/>
                <w:tab w:val="left" w:pos="9240"/>
              </w:tabs>
              <w:jc w:val="center"/>
            </w:pPr>
          </w:p>
        </w:tc>
        <w:tc>
          <w:tcPr>
            <w:tcW w:w="892" w:type="dxa"/>
            <w:tcBorders>
              <w:top w:val="single" w:sz="4" w:space="0" w:color="auto"/>
            </w:tcBorders>
          </w:tcPr>
          <w:p w:rsidR="00B763DD" w:rsidRDefault="00B763DD" w:rsidP="00B763DD">
            <w:pPr>
              <w:keepNext/>
              <w:keepLines/>
              <w:tabs>
                <w:tab w:val="left" w:pos="720"/>
                <w:tab w:val="left" w:pos="1440"/>
                <w:tab w:val="left" w:pos="9240"/>
              </w:tabs>
              <w:jc w:val="center"/>
            </w:pPr>
            <w:r>
              <w:t>High</w:t>
            </w:r>
          </w:p>
        </w:tc>
        <w:tc>
          <w:tcPr>
            <w:tcW w:w="236" w:type="dxa"/>
          </w:tcPr>
          <w:p w:rsidR="00B763DD" w:rsidRDefault="00B763DD" w:rsidP="00B763DD">
            <w:pPr>
              <w:keepNext/>
              <w:keepLines/>
              <w:tabs>
                <w:tab w:val="left" w:pos="720"/>
                <w:tab w:val="left" w:pos="1440"/>
                <w:tab w:val="left" w:pos="9240"/>
              </w:tabs>
              <w:jc w:val="center"/>
            </w:pPr>
          </w:p>
        </w:tc>
        <w:tc>
          <w:tcPr>
            <w:tcW w:w="870" w:type="dxa"/>
            <w:tcBorders>
              <w:top w:val="single" w:sz="4" w:space="0" w:color="auto"/>
            </w:tcBorders>
          </w:tcPr>
          <w:p w:rsidR="00B763DD" w:rsidRDefault="00B763DD" w:rsidP="00B763DD">
            <w:pPr>
              <w:keepNext/>
              <w:keepLines/>
              <w:tabs>
                <w:tab w:val="left" w:pos="720"/>
                <w:tab w:val="left" w:pos="1440"/>
                <w:tab w:val="left" w:pos="9240"/>
              </w:tabs>
              <w:jc w:val="center"/>
            </w:pPr>
            <w:r>
              <w:t>Low</w:t>
            </w:r>
          </w:p>
        </w:tc>
        <w:tc>
          <w:tcPr>
            <w:tcW w:w="236" w:type="dxa"/>
            <w:tcBorders>
              <w:top w:val="single" w:sz="4" w:space="0" w:color="auto"/>
            </w:tcBorders>
          </w:tcPr>
          <w:p w:rsidR="00B763DD" w:rsidRDefault="00B763DD" w:rsidP="00B763DD">
            <w:pPr>
              <w:keepNext/>
              <w:keepLines/>
              <w:tabs>
                <w:tab w:val="left" w:pos="720"/>
                <w:tab w:val="left" w:pos="1440"/>
                <w:tab w:val="left" w:pos="9240"/>
              </w:tabs>
              <w:jc w:val="center"/>
            </w:pPr>
          </w:p>
        </w:tc>
        <w:tc>
          <w:tcPr>
            <w:tcW w:w="934" w:type="dxa"/>
            <w:tcBorders>
              <w:top w:val="single" w:sz="4" w:space="0" w:color="auto"/>
            </w:tcBorders>
          </w:tcPr>
          <w:p w:rsidR="00B763DD" w:rsidRPr="00C43E36" w:rsidRDefault="00B763DD" w:rsidP="00B763DD">
            <w:pPr>
              <w:keepNext/>
              <w:keepLines/>
              <w:tabs>
                <w:tab w:val="left" w:pos="720"/>
                <w:tab w:val="left" w:pos="1440"/>
                <w:tab w:val="left" w:pos="9240"/>
              </w:tabs>
              <w:jc w:val="center"/>
              <w:rPr>
                <w:vertAlign w:val="superscript"/>
              </w:rPr>
            </w:pPr>
            <w:r>
              <w:t>High</w:t>
            </w:r>
          </w:p>
        </w:tc>
      </w:tr>
      <w:tr w:rsidR="00B763DD" w:rsidTr="00F254E8">
        <w:tc>
          <w:tcPr>
            <w:tcW w:w="1548" w:type="dxa"/>
          </w:tcPr>
          <w:p w:rsidR="00B763DD" w:rsidRDefault="00B763DD" w:rsidP="00B763DD">
            <w:pPr>
              <w:keepNext/>
              <w:keepLines/>
              <w:tabs>
                <w:tab w:val="left" w:pos="720"/>
                <w:tab w:val="left" w:pos="1440"/>
                <w:tab w:val="left" w:pos="9240"/>
              </w:tabs>
              <w:jc w:val="both"/>
            </w:pPr>
            <w:r>
              <w:t>Proxy Group</w:t>
            </w:r>
          </w:p>
        </w:tc>
        <w:tc>
          <w:tcPr>
            <w:tcW w:w="236" w:type="dxa"/>
          </w:tcPr>
          <w:p w:rsidR="00B763DD" w:rsidRDefault="00B763DD" w:rsidP="00B763DD">
            <w:pPr>
              <w:keepNext/>
              <w:keepLines/>
              <w:tabs>
                <w:tab w:val="left" w:pos="720"/>
                <w:tab w:val="left" w:pos="1440"/>
                <w:tab w:val="left" w:pos="9240"/>
              </w:tabs>
              <w:jc w:val="both"/>
            </w:pPr>
          </w:p>
        </w:tc>
        <w:tc>
          <w:tcPr>
            <w:tcW w:w="956" w:type="dxa"/>
          </w:tcPr>
          <w:p w:rsidR="00B763DD" w:rsidRDefault="00B763DD" w:rsidP="00B763DD">
            <w:pPr>
              <w:keepNext/>
              <w:keepLines/>
              <w:tabs>
                <w:tab w:val="left" w:pos="720"/>
                <w:tab w:val="left" w:pos="1440"/>
                <w:tab w:val="left" w:pos="9240"/>
              </w:tabs>
              <w:jc w:val="right"/>
            </w:pPr>
            <w:r>
              <w:t>10.0%</w:t>
            </w:r>
          </w:p>
        </w:tc>
        <w:tc>
          <w:tcPr>
            <w:tcW w:w="236" w:type="dxa"/>
          </w:tcPr>
          <w:p w:rsidR="00B763DD" w:rsidRDefault="00B763DD" w:rsidP="00B763DD">
            <w:pPr>
              <w:keepNext/>
              <w:keepLines/>
              <w:tabs>
                <w:tab w:val="left" w:pos="720"/>
                <w:tab w:val="left" w:pos="1440"/>
                <w:tab w:val="left" w:pos="9240"/>
              </w:tabs>
              <w:jc w:val="right"/>
            </w:pPr>
          </w:p>
        </w:tc>
        <w:tc>
          <w:tcPr>
            <w:tcW w:w="956" w:type="dxa"/>
          </w:tcPr>
          <w:p w:rsidR="00B763DD" w:rsidRDefault="00B763DD" w:rsidP="005457A9">
            <w:pPr>
              <w:keepNext/>
              <w:keepLines/>
              <w:tabs>
                <w:tab w:val="left" w:pos="720"/>
                <w:tab w:val="left" w:pos="1440"/>
                <w:tab w:val="left" w:pos="9240"/>
              </w:tabs>
              <w:jc w:val="right"/>
            </w:pPr>
            <w:r>
              <w:t>9.</w:t>
            </w:r>
            <w:r w:rsidR="005457A9">
              <w:t>6</w:t>
            </w:r>
            <w:r>
              <w:t>%</w:t>
            </w:r>
          </w:p>
        </w:tc>
        <w:tc>
          <w:tcPr>
            <w:tcW w:w="236" w:type="dxa"/>
          </w:tcPr>
          <w:p w:rsidR="00B763DD" w:rsidRDefault="00B763DD" w:rsidP="00B763DD">
            <w:pPr>
              <w:keepNext/>
              <w:keepLines/>
              <w:tabs>
                <w:tab w:val="left" w:pos="720"/>
                <w:tab w:val="left" w:pos="1440"/>
                <w:tab w:val="left" w:pos="9240"/>
              </w:tabs>
              <w:jc w:val="right"/>
            </w:pPr>
          </w:p>
        </w:tc>
        <w:tc>
          <w:tcPr>
            <w:tcW w:w="842" w:type="dxa"/>
          </w:tcPr>
          <w:p w:rsidR="00B763DD" w:rsidRDefault="00B763DD" w:rsidP="005457A9">
            <w:pPr>
              <w:keepNext/>
              <w:keepLines/>
              <w:tabs>
                <w:tab w:val="left" w:pos="720"/>
                <w:tab w:val="left" w:pos="1440"/>
                <w:tab w:val="left" w:pos="9240"/>
              </w:tabs>
              <w:jc w:val="right"/>
            </w:pPr>
            <w:r>
              <w:t>8.</w:t>
            </w:r>
            <w:r w:rsidR="005457A9">
              <w:t>5</w:t>
            </w:r>
            <w:r>
              <w:t>%</w:t>
            </w:r>
          </w:p>
        </w:tc>
        <w:tc>
          <w:tcPr>
            <w:tcW w:w="236" w:type="dxa"/>
          </w:tcPr>
          <w:p w:rsidR="00B763DD" w:rsidRDefault="00B763DD" w:rsidP="00B763DD">
            <w:pPr>
              <w:keepNext/>
              <w:keepLines/>
              <w:tabs>
                <w:tab w:val="left" w:pos="720"/>
                <w:tab w:val="left" w:pos="1440"/>
                <w:tab w:val="left" w:pos="9240"/>
              </w:tabs>
              <w:jc w:val="right"/>
            </w:pPr>
          </w:p>
        </w:tc>
        <w:tc>
          <w:tcPr>
            <w:tcW w:w="892" w:type="dxa"/>
          </w:tcPr>
          <w:p w:rsidR="00B763DD" w:rsidRDefault="00B763DD" w:rsidP="005457A9">
            <w:pPr>
              <w:keepNext/>
              <w:keepLines/>
              <w:tabs>
                <w:tab w:val="left" w:pos="720"/>
                <w:tab w:val="left" w:pos="1440"/>
                <w:tab w:val="left" w:pos="9240"/>
              </w:tabs>
              <w:jc w:val="right"/>
            </w:pPr>
            <w:r>
              <w:t>1</w:t>
            </w:r>
            <w:r w:rsidR="005457A9">
              <w:t>2.3</w:t>
            </w:r>
            <w:r>
              <w:t>%</w:t>
            </w:r>
          </w:p>
        </w:tc>
        <w:tc>
          <w:tcPr>
            <w:tcW w:w="236" w:type="dxa"/>
          </w:tcPr>
          <w:p w:rsidR="00B763DD" w:rsidRDefault="00B763DD" w:rsidP="00B763DD">
            <w:pPr>
              <w:keepNext/>
              <w:keepLines/>
              <w:tabs>
                <w:tab w:val="left" w:pos="720"/>
                <w:tab w:val="left" w:pos="1440"/>
                <w:tab w:val="left" w:pos="9240"/>
              </w:tabs>
              <w:jc w:val="right"/>
            </w:pPr>
          </w:p>
        </w:tc>
        <w:tc>
          <w:tcPr>
            <w:tcW w:w="870" w:type="dxa"/>
          </w:tcPr>
          <w:p w:rsidR="00B763DD" w:rsidRDefault="00B763DD" w:rsidP="005457A9">
            <w:pPr>
              <w:keepNext/>
              <w:keepLines/>
              <w:tabs>
                <w:tab w:val="left" w:pos="720"/>
                <w:tab w:val="left" w:pos="1440"/>
                <w:tab w:val="left" w:pos="9240"/>
              </w:tabs>
              <w:jc w:val="right"/>
            </w:pPr>
            <w:r>
              <w:t>7.</w:t>
            </w:r>
            <w:r w:rsidR="005457A9">
              <w:t>7</w:t>
            </w:r>
            <w:r>
              <w:t>%</w:t>
            </w:r>
          </w:p>
        </w:tc>
        <w:tc>
          <w:tcPr>
            <w:tcW w:w="236" w:type="dxa"/>
          </w:tcPr>
          <w:p w:rsidR="00B763DD" w:rsidRDefault="00B763DD" w:rsidP="00B763DD">
            <w:pPr>
              <w:keepNext/>
              <w:keepLines/>
              <w:tabs>
                <w:tab w:val="left" w:pos="720"/>
                <w:tab w:val="left" w:pos="1440"/>
                <w:tab w:val="left" w:pos="9240"/>
              </w:tabs>
              <w:jc w:val="right"/>
            </w:pPr>
          </w:p>
        </w:tc>
        <w:tc>
          <w:tcPr>
            <w:tcW w:w="934" w:type="dxa"/>
          </w:tcPr>
          <w:p w:rsidR="00B763DD" w:rsidRDefault="00B763DD" w:rsidP="005457A9">
            <w:pPr>
              <w:keepNext/>
              <w:keepLines/>
              <w:tabs>
                <w:tab w:val="left" w:pos="720"/>
                <w:tab w:val="left" w:pos="1440"/>
                <w:tab w:val="left" w:pos="9240"/>
              </w:tabs>
              <w:jc w:val="right"/>
            </w:pPr>
            <w:r>
              <w:t>11.</w:t>
            </w:r>
            <w:r w:rsidR="005457A9">
              <w:t>2</w:t>
            </w:r>
            <w:r>
              <w:t>%</w:t>
            </w:r>
          </w:p>
        </w:tc>
      </w:tr>
      <w:tr w:rsidR="008F15A3" w:rsidTr="00F254E8">
        <w:tc>
          <w:tcPr>
            <w:tcW w:w="1548" w:type="dxa"/>
          </w:tcPr>
          <w:p w:rsidR="008F15A3" w:rsidRDefault="008F15A3" w:rsidP="008F15A3">
            <w:pPr>
              <w:keepNext/>
              <w:keepLines/>
              <w:tabs>
                <w:tab w:val="left" w:pos="720"/>
                <w:tab w:val="left" w:pos="1440"/>
                <w:tab w:val="left" w:pos="9240"/>
              </w:tabs>
              <w:jc w:val="both"/>
            </w:pPr>
            <w:r>
              <w:t>S&amp;P Group</w:t>
            </w:r>
          </w:p>
        </w:tc>
        <w:tc>
          <w:tcPr>
            <w:tcW w:w="236" w:type="dxa"/>
          </w:tcPr>
          <w:p w:rsidR="008F15A3" w:rsidRDefault="008F15A3" w:rsidP="008F15A3">
            <w:pPr>
              <w:keepNext/>
              <w:keepLines/>
              <w:tabs>
                <w:tab w:val="left" w:pos="720"/>
                <w:tab w:val="left" w:pos="1440"/>
                <w:tab w:val="left" w:pos="9240"/>
              </w:tabs>
              <w:jc w:val="both"/>
            </w:pPr>
          </w:p>
        </w:tc>
        <w:tc>
          <w:tcPr>
            <w:tcW w:w="956" w:type="dxa"/>
          </w:tcPr>
          <w:p w:rsidR="008F15A3" w:rsidRDefault="008F15A3" w:rsidP="005457A9">
            <w:pPr>
              <w:keepNext/>
              <w:keepLines/>
              <w:tabs>
                <w:tab w:val="left" w:pos="720"/>
                <w:tab w:val="left" w:pos="1440"/>
                <w:tab w:val="left" w:pos="9240"/>
              </w:tabs>
              <w:jc w:val="right"/>
            </w:pPr>
            <w:r>
              <w:t>11.</w:t>
            </w:r>
            <w:r w:rsidR="005457A9">
              <w:t>3</w:t>
            </w:r>
            <w:r>
              <w:t>%</w:t>
            </w:r>
          </w:p>
        </w:tc>
        <w:tc>
          <w:tcPr>
            <w:tcW w:w="236" w:type="dxa"/>
          </w:tcPr>
          <w:p w:rsidR="008F15A3" w:rsidRDefault="008F15A3" w:rsidP="008F15A3">
            <w:pPr>
              <w:keepNext/>
              <w:keepLines/>
              <w:tabs>
                <w:tab w:val="left" w:pos="720"/>
                <w:tab w:val="left" w:pos="1440"/>
                <w:tab w:val="left" w:pos="9240"/>
              </w:tabs>
              <w:jc w:val="right"/>
            </w:pPr>
          </w:p>
        </w:tc>
        <w:tc>
          <w:tcPr>
            <w:tcW w:w="956" w:type="dxa"/>
          </w:tcPr>
          <w:p w:rsidR="008F15A3" w:rsidRDefault="008F15A3" w:rsidP="005457A9">
            <w:pPr>
              <w:keepNext/>
              <w:keepLines/>
              <w:tabs>
                <w:tab w:val="left" w:pos="720"/>
                <w:tab w:val="left" w:pos="1440"/>
                <w:tab w:val="left" w:pos="9240"/>
              </w:tabs>
              <w:jc w:val="right"/>
            </w:pPr>
            <w:r>
              <w:t>11.</w:t>
            </w:r>
            <w:r w:rsidR="005457A9">
              <w:t>1</w:t>
            </w:r>
            <w:r>
              <w:t>%</w:t>
            </w:r>
          </w:p>
        </w:tc>
        <w:tc>
          <w:tcPr>
            <w:tcW w:w="236" w:type="dxa"/>
          </w:tcPr>
          <w:p w:rsidR="008F15A3" w:rsidRDefault="008F15A3" w:rsidP="008F15A3">
            <w:pPr>
              <w:keepNext/>
              <w:keepLines/>
              <w:tabs>
                <w:tab w:val="left" w:pos="720"/>
                <w:tab w:val="left" w:pos="1440"/>
                <w:tab w:val="left" w:pos="9240"/>
              </w:tabs>
              <w:jc w:val="right"/>
            </w:pPr>
          </w:p>
        </w:tc>
        <w:tc>
          <w:tcPr>
            <w:tcW w:w="842" w:type="dxa"/>
          </w:tcPr>
          <w:p w:rsidR="008F15A3" w:rsidRDefault="008F15A3" w:rsidP="005457A9">
            <w:pPr>
              <w:keepNext/>
              <w:keepLines/>
              <w:tabs>
                <w:tab w:val="left" w:pos="720"/>
                <w:tab w:val="left" w:pos="1440"/>
                <w:tab w:val="left" w:pos="9240"/>
              </w:tabs>
              <w:jc w:val="right"/>
            </w:pPr>
            <w:r>
              <w:t>10.</w:t>
            </w:r>
            <w:r w:rsidR="005457A9">
              <w:t>4</w:t>
            </w:r>
            <w:r>
              <w:t>%</w:t>
            </w:r>
          </w:p>
        </w:tc>
        <w:tc>
          <w:tcPr>
            <w:tcW w:w="236" w:type="dxa"/>
          </w:tcPr>
          <w:p w:rsidR="008F15A3" w:rsidRDefault="008F15A3" w:rsidP="008F15A3">
            <w:pPr>
              <w:keepNext/>
              <w:keepLines/>
              <w:tabs>
                <w:tab w:val="left" w:pos="720"/>
                <w:tab w:val="left" w:pos="1440"/>
                <w:tab w:val="left" w:pos="9240"/>
              </w:tabs>
              <w:jc w:val="right"/>
            </w:pPr>
          </w:p>
        </w:tc>
        <w:tc>
          <w:tcPr>
            <w:tcW w:w="892" w:type="dxa"/>
          </w:tcPr>
          <w:p w:rsidR="008F15A3" w:rsidRDefault="008F15A3" w:rsidP="005457A9">
            <w:pPr>
              <w:keepNext/>
              <w:keepLines/>
              <w:tabs>
                <w:tab w:val="left" w:pos="720"/>
                <w:tab w:val="left" w:pos="1440"/>
                <w:tab w:val="left" w:pos="9240"/>
              </w:tabs>
              <w:jc w:val="right"/>
            </w:pPr>
            <w:r>
              <w:t>12.</w:t>
            </w:r>
            <w:r w:rsidR="005457A9">
              <w:t>8</w:t>
            </w:r>
            <w:r>
              <w:t>%</w:t>
            </w:r>
          </w:p>
        </w:tc>
        <w:tc>
          <w:tcPr>
            <w:tcW w:w="236" w:type="dxa"/>
          </w:tcPr>
          <w:p w:rsidR="008F15A3" w:rsidRDefault="008F15A3" w:rsidP="008F15A3">
            <w:pPr>
              <w:keepNext/>
              <w:keepLines/>
              <w:tabs>
                <w:tab w:val="left" w:pos="720"/>
                <w:tab w:val="left" w:pos="1440"/>
                <w:tab w:val="left" w:pos="9240"/>
              </w:tabs>
              <w:jc w:val="right"/>
            </w:pPr>
          </w:p>
        </w:tc>
        <w:tc>
          <w:tcPr>
            <w:tcW w:w="870" w:type="dxa"/>
          </w:tcPr>
          <w:p w:rsidR="008F15A3" w:rsidRDefault="008F15A3" w:rsidP="005457A9">
            <w:pPr>
              <w:keepNext/>
              <w:keepLines/>
              <w:tabs>
                <w:tab w:val="left" w:pos="720"/>
                <w:tab w:val="left" w:pos="1440"/>
                <w:tab w:val="left" w:pos="9240"/>
              </w:tabs>
              <w:jc w:val="right"/>
            </w:pPr>
            <w:r>
              <w:t>10.</w:t>
            </w:r>
            <w:r w:rsidR="005457A9">
              <w:t>6</w:t>
            </w:r>
            <w:r>
              <w:t>%</w:t>
            </w:r>
          </w:p>
        </w:tc>
        <w:tc>
          <w:tcPr>
            <w:tcW w:w="236" w:type="dxa"/>
          </w:tcPr>
          <w:p w:rsidR="008F15A3" w:rsidRDefault="008F15A3" w:rsidP="008F15A3">
            <w:pPr>
              <w:keepNext/>
              <w:keepLines/>
              <w:tabs>
                <w:tab w:val="left" w:pos="720"/>
                <w:tab w:val="left" w:pos="1440"/>
                <w:tab w:val="left" w:pos="9240"/>
              </w:tabs>
              <w:jc w:val="right"/>
            </w:pPr>
          </w:p>
        </w:tc>
        <w:tc>
          <w:tcPr>
            <w:tcW w:w="934" w:type="dxa"/>
          </w:tcPr>
          <w:p w:rsidR="008F15A3" w:rsidRDefault="008F15A3" w:rsidP="005457A9">
            <w:pPr>
              <w:keepNext/>
              <w:keepLines/>
              <w:tabs>
                <w:tab w:val="left" w:pos="720"/>
                <w:tab w:val="left" w:pos="1440"/>
                <w:tab w:val="left" w:pos="9240"/>
              </w:tabs>
              <w:jc w:val="right"/>
            </w:pPr>
            <w:r>
              <w:t>1</w:t>
            </w:r>
            <w:r w:rsidR="005457A9">
              <w:t>1</w:t>
            </w:r>
            <w:r>
              <w:t>.</w:t>
            </w:r>
            <w:r w:rsidR="005457A9">
              <w:t>5</w:t>
            </w:r>
            <w:r>
              <w:t>%</w:t>
            </w:r>
          </w:p>
        </w:tc>
      </w:tr>
      <w:tr w:rsidR="008F15A3" w:rsidTr="00F254E8">
        <w:tc>
          <w:tcPr>
            <w:tcW w:w="1548" w:type="dxa"/>
          </w:tcPr>
          <w:p w:rsidR="008F15A3" w:rsidRDefault="008F15A3" w:rsidP="008F15A3">
            <w:pPr>
              <w:keepNext/>
              <w:keepLines/>
              <w:tabs>
                <w:tab w:val="left" w:pos="720"/>
                <w:tab w:val="left" w:pos="1440"/>
                <w:tab w:val="left" w:pos="9240"/>
              </w:tabs>
              <w:jc w:val="both"/>
            </w:pPr>
            <w:r>
              <w:t>Integrated Group</w:t>
            </w:r>
          </w:p>
        </w:tc>
        <w:tc>
          <w:tcPr>
            <w:tcW w:w="236" w:type="dxa"/>
          </w:tcPr>
          <w:p w:rsidR="008F15A3" w:rsidRDefault="008F15A3" w:rsidP="008F15A3">
            <w:pPr>
              <w:keepNext/>
              <w:keepLines/>
              <w:tabs>
                <w:tab w:val="left" w:pos="720"/>
                <w:tab w:val="left" w:pos="1440"/>
                <w:tab w:val="left" w:pos="9240"/>
              </w:tabs>
              <w:jc w:val="both"/>
            </w:pPr>
          </w:p>
        </w:tc>
        <w:tc>
          <w:tcPr>
            <w:tcW w:w="956" w:type="dxa"/>
          </w:tcPr>
          <w:p w:rsidR="008F15A3" w:rsidRDefault="008F15A3" w:rsidP="008F15A3">
            <w:pPr>
              <w:keepNext/>
              <w:keepLines/>
              <w:tabs>
                <w:tab w:val="left" w:pos="720"/>
                <w:tab w:val="left" w:pos="1440"/>
                <w:tab w:val="left" w:pos="9240"/>
              </w:tabs>
              <w:jc w:val="right"/>
            </w:pPr>
            <w:r>
              <w:t>10.4%</w:t>
            </w:r>
          </w:p>
        </w:tc>
        <w:tc>
          <w:tcPr>
            <w:tcW w:w="236" w:type="dxa"/>
          </w:tcPr>
          <w:p w:rsidR="008F15A3" w:rsidRDefault="008F15A3" w:rsidP="008F15A3">
            <w:pPr>
              <w:keepNext/>
              <w:keepLines/>
              <w:tabs>
                <w:tab w:val="left" w:pos="720"/>
                <w:tab w:val="left" w:pos="1440"/>
                <w:tab w:val="left" w:pos="9240"/>
              </w:tabs>
              <w:jc w:val="right"/>
            </w:pPr>
          </w:p>
        </w:tc>
        <w:tc>
          <w:tcPr>
            <w:tcW w:w="956" w:type="dxa"/>
          </w:tcPr>
          <w:p w:rsidR="008F15A3" w:rsidRDefault="008F15A3" w:rsidP="005457A9">
            <w:pPr>
              <w:keepNext/>
              <w:keepLines/>
              <w:tabs>
                <w:tab w:val="left" w:pos="720"/>
                <w:tab w:val="left" w:pos="1440"/>
                <w:tab w:val="left" w:pos="9240"/>
              </w:tabs>
              <w:jc w:val="right"/>
            </w:pPr>
            <w:r>
              <w:t>10.</w:t>
            </w:r>
            <w:r w:rsidR="005457A9">
              <w:t>0</w:t>
            </w:r>
            <w:r>
              <w:t>%</w:t>
            </w:r>
          </w:p>
        </w:tc>
        <w:tc>
          <w:tcPr>
            <w:tcW w:w="236" w:type="dxa"/>
          </w:tcPr>
          <w:p w:rsidR="008F15A3" w:rsidRDefault="008F15A3" w:rsidP="008F15A3">
            <w:pPr>
              <w:keepNext/>
              <w:keepLines/>
              <w:tabs>
                <w:tab w:val="left" w:pos="720"/>
                <w:tab w:val="left" w:pos="1440"/>
                <w:tab w:val="left" w:pos="9240"/>
              </w:tabs>
              <w:jc w:val="right"/>
            </w:pPr>
          </w:p>
        </w:tc>
        <w:tc>
          <w:tcPr>
            <w:tcW w:w="842" w:type="dxa"/>
          </w:tcPr>
          <w:p w:rsidR="008F15A3" w:rsidRDefault="008F15A3" w:rsidP="005457A9">
            <w:pPr>
              <w:keepNext/>
              <w:keepLines/>
              <w:tabs>
                <w:tab w:val="left" w:pos="720"/>
                <w:tab w:val="left" w:pos="1440"/>
                <w:tab w:val="left" w:pos="9240"/>
              </w:tabs>
              <w:jc w:val="right"/>
            </w:pPr>
            <w:r>
              <w:t>9.</w:t>
            </w:r>
            <w:r w:rsidR="005457A9">
              <w:t>6</w:t>
            </w:r>
            <w:r>
              <w:t>%</w:t>
            </w:r>
          </w:p>
        </w:tc>
        <w:tc>
          <w:tcPr>
            <w:tcW w:w="236" w:type="dxa"/>
          </w:tcPr>
          <w:p w:rsidR="008F15A3" w:rsidRDefault="008F15A3" w:rsidP="008F15A3">
            <w:pPr>
              <w:keepNext/>
              <w:keepLines/>
              <w:tabs>
                <w:tab w:val="left" w:pos="720"/>
                <w:tab w:val="left" w:pos="1440"/>
                <w:tab w:val="left" w:pos="9240"/>
              </w:tabs>
              <w:jc w:val="right"/>
            </w:pPr>
          </w:p>
        </w:tc>
        <w:tc>
          <w:tcPr>
            <w:tcW w:w="892" w:type="dxa"/>
          </w:tcPr>
          <w:p w:rsidR="008F15A3" w:rsidRDefault="008F15A3" w:rsidP="005457A9">
            <w:pPr>
              <w:keepNext/>
              <w:keepLines/>
              <w:tabs>
                <w:tab w:val="left" w:pos="720"/>
                <w:tab w:val="left" w:pos="1440"/>
                <w:tab w:val="left" w:pos="9240"/>
              </w:tabs>
              <w:jc w:val="right"/>
            </w:pPr>
            <w:r>
              <w:t>1</w:t>
            </w:r>
            <w:r w:rsidR="005457A9">
              <w:t>1</w:t>
            </w:r>
            <w:r>
              <w:t>.</w:t>
            </w:r>
            <w:r w:rsidR="005457A9">
              <w:t>9</w:t>
            </w:r>
            <w:r>
              <w:t>%</w:t>
            </w:r>
          </w:p>
        </w:tc>
        <w:tc>
          <w:tcPr>
            <w:tcW w:w="236" w:type="dxa"/>
          </w:tcPr>
          <w:p w:rsidR="008F15A3" w:rsidRDefault="008F15A3" w:rsidP="008F15A3">
            <w:pPr>
              <w:keepNext/>
              <w:keepLines/>
              <w:tabs>
                <w:tab w:val="left" w:pos="720"/>
                <w:tab w:val="left" w:pos="1440"/>
                <w:tab w:val="left" w:pos="9240"/>
              </w:tabs>
              <w:jc w:val="right"/>
            </w:pPr>
          </w:p>
        </w:tc>
        <w:tc>
          <w:tcPr>
            <w:tcW w:w="870" w:type="dxa"/>
          </w:tcPr>
          <w:p w:rsidR="008F15A3" w:rsidRDefault="008F15A3" w:rsidP="005457A9">
            <w:pPr>
              <w:keepNext/>
              <w:keepLines/>
              <w:tabs>
                <w:tab w:val="left" w:pos="720"/>
                <w:tab w:val="left" w:pos="1440"/>
                <w:tab w:val="left" w:pos="9240"/>
              </w:tabs>
              <w:jc w:val="right"/>
            </w:pPr>
            <w:r>
              <w:t>9.</w:t>
            </w:r>
            <w:r w:rsidR="005457A9">
              <w:t>1</w:t>
            </w:r>
            <w:r>
              <w:t>%</w:t>
            </w:r>
          </w:p>
        </w:tc>
        <w:tc>
          <w:tcPr>
            <w:tcW w:w="236" w:type="dxa"/>
          </w:tcPr>
          <w:p w:rsidR="008F15A3" w:rsidRDefault="008F15A3" w:rsidP="008F15A3">
            <w:pPr>
              <w:keepNext/>
              <w:keepLines/>
              <w:tabs>
                <w:tab w:val="left" w:pos="720"/>
                <w:tab w:val="left" w:pos="1440"/>
                <w:tab w:val="left" w:pos="9240"/>
              </w:tabs>
              <w:jc w:val="right"/>
            </w:pPr>
          </w:p>
        </w:tc>
        <w:tc>
          <w:tcPr>
            <w:tcW w:w="934" w:type="dxa"/>
          </w:tcPr>
          <w:p w:rsidR="008F15A3" w:rsidRDefault="008F15A3" w:rsidP="005457A9">
            <w:pPr>
              <w:keepNext/>
              <w:keepLines/>
              <w:tabs>
                <w:tab w:val="left" w:pos="720"/>
                <w:tab w:val="left" w:pos="1440"/>
                <w:tab w:val="left" w:pos="9240"/>
              </w:tabs>
              <w:jc w:val="right"/>
            </w:pPr>
            <w:r>
              <w:t>11.</w:t>
            </w:r>
            <w:r w:rsidR="005457A9">
              <w:t>1</w:t>
            </w:r>
            <w:r>
              <w:t>%</w:t>
            </w:r>
          </w:p>
        </w:tc>
      </w:tr>
    </w:tbl>
    <w:p w:rsidR="00B763DD" w:rsidRDefault="00B763DD" w:rsidP="00B112FC">
      <w:pPr>
        <w:tabs>
          <w:tab w:val="left" w:pos="720"/>
          <w:tab w:val="left" w:pos="1440"/>
          <w:tab w:val="left" w:pos="9240"/>
        </w:tabs>
        <w:spacing w:line="480" w:lineRule="auto"/>
        <w:ind w:left="720" w:hanging="720"/>
      </w:pP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p w:rsidR="0019507D" w:rsidRDefault="0019507D" w:rsidP="0019507D">
      <w:pPr>
        <w:tabs>
          <w:tab w:val="left" w:pos="720"/>
          <w:tab w:val="left" w:pos="1440"/>
          <w:tab w:val="left" w:pos="9240"/>
        </w:tabs>
        <w:ind w:left="720" w:hanging="720"/>
      </w:pPr>
    </w:p>
    <w:p w:rsidR="007D0800" w:rsidRDefault="007D0800" w:rsidP="0019507D">
      <w:pPr>
        <w:tabs>
          <w:tab w:val="left" w:pos="720"/>
          <w:tab w:val="left" w:pos="1440"/>
          <w:tab w:val="left" w:pos="9240"/>
        </w:tabs>
        <w:ind w:left="720" w:hanging="720"/>
        <w:sectPr w:rsidR="007D0800" w:rsidSect="00E83DA3">
          <w:footerReference w:type="default" r:id="rId23"/>
          <w:pgSz w:w="12240" w:h="15840" w:code="1"/>
          <w:pgMar w:top="1440" w:right="1440" w:bottom="720" w:left="1872" w:header="720" w:footer="720" w:gutter="0"/>
          <w:lnNumType w:countBy="1"/>
          <w:cols w:space="720"/>
          <w:docGrid w:linePitch="360"/>
        </w:sectPr>
      </w:pPr>
    </w:p>
    <w:p w:rsidR="00897EC7" w:rsidRDefault="009F3315" w:rsidP="00417CF7">
      <w:pPr>
        <w:tabs>
          <w:tab w:val="left" w:pos="720"/>
          <w:tab w:val="left" w:pos="1440"/>
          <w:tab w:val="left" w:pos="9240"/>
        </w:tabs>
        <w:spacing w:line="480" w:lineRule="auto"/>
        <w:ind w:left="720" w:hanging="720"/>
      </w:pPr>
      <w:r>
        <w:lastRenderedPageBreak/>
        <w:tab/>
      </w:r>
      <w:r w:rsidR="00133EDD">
        <w:t xml:space="preserve">I note that the individual DCF calculations shown on </w:t>
      </w:r>
      <w:r w:rsidR="005E407C">
        <w:t>Exhibit No. DCP-1</w:t>
      </w:r>
      <w:r w:rsidR="00B763DD">
        <w:t>1</w:t>
      </w:r>
      <w:r w:rsidR="00133EDD">
        <w:t xml:space="preserve"> should not be interpreted to reflect the expected cost of capital for the proxy groups; rather, the</w:t>
      </w:r>
      <w:r w:rsidR="00897EC7">
        <w:t xml:space="preserve"> individual values shown should be interpreted as alternative information considered by investors.</w:t>
      </w:r>
      <w:r w:rsidR="001C5671">
        <w:t xml:space="preserve">  The individual DCF calculations also demonstrate how the focus on a single growth rate, </w:t>
      </w:r>
      <w:r w:rsidR="009864AC" w:rsidRPr="009864AC">
        <w:t>i.e.</w:t>
      </w:r>
      <w:r w:rsidR="001C5671">
        <w:t xml:space="preserve"> EPS projections, can produce a DCF conclusion that is not reflective of a broader perspective of available information.</w:t>
      </w:r>
    </w:p>
    <w:p w:rsidR="00897EC7" w:rsidRDefault="00AC074F" w:rsidP="00417CF7">
      <w:pPr>
        <w:tabs>
          <w:tab w:val="left" w:pos="720"/>
          <w:tab w:val="left" w:pos="1440"/>
          <w:tab w:val="left" w:pos="9240"/>
        </w:tabs>
        <w:spacing w:line="480" w:lineRule="auto"/>
        <w:ind w:left="720" w:hanging="720"/>
      </w:pPr>
      <w:r>
        <w:tab/>
      </w:r>
      <w:r w:rsidR="00897EC7">
        <w:tab/>
        <w:t xml:space="preserve">The DCF results in </w:t>
      </w:r>
      <w:r w:rsidR="005E407C">
        <w:t xml:space="preserve">Exhibit No. </w:t>
      </w:r>
      <w:r w:rsidR="005E407C" w:rsidRPr="007D0800">
        <w:rPr>
          <w:strike/>
        </w:rPr>
        <w:t>DCP-10</w:t>
      </w:r>
      <w:r w:rsidR="00897EC7">
        <w:t xml:space="preserve"> </w:t>
      </w:r>
      <w:r w:rsidR="007D0800">
        <w:rPr>
          <w:u w:val="single"/>
        </w:rPr>
        <w:t xml:space="preserve">DCP-11 </w:t>
      </w:r>
      <w:proofErr w:type="gramStart"/>
      <w:r w:rsidR="00897EC7">
        <w:t>indicate</w:t>
      </w:r>
      <w:proofErr w:type="gramEnd"/>
      <w:r w:rsidR="00897EC7">
        <w:t xml:space="preserve"> average (mean and median) DCF cost rates of </w:t>
      </w:r>
      <w:r w:rsidR="00EB5BBE">
        <w:t>9.</w:t>
      </w:r>
      <w:r w:rsidR="005457A9">
        <w:t>6</w:t>
      </w:r>
      <w:r w:rsidR="00ED3AE5">
        <w:t xml:space="preserve"> </w:t>
      </w:r>
      <w:r w:rsidR="00897EC7">
        <w:t xml:space="preserve">percent to </w:t>
      </w:r>
      <w:r w:rsidR="00A453C1">
        <w:t>1</w:t>
      </w:r>
      <w:r w:rsidR="00B763DD">
        <w:t>1.</w:t>
      </w:r>
      <w:r w:rsidR="005457A9">
        <w:t>3</w:t>
      </w:r>
      <w:r w:rsidR="00B763DD">
        <w:t xml:space="preserve"> </w:t>
      </w:r>
      <w:r w:rsidR="000A4196">
        <w:t>percent</w:t>
      </w:r>
      <w:r w:rsidR="00897EC7">
        <w:t xml:space="preserve">.  The </w:t>
      </w:r>
      <w:r w:rsidR="00EE0279">
        <w:t>“</w:t>
      </w:r>
      <w:r w:rsidR="00897EC7">
        <w:t>high</w:t>
      </w:r>
      <w:r w:rsidR="00EE0279">
        <w:t>”</w:t>
      </w:r>
      <w:r w:rsidR="00897EC7">
        <w:t xml:space="preserve"> DCF rates (</w:t>
      </w:r>
      <w:r w:rsidR="009864AC" w:rsidRPr="009864AC">
        <w:t>i.e.</w:t>
      </w:r>
      <w:r w:rsidR="00897EC7">
        <w:t xml:space="preserve">, using the highest growth rates only) are </w:t>
      </w:r>
      <w:r w:rsidR="001368C1">
        <w:t>1</w:t>
      </w:r>
      <w:r w:rsidR="00B04253">
        <w:t>1.</w:t>
      </w:r>
      <w:r w:rsidR="005457A9">
        <w:t>9</w:t>
      </w:r>
      <w:r w:rsidR="00022BF5">
        <w:t xml:space="preserve"> percent </w:t>
      </w:r>
      <w:r w:rsidR="00B763DD">
        <w:t>to 12.</w:t>
      </w:r>
      <w:r w:rsidR="005457A9">
        <w:t>8</w:t>
      </w:r>
      <w:r w:rsidR="00B763DD">
        <w:t xml:space="preserve"> percent </w:t>
      </w:r>
      <w:r w:rsidR="009F3315">
        <w:t xml:space="preserve">on an average basis and </w:t>
      </w:r>
      <w:r w:rsidR="00392003">
        <w:t>11.</w:t>
      </w:r>
      <w:r w:rsidR="005457A9">
        <w:t>1</w:t>
      </w:r>
      <w:r w:rsidR="00EE0279">
        <w:t xml:space="preserve"> percent to 1</w:t>
      </w:r>
      <w:r w:rsidR="00EB5BBE">
        <w:t>1.</w:t>
      </w:r>
      <w:r w:rsidR="005457A9">
        <w:t>5</w:t>
      </w:r>
      <w:r w:rsidR="00EE0279">
        <w:t xml:space="preserve"> percent on a median basis</w:t>
      </w:r>
      <w:r w:rsidR="00A453C1">
        <w:t>, while the “low” DCF rates (</w:t>
      </w:r>
      <w:r w:rsidR="009864AC" w:rsidRPr="009864AC">
        <w:t>i.e.</w:t>
      </w:r>
      <w:r w:rsidR="00A453C1">
        <w:rPr>
          <w:i/>
        </w:rPr>
        <w:t>,</w:t>
      </w:r>
      <w:r w:rsidR="00A453C1">
        <w:t xml:space="preserve"> using the lowest growth rates only) are </w:t>
      </w:r>
      <w:r w:rsidR="00EB5BBE">
        <w:t>8.</w:t>
      </w:r>
      <w:r w:rsidR="005457A9">
        <w:t>5</w:t>
      </w:r>
      <w:r w:rsidR="00A453C1">
        <w:t xml:space="preserve"> percent </w:t>
      </w:r>
      <w:r w:rsidR="00EB5BBE">
        <w:t>to</w:t>
      </w:r>
      <w:r w:rsidR="00A453C1">
        <w:t xml:space="preserve"> 10.</w:t>
      </w:r>
      <w:r w:rsidR="005457A9">
        <w:t>6</w:t>
      </w:r>
      <w:r w:rsidR="00A453C1">
        <w:t xml:space="preserve"> percent</w:t>
      </w:r>
      <w:r w:rsidR="00897EC7">
        <w:t>.</w:t>
      </w:r>
      <w:r w:rsidR="002849ED">
        <w:t xml:space="preserve">  </w:t>
      </w:r>
    </w:p>
    <w:p w:rsidR="00897EC7" w:rsidRDefault="00897EC7" w:rsidP="00417CF7">
      <w:pPr>
        <w:tabs>
          <w:tab w:val="left" w:pos="720"/>
          <w:tab w:val="left" w:pos="1440"/>
          <w:tab w:val="left" w:pos="9240"/>
        </w:tabs>
        <w:spacing w:line="480" w:lineRule="auto"/>
        <w:ind w:left="720" w:hanging="720"/>
      </w:pPr>
    </w:p>
    <w:p w:rsidR="00897EC7" w:rsidRDefault="00897EC7" w:rsidP="00417CF7">
      <w:pPr>
        <w:keepNext/>
        <w:tabs>
          <w:tab w:val="left" w:pos="720"/>
          <w:tab w:val="left" w:pos="1440"/>
          <w:tab w:val="left" w:pos="9240"/>
        </w:tabs>
        <w:spacing w:line="480" w:lineRule="auto"/>
        <w:ind w:left="720" w:hanging="720"/>
        <w:rPr>
          <w:b/>
        </w:rPr>
      </w:pPr>
      <w:r>
        <w:rPr>
          <w:b/>
        </w:rPr>
        <w:t>Q.</w:t>
      </w:r>
      <w:r>
        <w:rPr>
          <w:b/>
        </w:rPr>
        <w:tab/>
        <w:t>W</w:t>
      </w:r>
      <w:r w:rsidR="00DE055E">
        <w:rPr>
          <w:b/>
        </w:rPr>
        <w:t>hat do you conclude from your DCF analyses</w:t>
      </w:r>
      <w:r>
        <w:rPr>
          <w:b/>
        </w:rPr>
        <w:t>?</w:t>
      </w:r>
    </w:p>
    <w:p w:rsidR="00D801D7" w:rsidRDefault="00897EC7" w:rsidP="00417CF7">
      <w:pPr>
        <w:tabs>
          <w:tab w:val="left" w:pos="720"/>
          <w:tab w:val="left" w:pos="1440"/>
          <w:tab w:val="left" w:pos="9240"/>
        </w:tabs>
        <w:spacing w:line="480" w:lineRule="auto"/>
        <w:ind w:left="720" w:hanging="720"/>
      </w:pPr>
      <w:r>
        <w:t>A.</w:t>
      </w:r>
      <w:r>
        <w:tab/>
      </w:r>
      <w:r w:rsidR="00F156EB">
        <w:t>This</w:t>
      </w:r>
      <w:r w:rsidR="00EE0279">
        <w:t xml:space="preserve"> </w:t>
      </w:r>
      <w:r w:rsidR="002849ED">
        <w:t xml:space="preserve">DCF </w:t>
      </w:r>
      <w:r w:rsidR="00EE0279">
        <w:t>analysi</w:t>
      </w:r>
      <w:r>
        <w:t>s</w:t>
      </w:r>
      <w:r w:rsidR="00F156EB">
        <w:t xml:space="preserve"> </w:t>
      </w:r>
      <w:r w:rsidR="002849ED">
        <w:t xml:space="preserve">indicates </w:t>
      </w:r>
      <w:r>
        <w:t xml:space="preserve">a range of </w:t>
      </w:r>
      <w:r w:rsidR="00EB5BBE">
        <w:t>9.</w:t>
      </w:r>
      <w:r w:rsidR="005457A9">
        <w:t>6</w:t>
      </w:r>
      <w:r w:rsidR="00ED3AE5">
        <w:t xml:space="preserve"> </w:t>
      </w:r>
      <w:r>
        <w:t xml:space="preserve">percent to </w:t>
      </w:r>
      <w:r w:rsidR="000F4D60">
        <w:t>1</w:t>
      </w:r>
      <w:r w:rsidR="00B763DD">
        <w:t>1.</w:t>
      </w:r>
      <w:r w:rsidR="005457A9">
        <w:t>3</w:t>
      </w:r>
      <w:r>
        <w:t xml:space="preserve"> percent for the proxy groups.  This is approximated by the average/</w:t>
      </w:r>
      <w:r w:rsidR="00370108">
        <w:t>mean values.</w:t>
      </w:r>
      <w:r w:rsidR="00D801D7">
        <w:t xml:space="preserve">  </w:t>
      </w:r>
      <w:r w:rsidR="000D7319">
        <w:t xml:space="preserve">I give </w:t>
      </w:r>
      <w:r w:rsidR="00354D74">
        <w:t>less</w:t>
      </w:r>
      <w:r w:rsidR="000D7319">
        <w:t xml:space="preserve"> weight to the lower end of the </w:t>
      </w:r>
      <w:r w:rsidR="005457A9">
        <w:t>DCF</w:t>
      </w:r>
      <w:r w:rsidR="000D7319">
        <w:t xml:space="preserve"> results</w:t>
      </w:r>
      <w:r w:rsidR="00D0370F">
        <w:t xml:space="preserve">, as well as </w:t>
      </w:r>
      <w:r w:rsidR="002122A0">
        <w:t xml:space="preserve">significantly </w:t>
      </w:r>
      <w:r w:rsidR="00D0370F">
        <w:t xml:space="preserve">less weight to the </w:t>
      </w:r>
      <w:r w:rsidR="00067784">
        <w:t xml:space="preserve">extreme </w:t>
      </w:r>
      <w:r w:rsidR="00D0370F">
        <w:t>upper end</w:t>
      </w:r>
      <w:r w:rsidR="00067784">
        <w:t>s</w:t>
      </w:r>
      <w:r w:rsidR="00D0370F">
        <w:t xml:space="preserve"> of the group</w:t>
      </w:r>
      <w:r w:rsidR="00067784">
        <w:t>s</w:t>
      </w:r>
      <w:r w:rsidR="00EE0279">
        <w:t xml:space="preserve"> (which are impacted by outlier results)</w:t>
      </w:r>
      <w:r w:rsidR="000D7319">
        <w:t xml:space="preserve">.  </w:t>
      </w:r>
    </w:p>
    <w:p w:rsidR="00D801D7" w:rsidRPr="003A007D" w:rsidRDefault="00D801D7" w:rsidP="00417CF7">
      <w:pPr>
        <w:tabs>
          <w:tab w:val="left" w:pos="720"/>
          <w:tab w:val="left" w:pos="1440"/>
          <w:tab w:val="left" w:pos="9240"/>
        </w:tabs>
        <w:spacing w:line="480" w:lineRule="auto"/>
        <w:ind w:left="720" w:hanging="720"/>
      </w:pPr>
    </w:p>
    <w:p w:rsidR="00D801D7" w:rsidRDefault="00D801D7" w:rsidP="00D4179D">
      <w:pPr>
        <w:keepNext/>
        <w:keepLines/>
        <w:tabs>
          <w:tab w:val="left" w:pos="720"/>
          <w:tab w:val="left" w:pos="1440"/>
          <w:tab w:val="left" w:pos="9240"/>
        </w:tabs>
        <w:spacing w:line="480" w:lineRule="auto"/>
        <w:ind w:left="720" w:hanging="720"/>
      </w:pPr>
      <w:r>
        <w:rPr>
          <w:b/>
        </w:rPr>
        <w:t>Q.</w:t>
      </w:r>
      <w:r>
        <w:rPr>
          <w:b/>
        </w:rPr>
        <w:tab/>
        <w:t>Which portion of the DCF range do you recommend at this time?</w:t>
      </w:r>
    </w:p>
    <w:p w:rsidR="007D0800" w:rsidRDefault="00D801D7" w:rsidP="0019507D">
      <w:pPr>
        <w:tabs>
          <w:tab w:val="left" w:pos="720"/>
          <w:tab w:val="left" w:pos="1440"/>
          <w:tab w:val="left" w:pos="9240"/>
        </w:tabs>
        <w:spacing w:line="480" w:lineRule="auto"/>
        <w:ind w:left="720" w:hanging="720"/>
        <w:sectPr w:rsidR="007D0800" w:rsidSect="00E83DA3">
          <w:footerReference w:type="default" r:id="rId24"/>
          <w:pgSz w:w="12240" w:h="15840" w:code="1"/>
          <w:pgMar w:top="1440" w:right="1440" w:bottom="720" w:left="1872" w:header="720" w:footer="720" w:gutter="0"/>
          <w:lnNumType w:countBy="1"/>
          <w:cols w:space="720"/>
          <w:docGrid w:linePitch="360"/>
        </w:sectPr>
      </w:pPr>
      <w:r>
        <w:t>A.</w:t>
      </w:r>
      <w:r>
        <w:tab/>
      </w:r>
      <w:r w:rsidR="001609A7">
        <w:t xml:space="preserve">I </w:t>
      </w:r>
      <w:r w:rsidR="00F156EB">
        <w:t>believe that</w:t>
      </w:r>
      <w:r w:rsidR="001609A7">
        <w:t xml:space="preserve"> </w:t>
      </w:r>
      <w:r w:rsidR="00E47CCF">
        <w:t xml:space="preserve">the lower </w:t>
      </w:r>
      <w:r w:rsidR="00EB5BBE">
        <w:t>portion</w:t>
      </w:r>
      <w:r w:rsidR="00E47CCF">
        <w:t xml:space="preserve"> of the </w:t>
      </w:r>
      <w:r w:rsidR="00EB5BBE">
        <w:t>9.</w:t>
      </w:r>
      <w:r w:rsidR="005457A9">
        <w:t>6</w:t>
      </w:r>
      <w:r w:rsidR="001609A7">
        <w:t xml:space="preserve"> percent to 1</w:t>
      </w:r>
      <w:r w:rsidR="00B763DD">
        <w:t>1.</w:t>
      </w:r>
      <w:r w:rsidR="005457A9">
        <w:t>3</w:t>
      </w:r>
      <w:r w:rsidR="006A0BB3">
        <w:t xml:space="preserve"> </w:t>
      </w:r>
      <w:r w:rsidR="00897EC7">
        <w:t xml:space="preserve">percent </w:t>
      </w:r>
      <w:r>
        <w:t xml:space="preserve">currently </w:t>
      </w:r>
      <w:r w:rsidR="00F156EB">
        <w:t xml:space="preserve">reflects the proper DCF cost </w:t>
      </w:r>
      <w:r w:rsidR="00897EC7">
        <w:t xml:space="preserve">for </w:t>
      </w:r>
      <w:r w:rsidR="00B763DD">
        <w:t>PSE</w:t>
      </w:r>
      <w:r w:rsidR="00E47CCF" w:rsidRPr="00B6204D">
        <w:t xml:space="preserve">.  </w:t>
      </w:r>
      <w:r w:rsidR="008A13C0" w:rsidRPr="00B6204D">
        <w:t xml:space="preserve">I specifically recommend 10.0 percent, because the DCF results are presently upwardly influenced by recent stock prices (i.e., higher yield).  </w:t>
      </w:r>
    </w:p>
    <w:p w:rsidR="00264C53" w:rsidRDefault="00264C53" w:rsidP="00417CF7">
      <w:pPr>
        <w:tabs>
          <w:tab w:val="left" w:pos="720"/>
          <w:tab w:val="left" w:pos="1440"/>
          <w:tab w:val="left" w:pos="9240"/>
        </w:tabs>
        <w:spacing w:line="480" w:lineRule="auto"/>
        <w:ind w:left="720" w:hanging="720"/>
      </w:pPr>
    </w:p>
    <w:p w:rsidR="005457A9" w:rsidRDefault="005457A9" w:rsidP="00417CF7">
      <w:pPr>
        <w:tabs>
          <w:tab w:val="left" w:pos="720"/>
          <w:tab w:val="left" w:pos="1440"/>
          <w:tab w:val="left" w:pos="9240"/>
        </w:tabs>
        <w:spacing w:line="480" w:lineRule="auto"/>
        <w:ind w:left="720" w:hanging="720"/>
      </w:pPr>
      <w:r>
        <w:rPr>
          <w:b/>
        </w:rPr>
        <w:t>Q.</w:t>
      </w:r>
      <w:r>
        <w:rPr>
          <w:b/>
        </w:rPr>
        <w:tab/>
        <w:t>Please explain why it is currently proper to focus on the lower portion of the DCF range.</w:t>
      </w:r>
    </w:p>
    <w:p w:rsidR="005457A9" w:rsidRDefault="005457A9" w:rsidP="00417CF7">
      <w:pPr>
        <w:tabs>
          <w:tab w:val="left" w:pos="720"/>
          <w:tab w:val="left" w:pos="1440"/>
          <w:tab w:val="left" w:pos="9240"/>
        </w:tabs>
        <w:spacing w:line="480" w:lineRule="auto"/>
        <w:ind w:left="720" w:hanging="720"/>
      </w:pPr>
      <w:r>
        <w:t>A.</w:t>
      </w:r>
      <w:r>
        <w:tab/>
        <w:t xml:space="preserve">Current DCF results continue to be impacted by the decline in stock prices that have occurred over the past year, although prices have recovered somewhat over the past several months.  The impact of these somewhat lower stock prices has the </w:t>
      </w:r>
      <w:r w:rsidR="002B5F94">
        <w:t>effect</w:t>
      </w:r>
      <w:r>
        <w:t xml:space="preserve"> of raising the dividend yield component.  In addition, the forecasts of growth rates for utilities, in particular earnings growth as emphasized by PSE witness Morin in his DCF analyses, focus on growth rates from a relatively low base period (</w:t>
      </w:r>
      <w:r w:rsidR="00DB2FA7">
        <w:t>i</w:t>
      </w:r>
      <w:r>
        <w:t>.e., the depth of the recession), which are not true long-run growth prospects which is a DCF assumption.</w:t>
      </w:r>
    </w:p>
    <w:p w:rsidR="005457A9" w:rsidRDefault="005457A9" w:rsidP="00417CF7">
      <w:pPr>
        <w:tabs>
          <w:tab w:val="left" w:pos="720"/>
          <w:tab w:val="left" w:pos="1440"/>
          <w:tab w:val="left" w:pos="9240"/>
        </w:tabs>
        <w:spacing w:line="480" w:lineRule="auto"/>
        <w:ind w:left="720" w:hanging="720"/>
      </w:pPr>
      <w:r>
        <w:tab/>
      </w:r>
      <w:r>
        <w:tab/>
        <w:t>In addition, as I note later in my testimony, the impact of recent financial conditions has the effect of lowering CAPM results.  Just as it would not be proper to focus on the lower CAPM results that are impacted by the recent financial market conditions, it is not proper to focus on the higher DCF results which are impacted in the opposite direction.</w:t>
      </w:r>
    </w:p>
    <w:p w:rsidR="00F254E8" w:rsidRDefault="00F254E8" w:rsidP="00417CF7">
      <w:pPr>
        <w:tabs>
          <w:tab w:val="left" w:pos="720"/>
          <w:tab w:val="left" w:pos="1440"/>
          <w:tab w:val="left" w:pos="9240"/>
        </w:tabs>
        <w:spacing w:line="480" w:lineRule="auto"/>
        <w:ind w:left="720" w:hanging="720"/>
      </w:pPr>
    </w:p>
    <w:p w:rsidR="00897EC7" w:rsidRDefault="00DB2FA7" w:rsidP="00D4179D">
      <w:pPr>
        <w:keepNext/>
        <w:keepLines/>
        <w:tabs>
          <w:tab w:val="left" w:pos="720"/>
          <w:tab w:val="left" w:pos="1440"/>
          <w:tab w:val="left" w:pos="9240"/>
        </w:tabs>
        <w:spacing w:line="480" w:lineRule="auto"/>
        <w:rPr>
          <w:b/>
          <w:u w:val="single"/>
        </w:rPr>
      </w:pPr>
      <w:r>
        <w:rPr>
          <w:b/>
        </w:rPr>
        <w:t>C</w:t>
      </w:r>
      <w:r w:rsidR="00897EC7">
        <w:rPr>
          <w:b/>
        </w:rPr>
        <w:t>.</w:t>
      </w:r>
      <w:r w:rsidR="00897EC7">
        <w:rPr>
          <w:b/>
        </w:rPr>
        <w:tab/>
      </w:r>
      <w:r w:rsidR="00897EC7" w:rsidRPr="00DE055E">
        <w:rPr>
          <w:b/>
        </w:rPr>
        <w:t>C</w:t>
      </w:r>
      <w:r>
        <w:rPr>
          <w:b/>
        </w:rPr>
        <w:t>apital Asset Pricing Model Analysis</w:t>
      </w:r>
    </w:p>
    <w:p w:rsidR="00897EC7" w:rsidRDefault="00897EC7" w:rsidP="00D4179D">
      <w:pPr>
        <w:keepNext/>
        <w:keepLines/>
        <w:tabs>
          <w:tab w:val="left" w:pos="720"/>
          <w:tab w:val="left" w:pos="1440"/>
          <w:tab w:val="left" w:pos="9240"/>
        </w:tabs>
        <w:spacing w:line="480" w:lineRule="auto"/>
        <w:ind w:left="720" w:hanging="720"/>
        <w:jc w:val="both"/>
      </w:pPr>
    </w:p>
    <w:p w:rsidR="00133EDD" w:rsidRDefault="00897EC7" w:rsidP="00D4179D">
      <w:pPr>
        <w:keepNext/>
        <w:keepLines/>
        <w:tabs>
          <w:tab w:val="left" w:pos="720"/>
          <w:tab w:val="left" w:pos="1440"/>
          <w:tab w:val="left" w:pos="9240"/>
        </w:tabs>
        <w:spacing w:line="480" w:lineRule="auto"/>
        <w:ind w:left="720" w:hanging="720"/>
      </w:pPr>
      <w:r>
        <w:rPr>
          <w:b/>
        </w:rPr>
        <w:t>Q.</w:t>
      </w:r>
      <w:r>
        <w:rPr>
          <w:b/>
        </w:rPr>
        <w:tab/>
        <w:t>P</w:t>
      </w:r>
      <w:r w:rsidR="00DE055E">
        <w:rPr>
          <w:b/>
        </w:rPr>
        <w:t>lease describe the theory and methodological basis of the capital asset pricing model</w:t>
      </w:r>
      <w:r>
        <w:rPr>
          <w:b/>
        </w:rPr>
        <w:t>.</w:t>
      </w:r>
      <w:r>
        <w:t xml:space="preserve">  </w:t>
      </w:r>
      <w:r w:rsidR="00133EDD">
        <w:t xml:space="preserve"> </w:t>
      </w:r>
    </w:p>
    <w:p w:rsidR="00897EC7" w:rsidRDefault="00897EC7" w:rsidP="00417CF7">
      <w:pPr>
        <w:tabs>
          <w:tab w:val="left" w:pos="720"/>
          <w:tab w:val="left" w:pos="1440"/>
          <w:tab w:val="left" w:pos="9240"/>
        </w:tabs>
        <w:spacing w:line="480" w:lineRule="auto"/>
        <w:ind w:left="720" w:hanging="720"/>
      </w:pPr>
      <w:r>
        <w:t>A.</w:t>
      </w:r>
      <w:r>
        <w:tab/>
        <w:t xml:space="preserve">The Capital Asset Pricing Model is a version of the risk premium method.  The CAPM describes and measures the relationship between a security’s investment risk </w:t>
      </w:r>
      <w:r>
        <w:lastRenderedPageBreak/>
        <w:t>and its market rate of return.  The CAPM was developed in the 1960s and 1970s as an extension of modern portfolio theory (</w:t>
      </w:r>
      <w:r w:rsidR="00275C54">
        <w:t>“</w:t>
      </w:r>
      <w:r>
        <w:t>MPT</w:t>
      </w:r>
      <w:r w:rsidR="00275C54">
        <w:t>”</w:t>
      </w:r>
      <w:r>
        <w:t>), which studies the relationships among risk, diversification, and expected returns.</w:t>
      </w:r>
    </w:p>
    <w:p w:rsidR="00A453C1" w:rsidRDefault="00A453C1" w:rsidP="00417CF7">
      <w:pPr>
        <w:tabs>
          <w:tab w:val="left" w:pos="720"/>
          <w:tab w:val="left" w:pos="1440"/>
          <w:tab w:val="left" w:pos="9240"/>
        </w:tabs>
        <w:spacing w:line="480" w:lineRule="auto"/>
        <w:ind w:left="720" w:hanging="720"/>
      </w:pPr>
    </w:p>
    <w:p w:rsidR="00897EC7" w:rsidRDefault="00A453C1" w:rsidP="00417CF7">
      <w:pPr>
        <w:keepNext/>
        <w:tabs>
          <w:tab w:val="left" w:pos="720"/>
          <w:tab w:val="left" w:pos="1440"/>
          <w:tab w:val="left" w:pos="9240"/>
        </w:tabs>
        <w:spacing w:line="480" w:lineRule="auto"/>
        <w:ind w:left="720" w:hanging="720"/>
        <w:rPr>
          <w:b/>
        </w:rPr>
      </w:pPr>
      <w:r>
        <w:rPr>
          <w:b/>
        </w:rPr>
        <w:t>Q</w:t>
      </w:r>
      <w:r w:rsidR="00897EC7">
        <w:rPr>
          <w:b/>
        </w:rPr>
        <w:t>.</w:t>
      </w:r>
      <w:r w:rsidR="00897EC7">
        <w:rPr>
          <w:b/>
        </w:rPr>
        <w:tab/>
        <w:t>H</w:t>
      </w:r>
      <w:r w:rsidR="00DE055E">
        <w:rPr>
          <w:b/>
        </w:rPr>
        <w:t>ow is the CAPM derived</w:t>
      </w:r>
      <w:r w:rsidR="00897EC7">
        <w:rPr>
          <w:b/>
        </w:rPr>
        <w:t>?</w:t>
      </w:r>
    </w:p>
    <w:p w:rsidR="00897EC7" w:rsidRDefault="00897EC7" w:rsidP="00417CF7">
      <w:pPr>
        <w:keepNext/>
        <w:tabs>
          <w:tab w:val="left" w:pos="720"/>
          <w:tab w:val="left" w:pos="1440"/>
          <w:tab w:val="left" w:pos="9240"/>
        </w:tabs>
        <w:spacing w:line="480" w:lineRule="auto"/>
        <w:ind w:left="720" w:hanging="720"/>
      </w:pPr>
      <w:r>
        <w:t>A.</w:t>
      </w:r>
      <w:r>
        <w:tab/>
        <w:t>The general form of the CAPM is:</w:t>
      </w:r>
    </w:p>
    <w:p w:rsidR="00897EC7" w:rsidRDefault="00897EC7" w:rsidP="00D52A4D">
      <w:pPr>
        <w:keepNext/>
        <w:tabs>
          <w:tab w:val="left" w:pos="720"/>
          <w:tab w:val="left" w:pos="1440"/>
          <w:tab w:val="left" w:pos="9240"/>
        </w:tabs>
        <w:spacing w:line="360" w:lineRule="auto"/>
        <w:ind w:left="720" w:hanging="720"/>
        <w:jc w:val="center"/>
      </w:pPr>
      <w:r w:rsidRPr="00897EC7">
        <w:rPr>
          <w:position w:val="-14"/>
        </w:rPr>
        <w:object w:dxaOrig="2000" w:dyaOrig="380">
          <v:shape id="_x0000_i1027" type="#_x0000_t75" style="width:99.45pt;height:18.85pt" o:ole="">
            <v:imagedata r:id="rId25" o:title=""/>
          </v:shape>
          <o:OLEObject Type="Embed" ProgID="Equation.3" ShapeID="_x0000_i1027" DrawAspect="Content" ObjectID="_1321965338" r:id="rId26"/>
        </w:object>
      </w:r>
      <w:r w:rsidR="00800D40">
        <w:t>)</w:t>
      </w:r>
    </w:p>
    <w:p w:rsidR="00897EC7" w:rsidRDefault="00897EC7" w:rsidP="00F60940">
      <w:pPr>
        <w:keepNext/>
        <w:tabs>
          <w:tab w:val="left" w:pos="720"/>
          <w:tab w:val="left" w:pos="1800"/>
          <w:tab w:val="left" w:pos="9240"/>
        </w:tabs>
        <w:spacing w:line="276" w:lineRule="auto"/>
        <w:ind w:left="720" w:hanging="720"/>
        <w:jc w:val="both"/>
      </w:pPr>
      <w:r>
        <w:tab/>
        <w:t>where:</w:t>
      </w:r>
      <w:r>
        <w:tab/>
        <w:t>K = cost of equity</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f</w:t>
      </w:r>
      <w:proofErr w:type="spellEnd"/>
      <w:r>
        <w:t xml:space="preserve"> = risk free rate</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m</w:t>
      </w:r>
      <w:proofErr w:type="spellEnd"/>
      <w:r>
        <w:rPr>
          <w:vertAlign w:val="subscript"/>
        </w:rPr>
        <w:t xml:space="preserve"> </w:t>
      </w:r>
      <w:r>
        <w:t>= return on market</w:t>
      </w:r>
    </w:p>
    <w:p w:rsidR="00897EC7" w:rsidRDefault="00897EC7" w:rsidP="00F60940">
      <w:pPr>
        <w:tabs>
          <w:tab w:val="left" w:pos="720"/>
          <w:tab w:val="left" w:pos="1800"/>
          <w:tab w:val="left" w:pos="9240"/>
        </w:tabs>
        <w:spacing w:line="276" w:lineRule="auto"/>
        <w:ind w:left="720" w:hanging="720"/>
        <w:jc w:val="both"/>
      </w:pPr>
      <w:r>
        <w:tab/>
      </w:r>
      <w:r>
        <w:tab/>
        <w:t>β = beta</w:t>
      </w:r>
    </w:p>
    <w:p w:rsidR="00897EC7" w:rsidRDefault="00897EC7" w:rsidP="00F60940">
      <w:pPr>
        <w:tabs>
          <w:tab w:val="left" w:pos="720"/>
          <w:tab w:val="left" w:pos="1800"/>
          <w:tab w:val="left" w:pos="9240"/>
        </w:tabs>
        <w:spacing w:line="276" w:lineRule="auto"/>
        <w:ind w:left="720" w:hanging="720"/>
        <w:jc w:val="both"/>
      </w:pPr>
      <w:r>
        <w:tab/>
      </w:r>
      <w:r>
        <w:tab/>
      </w:r>
      <w:proofErr w:type="spellStart"/>
      <w:r>
        <w:t>R</w:t>
      </w:r>
      <w:r>
        <w:rPr>
          <w:vertAlign w:val="subscript"/>
        </w:rPr>
        <w:t>m</w:t>
      </w:r>
      <w:r>
        <w:t>-R</w:t>
      </w:r>
      <w:r>
        <w:rPr>
          <w:vertAlign w:val="subscript"/>
        </w:rPr>
        <w:t>f</w:t>
      </w:r>
      <w:proofErr w:type="spellEnd"/>
      <w:r>
        <w:t xml:space="preserve"> = market risk premium</w:t>
      </w:r>
    </w:p>
    <w:p w:rsidR="00B6204D" w:rsidRDefault="00B6204D" w:rsidP="00F60940">
      <w:pPr>
        <w:tabs>
          <w:tab w:val="left" w:pos="720"/>
          <w:tab w:val="left" w:pos="1800"/>
          <w:tab w:val="left" w:pos="9240"/>
        </w:tabs>
        <w:spacing w:line="276" w:lineRule="auto"/>
        <w:ind w:left="720" w:hanging="720"/>
        <w:jc w:val="both"/>
      </w:pPr>
    </w:p>
    <w:p w:rsidR="00897EC7" w:rsidRDefault="00897EC7" w:rsidP="00417CF7">
      <w:pPr>
        <w:tabs>
          <w:tab w:val="left" w:pos="720"/>
          <w:tab w:val="left" w:pos="1800"/>
          <w:tab w:val="left" w:pos="9240"/>
        </w:tabs>
        <w:spacing w:line="480" w:lineRule="auto"/>
        <w:ind w:left="720" w:hanging="720"/>
      </w:pPr>
      <w:r>
        <w:tab/>
        <w:t>As noted previously, the CAPM is a variant of the risk premium method.  I believe the CAPM is generally superior to the simple risk premium method because the CAPM specifically recognizes the risk of a particular company or industry (</w:t>
      </w:r>
      <w:r w:rsidR="009864AC" w:rsidRPr="009864AC">
        <w:t>i.e.</w:t>
      </w:r>
      <w:r>
        <w:t xml:space="preserve">, beta), whereas the simple risk premium method assumes the same </w:t>
      </w:r>
      <w:r w:rsidR="00DB6361">
        <w:t>risk premium</w:t>
      </w:r>
      <w:r>
        <w:t xml:space="preserve"> for all companies exhibiting similar bond ratings.</w:t>
      </w:r>
    </w:p>
    <w:p w:rsidR="00264C53" w:rsidRDefault="00264C53" w:rsidP="00417CF7">
      <w:pPr>
        <w:tabs>
          <w:tab w:val="left" w:pos="720"/>
          <w:tab w:val="left" w:pos="1800"/>
          <w:tab w:val="left" w:pos="9240"/>
        </w:tabs>
        <w:spacing w:line="480" w:lineRule="auto"/>
        <w:ind w:left="720" w:hanging="720"/>
      </w:pPr>
    </w:p>
    <w:p w:rsidR="00897EC7" w:rsidRDefault="00897EC7" w:rsidP="00D4179D">
      <w:pPr>
        <w:keepNext/>
        <w:keepLines/>
        <w:tabs>
          <w:tab w:val="left" w:pos="720"/>
          <w:tab w:val="left" w:pos="1800"/>
          <w:tab w:val="left" w:pos="9240"/>
        </w:tabs>
        <w:spacing w:line="480" w:lineRule="auto"/>
        <w:ind w:left="720" w:hanging="720"/>
        <w:rPr>
          <w:b/>
        </w:rPr>
      </w:pPr>
      <w:r>
        <w:rPr>
          <w:b/>
        </w:rPr>
        <w:t>Q.</w:t>
      </w:r>
      <w:r>
        <w:rPr>
          <w:b/>
        </w:rPr>
        <w:tab/>
        <w:t>W</w:t>
      </w:r>
      <w:r w:rsidR="00DE055E">
        <w:rPr>
          <w:b/>
        </w:rPr>
        <w:t>hat groups of companies have you utilized to perform your CAPM analyses</w:t>
      </w:r>
      <w:r>
        <w:rPr>
          <w:b/>
        </w:rPr>
        <w:t>?</w:t>
      </w:r>
    </w:p>
    <w:p w:rsidR="00897EC7" w:rsidRDefault="00C7186F" w:rsidP="00D4179D">
      <w:pPr>
        <w:keepNext/>
        <w:keepLines/>
        <w:tabs>
          <w:tab w:val="left" w:pos="720"/>
          <w:tab w:val="left" w:pos="1440"/>
          <w:tab w:val="left" w:pos="9240"/>
        </w:tabs>
        <w:spacing w:line="480" w:lineRule="auto"/>
        <w:ind w:left="720" w:hanging="720"/>
      </w:pPr>
      <w:r>
        <w:t>A.</w:t>
      </w:r>
      <w:r>
        <w:tab/>
        <w:t>I have performed CAPM analyses for the same groups of proxy utilities evaluated in my DCF analyses.</w:t>
      </w:r>
    </w:p>
    <w:p w:rsidR="00F60940" w:rsidRDefault="00F60940" w:rsidP="00417CF7">
      <w:pPr>
        <w:tabs>
          <w:tab w:val="left" w:pos="720"/>
          <w:tab w:val="left" w:pos="1440"/>
          <w:tab w:val="left" w:pos="9240"/>
        </w:tabs>
        <w:spacing w:line="480" w:lineRule="auto"/>
        <w:ind w:left="720" w:hanging="720"/>
      </w:pPr>
    </w:p>
    <w:p w:rsidR="007D0800" w:rsidRDefault="00C7186F" w:rsidP="00417CF7">
      <w:pPr>
        <w:tabs>
          <w:tab w:val="left" w:pos="720"/>
          <w:tab w:val="left" w:pos="1800"/>
          <w:tab w:val="left" w:pos="9240"/>
        </w:tabs>
        <w:spacing w:line="480" w:lineRule="auto"/>
        <w:ind w:left="720" w:hanging="720"/>
        <w:rPr>
          <w:b/>
        </w:rPr>
        <w:sectPr w:rsidR="007D0800" w:rsidSect="00E83DA3">
          <w:footerReference w:type="default" r:id="rId27"/>
          <w:pgSz w:w="12240" w:h="15840" w:code="1"/>
          <w:pgMar w:top="1440" w:right="1440" w:bottom="720" w:left="1872" w:header="720" w:footer="720" w:gutter="0"/>
          <w:lnNumType w:countBy="1"/>
          <w:cols w:space="720"/>
          <w:docGrid w:linePitch="360"/>
        </w:sectPr>
      </w:pPr>
      <w:r>
        <w:rPr>
          <w:b/>
        </w:rPr>
        <w:t>Q.</w:t>
      </w:r>
      <w:r>
        <w:rPr>
          <w:b/>
        </w:rPr>
        <w:tab/>
      </w:r>
      <w:r w:rsidR="00275C54">
        <w:rPr>
          <w:b/>
        </w:rPr>
        <w:t>Please explain the risk-free rate as used in your CAPM and indicate what rate you employed.</w:t>
      </w:r>
      <w:r w:rsidR="007D0800">
        <w:rPr>
          <w:b/>
        </w:rPr>
        <w:t xml:space="preserve">  </w:t>
      </w:r>
    </w:p>
    <w:p w:rsidR="00C7186F" w:rsidRDefault="00C7186F" w:rsidP="00417CF7">
      <w:pPr>
        <w:tabs>
          <w:tab w:val="left" w:pos="720"/>
          <w:tab w:val="left" w:pos="1440"/>
          <w:tab w:val="left" w:pos="9240"/>
        </w:tabs>
        <w:spacing w:line="480" w:lineRule="auto"/>
        <w:ind w:left="720" w:hanging="720"/>
      </w:pPr>
      <w:r>
        <w:lastRenderedPageBreak/>
        <w:t>A.</w:t>
      </w:r>
      <w:r>
        <w:tab/>
        <w:t>The first term of the CAPM is the risk-free rate (</w:t>
      </w:r>
      <w:proofErr w:type="spellStart"/>
      <w:proofErr w:type="gramStart"/>
      <w:r>
        <w:t>R</w:t>
      </w:r>
      <w:r>
        <w:rPr>
          <w:vertAlign w:val="subscript"/>
        </w:rPr>
        <w:t>f</w:t>
      </w:r>
      <w:proofErr w:type="spellEnd"/>
      <w:proofErr w:type="gramEnd"/>
      <w:r>
        <w:t>).  The risk-free rate reflects the level of return that can be achieved without accepting any risk.</w:t>
      </w:r>
    </w:p>
    <w:p w:rsidR="00C7186F" w:rsidRDefault="00C7186F" w:rsidP="00417CF7">
      <w:pPr>
        <w:tabs>
          <w:tab w:val="left" w:pos="720"/>
          <w:tab w:val="left" w:pos="1440"/>
          <w:tab w:val="left" w:pos="9240"/>
        </w:tabs>
        <w:spacing w:line="480" w:lineRule="auto"/>
        <w:ind w:left="720" w:hanging="720"/>
      </w:pPr>
      <w:r>
        <w:tab/>
      </w:r>
      <w:r w:rsidR="00AC074F">
        <w:tab/>
      </w:r>
      <w:r>
        <w:t xml:space="preserve">In CAPM applications, the risk-free rate is generally recognized by use of U.S. Treasury securities.  Two general types of U.S. Treasury securities are often utilized as the </w:t>
      </w:r>
      <w:proofErr w:type="spellStart"/>
      <w:r>
        <w:t>R</w:t>
      </w:r>
      <w:r>
        <w:rPr>
          <w:vertAlign w:val="subscript"/>
        </w:rPr>
        <w:t>f</w:t>
      </w:r>
      <w:proofErr w:type="spellEnd"/>
      <w:r>
        <w:t xml:space="preserve"> component - short-term U.S. Treasury bills and long-term U.S. Treasury bonds.</w:t>
      </w:r>
    </w:p>
    <w:p w:rsidR="00C7186F" w:rsidRDefault="00C7186F" w:rsidP="00417CF7">
      <w:pPr>
        <w:tabs>
          <w:tab w:val="left" w:pos="720"/>
          <w:tab w:val="left" w:pos="1440"/>
          <w:tab w:val="left" w:pos="9240"/>
        </w:tabs>
        <w:spacing w:line="480" w:lineRule="auto"/>
        <w:ind w:left="720" w:hanging="720"/>
      </w:pPr>
      <w:r>
        <w:tab/>
      </w:r>
      <w:r w:rsidR="00AC074F">
        <w:tab/>
      </w:r>
      <w:r>
        <w:t>I have performed CAPM calculations using the three month average yield (</w:t>
      </w:r>
      <w:r w:rsidR="00C03689">
        <w:t>August-October</w:t>
      </w:r>
      <w:r w:rsidR="00B51709">
        <w:t>,</w:t>
      </w:r>
      <w:r w:rsidR="001368C1">
        <w:t xml:space="preserve"> </w:t>
      </w:r>
      <w:r w:rsidR="00124060">
        <w:t>200</w:t>
      </w:r>
      <w:r w:rsidR="00A453C1">
        <w:t>9</w:t>
      </w:r>
      <w:r w:rsidR="00124060">
        <w:t>)</w:t>
      </w:r>
      <w:r>
        <w:t xml:space="preserve"> for 20-year U.S. Treasury bonds.  Over this three month period, these bonds had an average yield of </w:t>
      </w:r>
      <w:r w:rsidR="00067784" w:rsidRPr="007D0800">
        <w:rPr>
          <w:strike/>
        </w:rPr>
        <w:t>4.</w:t>
      </w:r>
      <w:r w:rsidR="00B763DD" w:rsidRPr="007D0800">
        <w:rPr>
          <w:strike/>
        </w:rPr>
        <w:t>28</w:t>
      </w:r>
      <w:r>
        <w:t xml:space="preserve"> </w:t>
      </w:r>
      <w:r w:rsidR="007D0800">
        <w:rPr>
          <w:u w:val="single"/>
        </w:rPr>
        <w:t xml:space="preserve">4.21 </w:t>
      </w:r>
      <w:r>
        <w:t>percent.</w:t>
      </w:r>
    </w:p>
    <w:p w:rsidR="00C7186F" w:rsidRDefault="00C7186F" w:rsidP="00417CF7">
      <w:pPr>
        <w:tabs>
          <w:tab w:val="left" w:pos="720"/>
          <w:tab w:val="left" w:pos="1800"/>
          <w:tab w:val="left" w:pos="9240"/>
        </w:tabs>
        <w:spacing w:line="480" w:lineRule="auto"/>
        <w:ind w:left="720" w:hanging="720"/>
      </w:pPr>
    </w:p>
    <w:p w:rsidR="00C7186F" w:rsidRDefault="00C7186F" w:rsidP="00417CF7">
      <w:pPr>
        <w:keepNext/>
        <w:tabs>
          <w:tab w:val="left" w:pos="720"/>
          <w:tab w:val="left" w:pos="1800"/>
          <w:tab w:val="left" w:pos="9240"/>
        </w:tabs>
        <w:spacing w:line="480" w:lineRule="auto"/>
        <w:ind w:left="720" w:hanging="720"/>
        <w:rPr>
          <w:b/>
        </w:rPr>
      </w:pPr>
      <w:r>
        <w:rPr>
          <w:b/>
        </w:rPr>
        <w:t>Q.</w:t>
      </w:r>
      <w:r>
        <w:rPr>
          <w:b/>
        </w:rPr>
        <w:tab/>
        <w:t>W</w:t>
      </w:r>
      <w:r w:rsidR="00DE055E">
        <w:rPr>
          <w:b/>
        </w:rPr>
        <w:t>hat is beta and what betas did you employ in your</w:t>
      </w:r>
      <w:r>
        <w:rPr>
          <w:b/>
        </w:rPr>
        <w:t xml:space="preserve"> CAPM?</w:t>
      </w:r>
    </w:p>
    <w:p w:rsidR="00C7186F" w:rsidRDefault="00C7186F" w:rsidP="00417CF7">
      <w:pPr>
        <w:tabs>
          <w:tab w:val="left" w:pos="720"/>
          <w:tab w:val="left" w:pos="1440"/>
          <w:tab w:val="left" w:pos="9240"/>
        </w:tabs>
        <w:spacing w:line="480" w:lineRule="auto"/>
        <w:ind w:left="720" w:hanging="720"/>
      </w:pPr>
      <w:r>
        <w:t>A.</w:t>
      </w:r>
      <w:r>
        <w:tab/>
        <w:t>Beta is a measure of the relative volatility (and thus risk) of a particular stock in relation to the overall market.  Betas of less than 1</w:t>
      </w:r>
      <w:r w:rsidR="00CC6A99">
        <w:t>.0</w:t>
      </w:r>
      <w:r>
        <w:t xml:space="preserve"> are considered less risky than the market, whereas betas greater than 1</w:t>
      </w:r>
      <w:r w:rsidR="00CC6A99">
        <w:t>.0</w:t>
      </w:r>
      <w:r>
        <w:t xml:space="preserve"> are more risky.  Utility stocks traditionally have had betas below 1</w:t>
      </w:r>
      <w:r w:rsidR="00CC6A99">
        <w:t>.0</w:t>
      </w:r>
      <w:r>
        <w:t>.  I utilized the most recent Value Line betas for each company in the groups of proxy utilities.</w:t>
      </w:r>
    </w:p>
    <w:p w:rsidR="00264C53" w:rsidRDefault="00264C53" w:rsidP="00417CF7">
      <w:pPr>
        <w:tabs>
          <w:tab w:val="left" w:pos="720"/>
          <w:tab w:val="left" w:pos="1440"/>
          <w:tab w:val="left" w:pos="9240"/>
        </w:tabs>
        <w:spacing w:line="480" w:lineRule="auto"/>
        <w:ind w:left="720" w:hanging="720"/>
      </w:pPr>
    </w:p>
    <w:p w:rsidR="00C7186F" w:rsidRDefault="00C7186F" w:rsidP="00417CF7">
      <w:pPr>
        <w:tabs>
          <w:tab w:val="left" w:pos="720"/>
          <w:tab w:val="left" w:pos="1800"/>
          <w:tab w:val="left" w:pos="9240"/>
        </w:tabs>
        <w:spacing w:line="480" w:lineRule="auto"/>
        <w:ind w:left="720" w:hanging="720"/>
        <w:rPr>
          <w:b/>
        </w:rPr>
      </w:pPr>
      <w:r>
        <w:rPr>
          <w:b/>
        </w:rPr>
        <w:t>Q.</w:t>
      </w:r>
      <w:r>
        <w:rPr>
          <w:b/>
        </w:rPr>
        <w:tab/>
        <w:t>H</w:t>
      </w:r>
      <w:r w:rsidR="00DE055E">
        <w:rPr>
          <w:b/>
        </w:rPr>
        <w:t>ow did you estimate the market risk premium component</w:t>
      </w:r>
      <w:r w:rsidR="00275C54">
        <w:rPr>
          <w:b/>
        </w:rPr>
        <w:t xml:space="preserve"> in your CAPM analysis</w:t>
      </w:r>
      <w:r>
        <w:rPr>
          <w:b/>
        </w:rPr>
        <w:t>?</w:t>
      </w:r>
    </w:p>
    <w:p w:rsidR="007D0800" w:rsidRDefault="00C7186F" w:rsidP="00417CF7">
      <w:pPr>
        <w:tabs>
          <w:tab w:val="left" w:pos="720"/>
          <w:tab w:val="left" w:pos="1440"/>
          <w:tab w:val="left" w:pos="9240"/>
        </w:tabs>
        <w:spacing w:line="480" w:lineRule="auto"/>
        <w:ind w:left="720" w:hanging="720"/>
        <w:sectPr w:rsidR="007D0800" w:rsidSect="00E83DA3">
          <w:footerReference w:type="default" r:id="rId28"/>
          <w:pgSz w:w="12240" w:h="15840" w:code="1"/>
          <w:pgMar w:top="1440" w:right="1440" w:bottom="720" w:left="1872" w:header="720" w:footer="720" w:gutter="0"/>
          <w:lnNumType w:countBy="1"/>
          <w:cols w:space="720"/>
          <w:docGrid w:linePitch="360"/>
        </w:sectPr>
      </w:pPr>
      <w:r>
        <w:t>A.</w:t>
      </w:r>
      <w:r>
        <w:tab/>
        <w:t>The market risk premium component (</w:t>
      </w:r>
      <w:proofErr w:type="spellStart"/>
      <w:r>
        <w:t>R</w:t>
      </w:r>
      <w:r>
        <w:rPr>
          <w:vertAlign w:val="subscript"/>
        </w:rPr>
        <w:t>m</w:t>
      </w:r>
      <w:r>
        <w:t>-R</w:t>
      </w:r>
      <w:r>
        <w:rPr>
          <w:vertAlign w:val="subscript"/>
        </w:rPr>
        <w:t>f</w:t>
      </w:r>
      <w:proofErr w:type="spellEnd"/>
      <w:r>
        <w:t xml:space="preserve">) represents the investor-expected premium of common stocks over the risk-free rate, or government bonds.  For the purpose of estimating the market risk premium, I considered alternative measures of </w:t>
      </w:r>
    </w:p>
    <w:p w:rsidR="00C7186F" w:rsidRDefault="00C7186F" w:rsidP="007D0800">
      <w:pPr>
        <w:tabs>
          <w:tab w:val="left" w:pos="720"/>
          <w:tab w:val="left" w:pos="1440"/>
          <w:tab w:val="left" w:pos="9240"/>
        </w:tabs>
        <w:spacing w:line="480" w:lineRule="auto"/>
        <w:ind w:left="720"/>
      </w:pPr>
      <w:proofErr w:type="gramStart"/>
      <w:r>
        <w:lastRenderedPageBreak/>
        <w:t>returns</w:t>
      </w:r>
      <w:proofErr w:type="gramEnd"/>
      <w:r>
        <w:t xml:space="preserve"> of the </w:t>
      </w:r>
      <w:proofErr w:type="spellStart"/>
      <w:r>
        <w:t>S&amp;P</w:t>
      </w:r>
      <w:proofErr w:type="spellEnd"/>
      <w:r>
        <w:t xml:space="preserve"> 500 (a broad-based group of large U.S. companies) and 20-year U.S. Treasury bonds.</w:t>
      </w:r>
      <w:r w:rsidR="00911C1E">
        <w:t xml:space="preserve">  </w:t>
      </w:r>
    </w:p>
    <w:p w:rsidR="00C7186F" w:rsidRDefault="00AC074F" w:rsidP="00417CF7">
      <w:pPr>
        <w:tabs>
          <w:tab w:val="left" w:pos="720"/>
          <w:tab w:val="left" w:pos="1440"/>
          <w:tab w:val="left" w:pos="9240"/>
        </w:tabs>
        <w:spacing w:line="480" w:lineRule="auto"/>
        <w:ind w:left="720"/>
      </w:pPr>
      <w:r>
        <w:tab/>
      </w:r>
      <w:r w:rsidR="00C7186F">
        <w:t xml:space="preserve">First, I have compared the actual annual returns on equity of the S&amp;P 500 with the actual annual yields of U.S. Treasury bonds.  </w:t>
      </w:r>
      <w:r w:rsidR="00993D58">
        <w:t xml:space="preserve">Exhibit No. </w:t>
      </w:r>
      <w:r w:rsidR="00F32CAF">
        <w:t>DCP-</w:t>
      </w:r>
      <w:r w:rsidR="005E407C">
        <w:t>1</w:t>
      </w:r>
      <w:r w:rsidR="00B763DD">
        <w:t>2</w:t>
      </w:r>
      <w:r w:rsidR="00F32CAF">
        <w:t xml:space="preserve"> </w:t>
      </w:r>
      <w:r w:rsidR="00C7186F">
        <w:t>shows the return on equity for the S&amp;P 500 group for the period 1978-200</w:t>
      </w:r>
      <w:r w:rsidR="00353726">
        <w:t>7</w:t>
      </w:r>
      <w:r w:rsidR="00C7186F">
        <w:t xml:space="preserve"> (all available years reported by S&amp;P).  This </w:t>
      </w:r>
      <w:r w:rsidR="005E407C">
        <w:t>exhibit</w:t>
      </w:r>
      <w:r w:rsidR="00C7186F">
        <w:t xml:space="preserve"> also ind</w:t>
      </w:r>
      <w:r w:rsidR="000F4D60">
        <w:t>icates the annual yields on 20-y</w:t>
      </w:r>
      <w:r w:rsidR="00C7186F">
        <w:t>ear U.S. Treasury bonds, as well as the annual differentials (</w:t>
      </w:r>
      <w:r w:rsidR="009864AC" w:rsidRPr="009864AC">
        <w:t>i.e.</w:t>
      </w:r>
      <w:r w:rsidR="00C7186F">
        <w:t>, risk premiums) between the S&amp;P 500 and U.S. Treasury 20-</w:t>
      </w:r>
      <w:r w:rsidR="000F4D60">
        <w:t>y</w:t>
      </w:r>
      <w:r w:rsidR="00C7186F">
        <w:t>ear bonds.  Based upon these returns, I conclude that this version of the risk premium is about 6.</w:t>
      </w:r>
      <w:r w:rsidR="00067784">
        <w:t>4</w:t>
      </w:r>
      <w:r w:rsidR="00A453C1">
        <w:t>5</w:t>
      </w:r>
      <w:r w:rsidR="00C7186F">
        <w:t xml:space="preserve"> percent.</w:t>
      </w:r>
    </w:p>
    <w:p w:rsidR="00C7186F" w:rsidRDefault="00AC074F" w:rsidP="00417CF7">
      <w:pPr>
        <w:tabs>
          <w:tab w:val="left" w:pos="720"/>
          <w:tab w:val="left" w:pos="1440"/>
          <w:tab w:val="left" w:pos="9240"/>
        </w:tabs>
        <w:spacing w:line="480" w:lineRule="auto"/>
        <w:ind w:left="720"/>
      </w:pPr>
      <w:r>
        <w:tab/>
      </w:r>
      <w:r w:rsidR="00C7186F">
        <w:t>I have also considered the total returns (</w:t>
      </w:r>
      <w:r w:rsidR="009864AC" w:rsidRPr="009864AC">
        <w:t>i.e.</w:t>
      </w:r>
      <w:r w:rsidR="00C7186F">
        <w:t xml:space="preserve">, dividends/interest plus capital gains/losses) for the S&amp;P 500 group as well as for the long-term government bonds, as tabulated by </w:t>
      </w:r>
      <w:r w:rsidR="001C5671">
        <w:t xml:space="preserve">Morningstar (formerly </w:t>
      </w:r>
      <w:r w:rsidR="00C7186F">
        <w:t>Ibbotson Associates</w:t>
      </w:r>
      <w:r w:rsidR="001C5671">
        <w:t>)</w:t>
      </w:r>
      <w:r w:rsidR="00C7186F">
        <w:t>, using both arithmetic and geometric means.  I have considered the total returns for the entire 1926-200</w:t>
      </w:r>
      <w:r w:rsidR="00A453C1">
        <w:t>8</w:t>
      </w:r>
      <w:r w:rsidR="00C7186F">
        <w:t xml:space="preserve"> period, which are as follows:</w:t>
      </w:r>
    </w:p>
    <w:tbl>
      <w:tblPr>
        <w:tblpPr w:leftFromText="180" w:rightFromText="180" w:vertAnchor="text" w:horzAnchor="margin" w:tblpXSpec="center" w:tblpY="146"/>
        <w:tblW w:w="0" w:type="auto"/>
        <w:tblLook w:val="01E0"/>
      </w:tblPr>
      <w:tblGrid>
        <w:gridCol w:w="1668"/>
        <w:gridCol w:w="222"/>
        <w:gridCol w:w="1090"/>
        <w:gridCol w:w="222"/>
        <w:gridCol w:w="1883"/>
        <w:gridCol w:w="222"/>
        <w:gridCol w:w="1597"/>
      </w:tblGrid>
      <w:tr w:rsidR="00C7186F">
        <w:tc>
          <w:tcPr>
            <w:tcW w:w="1668" w:type="dxa"/>
          </w:tcPr>
          <w:p w:rsidR="00C7186F" w:rsidRDefault="00C7186F" w:rsidP="009E2531">
            <w:pPr>
              <w:tabs>
                <w:tab w:val="left" w:pos="720"/>
                <w:tab w:val="left" w:pos="1440"/>
                <w:tab w:val="left" w:pos="9240"/>
              </w:tabs>
              <w:jc w:val="both"/>
            </w:pPr>
          </w:p>
        </w:tc>
        <w:tc>
          <w:tcPr>
            <w:tcW w:w="0" w:type="auto"/>
          </w:tcPr>
          <w:p w:rsidR="00C7186F" w:rsidRDefault="00C7186F" w:rsidP="009E2531">
            <w:pPr>
              <w:tabs>
                <w:tab w:val="left" w:pos="720"/>
                <w:tab w:val="left" w:pos="1440"/>
                <w:tab w:val="left" w:pos="9240"/>
              </w:tabs>
              <w:jc w:val="both"/>
            </w:pPr>
          </w:p>
        </w:tc>
        <w:tc>
          <w:tcPr>
            <w:tcW w:w="0" w:type="auto"/>
            <w:tcBorders>
              <w:bottom w:val="single" w:sz="4" w:space="0" w:color="auto"/>
            </w:tcBorders>
          </w:tcPr>
          <w:p w:rsidR="00C7186F" w:rsidRDefault="00C7186F" w:rsidP="00D52A4D">
            <w:pPr>
              <w:tabs>
                <w:tab w:val="left" w:pos="720"/>
                <w:tab w:val="left" w:pos="1440"/>
                <w:tab w:val="left" w:pos="9240"/>
              </w:tabs>
              <w:jc w:val="center"/>
            </w:pPr>
            <w:r>
              <w:t>S&amp;P 500</w:t>
            </w:r>
          </w:p>
        </w:tc>
        <w:tc>
          <w:tcPr>
            <w:tcW w:w="0" w:type="auto"/>
          </w:tcPr>
          <w:p w:rsidR="00C7186F" w:rsidRDefault="00C7186F" w:rsidP="00D52A4D">
            <w:pPr>
              <w:tabs>
                <w:tab w:val="left" w:pos="720"/>
                <w:tab w:val="left" w:pos="1440"/>
                <w:tab w:val="left" w:pos="9240"/>
              </w:tabs>
              <w:jc w:val="center"/>
            </w:pPr>
          </w:p>
        </w:tc>
        <w:tc>
          <w:tcPr>
            <w:tcW w:w="0" w:type="auto"/>
            <w:tcBorders>
              <w:bottom w:val="single" w:sz="4" w:space="0" w:color="auto"/>
            </w:tcBorders>
          </w:tcPr>
          <w:p w:rsidR="00C7186F" w:rsidRDefault="00C7186F" w:rsidP="00D52A4D">
            <w:pPr>
              <w:tabs>
                <w:tab w:val="left" w:pos="720"/>
                <w:tab w:val="left" w:pos="1440"/>
                <w:tab w:val="left" w:pos="9240"/>
              </w:tabs>
              <w:jc w:val="center"/>
            </w:pPr>
            <w:r>
              <w:t>L-T Gov’t Bonds</w:t>
            </w:r>
          </w:p>
        </w:tc>
        <w:tc>
          <w:tcPr>
            <w:tcW w:w="0" w:type="auto"/>
          </w:tcPr>
          <w:p w:rsidR="00C7186F" w:rsidRDefault="00C7186F" w:rsidP="00D52A4D">
            <w:pPr>
              <w:tabs>
                <w:tab w:val="left" w:pos="720"/>
                <w:tab w:val="left" w:pos="1440"/>
                <w:tab w:val="left" w:pos="9240"/>
              </w:tabs>
              <w:jc w:val="center"/>
            </w:pPr>
          </w:p>
        </w:tc>
        <w:tc>
          <w:tcPr>
            <w:tcW w:w="0" w:type="auto"/>
            <w:tcBorders>
              <w:bottom w:val="single" w:sz="4" w:space="0" w:color="auto"/>
            </w:tcBorders>
          </w:tcPr>
          <w:p w:rsidR="00C7186F" w:rsidRDefault="00C7186F" w:rsidP="00D52A4D">
            <w:pPr>
              <w:tabs>
                <w:tab w:val="left" w:pos="720"/>
                <w:tab w:val="left" w:pos="1440"/>
                <w:tab w:val="left" w:pos="9240"/>
              </w:tabs>
              <w:jc w:val="center"/>
            </w:pPr>
            <w:r>
              <w:t>Risk Premium</w:t>
            </w:r>
          </w:p>
        </w:tc>
      </w:tr>
      <w:tr w:rsidR="00C7186F">
        <w:tc>
          <w:tcPr>
            <w:tcW w:w="1668" w:type="dxa"/>
          </w:tcPr>
          <w:p w:rsidR="00C7186F" w:rsidRDefault="00C7186F" w:rsidP="009E2531">
            <w:pPr>
              <w:tabs>
                <w:tab w:val="left" w:pos="720"/>
                <w:tab w:val="left" w:pos="1440"/>
                <w:tab w:val="left" w:pos="9240"/>
              </w:tabs>
              <w:jc w:val="both"/>
            </w:pPr>
            <w:r>
              <w:t>Arithmetic</w:t>
            </w:r>
          </w:p>
        </w:tc>
        <w:tc>
          <w:tcPr>
            <w:tcW w:w="0" w:type="auto"/>
          </w:tcPr>
          <w:p w:rsidR="00C7186F" w:rsidRDefault="00C7186F" w:rsidP="009E2531">
            <w:pPr>
              <w:tabs>
                <w:tab w:val="left" w:pos="720"/>
                <w:tab w:val="left" w:pos="1440"/>
                <w:tab w:val="left" w:pos="9240"/>
              </w:tabs>
              <w:jc w:val="both"/>
            </w:pPr>
          </w:p>
        </w:tc>
        <w:tc>
          <w:tcPr>
            <w:tcW w:w="0" w:type="auto"/>
            <w:tcBorders>
              <w:top w:val="single" w:sz="4" w:space="0" w:color="auto"/>
            </w:tcBorders>
          </w:tcPr>
          <w:p w:rsidR="00C7186F" w:rsidRDefault="00C7186F" w:rsidP="00A453C1">
            <w:pPr>
              <w:tabs>
                <w:tab w:val="left" w:pos="720"/>
                <w:tab w:val="left" w:pos="1440"/>
                <w:tab w:val="left" w:pos="9240"/>
              </w:tabs>
              <w:jc w:val="center"/>
            </w:pPr>
            <w:r>
              <w:t>1</w:t>
            </w:r>
            <w:r w:rsidR="00A453C1">
              <w:t>1.7</w:t>
            </w:r>
            <w:r>
              <w:t>%</w:t>
            </w:r>
          </w:p>
        </w:tc>
        <w:tc>
          <w:tcPr>
            <w:tcW w:w="0" w:type="auto"/>
          </w:tcPr>
          <w:p w:rsidR="00C7186F" w:rsidRDefault="00C7186F" w:rsidP="00D52A4D">
            <w:pPr>
              <w:tabs>
                <w:tab w:val="left" w:pos="720"/>
                <w:tab w:val="left" w:pos="1440"/>
                <w:tab w:val="left" w:pos="9240"/>
              </w:tabs>
              <w:jc w:val="center"/>
            </w:pPr>
          </w:p>
        </w:tc>
        <w:tc>
          <w:tcPr>
            <w:tcW w:w="0" w:type="auto"/>
            <w:tcBorders>
              <w:top w:val="single" w:sz="4" w:space="0" w:color="auto"/>
            </w:tcBorders>
          </w:tcPr>
          <w:p w:rsidR="00C7186F" w:rsidRDefault="00A453C1" w:rsidP="00D52A4D">
            <w:pPr>
              <w:tabs>
                <w:tab w:val="left" w:pos="720"/>
                <w:tab w:val="left" w:pos="1440"/>
                <w:tab w:val="left" w:pos="9240"/>
              </w:tabs>
              <w:jc w:val="center"/>
            </w:pPr>
            <w:r>
              <w:t>6.1</w:t>
            </w:r>
            <w:r w:rsidR="00C7186F">
              <w:t>%</w:t>
            </w:r>
          </w:p>
        </w:tc>
        <w:tc>
          <w:tcPr>
            <w:tcW w:w="0" w:type="auto"/>
          </w:tcPr>
          <w:p w:rsidR="00C7186F" w:rsidRDefault="00C7186F" w:rsidP="00D52A4D">
            <w:pPr>
              <w:tabs>
                <w:tab w:val="left" w:pos="720"/>
                <w:tab w:val="left" w:pos="1440"/>
                <w:tab w:val="left" w:pos="9240"/>
              </w:tabs>
              <w:jc w:val="center"/>
            </w:pPr>
          </w:p>
        </w:tc>
        <w:tc>
          <w:tcPr>
            <w:tcW w:w="0" w:type="auto"/>
            <w:tcBorders>
              <w:top w:val="single" w:sz="4" w:space="0" w:color="auto"/>
            </w:tcBorders>
          </w:tcPr>
          <w:p w:rsidR="00C7186F" w:rsidRDefault="00A453C1" w:rsidP="00D52A4D">
            <w:pPr>
              <w:tabs>
                <w:tab w:val="left" w:pos="720"/>
                <w:tab w:val="left" w:pos="1440"/>
                <w:tab w:val="left" w:pos="9240"/>
              </w:tabs>
              <w:jc w:val="center"/>
            </w:pPr>
            <w:r>
              <w:t>5.6</w:t>
            </w:r>
            <w:r w:rsidR="00C7186F">
              <w:t>%</w:t>
            </w:r>
          </w:p>
        </w:tc>
      </w:tr>
      <w:tr w:rsidR="00C7186F">
        <w:tc>
          <w:tcPr>
            <w:tcW w:w="1668" w:type="dxa"/>
          </w:tcPr>
          <w:p w:rsidR="00C7186F" w:rsidRDefault="00C7186F" w:rsidP="009E2531">
            <w:pPr>
              <w:tabs>
                <w:tab w:val="left" w:pos="720"/>
                <w:tab w:val="left" w:pos="1440"/>
                <w:tab w:val="left" w:pos="9240"/>
              </w:tabs>
              <w:jc w:val="both"/>
            </w:pPr>
            <w:r>
              <w:t>Geometric</w:t>
            </w:r>
          </w:p>
        </w:tc>
        <w:tc>
          <w:tcPr>
            <w:tcW w:w="0" w:type="auto"/>
          </w:tcPr>
          <w:p w:rsidR="00C7186F" w:rsidRDefault="00C7186F" w:rsidP="009E2531">
            <w:pPr>
              <w:tabs>
                <w:tab w:val="left" w:pos="720"/>
                <w:tab w:val="left" w:pos="1440"/>
                <w:tab w:val="left" w:pos="9240"/>
              </w:tabs>
              <w:jc w:val="both"/>
            </w:pPr>
          </w:p>
        </w:tc>
        <w:tc>
          <w:tcPr>
            <w:tcW w:w="0" w:type="auto"/>
          </w:tcPr>
          <w:p w:rsidR="00C7186F" w:rsidRDefault="00A453C1" w:rsidP="00D52A4D">
            <w:pPr>
              <w:tabs>
                <w:tab w:val="left" w:pos="720"/>
                <w:tab w:val="left" w:pos="1440"/>
                <w:tab w:val="left" w:pos="9240"/>
              </w:tabs>
              <w:jc w:val="center"/>
            </w:pPr>
            <w:r>
              <w:t>9.6</w:t>
            </w:r>
            <w:r w:rsidR="00C7186F">
              <w:t>%</w:t>
            </w:r>
          </w:p>
        </w:tc>
        <w:tc>
          <w:tcPr>
            <w:tcW w:w="0" w:type="auto"/>
          </w:tcPr>
          <w:p w:rsidR="00C7186F" w:rsidRDefault="00C7186F" w:rsidP="00D52A4D">
            <w:pPr>
              <w:tabs>
                <w:tab w:val="left" w:pos="720"/>
                <w:tab w:val="left" w:pos="1440"/>
                <w:tab w:val="left" w:pos="9240"/>
              </w:tabs>
              <w:jc w:val="center"/>
            </w:pPr>
          </w:p>
        </w:tc>
        <w:tc>
          <w:tcPr>
            <w:tcW w:w="0" w:type="auto"/>
          </w:tcPr>
          <w:p w:rsidR="00C7186F" w:rsidRDefault="00A453C1" w:rsidP="00D52A4D">
            <w:pPr>
              <w:tabs>
                <w:tab w:val="left" w:pos="720"/>
                <w:tab w:val="left" w:pos="1440"/>
                <w:tab w:val="left" w:pos="9240"/>
              </w:tabs>
              <w:jc w:val="center"/>
            </w:pPr>
            <w:r>
              <w:t>5.7</w:t>
            </w:r>
            <w:r w:rsidR="00C7186F">
              <w:t>%</w:t>
            </w:r>
          </w:p>
        </w:tc>
        <w:tc>
          <w:tcPr>
            <w:tcW w:w="0" w:type="auto"/>
          </w:tcPr>
          <w:p w:rsidR="00C7186F" w:rsidRDefault="00C7186F" w:rsidP="00D52A4D">
            <w:pPr>
              <w:tabs>
                <w:tab w:val="left" w:pos="720"/>
                <w:tab w:val="left" w:pos="1440"/>
                <w:tab w:val="left" w:pos="9240"/>
              </w:tabs>
              <w:jc w:val="center"/>
            </w:pPr>
          </w:p>
        </w:tc>
        <w:tc>
          <w:tcPr>
            <w:tcW w:w="0" w:type="auto"/>
          </w:tcPr>
          <w:p w:rsidR="00C7186F" w:rsidRDefault="00A453C1" w:rsidP="00D52A4D">
            <w:pPr>
              <w:tabs>
                <w:tab w:val="left" w:pos="720"/>
                <w:tab w:val="left" w:pos="1440"/>
                <w:tab w:val="left" w:pos="9240"/>
              </w:tabs>
              <w:jc w:val="center"/>
            </w:pPr>
            <w:r>
              <w:t>3</w:t>
            </w:r>
            <w:r w:rsidR="00C7186F">
              <w:t>.9%</w:t>
            </w:r>
          </w:p>
        </w:tc>
      </w:tr>
    </w:tbl>
    <w:p w:rsidR="00C7186F" w:rsidRDefault="00C7186F" w:rsidP="009E2531">
      <w:pPr>
        <w:tabs>
          <w:tab w:val="left" w:pos="720"/>
          <w:tab w:val="left" w:pos="1440"/>
          <w:tab w:val="left" w:pos="9240"/>
        </w:tabs>
        <w:spacing w:line="360" w:lineRule="auto"/>
        <w:ind w:left="720"/>
        <w:jc w:val="both"/>
      </w:pPr>
    </w:p>
    <w:p w:rsidR="00C7186F" w:rsidRDefault="00C7186F" w:rsidP="009E2531">
      <w:pPr>
        <w:tabs>
          <w:tab w:val="left" w:pos="720"/>
          <w:tab w:val="left" w:pos="1440"/>
          <w:tab w:val="left" w:pos="9240"/>
        </w:tabs>
        <w:spacing w:line="360" w:lineRule="auto"/>
        <w:ind w:left="720"/>
        <w:jc w:val="both"/>
      </w:pPr>
    </w:p>
    <w:p w:rsidR="00C7186F" w:rsidRDefault="00C7186F" w:rsidP="009E2531">
      <w:pPr>
        <w:tabs>
          <w:tab w:val="left" w:pos="720"/>
          <w:tab w:val="left" w:pos="1440"/>
          <w:tab w:val="left" w:pos="9240"/>
        </w:tabs>
        <w:spacing w:line="360" w:lineRule="auto"/>
        <w:ind w:left="720"/>
        <w:jc w:val="both"/>
      </w:pPr>
    </w:p>
    <w:p w:rsidR="00C7186F" w:rsidRDefault="00C7186F" w:rsidP="00417CF7">
      <w:pPr>
        <w:tabs>
          <w:tab w:val="left" w:pos="720"/>
          <w:tab w:val="left" w:pos="1440"/>
          <w:tab w:val="left" w:pos="9240"/>
        </w:tabs>
        <w:spacing w:line="480" w:lineRule="auto"/>
        <w:ind w:left="720"/>
      </w:pPr>
      <w:r>
        <w:t>I conclude from this that the ex</w:t>
      </w:r>
      <w:r w:rsidR="00A453C1">
        <w:t>pected risk premium is about 5.32</w:t>
      </w:r>
      <w:r>
        <w:t xml:space="preserve"> percent (</w:t>
      </w:r>
      <w:r w:rsidR="009864AC" w:rsidRPr="009864AC">
        <w:t>i.e.</w:t>
      </w:r>
      <w:r>
        <w:t>, average of all three risk premiums).  I believe that a combination of arithmetic and geometric means is appropriate since investors have access to both types of means and, presumably, both types are reflected in investment decisions and thus stock prices and cost of capital.</w:t>
      </w:r>
    </w:p>
    <w:p w:rsidR="007D0800" w:rsidRDefault="00AC074F" w:rsidP="00417CF7">
      <w:pPr>
        <w:tabs>
          <w:tab w:val="left" w:pos="720"/>
          <w:tab w:val="left" w:pos="1440"/>
          <w:tab w:val="left" w:pos="9240"/>
        </w:tabs>
        <w:spacing w:line="480" w:lineRule="auto"/>
        <w:ind w:left="720"/>
        <w:sectPr w:rsidR="007D0800" w:rsidSect="00E83DA3">
          <w:footerReference w:type="default" r:id="rId29"/>
          <w:pgSz w:w="12240" w:h="15840" w:code="1"/>
          <w:pgMar w:top="1440" w:right="1440" w:bottom="720" w:left="1872" w:header="720" w:footer="720" w:gutter="0"/>
          <w:lnNumType w:countBy="1"/>
          <w:cols w:space="720"/>
          <w:docGrid w:linePitch="360"/>
        </w:sectPr>
      </w:pPr>
      <w:r>
        <w:tab/>
      </w:r>
      <w:r w:rsidR="00591FE4">
        <w:t xml:space="preserve">Exhibit No. </w:t>
      </w:r>
      <w:r w:rsidR="00F32CAF">
        <w:t>DCP-</w:t>
      </w:r>
      <w:r w:rsidR="005E407C">
        <w:t>1</w:t>
      </w:r>
      <w:r w:rsidR="00B763DD">
        <w:t>3</w:t>
      </w:r>
      <w:r w:rsidR="00F32CAF">
        <w:t xml:space="preserve"> </w:t>
      </w:r>
      <w:r w:rsidR="00C7186F">
        <w:t>shows my CAPM calculations using the risk premium.  The results are:</w:t>
      </w:r>
      <w:r w:rsidR="007D0800">
        <w:t xml:space="preserve">  </w:t>
      </w:r>
    </w:p>
    <w:p w:rsidR="00C7186F" w:rsidRDefault="00C7186F" w:rsidP="007D0800">
      <w:pPr>
        <w:tabs>
          <w:tab w:val="left" w:pos="720"/>
          <w:tab w:val="left" w:pos="1440"/>
          <w:tab w:val="left" w:pos="9240"/>
        </w:tabs>
        <w:ind w:left="720"/>
      </w:pPr>
    </w:p>
    <w:tbl>
      <w:tblPr>
        <w:tblpPr w:leftFromText="180" w:rightFromText="180" w:vertAnchor="text" w:horzAnchor="margin" w:tblpXSpec="center" w:tblpY="146"/>
        <w:tblW w:w="0" w:type="auto"/>
        <w:tblLook w:val="01E0"/>
      </w:tblPr>
      <w:tblGrid>
        <w:gridCol w:w="2670"/>
        <w:gridCol w:w="222"/>
        <w:gridCol w:w="763"/>
        <w:gridCol w:w="222"/>
        <w:gridCol w:w="950"/>
      </w:tblGrid>
      <w:tr w:rsidR="0035031E" w:rsidTr="00B763DD">
        <w:tc>
          <w:tcPr>
            <w:tcW w:w="2670" w:type="dxa"/>
          </w:tcPr>
          <w:p w:rsidR="0035031E" w:rsidRDefault="0035031E" w:rsidP="007D0800">
            <w:pPr>
              <w:tabs>
                <w:tab w:val="left" w:pos="720"/>
                <w:tab w:val="left" w:pos="1440"/>
                <w:tab w:val="left" w:pos="9240"/>
              </w:tabs>
              <w:jc w:val="both"/>
            </w:pPr>
          </w:p>
        </w:tc>
        <w:tc>
          <w:tcPr>
            <w:tcW w:w="0" w:type="auto"/>
          </w:tcPr>
          <w:p w:rsidR="0035031E" w:rsidRDefault="0035031E" w:rsidP="007D0800">
            <w:pPr>
              <w:tabs>
                <w:tab w:val="left" w:pos="720"/>
                <w:tab w:val="left" w:pos="1440"/>
                <w:tab w:val="left" w:pos="9240"/>
              </w:tabs>
              <w:jc w:val="both"/>
            </w:pPr>
          </w:p>
        </w:tc>
        <w:tc>
          <w:tcPr>
            <w:tcW w:w="0" w:type="auto"/>
            <w:tcBorders>
              <w:bottom w:val="single" w:sz="4" w:space="0" w:color="auto"/>
            </w:tcBorders>
          </w:tcPr>
          <w:p w:rsidR="0035031E" w:rsidRDefault="0035031E" w:rsidP="007D0800">
            <w:pPr>
              <w:tabs>
                <w:tab w:val="left" w:pos="720"/>
                <w:tab w:val="left" w:pos="1440"/>
                <w:tab w:val="left" w:pos="9240"/>
              </w:tabs>
              <w:jc w:val="center"/>
            </w:pPr>
            <w:r>
              <w:t>Mean</w:t>
            </w:r>
          </w:p>
        </w:tc>
        <w:tc>
          <w:tcPr>
            <w:tcW w:w="0" w:type="auto"/>
          </w:tcPr>
          <w:p w:rsidR="0035031E" w:rsidRDefault="0035031E" w:rsidP="007D0800">
            <w:pPr>
              <w:tabs>
                <w:tab w:val="left" w:pos="720"/>
                <w:tab w:val="left" w:pos="1440"/>
                <w:tab w:val="left" w:pos="9240"/>
              </w:tabs>
              <w:jc w:val="center"/>
            </w:pPr>
          </w:p>
        </w:tc>
        <w:tc>
          <w:tcPr>
            <w:tcW w:w="0" w:type="auto"/>
            <w:tcBorders>
              <w:bottom w:val="single" w:sz="4" w:space="0" w:color="auto"/>
            </w:tcBorders>
          </w:tcPr>
          <w:p w:rsidR="0035031E" w:rsidRDefault="0035031E" w:rsidP="007D0800">
            <w:pPr>
              <w:tabs>
                <w:tab w:val="left" w:pos="720"/>
                <w:tab w:val="left" w:pos="1440"/>
                <w:tab w:val="left" w:pos="9240"/>
              </w:tabs>
              <w:jc w:val="center"/>
            </w:pPr>
            <w:r>
              <w:t>Median</w:t>
            </w:r>
          </w:p>
        </w:tc>
      </w:tr>
      <w:tr w:rsidR="0035031E" w:rsidTr="00B763DD">
        <w:tc>
          <w:tcPr>
            <w:tcW w:w="2670" w:type="dxa"/>
          </w:tcPr>
          <w:p w:rsidR="0035031E" w:rsidRDefault="00911C1E" w:rsidP="007D0800">
            <w:pPr>
              <w:tabs>
                <w:tab w:val="left" w:pos="720"/>
                <w:tab w:val="left" w:pos="1440"/>
                <w:tab w:val="left" w:pos="9240"/>
              </w:tabs>
              <w:jc w:val="both"/>
            </w:pPr>
            <w:r>
              <w:t>Proxy</w:t>
            </w:r>
            <w:r w:rsidR="00F73E84">
              <w:t xml:space="preserve"> Group</w:t>
            </w:r>
          </w:p>
        </w:tc>
        <w:tc>
          <w:tcPr>
            <w:tcW w:w="0" w:type="auto"/>
          </w:tcPr>
          <w:p w:rsidR="0035031E" w:rsidRDefault="0035031E" w:rsidP="007D0800">
            <w:pPr>
              <w:tabs>
                <w:tab w:val="left" w:pos="720"/>
                <w:tab w:val="left" w:pos="1440"/>
                <w:tab w:val="left" w:pos="9240"/>
              </w:tabs>
              <w:jc w:val="both"/>
            </w:pPr>
          </w:p>
        </w:tc>
        <w:tc>
          <w:tcPr>
            <w:tcW w:w="0" w:type="auto"/>
            <w:tcBorders>
              <w:top w:val="single" w:sz="4" w:space="0" w:color="auto"/>
            </w:tcBorders>
          </w:tcPr>
          <w:p w:rsidR="0035031E" w:rsidRDefault="00A453C1" w:rsidP="007D0800">
            <w:pPr>
              <w:tabs>
                <w:tab w:val="left" w:pos="720"/>
                <w:tab w:val="left" w:pos="1440"/>
                <w:tab w:val="left" w:pos="9240"/>
              </w:tabs>
              <w:jc w:val="center"/>
            </w:pPr>
            <w:r>
              <w:t>8.</w:t>
            </w:r>
            <w:r w:rsidR="005457A9">
              <w:t>2</w:t>
            </w:r>
            <w:r w:rsidR="0035031E">
              <w:t>%</w:t>
            </w:r>
          </w:p>
        </w:tc>
        <w:tc>
          <w:tcPr>
            <w:tcW w:w="0" w:type="auto"/>
          </w:tcPr>
          <w:p w:rsidR="0035031E" w:rsidRDefault="0035031E" w:rsidP="007D0800">
            <w:pPr>
              <w:tabs>
                <w:tab w:val="left" w:pos="720"/>
                <w:tab w:val="left" w:pos="1440"/>
                <w:tab w:val="left" w:pos="9240"/>
              </w:tabs>
              <w:jc w:val="center"/>
            </w:pPr>
          </w:p>
        </w:tc>
        <w:tc>
          <w:tcPr>
            <w:tcW w:w="0" w:type="auto"/>
            <w:tcBorders>
              <w:top w:val="single" w:sz="4" w:space="0" w:color="auto"/>
            </w:tcBorders>
          </w:tcPr>
          <w:p w:rsidR="0035031E" w:rsidRDefault="00A453C1" w:rsidP="007D0800">
            <w:pPr>
              <w:tabs>
                <w:tab w:val="left" w:pos="720"/>
                <w:tab w:val="left" w:pos="1440"/>
                <w:tab w:val="left" w:pos="9240"/>
              </w:tabs>
              <w:jc w:val="center"/>
            </w:pPr>
            <w:r>
              <w:t>8.</w:t>
            </w:r>
            <w:r w:rsidR="005457A9">
              <w:t>2</w:t>
            </w:r>
            <w:r w:rsidR="0035031E">
              <w:t>%</w:t>
            </w:r>
          </w:p>
        </w:tc>
      </w:tr>
      <w:tr w:rsidR="00067784" w:rsidTr="00B763DD">
        <w:tc>
          <w:tcPr>
            <w:tcW w:w="2670" w:type="dxa"/>
          </w:tcPr>
          <w:p w:rsidR="00067784" w:rsidRDefault="00B763DD" w:rsidP="007D0800">
            <w:pPr>
              <w:tabs>
                <w:tab w:val="left" w:pos="720"/>
                <w:tab w:val="left" w:pos="1440"/>
                <w:tab w:val="left" w:pos="9240"/>
              </w:tabs>
              <w:jc w:val="both"/>
            </w:pPr>
            <w:r>
              <w:t xml:space="preserve">S&amp;P </w:t>
            </w:r>
            <w:r w:rsidR="00067784">
              <w:t>Group</w:t>
            </w:r>
          </w:p>
        </w:tc>
        <w:tc>
          <w:tcPr>
            <w:tcW w:w="0" w:type="auto"/>
          </w:tcPr>
          <w:p w:rsidR="00067784" w:rsidRDefault="00067784" w:rsidP="007D0800">
            <w:pPr>
              <w:tabs>
                <w:tab w:val="left" w:pos="720"/>
                <w:tab w:val="left" w:pos="1440"/>
                <w:tab w:val="left" w:pos="9240"/>
              </w:tabs>
              <w:jc w:val="both"/>
            </w:pPr>
          </w:p>
        </w:tc>
        <w:tc>
          <w:tcPr>
            <w:tcW w:w="0" w:type="auto"/>
          </w:tcPr>
          <w:p w:rsidR="00067784" w:rsidRDefault="00D644AC" w:rsidP="007D0800">
            <w:pPr>
              <w:tabs>
                <w:tab w:val="left" w:pos="720"/>
                <w:tab w:val="left" w:pos="1440"/>
                <w:tab w:val="left" w:pos="9240"/>
              </w:tabs>
              <w:jc w:val="center"/>
            </w:pPr>
            <w:r>
              <w:t>8.</w:t>
            </w:r>
            <w:r w:rsidR="005457A9">
              <w:t>2</w:t>
            </w:r>
            <w:r w:rsidR="00067784">
              <w:t>%</w:t>
            </w:r>
          </w:p>
        </w:tc>
        <w:tc>
          <w:tcPr>
            <w:tcW w:w="0" w:type="auto"/>
          </w:tcPr>
          <w:p w:rsidR="00067784" w:rsidRDefault="00067784" w:rsidP="007D0800">
            <w:pPr>
              <w:tabs>
                <w:tab w:val="left" w:pos="720"/>
                <w:tab w:val="left" w:pos="1440"/>
                <w:tab w:val="left" w:pos="9240"/>
              </w:tabs>
              <w:jc w:val="center"/>
            </w:pPr>
          </w:p>
        </w:tc>
        <w:tc>
          <w:tcPr>
            <w:tcW w:w="0" w:type="auto"/>
          </w:tcPr>
          <w:p w:rsidR="00067784" w:rsidRDefault="00A453C1" w:rsidP="007D0800">
            <w:pPr>
              <w:tabs>
                <w:tab w:val="left" w:pos="720"/>
                <w:tab w:val="left" w:pos="1440"/>
                <w:tab w:val="left" w:pos="9240"/>
              </w:tabs>
              <w:jc w:val="center"/>
            </w:pPr>
            <w:r>
              <w:t>8</w:t>
            </w:r>
            <w:r w:rsidR="00067784">
              <w:t>.</w:t>
            </w:r>
            <w:r w:rsidR="005457A9">
              <w:t>2</w:t>
            </w:r>
            <w:r w:rsidR="00067784">
              <w:t>%</w:t>
            </w:r>
          </w:p>
        </w:tc>
      </w:tr>
      <w:tr w:rsidR="00B763DD" w:rsidTr="00B763DD">
        <w:tc>
          <w:tcPr>
            <w:tcW w:w="2670" w:type="dxa"/>
          </w:tcPr>
          <w:p w:rsidR="00B763DD" w:rsidRDefault="00B763DD" w:rsidP="007D0800">
            <w:pPr>
              <w:tabs>
                <w:tab w:val="left" w:pos="720"/>
                <w:tab w:val="left" w:pos="1440"/>
                <w:tab w:val="left" w:pos="9240"/>
              </w:tabs>
              <w:jc w:val="both"/>
            </w:pPr>
            <w:r>
              <w:t>Integrated Group</w:t>
            </w:r>
          </w:p>
        </w:tc>
        <w:tc>
          <w:tcPr>
            <w:tcW w:w="0" w:type="auto"/>
          </w:tcPr>
          <w:p w:rsidR="00B763DD" w:rsidRDefault="00B763DD" w:rsidP="007D0800">
            <w:pPr>
              <w:tabs>
                <w:tab w:val="left" w:pos="720"/>
                <w:tab w:val="left" w:pos="1440"/>
                <w:tab w:val="left" w:pos="9240"/>
              </w:tabs>
              <w:jc w:val="both"/>
            </w:pPr>
          </w:p>
        </w:tc>
        <w:tc>
          <w:tcPr>
            <w:tcW w:w="0" w:type="auto"/>
          </w:tcPr>
          <w:p w:rsidR="00B763DD" w:rsidRDefault="00B763DD" w:rsidP="007D0800">
            <w:pPr>
              <w:tabs>
                <w:tab w:val="left" w:pos="720"/>
                <w:tab w:val="left" w:pos="1440"/>
                <w:tab w:val="left" w:pos="9240"/>
              </w:tabs>
              <w:jc w:val="center"/>
            </w:pPr>
            <w:r>
              <w:t>8.</w:t>
            </w:r>
            <w:r w:rsidR="005457A9">
              <w:t>0</w:t>
            </w:r>
            <w:r>
              <w:t>%</w:t>
            </w:r>
          </w:p>
        </w:tc>
        <w:tc>
          <w:tcPr>
            <w:tcW w:w="0" w:type="auto"/>
          </w:tcPr>
          <w:p w:rsidR="00B763DD" w:rsidRDefault="00B763DD" w:rsidP="007D0800">
            <w:pPr>
              <w:tabs>
                <w:tab w:val="left" w:pos="720"/>
                <w:tab w:val="left" w:pos="1440"/>
                <w:tab w:val="left" w:pos="9240"/>
              </w:tabs>
              <w:jc w:val="center"/>
            </w:pPr>
          </w:p>
        </w:tc>
        <w:tc>
          <w:tcPr>
            <w:tcW w:w="0" w:type="auto"/>
          </w:tcPr>
          <w:p w:rsidR="00B763DD" w:rsidRDefault="005457A9" w:rsidP="007D0800">
            <w:pPr>
              <w:tabs>
                <w:tab w:val="left" w:pos="720"/>
                <w:tab w:val="left" w:pos="1440"/>
                <w:tab w:val="left" w:pos="9240"/>
              </w:tabs>
              <w:jc w:val="center"/>
            </w:pPr>
            <w:r>
              <w:t>7.9</w:t>
            </w:r>
            <w:r w:rsidR="00B763DD">
              <w:t>%</w:t>
            </w:r>
          </w:p>
        </w:tc>
      </w:tr>
    </w:tbl>
    <w:p w:rsidR="00C7186F" w:rsidRDefault="00C7186F" w:rsidP="007D0800">
      <w:pPr>
        <w:tabs>
          <w:tab w:val="left" w:pos="720"/>
          <w:tab w:val="left" w:pos="1440"/>
          <w:tab w:val="left" w:pos="9240"/>
        </w:tabs>
        <w:ind w:left="720"/>
        <w:jc w:val="both"/>
      </w:pPr>
    </w:p>
    <w:p w:rsidR="00C7186F" w:rsidRDefault="00C7186F" w:rsidP="007D0800">
      <w:pPr>
        <w:tabs>
          <w:tab w:val="left" w:pos="720"/>
          <w:tab w:val="left" w:pos="1440"/>
          <w:tab w:val="left" w:pos="9240"/>
        </w:tabs>
        <w:ind w:left="720"/>
        <w:jc w:val="both"/>
      </w:pPr>
    </w:p>
    <w:p w:rsidR="007D0800" w:rsidRDefault="007D0800" w:rsidP="007D0800">
      <w:pPr>
        <w:tabs>
          <w:tab w:val="left" w:pos="720"/>
          <w:tab w:val="left" w:pos="1440"/>
          <w:tab w:val="left" w:pos="9240"/>
        </w:tabs>
        <w:ind w:left="720"/>
        <w:jc w:val="both"/>
      </w:pPr>
    </w:p>
    <w:p w:rsidR="00B6204D" w:rsidRDefault="00B6204D" w:rsidP="00417CF7">
      <w:pPr>
        <w:keepNext/>
        <w:tabs>
          <w:tab w:val="left" w:pos="720"/>
          <w:tab w:val="left" w:pos="1440"/>
          <w:tab w:val="left" w:pos="9240"/>
        </w:tabs>
        <w:spacing w:line="480" w:lineRule="auto"/>
        <w:ind w:left="720" w:hanging="720"/>
        <w:rPr>
          <w:b/>
        </w:rPr>
      </w:pPr>
    </w:p>
    <w:p w:rsidR="0035031E" w:rsidRDefault="0035031E" w:rsidP="00417CF7">
      <w:pPr>
        <w:keepNext/>
        <w:tabs>
          <w:tab w:val="left" w:pos="720"/>
          <w:tab w:val="left" w:pos="1440"/>
          <w:tab w:val="left" w:pos="9240"/>
        </w:tabs>
        <w:spacing w:line="480" w:lineRule="auto"/>
        <w:ind w:left="720" w:hanging="720"/>
        <w:rPr>
          <w:b/>
        </w:rPr>
      </w:pPr>
      <w:r>
        <w:rPr>
          <w:b/>
        </w:rPr>
        <w:t>Q.</w:t>
      </w:r>
      <w:r>
        <w:rPr>
          <w:b/>
        </w:rPr>
        <w:tab/>
        <w:t>W</w:t>
      </w:r>
      <w:r w:rsidR="00DE055E">
        <w:rPr>
          <w:b/>
        </w:rPr>
        <w:t>hat is your conclusion concerning the CAPM cost of equity</w:t>
      </w:r>
      <w:r>
        <w:rPr>
          <w:b/>
        </w:rPr>
        <w:t>?</w:t>
      </w:r>
    </w:p>
    <w:p w:rsidR="00F254E8" w:rsidRDefault="0035031E" w:rsidP="00417CF7">
      <w:pPr>
        <w:tabs>
          <w:tab w:val="left" w:pos="720"/>
          <w:tab w:val="left" w:pos="1440"/>
          <w:tab w:val="left" w:pos="9240"/>
        </w:tabs>
        <w:spacing w:line="480" w:lineRule="auto"/>
        <w:ind w:left="720" w:hanging="720"/>
      </w:pPr>
      <w:r>
        <w:t>A.</w:t>
      </w:r>
      <w:r>
        <w:tab/>
        <w:t>The CAPM results collectively indicate a</w:t>
      </w:r>
      <w:r w:rsidR="001D6B2C">
        <w:t>n equity</w:t>
      </w:r>
      <w:r>
        <w:t xml:space="preserve"> cost of </w:t>
      </w:r>
      <w:r w:rsidR="005457A9">
        <w:t>7.9</w:t>
      </w:r>
      <w:r>
        <w:t xml:space="preserve"> percent </w:t>
      </w:r>
      <w:r w:rsidR="000C6CA7">
        <w:t xml:space="preserve">to </w:t>
      </w:r>
      <w:r w:rsidR="00A453C1">
        <w:t>8.</w:t>
      </w:r>
      <w:r w:rsidR="005457A9">
        <w:t>2</w:t>
      </w:r>
      <w:r w:rsidR="00B51709">
        <w:t xml:space="preserve"> percent </w:t>
      </w:r>
      <w:r>
        <w:t xml:space="preserve">for the </w:t>
      </w:r>
      <w:r w:rsidR="00E005CF" w:rsidRPr="00CC6F57">
        <w:rPr>
          <w:strike/>
        </w:rPr>
        <w:t>two</w:t>
      </w:r>
      <w:r>
        <w:t xml:space="preserve"> </w:t>
      </w:r>
      <w:r w:rsidR="00CC6F57">
        <w:rPr>
          <w:u w:val="single"/>
        </w:rPr>
        <w:t xml:space="preserve">three </w:t>
      </w:r>
      <w:r>
        <w:t xml:space="preserve">groups of comparison utilities.  I conclude that the CAPM cost of equity for </w:t>
      </w:r>
      <w:r w:rsidR="00B763DD">
        <w:t>PSE</w:t>
      </w:r>
      <w:r>
        <w:t xml:space="preserve"> is </w:t>
      </w:r>
      <w:r w:rsidR="005457A9">
        <w:t>7.9</w:t>
      </w:r>
      <w:r w:rsidR="00D644AC">
        <w:t xml:space="preserve"> percent to 8.</w:t>
      </w:r>
      <w:r w:rsidR="005457A9">
        <w:t>2</w:t>
      </w:r>
      <w:r w:rsidR="00D644AC">
        <w:t xml:space="preserve"> percent.</w:t>
      </w:r>
    </w:p>
    <w:p w:rsidR="00F254E8" w:rsidRDefault="00F254E8" w:rsidP="007D0800">
      <w:pPr>
        <w:tabs>
          <w:tab w:val="left" w:pos="720"/>
          <w:tab w:val="left" w:pos="1440"/>
          <w:tab w:val="left" w:pos="9240"/>
        </w:tabs>
        <w:spacing w:line="360" w:lineRule="auto"/>
        <w:ind w:left="720" w:hanging="720"/>
      </w:pPr>
    </w:p>
    <w:p w:rsidR="0035031E" w:rsidRDefault="00DB2FA7" w:rsidP="00D4179D">
      <w:pPr>
        <w:tabs>
          <w:tab w:val="left" w:pos="720"/>
          <w:tab w:val="left" w:pos="1440"/>
          <w:tab w:val="left" w:pos="9240"/>
        </w:tabs>
        <w:spacing w:line="480" w:lineRule="auto"/>
        <w:rPr>
          <w:b/>
          <w:u w:val="single"/>
        </w:rPr>
      </w:pPr>
      <w:r>
        <w:rPr>
          <w:b/>
        </w:rPr>
        <w:t>D</w:t>
      </w:r>
      <w:r w:rsidR="0035031E">
        <w:rPr>
          <w:b/>
        </w:rPr>
        <w:t>.</w:t>
      </w:r>
      <w:r w:rsidR="0035031E">
        <w:rPr>
          <w:b/>
        </w:rPr>
        <w:tab/>
      </w:r>
      <w:r w:rsidR="0035031E" w:rsidRPr="00DE055E">
        <w:rPr>
          <w:b/>
        </w:rPr>
        <w:t>C</w:t>
      </w:r>
      <w:r>
        <w:rPr>
          <w:b/>
        </w:rPr>
        <w:t>omparable Earnings Analysis</w:t>
      </w:r>
    </w:p>
    <w:p w:rsidR="0035031E" w:rsidRDefault="0035031E" w:rsidP="007D0800">
      <w:pPr>
        <w:tabs>
          <w:tab w:val="left" w:pos="720"/>
          <w:tab w:val="left" w:pos="1440"/>
          <w:tab w:val="left" w:pos="9240"/>
        </w:tabs>
        <w:spacing w:line="360" w:lineRule="auto"/>
        <w:ind w:left="720" w:hanging="720"/>
        <w:jc w:val="both"/>
      </w:pPr>
    </w:p>
    <w:p w:rsidR="0035031E" w:rsidRDefault="0035031E" w:rsidP="00B112FC">
      <w:pPr>
        <w:tabs>
          <w:tab w:val="left" w:pos="720"/>
          <w:tab w:val="left" w:pos="1440"/>
          <w:tab w:val="left" w:pos="9240"/>
        </w:tabs>
        <w:spacing w:line="480" w:lineRule="auto"/>
        <w:ind w:left="720" w:hanging="720"/>
        <w:rPr>
          <w:b/>
        </w:rPr>
      </w:pPr>
      <w:r>
        <w:rPr>
          <w:b/>
        </w:rPr>
        <w:t>Q.</w:t>
      </w:r>
      <w:r>
        <w:rPr>
          <w:b/>
        </w:rPr>
        <w:tab/>
        <w:t>P</w:t>
      </w:r>
      <w:r w:rsidR="00DE055E">
        <w:rPr>
          <w:b/>
        </w:rPr>
        <w:t xml:space="preserve">lease describe the basis of the </w:t>
      </w:r>
      <w:r w:rsidR="00D801D7">
        <w:rPr>
          <w:b/>
        </w:rPr>
        <w:t>comparable earnings</w:t>
      </w:r>
      <w:r w:rsidR="00DE055E">
        <w:rPr>
          <w:b/>
        </w:rPr>
        <w:t xml:space="preserve"> methodology</w:t>
      </w:r>
      <w:r>
        <w:rPr>
          <w:b/>
        </w:rPr>
        <w:t>.</w:t>
      </w:r>
    </w:p>
    <w:p w:rsidR="0035031E" w:rsidRDefault="0035031E" w:rsidP="00B112FC">
      <w:pPr>
        <w:tabs>
          <w:tab w:val="left" w:pos="720"/>
          <w:tab w:val="left" w:pos="1440"/>
          <w:tab w:val="left" w:pos="9240"/>
        </w:tabs>
        <w:spacing w:line="480" w:lineRule="auto"/>
        <w:ind w:left="720" w:hanging="720"/>
      </w:pPr>
      <w:r>
        <w:t>A.</w:t>
      </w:r>
      <w:r>
        <w:tab/>
        <w:t xml:space="preserve">The </w:t>
      </w:r>
      <w:r w:rsidR="00EB5BBE">
        <w:t xml:space="preserve">comparable earnings </w:t>
      </w:r>
      <w:r w:rsidR="00D801D7">
        <w:t>(“</w:t>
      </w:r>
      <w:r>
        <w:t>CE</w:t>
      </w:r>
      <w:r w:rsidR="00D801D7">
        <w:t>”)</w:t>
      </w:r>
      <w:r>
        <w:t xml:space="preserve"> method is derived from the “corresponding risk” standard of the </w:t>
      </w:r>
      <w:r w:rsidRPr="004760D2">
        <w:rPr>
          <w:i/>
        </w:rPr>
        <w:t>Bluefield</w:t>
      </w:r>
      <w:r>
        <w:t xml:space="preserve"> and </w:t>
      </w:r>
      <w:r w:rsidRPr="004760D2">
        <w:rPr>
          <w:i/>
        </w:rPr>
        <w:t>Hope</w:t>
      </w:r>
      <w:r>
        <w:t xml:space="preserve"> cases</w:t>
      </w:r>
      <w:r w:rsidR="004760D2">
        <w:t xml:space="preserve"> that I discussed earlier</w:t>
      </w:r>
      <w:r>
        <w:t>.  This method is thus based upon the economic concept of opportunity cost.  As previously noted, the cost of capital is an opportunity cost:  the prospective return available to investors from alternative investments of similar risk.</w:t>
      </w:r>
    </w:p>
    <w:p w:rsidR="0035031E" w:rsidRDefault="0035031E" w:rsidP="00417CF7">
      <w:pPr>
        <w:tabs>
          <w:tab w:val="left" w:pos="720"/>
          <w:tab w:val="left" w:pos="1440"/>
          <w:tab w:val="left" w:pos="9240"/>
        </w:tabs>
        <w:spacing w:line="480" w:lineRule="auto"/>
        <w:ind w:left="720" w:hanging="720"/>
      </w:pPr>
      <w:r>
        <w:tab/>
      </w:r>
      <w:r>
        <w:tab/>
        <w:t xml:space="preserve">The CE method is designed to measure the returns expected to be earned on the original cost book value of similar risk enterprises.  Thus, this method provides a direct measure of the fair return, </w:t>
      </w:r>
      <w:r w:rsidR="00733626">
        <w:t>because the CE method</w:t>
      </w:r>
      <w:r>
        <w:t xml:space="preserve"> translates into practice the competitive principle upon which regulation </w:t>
      </w:r>
      <w:r w:rsidR="00733626">
        <w:t>is based</w:t>
      </w:r>
      <w:r>
        <w:t>.</w:t>
      </w:r>
    </w:p>
    <w:p w:rsidR="007D0800" w:rsidRDefault="0035031E" w:rsidP="00417CF7">
      <w:pPr>
        <w:tabs>
          <w:tab w:val="left" w:pos="720"/>
          <w:tab w:val="left" w:pos="1440"/>
          <w:tab w:val="left" w:pos="9240"/>
        </w:tabs>
        <w:spacing w:line="480" w:lineRule="auto"/>
        <w:ind w:left="720" w:hanging="720"/>
        <w:sectPr w:rsidR="007D0800" w:rsidSect="00E83DA3">
          <w:footerReference w:type="default" r:id="rId30"/>
          <w:pgSz w:w="12240" w:h="15840" w:code="1"/>
          <w:pgMar w:top="1440" w:right="1440" w:bottom="720" w:left="1872" w:header="720" w:footer="720" w:gutter="0"/>
          <w:lnNumType w:countBy="1"/>
          <w:cols w:space="720"/>
          <w:docGrid w:linePitch="360"/>
        </w:sectPr>
      </w:pPr>
      <w:r>
        <w:tab/>
      </w:r>
      <w:r>
        <w:tab/>
        <w:t xml:space="preserve">The CE method normally examines the experienced and/or projected returns on book common equity.  The logic for </w:t>
      </w:r>
      <w:r w:rsidR="000F4D60">
        <w:t xml:space="preserve">examining </w:t>
      </w:r>
      <w:r>
        <w:t xml:space="preserve">returns on book equity follows from the use of original cost rate base regulation for public utilities, which uses a utility’s book common equity to determine the cost of capital.  This cost of capital is, </w:t>
      </w:r>
    </w:p>
    <w:p w:rsidR="0035031E" w:rsidRDefault="0035031E" w:rsidP="007D0800">
      <w:pPr>
        <w:tabs>
          <w:tab w:val="left" w:pos="720"/>
          <w:tab w:val="left" w:pos="1440"/>
          <w:tab w:val="left" w:pos="9240"/>
        </w:tabs>
        <w:spacing w:line="480" w:lineRule="auto"/>
        <w:ind w:left="720"/>
      </w:pPr>
      <w:r>
        <w:lastRenderedPageBreak/>
        <w:t>in turn, used as the fair rate of return which is then applied (multiplied) to the book value of rate base to establish the dollar level of capital costs to be recovered by the utility.  This technique is thus consistent with the rate base methodology used to set utility rates.</w:t>
      </w:r>
    </w:p>
    <w:p w:rsidR="00392003" w:rsidRDefault="00392003" w:rsidP="00417CF7">
      <w:pPr>
        <w:tabs>
          <w:tab w:val="left" w:pos="720"/>
          <w:tab w:val="left" w:pos="1440"/>
          <w:tab w:val="left" w:pos="9240"/>
        </w:tabs>
        <w:spacing w:line="480" w:lineRule="auto"/>
        <w:ind w:left="720" w:hanging="720"/>
      </w:pPr>
    </w:p>
    <w:p w:rsidR="0035031E" w:rsidRDefault="0035031E" w:rsidP="00B112FC">
      <w:pPr>
        <w:tabs>
          <w:tab w:val="left" w:pos="720"/>
          <w:tab w:val="left" w:pos="1440"/>
          <w:tab w:val="left" w:pos="9240"/>
        </w:tabs>
        <w:spacing w:line="480" w:lineRule="auto"/>
        <w:ind w:left="720" w:hanging="720"/>
        <w:rPr>
          <w:b/>
        </w:rPr>
      </w:pPr>
      <w:r>
        <w:rPr>
          <w:b/>
        </w:rPr>
        <w:t>Q.</w:t>
      </w:r>
      <w:r>
        <w:rPr>
          <w:b/>
        </w:rPr>
        <w:tab/>
        <w:t>H</w:t>
      </w:r>
      <w:r w:rsidR="00DE055E">
        <w:rPr>
          <w:b/>
        </w:rPr>
        <w:t xml:space="preserve">ow have you employed the CE methodology in your analysis of </w:t>
      </w:r>
      <w:r w:rsidR="00B763DD">
        <w:rPr>
          <w:b/>
        </w:rPr>
        <w:t>PSE</w:t>
      </w:r>
      <w:r w:rsidR="00DE055E">
        <w:rPr>
          <w:b/>
        </w:rPr>
        <w:t>’s common equity cost</w:t>
      </w:r>
      <w:r>
        <w:rPr>
          <w:b/>
        </w:rPr>
        <w:t>?</w:t>
      </w:r>
    </w:p>
    <w:p w:rsidR="0035031E" w:rsidRDefault="0035031E" w:rsidP="00B112FC">
      <w:pPr>
        <w:tabs>
          <w:tab w:val="left" w:pos="720"/>
          <w:tab w:val="left" w:pos="1440"/>
          <w:tab w:val="left" w:pos="9240"/>
        </w:tabs>
        <w:spacing w:line="480" w:lineRule="auto"/>
        <w:ind w:left="720" w:hanging="720"/>
      </w:pPr>
      <w:r>
        <w:t>A.</w:t>
      </w:r>
      <w:r>
        <w:tab/>
        <w:t>I conducted the CE methodology by examining realized returns on equity for several groups of companies and evaluating the investor acceptance of these returns by reference to the resulting market-to-book ratios.  In this manner</w:t>
      </w:r>
      <w:r w:rsidR="004760D2">
        <w:t>,</w:t>
      </w:r>
      <w:r>
        <w:t xml:space="preserve"> it is possible to assess the degree to which a given level of return equates to the cost of capital.  It is generally recognized for utilities that market-to-book ratios of greater than one (</w:t>
      </w:r>
      <w:r w:rsidR="009864AC" w:rsidRPr="009864AC">
        <w:t>i.e.</w:t>
      </w:r>
      <w:r w:rsidRPr="00591FE4">
        <w:rPr>
          <w:i/>
        </w:rPr>
        <w:t>,</w:t>
      </w:r>
      <w:r>
        <w:t xml:space="preserve"> 100%) reflect a situation where a company is able to attract new equity capital without dilution (</w:t>
      </w:r>
      <w:r w:rsidR="009864AC" w:rsidRPr="009864AC">
        <w:t>i.e.</w:t>
      </w:r>
      <w:r>
        <w:t xml:space="preserve">, above book value).  As a result, one objective of a fair cost of equity is the maintenance of stock prices </w:t>
      </w:r>
      <w:r w:rsidR="004151F8">
        <w:t>just above</w:t>
      </w:r>
      <w:r>
        <w:t xml:space="preserve"> book value.</w:t>
      </w:r>
    </w:p>
    <w:p w:rsidR="0035031E" w:rsidRDefault="0035031E" w:rsidP="00417CF7">
      <w:pPr>
        <w:tabs>
          <w:tab w:val="left" w:pos="720"/>
          <w:tab w:val="left" w:pos="1440"/>
          <w:tab w:val="left" w:pos="9240"/>
        </w:tabs>
        <w:spacing w:line="480" w:lineRule="auto"/>
        <w:ind w:left="720" w:hanging="720"/>
      </w:pPr>
      <w:r>
        <w:tab/>
      </w:r>
      <w:r>
        <w:tab/>
        <w:t xml:space="preserve">I would further note that the CE analysis, as I have employed it, is based upon market data (through the use of market-to-book ratios) and is thus essentially a market test.  As a result, my analysis is not subject to the criticisms occasionally made by some who maintain that past earned returns do not represent the cost of capital.  In addition, my analysis uses prospective returns and thus is not </w:t>
      </w:r>
      <w:r w:rsidR="00F17CD8">
        <w:t>confined to historical data</w:t>
      </w:r>
      <w:r>
        <w:t>.</w:t>
      </w:r>
    </w:p>
    <w:p w:rsidR="007D0800" w:rsidRDefault="007D0800" w:rsidP="00417CF7">
      <w:pPr>
        <w:tabs>
          <w:tab w:val="left" w:pos="720"/>
          <w:tab w:val="left" w:pos="1440"/>
          <w:tab w:val="left" w:pos="9240"/>
        </w:tabs>
        <w:spacing w:line="480" w:lineRule="auto"/>
        <w:ind w:left="720" w:hanging="720"/>
      </w:pPr>
    </w:p>
    <w:p w:rsidR="007D0800" w:rsidRDefault="007D0800" w:rsidP="00417CF7">
      <w:pPr>
        <w:tabs>
          <w:tab w:val="left" w:pos="720"/>
          <w:tab w:val="left" w:pos="1440"/>
          <w:tab w:val="left" w:pos="9240"/>
        </w:tabs>
        <w:spacing w:line="480" w:lineRule="auto"/>
        <w:ind w:left="720" w:hanging="720"/>
        <w:sectPr w:rsidR="007D0800" w:rsidSect="00E83DA3">
          <w:footerReference w:type="default" r:id="rId31"/>
          <w:pgSz w:w="12240" w:h="15840" w:code="1"/>
          <w:pgMar w:top="1440" w:right="1440" w:bottom="720" w:left="1872" w:header="720" w:footer="720" w:gutter="0"/>
          <w:lnNumType w:countBy="1"/>
          <w:cols w:space="720"/>
          <w:docGrid w:linePitch="360"/>
        </w:sectPr>
      </w:pPr>
    </w:p>
    <w:p w:rsidR="0035031E" w:rsidRDefault="0035031E" w:rsidP="008B65D4">
      <w:pPr>
        <w:keepNext/>
        <w:tabs>
          <w:tab w:val="left" w:pos="720"/>
          <w:tab w:val="left" w:pos="1440"/>
          <w:tab w:val="left" w:pos="9240"/>
        </w:tabs>
        <w:spacing w:line="480" w:lineRule="auto"/>
        <w:ind w:left="720" w:hanging="720"/>
        <w:rPr>
          <w:b/>
        </w:rPr>
      </w:pPr>
      <w:r>
        <w:rPr>
          <w:b/>
        </w:rPr>
        <w:lastRenderedPageBreak/>
        <w:t>Q.</w:t>
      </w:r>
      <w:r>
        <w:rPr>
          <w:b/>
        </w:rPr>
        <w:tab/>
        <w:t>W</w:t>
      </w:r>
      <w:r w:rsidR="00DE055E">
        <w:rPr>
          <w:b/>
        </w:rPr>
        <w:t>hat time periods have you examined in your CE analysis</w:t>
      </w:r>
      <w:r>
        <w:rPr>
          <w:b/>
        </w:rPr>
        <w:t>?</w:t>
      </w:r>
    </w:p>
    <w:p w:rsidR="005222A2" w:rsidRDefault="0035031E" w:rsidP="00417CF7">
      <w:pPr>
        <w:tabs>
          <w:tab w:val="left" w:pos="720"/>
          <w:tab w:val="left" w:pos="1440"/>
          <w:tab w:val="left" w:pos="9240"/>
        </w:tabs>
        <w:spacing w:line="480" w:lineRule="auto"/>
        <w:ind w:left="720" w:hanging="720"/>
      </w:pPr>
      <w:r>
        <w:t>A.</w:t>
      </w:r>
      <w:r>
        <w:tab/>
        <w:t>My CE analysis considers the experienced equity returns of the proxy groups</w:t>
      </w:r>
      <w:r w:rsidR="005222A2">
        <w:t xml:space="preserve"> of utilities for the period 1992-200</w:t>
      </w:r>
      <w:r w:rsidR="00B763DD">
        <w:t>9</w:t>
      </w:r>
      <w:r w:rsidR="005222A2">
        <w:t xml:space="preserve"> (</w:t>
      </w:r>
      <w:r w:rsidR="009864AC" w:rsidRPr="009864AC">
        <w:t>i.e.</w:t>
      </w:r>
      <w:r w:rsidR="005222A2" w:rsidRPr="00232EC1">
        <w:rPr>
          <w:i/>
        </w:rPr>
        <w:t>,</w:t>
      </w:r>
      <w:r w:rsidR="005222A2">
        <w:t xml:space="preserve"> </w:t>
      </w:r>
      <w:r w:rsidR="00DE0279">
        <w:t xml:space="preserve">the </w:t>
      </w:r>
      <w:r w:rsidR="005222A2">
        <w:t xml:space="preserve">last </w:t>
      </w:r>
      <w:r w:rsidR="00B763DD">
        <w:t>eight</w:t>
      </w:r>
      <w:r w:rsidR="00067784">
        <w:t>een</w:t>
      </w:r>
      <w:r w:rsidR="005222A2">
        <w:t xml:space="preserve"> years).  The CE analysis requires that I examine a relatively long period of time in order to determine trends in earnings over at least a full business cycle.  Further, in estimating a fair level of return for a future period, it is important to examine earnings over a diverse period of time in order to avoid any undue influence from unusual or abnormal conditions that may occur in a single year or shorter period.  Therefore, in forming my judgment of the current cost of equity I have focused on two periods:  200</w:t>
      </w:r>
      <w:r w:rsidR="00F739C2">
        <w:t>2</w:t>
      </w:r>
      <w:r w:rsidR="005222A2">
        <w:t>-200</w:t>
      </w:r>
      <w:r w:rsidR="00B763DD">
        <w:t>9</w:t>
      </w:r>
      <w:r w:rsidR="00370108">
        <w:t xml:space="preserve"> (the current</w:t>
      </w:r>
      <w:r w:rsidR="005222A2">
        <w:t xml:space="preserve"> business cycle) and 1992-2001 (the most recent complete business cycle).</w:t>
      </w:r>
    </w:p>
    <w:p w:rsidR="005222A2" w:rsidRDefault="005222A2" w:rsidP="00417CF7">
      <w:pPr>
        <w:tabs>
          <w:tab w:val="left" w:pos="720"/>
          <w:tab w:val="left" w:pos="1440"/>
          <w:tab w:val="left" w:pos="9240"/>
        </w:tabs>
        <w:spacing w:line="480" w:lineRule="auto"/>
        <w:ind w:left="720" w:hanging="720"/>
      </w:pPr>
    </w:p>
    <w:p w:rsidR="005222A2" w:rsidRDefault="005222A2" w:rsidP="00417CF7">
      <w:pPr>
        <w:keepNext/>
        <w:tabs>
          <w:tab w:val="left" w:pos="720"/>
          <w:tab w:val="left" w:pos="1440"/>
          <w:tab w:val="left" w:pos="9240"/>
        </w:tabs>
        <w:spacing w:line="480" w:lineRule="auto"/>
        <w:ind w:left="720" w:hanging="720"/>
        <w:rPr>
          <w:b/>
        </w:rPr>
      </w:pPr>
      <w:r>
        <w:rPr>
          <w:b/>
        </w:rPr>
        <w:t>Q.</w:t>
      </w:r>
      <w:r>
        <w:rPr>
          <w:b/>
        </w:rPr>
        <w:tab/>
        <w:t>P</w:t>
      </w:r>
      <w:r w:rsidR="00DE055E">
        <w:rPr>
          <w:b/>
        </w:rPr>
        <w:t>lease describe your CE analysis</w:t>
      </w:r>
      <w:r>
        <w:rPr>
          <w:b/>
        </w:rPr>
        <w:t>.</w:t>
      </w:r>
    </w:p>
    <w:p w:rsidR="005222A2" w:rsidRDefault="005222A2" w:rsidP="00417CF7">
      <w:pPr>
        <w:tabs>
          <w:tab w:val="left" w:pos="720"/>
          <w:tab w:val="left" w:pos="1440"/>
          <w:tab w:val="left" w:pos="9240"/>
        </w:tabs>
        <w:spacing w:line="480" w:lineRule="auto"/>
        <w:ind w:left="720" w:hanging="720"/>
      </w:pPr>
      <w:r>
        <w:t>A.</w:t>
      </w:r>
      <w:r>
        <w:tab/>
      </w:r>
      <w:r w:rsidR="005E407C">
        <w:t>Exhibit No. DCP-1</w:t>
      </w:r>
      <w:r w:rsidR="00B763DD">
        <w:t>4</w:t>
      </w:r>
      <w:r>
        <w:t xml:space="preserve"> and </w:t>
      </w:r>
      <w:r w:rsidR="005E407C">
        <w:t>Exhibit No. DCP-1</w:t>
      </w:r>
      <w:r w:rsidR="00B763DD">
        <w:t>5</w:t>
      </w:r>
      <w:r w:rsidR="00F32CAF">
        <w:t xml:space="preserve"> </w:t>
      </w:r>
      <w:r>
        <w:t>contain summaries of experienced returns on equity for several groups of companies.</w:t>
      </w:r>
    </w:p>
    <w:p w:rsidR="00D644AC" w:rsidRDefault="00AC074F" w:rsidP="00417CF7">
      <w:pPr>
        <w:tabs>
          <w:tab w:val="left" w:pos="720"/>
          <w:tab w:val="left" w:pos="1440"/>
          <w:tab w:val="left" w:pos="9240"/>
        </w:tabs>
        <w:spacing w:line="480" w:lineRule="auto"/>
        <w:ind w:left="720"/>
      </w:pPr>
      <w:r>
        <w:tab/>
      </w:r>
      <w:r w:rsidR="005E407C">
        <w:t>Exhibit No. DCP-1</w:t>
      </w:r>
      <w:r w:rsidR="00B763DD">
        <w:t>4</w:t>
      </w:r>
      <w:r w:rsidR="005222A2">
        <w:t xml:space="preserve"> shows the earned returns on average common equity and market-to-book ratios for the </w:t>
      </w:r>
      <w:r w:rsidR="00E67088" w:rsidRPr="007D0800">
        <w:rPr>
          <w:strike/>
        </w:rPr>
        <w:t>two</w:t>
      </w:r>
      <w:r w:rsidR="005222A2">
        <w:t xml:space="preserve"> </w:t>
      </w:r>
      <w:r w:rsidR="007D0800">
        <w:rPr>
          <w:u w:val="single"/>
        </w:rPr>
        <w:t xml:space="preserve">three </w:t>
      </w:r>
      <w:r w:rsidR="005222A2" w:rsidRPr="007D0800">
        <w:t>groups</w:t>
      </w:r>
      <w:r w:rsidR="005222A2">
        <w:t xml:space="preserve"> of proxy utilities.  These can be summarized as follows:</w:t>
      </w:r>
    </w:p>
    <w:tbl>
      <w:tblPr>
        <w:tblpPr w:leftFromText="180" w:rightFromText="180" w:vertAnchor="text" w:horzAnchor="margin" w:tblpXSpec="center" w:tblpY="59"/>
        <w:tblW w:w="0" w:type="auto"/>
        <w:tblLook w:val="01E0"/>
      </w:tblPr>
      <w:tblGrid>
        <w:gridCol w:w="2028"/>
        <w:gridCol w:w="222"/>
        <w:gridCol w:w="1216"/>
        <w:gridCol w:w="222"/>
        <w:gridCol w:w="1336"/>
        <w:gridCol w:w="222"/>
        <w:gridCol w:w="1342"/>
      </w:tblGrid>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center"/>
            </w:pPr>
            <w:r>
              <w:t>Proxy</w:t>
            </w:r>
          </w:p>
        </w:tc>
        <w:tc>
          <w:tcPr>
            <w:tcW w:w="0" w:type="auto"/>
          </w:tcPr>
          <w:p w:rsidR="00C87EE0" w:rsidRDefault="00C87EE0" w:rsidP="00C87EE0">
            <w:pPr>
              <w:tabs>
                <w:tab w:val="left" w:pos="720"/>
                <w:tab w:val="left" w:pos="1440"/>
                <w:tab w:val="left" w:pos="9240"/>
              </w:tabs>
              <w:jc w:val="center"/>
            </w:pPr>
          </w:p>
        </w:tc>
        <w:tc>
          <w:tcPr>
            <w:tcW w:w="0" w:type="auto"/>
          </w:tcPr>
          <w:p w:rsidR="00C87EE0" w:rsidRDefault="00C87EE0" w:rsidP="00C87EE0">
            <w:pPr>
              <w:tabs>
                <w:tab w:val="left" w:pos="720"/>
                <w:tab w:val="left" w:pos="1440"/>
                <w:tab w:val="left" w:pos="9240"/>
              </w:tabs>
              <w:jc w:val="center"/>
            </w:pPr>
            <w:r>
              <w:t>S&amp;P</w:t>
            </w:r>
          </w:p>
        </w:tc>
        <w:tc>
          <w:tcPr>
            <w:tcW w:w="0" w:type="auto"/>
          </w:tcPr>
          <w:p w:rsidR="00C87EE0" w:rsidRDefault="00C87EE0" w:rsidP="00C87EE0">
            <w:pPr>
              <w:tabs>
                <w:tab w:val="left" w:pos="720"/>
                <w:tab w:val="left" w:pos="1440"/>
                <w:tab w:val="left" w:pos="9240"/>
              </w:tabs>
              <w:jc w:val="center"/>
            </w:pPr>
          </w:p>
        </w:tc>
        <w:tc>
          <w:tcPr>
            <w:tcW w:w="1342" w:type="dxa"/>
          </w:tcPr>
          <w:p w:rsidR="00C87EE0" w:rsidRDefault="00C87EE0" w:rsidP="00C87EE0">
            <w:pPr>
              <w:tabs>
                <w:tab w:val="left" w:pos="720"/>
                <w:tab w:val="left" w:pos="1440"/>
                <w:tab w:val="left" w:pos="9240"/>
              </w:tabs>
              <w:jc w:val="center"/>
            </w:pPr>
            <w:r>
              <w:t>Integrated</w:t>
            </w:r>
          </w:p>
        </w:tc>
      </w:tr>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bottom w:val="single" w:sz="4" w:space="0" w:color="auto"/>
            </w:tcBorders>
          </w:tcPr>
          <w:p w:rsidR="00C87EE0" w:rsidRDefault="00C87EE0" w:rsidP="00C87EE0">
            <w:pPr>
              <w:tabs>
                <w:tab w:val="left" w:pos="720"/>
                <w:tab w:val="left" w:pos="1440"/>
                <w:tab w:val="left" w:pos="9240"/>
              </w:tabs>
              <w:jc w:val="center"/>
            </w:pPr>
            <w:r>
              <w:t>Group</w:t>
            </w:r>
          </w:p>
        </w:tc>
        <w:tc>
          <w:tcPr>
            <w:tcW w:w="0" w:type="auto"/>
          </w:tcPr>
          <w:p w:rsidR="00C87EE0" w:rsidRDefault="00C87EE0" w:rsidP="00C87EE0">
            <w:pPr>
              <w:tabs>
                <w:tab w:val="left" w:pos="720"/>
                <w:tab w:val="left" w:pos="1440"/>
                <w:tab w:val="left" w:pos="9240"/>
              </w:tabs>
              <w:jc w:val="center"/>
            </w:pPr>
          </w:p>
        </w:tc>
        <w:tc>
          <w:tcPr>
            <w:tcW w:w="0" w:type="auto"/>
            <w:tcBorders>
              <w:bottom w:val="single" w:sz="4" w:space="0" w:color="auto"/>
            </w:tcBorders>
          </w:tcPr>
          <w:p w:rsidR="00C87EE0" w:rsidRDefault="00C87EE0" w:rsidP="00C87EE0">
            <w:pPr>
              <w:tabs>
                <w:tab w:val="left" w:pos="720"/>
                <w:tab w:val="left" w:pos="1440"/>
                <w:tab w:val="left" w:pos="9240"/>
              </w:tabs>
              <w:jc w:val="center"/>
            </w:pPr>
            <w:r>
              <w:t>Group</w:t>
            </w:r>
          </w:p>
        </w:tc>
        <w:tc>
          <w:tcPr>
            <w:tcW w:w="0" w:type="auto"/>
          </w:tcPr>
          <w:p w:rsidR="00C87EE0" w:rsidRDefault="00C87EE0" w:rsidP="00C87EE0">
            <w:pPr>
              <w:tabs>
                <w:tab w:val="left" w:pos="720"/>
                <w:tab w:val="left" w:pos="1440"/>
                <w:tab w:val="left" w:pos="9240"/>
              </w:tabs>
              <w:jc w:val="center"/>
            </w:pPr>
          </w:p>
        </w:tc>
        <w:tc>
          <w:tcPr>
            <w:tcW w:w="1342" w:type="dxa"/>
            <w:tcBorders>
              <w:bottom w:val="single" w:sz="4" w:space="0" w:color="auto"/>
            </w:tcBorders>
          </w:tcPr>
          <w:p w:rsidR="00C87EE0" w:rsidRDefault="00C87EE0" w:rsidP="00C87EE0">
            <w:pPr>
              <w:tabs>
                <w:tab w:val="left" w:pos="720"/>
                <w:tab w:val="left" w:pos="1440"/>
                <w:tab w:val="left" w:pos="9240"/>
              </w:tabs>
              <w:jc w:val="center"/>
            </w:pPr>
            <w:r>
              <w:t>Group</w:t>
            </w:r>
          </w:p>
        </w:tc>
      </w:tr>
      <w:tr w:rsidR="00C87EE0" w:rsidTr="00C87EE0">
        <w:tc>
          <w:tcPr>
            <w:tcW w:w="2028" w:type="dxa"/>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top w:val="single" w:sz="4" w:space="0" w:color="auto"/>
            </w:tcBorders>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Borders>
              <w:top w:val="single" w:sz="4" w:space="0" w:color="auto"/>
            </w:tcBorders>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1342" w:type="dxa"/>
            <w:tcBorders>
              <w:top w:val="single" w:sz="4" w:space="0" w:color="auto"/>
            </w:tcBorders>
          </w:tcPr>
          <w:p w:rsidR="00C87EE0" w:rsidRDefault="00C87EE0" w:rsidP="00C87EE0">
            <w:pPr>
              <w:tabs>
                <w:tab w:val="left" w:pos="720"/>
                <w:tab w:val="left" w:pos="1440"/>
                <w:tab w:val="left" w:pos="9240"/>
              </w:tabs>
              <w:jc w:val="both"/>
            </w:pPr>
          </w:p>
        </w:tc>
      </w:tr>
      <w:tr w:rsidR="00C87EE0" w:rsidTr="00C87EE0">
        <w:tc>
          <w:tcPr>
            <w:tcW w:w="2028" w:type="dxa"/>
          </w:tcPr>
          <w:p w:rsidR="00C87EE0" w:rsidRDefault="00C87EE0" w:rsidP="00C87EE0">
            <w:pPr>
              <w:tabs>
                <w:tab w:val="left" w:pos="720"/>
                <w:tab w:val="left" w:pos="1440"/>
                <w:tab w:val="left" w:pos="9240"/>
              </w:tabs>
              <w:jc w:val="both"/>
            </w:pPr>
            <w:r>
              <w:t>Historic ROE</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both"/>
            </w:pPr>
          </w:p>
        </w:tc>
        <w:tc>
          <w:tcPr>
            <w:tcW w:w="1342" w:type="dxa"/>
          </w:tcPr>
          <w:p w:rsidR="00C87EE0" w:rsidRDefault="00C87EE0" w:rsidP="00C87EE0">
            <w:pPr>
              <w:tabs>
                <w:tab w:val="left" w:pos="720"/>
                <w:tab w:val="left" w:pos="1440"/>
                <w:tab w:val="left" w:pos="9240"/>
              </w:tabs>
              <w:jc w:val="both"/>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8.3-10.9%</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5457A9">
            <w:pPr>
              <w:tabs>
                <w:tab w:val="left" w:pos="720"/>
                <w:tab w:val="left" w:pos="1440"/>
                <w:tab w:val="left" w:pos="9240"/>
              </w:tabs>
              <w:jc w:val="right"/>
            </w:pPr>
            <w:r>
              <w:t>11.6-1</w:t>
            </w:r>
            <w:r w:rsidR="005457A9">
              <w:t>2.1</w:t>
            </w:r>
            <w:r>
              <w:t>%</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10.</w:t>
            </w:r>
            <w:r w:rsidR="005457A9">
              <w:t>0</w:t>
            </w:r>
            <w:r>
              <w:t>-</w:t>
            </w:r>
            <w:r w:rsidR="005457A9">
              <w:t>10.5</w:t>
            </w:r>
            <w:r>
              <w:t>%</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8.6-11.4%</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11.7-12.2%</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w:t>
            </w:r>
            <w:r w:rsidR="005457A9">
              <w:t>0.4</w:t>
            </w:r>
            <w:r>
              <w:t>-12.</w:t>
            </w:r>
            <w:r w:rsidR="005457A9">
              <w:t>4</w:t>
            </w:r>
            <w:r>
              <w:t>%</w:t>
            </w:r>
          </w:p>
        </w:tc>
      </w:tr>
      <w:tr w:rsidR="00C87EE0" w:rsidTr="00C87EE0">
        <w:tc>
          <w:tcPr>
            <w:tcW w:w="2028" w:type="dxa"/>
          </w:tcPr>
          <w:p w:rsidR="00C87EE0" w:rsidRDefault="00C87EE0" w:rsidP="00C87EE0">
            <w:pPr>
              <w:tabs>
                <w:tab w:val="left" w:pos="720"/>
                <w:tab w:val="left" w:pos="1440"/>
                <w:tab w:val="left" w:pos="9240"/>
              </w:tabs>
              <w:jc w:val="both"/>
            </w:pPr>
            <w:r>
              <w:t>Historic M/B</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147-157%</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167-174%</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r>
              <w:t>137-164%</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5457A9">
            <w:pPr>
              <w:tabs>
                <w:tab w:val="left" w:pos="720"/>
                <w:tab w:val="left" w:pos="1440"/>
                <w:tab w:val="left" w:pos="9240"/>
              </w:tabs>
              <w:jc w:val="right"/>
            </w:pPr>
            <w:r>
              <w:t>13</w:t>
            </w:r>
            <w:r w:rsidR="005457A9">
              <w:t>5</w:t>
            </w:r>
            <w:r>
              <w:t>-157%</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161%</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15</w:t>
            </w:r>
            <w:r w:rsidR="005457A9">
              <w:t>3</w:t>
            </w:r>
            <w:r>
              <w:t>-16</w:t>
            </w:r>
            <w:r w:rsidR="005457A9">
              <w:t>6</w:t>
            </w:r>
            <w:r>
              <w:t>%</w:t>
            </w:r>
          </w:p>
        </w:tc>
      </w:tr>
      <w:tr w:rsidR="00C87EE0" w:rsidTr="00C87EE0">
        <w:tc>
          <w:tcPr>
            <w:tcW w:w="2028" w:type="dxa"/>
          </w:tcPr>
          <w:p w:rsidR="00C87EE0" w:rsidRDefault="00C87EE0" w:rsidP="00C87EE0">
            <w:pPr>
              <w:tabs>
                <w:tab w:val="left" w:pos="720"/>
                <w:tab w:val="left" w:pos="1440"/>
                <w:tab w:val="left" w:pos="9240"/>
              </w:tabs>
              <w:jc w:val="both"/>
            </w:pPr>
            <w:r>
              <w:t>Prospective ROE</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C87EE0">
            <w:pPr>
              <w:tabs>
                <w:tab w:val="left" w:pos="720"/>
                <w:tab w:val="left" w:pos="1440"/>
                <w:tab w:val="left" w:pos="9240"/>
              </w:tabs>
              <w:jc w:val="right"/>
            </w:pPr>
          </w:p>
        </w:tc>
      </w:tr>
      <w:tr w:rsidR="00C87EE0" w:rsidTr="00C87EE0">
        <w:tc>
          <w:tcPr>
            <w:tcW w:w="2028" w:type="dxa"/>
          </w:tcPr>
          <w:p w:rsidR="00C87EE0" w:rsidRDefault="00C87EE0" w:rsidP="00C87EE0">
            <w:pPr>
              <w:tabs>
                <w:tab w:val="left" w:pos="720"/>
                <w:tab w:val="left" w:pos="1440"/>
                <w:tab w:val="left" w:pos="9240"/>
              </w:tabs>
              <w:jc w:val="both"/>
            </w:pPr>
            <w:r>
              <w:t xml:space="preserve">     Mean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5457A9">
            <w:pPr>
              <w:tabs>
                <w:tab w:val="left" w:pos="720"/>
                <w:tab w:val="left" w:pos="1440"/>
                <w:tab w:val="left" w:pos="9240"/>
              </w:tabs>
              <w:jc w:val="right"/>
            </w:pPr>
            <w:r>
              <w:t>9.2-9.</w:t>
            </w:r>
            <w:r w:rsidR="005457A9">
              <w:t>7</w:t>
            </w:r>
            <w:r>
              <w:t>%</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5457A9">
            <w:pPr>
              <w:tabs>
                <w:tab w:val="left" w:pos="720"/>
                <w:tab w:val="left" w:pos="1440"/>
                <w:tab w:val="left" w:pos="9240"/>
              </w:tabs>
              <w:jc w:val="right"/>
            </w:pPr>
            <w:r>
              <w:t>12.</w:t>
            </w:r>
            <w:r w:rsidR="005457A9">
              <w:t>1</w:t>
            </w:r>
            <w:r>
              <w:t>-12.</w:t>
            </w:r>
            <w:r w:rsidR="005457A9">
              <w:t>2</w:t>
            </w:r>
            <w:r>
              <w:t>%</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C87EE0" w:rsidP="005457A9">
            <w:pPr>
              <w:tabs>
                <w:tab w:val="left" w:pos="720"/>
                <w:tab w:val="left" w:pos="1440"/>
                <w:tab w:val="left" w:pos="9240"/>
              </w:tabs>
              <w:jc w:val="right"/>
            </w:pPr>
            <w:r>
              <w:t>1</w:t>
            </w:r>
            <w:r w:rsidR="005457A9">
              <w:t>1.0</w:t>
            </w:r>
            <w:r>
              <w:t>-11.</w:t>
            </w:r>
            <w:r w:rsidR="005457A9">
              <w:t>5</w:t>
            </w:r>
            <w:r>
              <w:t>%</w:t>
            </w:r>
          </w:p>
        </w:tc>
      </w:tr>
      <w:tr w:rsidR="00C87EE0" w:rsidTr="00C87EE0">
        <w:tc>
          <w:tcPr>
            <w:tcW w:w="2028" w:type="dxa"/>
          </w:tcPr>
          <w:p w:rsidR="00C87EE0" w:rsidRDefault="00C87EE0" w:rsidP="00C87EE0">
            <w:pPr>
              <w:tabs>
                <w:tab w:val="left" w:pos="720"/>
                <w:tab w:val="left" w:pos="1440"/>
                <w:tab w:val="left" w:pos="9240"/>
              </w:tabs>
              <w:jc w:val="both"/>
            </w:pPr>
            <w:r>
              <w:t xml:space="preserve">     Median</w:t>
            </w:r>
          </w:p>
        </w:tc>
        <w:tc>
          <w:tcPr>
            <w:tcW w:w="0" w:type="auto"/>
          </w:tcPr>
          <w:p w:rsidR="00C87EE0" w:rsidRDefault="00C87EE0" w:rsidP="00C87EE0">
            <w:pPr>
              <w:tabs>
                <w:tab w:val="left" w:pos="720"/>
                <w:tab w:val="left" w:pos="1440"/>
                <w:tab w:val="left" w:pos="9240"/>
              </w:tabs>
              <w:jc w:val="both"/>
            </w:pPr>
          </w:p>
        </w:tc>
        <w:tc>
          <w:tcPr>
            <w:tcW w:w="0" w:type="auto"/>
          </w:tcPr>
          <w:p w:rsidR="00C87EE0" w:rsidRDefault="00C87EE0" w:rsidP="00C87EE0">
            <w:pPr>
              <w:tabs>
                <w:tab w:val="left" w:pos="720"/>
                <w:tab w:val="left" w:pos="1440"/>
                <w:tab w:val="left" w:pos="9240"/>
              </w:tabs>
              <w:jc w:val="right"/>
            </w:pPr>
            <w:r>
              <w:t>9.0-9.5%</w:t>
            </w:r>
          </w:p>
        </w:tc>
        <w:tc>
          <w:tcPr>
            <w:tcW w:w="0" w:type="auto"/>
          </w:tcPr>
          <w:p w:rsidR="00C87EE0" w:rsidRDefault="00C87EE0" w:rsidP="00C87EE0">
            <w:pPr>
              <w:tabs>
                <w:tab w:val="left" w:pos="720"/>
                <w:tab w:val="left" w:pos="1440"/>
                <w:tab w:val="left" w:pos="9240"/>
              </w:tabs>
              <w:jc w:val="right"/>
            </w:pPr>
          </w:p>
        </w:tc>
        <w:tc>
          <w:tcPr>
            <w:tcW w:w="0" w:type="auto"/>
          </w:tcPr>
          <w:p w:rsidR="00C87EE0" w:rsidRDefault="00C87EE0" w:rsidP="00C87EE0">
            <w:pPr>
              <w:tabs>
                <w:tab w:val="left" w:pos="720"/>
                <w:tab w:val="left" w:pos="1440"/>
                <w:tab w:val="left" w:pos="9240"/>
              </w:tabs>
              <w:jc w:val="right"/>
            </w:pPr>
            <w:r>
              <w:t>11.5-12.0%</w:t>
            </w:r>
          </w:p>
        </w:tc>
        <w:tc>
          <w:tcPr>
            <w:tcW w:w="0" w:type="auto"/>
          </w:tcPr>
          <w:p w:rsidR="00C87EE0" w:rsidRDefault="00C87EE0" w:rsidP="00C87EE0">
            <w:pPr>
              <w:tabs>
                <w:tab w:val="left" w:pos="720"/>
                <w:tab w:val="left" w:pos="1440"/>
                <w:tab w:val="left" w:pos="9240"/>
              </w:tabs>
              <w:jc w:val="right"/>
            </w:pPr>
          </w:p>
        </w:tc>
        <w:tc>
          <w:tcPr>
            <w:tcW w:w="1342" w:type="dxa"/>
          </w:tcPr>
          <w:p w:rsidR="00C87EE0" w:rsidRDefault="005457A9" w:rsidP="005457A9">
            <w:pPr>
              <w:tabs>
                <w:tab w:val="left" w:pos="720"/>
                <w:tab w:val="left" w:pos="1440"/>
                <w:tab w:val="left" w:pos="9240"/>
              </w:tabs>
              <w:jc w:val="right"/>
            </w:pPr>
            <w:r>
              <w:t>10</w:t>
            </w:r>
            <w:r w:rsidR="00C87EE0">
              <w:t>.5-</w:t>
            </w:r>
            <w:r>
              <w:t>11</w:t>
            </w:r>
            <w:r w:rsidR="00C87EE0">
              <w:t>.0%</w:t>
            </w:r>
          </w:p>
        </w:tc>
      </w:tr>
    </w:tbl>
    <w:p w:rsidR="00C87EE0" w:rsidRDefault="00C87EE0" w:rsidP="00417CF7">
      <w:pPr>
        <w:tabs>
          <w:tab w:val="left" w:pos="720"/>
          <w:tab w:val="left" w:pos="1440"/>
          <w:tab w:val="left" w:pos="9240"/>
        </w:tabs>
        <w:spacing w:line="480" w:lineRule="auto"/>
        <w:ind w:left="720"/>
      </w:pPr>
    </w:p>
    <w:p w:rsidR="00C87EE0" w:rsidRDefault="00C87EE0" w:rsidP="00417CF7">
      <w:pPr>
        <w:tabs>
          <w:tab w:val="left" w:pos="720"/>
          <w:tab w:val="left" w:pos="1440"/>
          <w:tab w:val="left" w:pos="9240"/>
        </w:tabs>
        <w:spacing w:line="480" w:lineRule="auto"/>
        <w:ind w:left="720"/>
      </w:pPr>
    </w:p>
    <w:p w:rsidR="00C87EE0" w:rsidRDefault="00C87EE0"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81BC6" w:rsidRDefault="00681BC6" w:rsidP="00417CF7">
      <w:pPr>
        <w:tabs>
          <w:tab w:val="left" w:pos="720"/>
          <w:tab w:val="left" w:pos="1440"/>
          <w:tab w:val="left" w:pos="9240"/>
        </w:tabs>
        <w:spacing w:line="480" w:lineRule="auto"/>
        <w:ind w:left="720"/>
      </w:pPr>
    </w:p>
    <w:p w:rsidR="0064476E" w:rsidRDefault="005222A2" w:rsidP="00417CF7">
      <w:pPr>
        <w:tabs>
          <w:tab w:val="left" w:pos="720"/>
          <w:tab w:val="left" w:pos="1440"/>
          <w:tab w:val="left" w:pos="9240"/>
        </w:tabs>
        <w:spacing w:line="480" w:lineRule="auto"/>
        <w:ind w:left="720"/>
      </w:pPr>
      <w:r>
        <w:t xml:space="preserve">These results indicate that historic returns of </w:t>
      </w:r>
      <w:r w:rsidR="00B763DD">
        <w:t>8.3-</w:t>
      </w:r>
      <w:r w:rsidR="00B763DD" w:rsidRPr="007D0800">
        <w:rPr>
          <w:strike/>
        </w:rPr>
        <w:t>12.2</w:t>
      </w:r>
      <w:r>
        <w:t xml:space="preserve"> </w:t>
      </w:r>
      <w:r w:rsidR="007D0800">
        <w:rPr>
          <w:u w:val="single"/>
        </w:rPr>
        <w:t xml:space="preserve">12.4 </w:t>
      </w:r>
      <w:r>
        <w:t xml:space="preserve">percent have been adequate to produce market-to-book ratios of </w:t>
      </w:r>
      <w:r w:rsidR="00911C1E">
        <w:t>1</w:t>
      </w:r>
      <w:r w:rsidR="00B763DD">
        <w:t>3</w:t>
      </w:r>
      <w:r w:rsidR="00F739C2">
        <w:t>5-</w:t>
      </w:r>
      <w:r w:rsidR="00F739C2" w:rsidRPr="007D0800">
        <w:rPr>
          <w:strike/>
        </w:rPr>
        <w:t>16</w:t>
      </w:r>
      <w:r w:rsidR="00B763DD" w:rsidRPr="007D0800">
        <w:rPr>
          <w:strike/>
        </w:rPr>
        <w:t>7</w:t>
      </w:r>
      <w:r w:rsidR="007D0800">
        <w:rPr>
          <w:u w:val="single"/>
        </w:rPr>
        <w:t>174</w:t>
      </w:r>
      <w:r>
        <w:t xml:space="preserve"> percent for the groups of proxy utilities.  Furthermore, projected returns on equity for 20</w:t>
      </w:r>
      <w:r w:rsidR="00F739C2">
        <w:t>10</w:t>
      </w:r>
      <w:r>
        <w:t>, and 20</w:t>
      </w:r>
      <w:r w:rsidR="00067784">
        <w:t>1</w:t>
      </w:r>
      <w:r w:rsidR="00F739C2">
        <w:t>2</w:t>
      </w:r>
      <w:r>
        <w:t>-201</w:t>
      </w:r>
      <w:r w:rsidR="00F739C2">
        <w:t>4</w:t>
      </w:r>
      <w:r>
        <w:t xml:space="preserve"> are within a range of </w:t>
      </w:r>
      <w:r w:rsidR="00E93465">
        <w:t>9.0</w:t>
      </w:r>
      <w:r>
        <w:t xml:space="preserve"> percent to </w:t>
      </w:r>
      <w:r w:rsidR="00067784">
        <w:t>1</w:t>
      </w:r>
      <w:r w:rsidR="00E93465">
        <w:t>2.</w:t>
      </w:r>
      <w:r w:rsidR="005457A9">
        <w:t>2</w:t>
      </w:r>
      <w:r>
        <w:t xml:space="preserve"> percent for the utility groups.  These relate to 200</w:t>
      </w:r>
      <w:r w:rsidR="00EB5BBE">
        <w:t>8</w:t>
      </w:r>
      <w:r>
        <w:t xml:space="preserve"> market-to-book ratios of </w:t>
      </w:r>
      <w:r w:rsidR="00EB5BBE">
        <w:t>11</w:t>
      </w:r>
      <w:r w:rsidR="00E93465">
        <w:t>8</w:t>
      </w:r>
      <w:r>
        <w:t xml:space="preserve"> percent or higher.</w:t>
      </w:r>
      <w:r w:rsidR="001C5671">
        <w:t xml:space="preserve">  </w:t>
      </w:r>
    </w:p>
    <w:p w:rsidR="00D52A4D" w:rsidRDefault="00D52A4D" w:rsidP="00417CF7">
      <w:pPr>
        <w:tabs>
          <w:tab w:val="left" w:pos="720"/>
          <w:tab w:val="left" w:pos="1440"/>
          <w:tab w:val="left" w:pos="9240"/>
        </w:tabs>
        <w:spacing w:line="480" w:lineRule="auto"/>
        <w:ind w:left="720"/>
      </w:pPr>
    </w:p>
    <w:p w:rsidR="005222A2" w:rsidRDefault="005222A2" w:rsidP="00417CF7">
      <w:pPr>
        <w:keepNext/>
        <w:tabs>
          <w:tab w:val="left" w:pos="720"/>
          <w:tab w:val="left" w:pos="1440"/>
          <w:tab w:val="left" w:pos="9240"/>
        </w:tabs>
        <w:spacing w:line="480" w:lineRule="auto"/>
        <w:rPr>
          <w:b/>
        </w:rPr>
      </w:pPr>
      <w:r>
        <w:rPr>
          <w:b/>
        </w:rPr>
        <w:t>Q.</w:t>
      </w:r>
      <w:r>
        <w:rPr>
          <w:b/>
        </w:rPr>
        <w:tab/>
        <w:t>H</w:t>
      </w:r>
      <w:r w:rsidR="00DE055E">
        <w:rPr>
          <w:b/>
        </w:rPr>
        <w:t>ave you also reviewed earnings of unregulated firms</w:t>
      </w:r>
      <w:r>
        <w:rPr>
          <w:b/>
        </w:rPr>
        <w:t>?</w:t>
      </w:r>
    </w:p>
    <w:p w:rsidR="005222A2" w:rsidRDefault="005222A2" w:rsidP="00417CF7">
      <w:pPr>
        <w:tabs>
          <w:tab w:val="left" w:pos="720"/>
          <w:tab w:val="left" w:pos="1440"/>
          <w:tab w:val="left" w:pos="9240"/>
        </w:tabs>
        <w:spacing w:line="480" w:lineRule="auto"/>
        <w:ind w:left="720" w:hanging="720"/>
      </w:pPr>
      <w:r>
        <w:t>A.</w:t>
      </w:r>
      <w:r>
        <w:tab/>
        <w:t>Yes.  As an alternative, I also examined a group of largely unregula</w:t>
      </w:r>
      <w:r w:rsidR="00E05E01">
        <w:t xml:space="preserve">ted firms.  I have examined </w:t>
      </w:r>
      <w:r>
        <w:t xml:space="preserve">Standard &amp; Poor’s 500 Composite </w:t>
      </w:r>
      <w:proofErr w:type="gramStart"/>
      <w:r>
        <w:t>group</w:t>
      </w:r>
      <w:proofErr w:type="gramEnd"/>
      <w:r>
        <w:t xml:space="preserve">, since this is a well recognized group of firms that is widely utilized in the investment community and is indicative of the competitive sector of the economy.  </w:t>
      </w:r>
      <w:r w:rsidR="005E407C">
        <w:t>Exhibit No. DCP-1</w:t>
      </w:r>
      <w:r w:rsidR="00E93465">
        <w:t>5</w:t>
      </w:r>
      <w:r>
        <w:t xml:space="preserve"> presents the earned returns on equity and market-to-book ratios for the S&amp;P 500 group over the past </w:t>
      </w:r>
      <w:r w:rsidR="00E005CF">
        <w:t>sixteen</w:t>
      </w:r>
      <w:r>
        <w:t xml:space="preserve"> years.  As this </w:t>
      </w:r>
      <w:r w:rsidR="005E407C">
        <w:t>Exhibit</w:t>
      </w:r>
      <w:r>
        <w:t xml:space="preserve"> indicates, over the two periods this group’s average earned returns ranged from 1</w:t>
      </w:r>
      <w:r w:rsidR="00982418">
        <w:t>3</w:t>
      </w:r>
      <w:r w:rsidR="0064476E">
        <w:t>.</w:t>
      </w:r>
      <w:r w:rsidR="00982418">
        <w:t>9</w:t>
      </w:r>
      <w:r w:rsidR="0064476E">
        <w:t xml:space="preserve"> percent to </w:t>
      </w:r>
      <w:r>
        <w:t>1</w:t>
      </w:r>
      <w:r w:rsidR="00982418">
        <w:t>4</w:t>
      </w:r>
      <w:r>
        <w:t>.</w:t>
      </w:r>
      <w:r w:rsidR="00982418">
        <w:t>7</w:t>
      </w:r>
      <w:r>
        <w:t xml:space="preserve"> percent with market-to-</w:t>
      </w:r>
      <w:r w:rsidR="0064476E">
        <w:t>book ratios ranging between 28</w:t>
      </w:r>
      <w:r w:rsidR="00982418">
        <w:t>4</w:t>
      </w:r>
      <w:r w:rsidR="000F4D60">
        <w:t xml:space="preserve"> percent and 341 percent.</w:t>
      </w:r>
    </w:p>
    <w:p w:rsidR="00C87EE0" w:rsidRDefault="00C87EE0" w:rsidP="00417CF7">
      <w:pPr>
        <w:tabs>
          <w:tab w:val="left" w:pos="720"/>
          <w:tab w:val="left" w:pos="1440"/>
          <w:tab w:val="left" w:pos="9240"/>
        </w:tabs>
        <w:spacing w:line="480" w:lineRule="auto"/>
        <w:ind w:left="720" w:hanging="720"/>
      </w:pPr>
    </w:p>
    <w:p w:rsidR="005222A2" w:rsidRDefault="005222A2" w:rsidP="00417CF7">
      <w:pPr>
        <w:tabs>
          <w:tab w:val="left" w:pos="720"/>
          <w:tab w:val="left" w:pos="1440"/>
          <w:tab w:val="left" w:pos="9240"/>
        </w:tabs>
        <w:spacing w:line="480" w:lineRule="auto"/>
        <w:ind w:left="720" w:hanging="720"/>
        <w:rPr>
          <w:b/>
        </w:rPr>
      </w:pPr>
      <w:r>
        <w:rPr>
          <w:b/>
        </w:rPr>
        <w:t>Q.</w:t>
      </w:r>
      <w:r>
        <w:rPr>
          <w:b/>
        </w:rPr>
        <w:tab/>
        <w:t>H</w:t>
      </w:r>
      <w:r w:rsidR="00DE055E">
        <w:rPr>
          <w:b/>
        </w:rPr>
        <w:t>ow can the above information be used to estimate the cost of equity for</w:t>
      </w:r>
      <w:r w:rsidR="00124060">
        <w:rPr>
          <w:b/>
        </w:rPr>
        <w:t xml:space="preserve"> </w:t>
      </w:r>
      <w:r w:rsidR="00B91BA3">
        <w:rPr>
          <w:b/>
        </w:rPr>
        <w:t>PSE</w:t>
      </w:r>
      <w:r>
        <w:rPr>
          <w:b/>
        </w:rPr>
        <w:t>?</w:t>
      </w:r>
    </w:p>
    <w:p w:rsidR="00D801D7" w:rsidRDefault="005222A2" w:rsidP="00417CF7">
      <w:pPr>
        <w:tabs>
          <w:tab w:val="left" w:pos="720"/>
          <w:tab w:val="left" w:pos="1440"/>
          <w:tab w:val="left" w:pos="9240"/>
        </w:tabs>
        <w:spacing w:line="480" w:lineRule="auto"/>
        <w:ind w:left="720" w:hanging="720"/>
      </w:pPr>
      <w:r>
        <w:t>A.</w:t>
      </w:r>
      <w:r>
        <w:tab/>
        <w:t xml:space="preserve">The recent earnings of the proxy utility and S&amp;P 500 groups can be utilized </w:t>
      </w:r>
      <w:r w:rsidR="00AB16F3">
        <w:t xml:space="preserve">as </w:t>
      </w:r>
      <w:r>
        <w:t xml:space="preserve">an indication of the level of return realized and expected in the regulated and competitive sectors of the economy.  </w:t>
      </w:r>
    </w:p>
    <w:p w:rsidR="00E67088" w:rsidRDefault="00E67088" w:rsidP="00417CF7">
      <w:pPr>
        <w:tabs>
          <w:tab w:val="left" w:pos="720"/>
          <w:tab w:val="left" w:pos="1440"/>
          <w:tab w:val="left" w:pos="9240"/>
        </w:tabs>
        <w:spacing w:line="480" w:lineRule="auto"/>
        <w:ind w:left="720" w:hanging="720"/>
      </w:pPr>
    </w:p>
    <w:p w:rsidR="005222A2" w:rsidRDefault="005222A2" w:rsidP="008B65D4">
      <w:pPr>
        <w:keepNext/>
        <w:tabs>
          <w:tab w:val="left" w:pos="720"/>
          <w:tab w:val="left" w:pos="1440"/>
          <w:tab w:val="left" w:pos="9240"/>
        </w:tabs>
        <w:spacing w:line="480" w:lineRule="auto"/>
        <w:ind w:left="720" w:hanging="720"/>
        <w:rPr>
          <w:b/>
        </w:rPr>
      </w:pPr>
      <w:r>
        <w:rPr>
          <w:b/>
        </w:rPr>
        <w:lastRenderedPageBreak/>
        <w:t>Q.</w:t>
      </w:r>
      <w:r>
        <w:rPr>
          <w:b/>
        </w:rPr>
        <w:tab/>
        <w:t>W</w:t>
      </w:r>
      <w:r w:rsidR="00DE055E">
        <w:rPr>
          <w:b/>
        </w:rPr>
        <w:t>hat return on equity is indicated by the CE analysis</w:t>
      </w:r>
      <w:r>
        <w:rPr>
          <w:b/>
        </w:rPr>
        <w:t>?</w:t>
      </w:r>
    </w:p>
    <w:p w:rsidR="00EB5BBE" w:rsidRDefault="005222A2" w:rsidP="00417CF7">
      <w:pPr>
        <w:tabs>
          <w:tab w:val="left" w:pos="720"/>
          <w:tab w:val="left" w:pos="1440"/>
          <w:tab w:val="left" w:pos="9240"/>
        </w:tabs>
        <w:spacing w:line="480" w:lineRule="auto"/>
        <w:ind w:left="720" w:hanging="720"/>
      </w:pPr>
      <w:r>
        <w:t>A.</w:t>
      </w:r>
      <w:r>
        <w:tab/>
        <w:t xml:space="preserve">Based on the recent earnings and market-to-book ratios, I believe the CE analysis indicates that the cost of equity for the proxy utilities is no more than </w:t>
      </w:r>
      <w:r w:rsidR="00F739C2">
        <w:t>9.5</w:t>
      </w:r>
      <w:r>
        <w:t xml:space="preserve"> percent</w:t>
      </w:r>
      <w:r w:rsidR="00354D74">
        <w:t xml:space="preserve"> to 10.5 percent (10.</w:t>
      </w:r>
      <w:r w:rsidR="00CC0AAD">
        <w:t xml:space="preserve">00 </w:t>
      </w:r>
      <w:r w:rsidR="00354D74">
        <w:t xml:space="preserve">percent mid-point).  </w:t>
      </w:r>
      <w:r>
        <w:t>Recent return</w:t>
      </w:r>
      <w:r w:rsidR="00A3061C">
        <w:t>s</w:t>
      </w:r>
      <w:r>
        <w:t xml:space="preserve"> of </w:t>
      </w:r>
      <w:r w:rsidR="00E93465">
        <w:t>8.3</w:t>
      </w:r>
      <w:r>
        <w:t xml:space="preserve"> percent </w:t>
      </w:r>
      <w:r w:rsidR="0064476E">
        <w:t xml:space="preserve">to </w:t>
      </w:r>
      <w:r w:rsidR="0064476E" w:rsidRPr="007D0800">
        <w:rPr>
          <w:strike/>
        </w:rPr>
        <w:t>1</w:t>
      </w:r>
      <w:r w:rsidR="00F739C2" w:rsidRPr="007D0800">
        <w:rPr>
          <w:strike/>
        </w:rPr>
        <w:t>2.</w:t>
      </w:r>
      <w:r w:rsidR="00E93465" w:rsidRPr="007D0800">
        <w:rPr>
          <w:strike/>
        </w:rPr>
        <w:t>2</w:t>
      </w:r>
      <w:r w:rsidR="0064476E">
        <w:t xml:space="preserve"> </w:t>
      </w:r>
      <w:r w:rsidR="007D0800">
        <w:rPr>
          <w:u w:val="single"/>
        </w:rPr>
        <w:t xml:space="preserve">12.4 </w:t>
      </w:r>
      <w:r w:rsidR="0064476E">
        <w:t xml:space="preserve">percent </w:t>
      </w:r>
      <w:r>
        <w:t>have result</w:t>
      </w:r>
      <w:r w:rsidR="00AB16F3">
        <w:t xml:space="preserve">ed </w:t>
      </w:r>
      <w:r>
        <w:t xml:space="preserve">in market-to-book ratios of </w:t>
      </w:r>
      <w:r w:rsidR="00124060">
        <w:t>1</w:t>
      </w:r>
      <w:r w:rsidR="00E93465">
        <w:t>3</w:t>
      </w:r>
      <w:r w:rsidR="00E005CF">
        <w:t>5</w:t>
      </w:r>
      <w:r>
        <w:t xml:space="preserve"> and greater.  Prospective returns of </w:t>
      </w:r>
      <w:r w:rsidR="00E93465">
        <w:t>9.0</w:t>
      </w:r>
      <w:r w:rsidR="0064476E">
        <w:t xml:space="preserve"> percent to </w:t>
      </w:r>
      <w:r w:rsidR="00E93465" w:rsidRPr="007D0800">
        <w:rPr>
          <w:strike/>
        </w:rPr>
        <w:t>12.1</w:t>
      </w:r>
      <w:r>
        <w:t xml:space="preserve"> </w:t>
      </w:r>
      <w:r w:rsidR="007D0800">
        <w:rPr>
          <w:u w:val="single"/>
        </w:rPr>
        <w:t>12.2</w:t>
      </w:r>
      <w:r w:rsidR="007D0800">
        <w:t xml:space="preserve"> </w:t>
      </w:r>
      <w:r>
        <w:t xml:space="preserve">percent </w:t>
      </w:r>
      <w:r w:rsidR="00F17CD8">
        <w:t>result in anticipated</w:t>
      </w:r>
      <w:r>
        <w:t xml:space="preserve"> market-to-book ratios of over </w:t>
      </w:r>
      <w:r w:rsidR="00911C1E">
        <w:t>1</w:t>
      </w:r>
      <w:r w:rsidR="00EB5BBE">
        <w:t>00</w:t>
      </w:r>
      <w:r>
        <w:t xml:space="preserve"> percent.  An earned return of </w:t>
      </w:r>
      <w:r w:rsidR="00F739C2">
        <w:t>9.5</w:t>
      </w:r>
      <w:r>
        <w:t xml:space="preserve"> percent </w:t>
      </w:r>
      <w:r w:rsidR="00354D74">
        <w:t xml:space="preserve">to 10.5 percent </w:t>
      </w:r>
      <w:r>
        <w:t xml:space="preserve">should thus result in a market-to-book ratio of </w:t>
      </w:r>
      <w:r w:rsidR="00DB6361">
        <w:t>over</w:t>
      </w:r>
      <w:r>
        <w:t xml:space="preserve"> 100 percent.  As I indicated earlier, the fact that market-to-book ratios substantially exceed 100 percent indicates that historic and prospective returns of </w:t>
      </w:r>
      <w:r w:rsidR="00E005CF">
        <w:t>over 10.5</w:t>
      </w:r>
      <w:r>
        <w:t xml:space="preserve"> percent reflect earnings levels that exceed the cost of equity for those regulated companies.</w:t>
      </w:r>
      <w:r w:rsidR="007D0800">
        <w:t xml:space="preserve">  </w:t>
      </w:r>
    </w:p>
    <w:p w:rsidR="007D0800" w:rsidRDefault="000D4226" w:rsidP="00417CF7">
      <w:pPr>
        <w:tabs>
          <w:tab w:val="left" w:pos="720"/>
          <w:tab w:val="left" w:pos="1440"/>
          <w:tab w:val="left" w:pos="9240"/>
        </w:tabs>
        <w:spacing w:line="480" w:lineRule="auto"/>
        <w:ind w:left="720" w:hanging="720"/>
        <w:sectPr w:rsidR="007D0800" w:rsidSect="00E83DA3">
          <w:footerReference w:type="default" r:id="rId32"/>
          <w:pgSz w:w="12240" w:h="15840" w:code="1"/>
          <w:pgMar w:top="1440" w:right="1440" w:bottom="720" w:left="1872" w:header="720" w:footer="720" w:gutter="0"/>
          <w:lnNumType w:countBy="1"/>
          <w:cols w:space="720"/>
          <w:docGrid w:linePitch="360"/>
        </w:sectPr>
      </w:pPr>
      <w:r>
        <w:tab/>
      </w:r>
      <w:r w:rsidR="00EB5BBE">
        <w:tab/>
      </w:r>
      <w:r w:rsidR="00574F51">
        <w:t>Please also note that my CE analysis is not based on a mathematic formula approach, as are the DCF and CAPM methodologies.  Rather, it is based on recent trends and current conditions in equity markets.  Further, it is based on the direct relationship between returns on common stock and market-to-book ratios of common stock.  In utility rate setting, a fair rate of return is based on the utility’s assets (</w:t>
      </w:r>
      <w:r w:rsidR="009864AC" w:rsidRPr="009864AC">
        <w:t>i.e.</w:t>
      </w:r>
      <w:r w:rsidR="00574F51">
        <w:t>, rate base) and the book value of the utility’s capital structure.  As stated earlier, maintenance of a financially stable utility’s market-to-book ratio at 100%, or a bit higher, is fully adequate to maintain the utility’s financial stability.  On the other hand, a market price of a utility’s common stock that is 150 percent or more above the stock’s book value is indicative o</w:t>
      </w:r>
      <w:r w:rsidR="000031E3">
        <w:t xml:space="preserve">f </w:t>
      </w:r>
      <w:r w:rsidR="0022765F">
        <w:t>earnings</w:t>
      </w:r>
      <w:r w:rsidR="00574F51">
        <w:t xml:space="preserve"> that exceed the utility’s reasonable cost of capital.  Thus, actual or projected earnings do not directly translate into a </w:t>
      </w:r>
    </w:p>
    <w:p w:rsidR="000D4226" w:rsidRDefault="00574F51" w:rsidP="007D0800">
      <w:pPr>
        <w:tabs>
          <w:tab w:val="left" w:pos="720"/>
          <w:tab w:val="left" w:pos="1440"/>
          <w:tab w:val="left" w:pos="9240"/>
        </w:tabs>
        <w:spacing w:line="480" w:lineRule="auto"/>
        <w:ind w:left="720"/>
      </w:pPr>
      <w:proofErr w:type="gramStart"/>
      <w:r>
        <w:lastRenderedPageBreak/>
        <w:t>utility’s</w:t>
      </w:r>
      <w:proofErr w:type="gramEnd"/>
      <w:r>
        <w:t xml:space="preserve"> reasonable cost of equity.  Rather, they must be viewed in relation to the market-to-book ratios of the utility’s common stock.</w:t>
      </w:r>
    </w:p>
    <w:p w:rsidR="000D4226" w:rsidRDefault="001627E6" w:rsidP="00417CF7">
      <w:pPr>
        <w:tabs>
          <w:tab w:val="left" w:pos="720"/>
          <w:tab w:val="left" w:pos="1440"/>
          <w:tab w:val="left" w:pos="9240"/>
        </w:tabs>
        <w:spacing w:line="480" w:lineRule="auto"/>
        <w:ind w:left="720" w:hanging="720"/>
      </w:pPr>
      <w:r>
        <w:tab/>
      </w:r>
      <w:r>
        <w:tab/>
      </w:r>
      <w:r w:rsidR="000D4226">
        <w:t xml:space="preserve">My </w:t>
      </w:r>
      <w:r w:rsidR="00D801D7">
        <w:t>9.5</w:t>
      </w:r>
      <w:r w:rsidR="000D4226">
        <w:t xml:space="preserve"> percent to 10.5 percent CE recommendation is not designed to </w:t>
      </w:r>
      <w:r w:rsidR="00574F51">
        <w:t>result in</w:t>
      </w:r>
      <w:r w:rsidR="000D4226">
        <w:t xml:space="preserve"> market-to-book ratios </w:t>
      </w:r>
      <w:r w:rsidR="00DB6361">
        <w:t>as low as</w:t>
      </w:r>
      <w:r w:rsidR="000D4226">
        <w:t xml:space="preserve"> 1.0</w:t>
      </w:r>
      <w:r w:rsidR="00574F51">
        <w:t xml:space="preserve"> for </w:t>
      </w:r>
      <w:r w:rsidR="00E93465">
        <w:t>PSE</w:t>
      </w:r>
      <w:r w:rsidR="00574F51">
        <w:t>.</w:t>
      </w:r>
      <w:r w:rsidR="000D4226">
        <w:t xml:space="preserve"> </w:t>
      </w:r>
      <w:r w:rsidR="00574F51">
        <w:t xml:space="preserve"> Rather, it is based on current market conditions and</w:t>
      </w:r>
      <w:r w:rsidR="000D4226">
        <w:t xml:space="preserve"> the proposition that ratepayers should not be required to pay rates based on earnings levels that result in </w:t>
      </w:r>
      <w:r w:rsidR="00574F51">
        <w:t>excessive</w:t>
      </w:r>
      <w:r w:rsidR="000D4226">
        <w:t xml:space="preserve"> market-to-book ratios.</w:t>
      </w:r>
    </w:p>
    <w:p w:rsidR="000A79F0" w:rsidRDefault="000A79F0" w:rsidP="00417CF7">
      <w:pPr>
        <w:tabs>
          <w:tab w:val="left" w:pos="720"/>
          <w:tab w:val="left" w:pos="1440"/>
          <w:tab w:val="left" w:pos="2160"/>
          <w:tab w:val="left" w:pos="9240"/>
        </w:tabs>
        <w:spacing w:line="480" w:lineRule="auto"/>
      </w:pPr>
    </w:p>
    <w:p w:rsidR="005222A2" w:rsidRDefault="00DB2FA7" w:rsidP="00D4179D">
      <w:pPr>
        <w:keepNext/>
        <w:keepLines/>
        <w:tabs>
          <w:tab w:val="left" w:pos="720"/>
          <w:tab w:val="left" w:pos="1440"/>
          <w:tab w:val="left" w:pos="9240"/>
        </w:tabs>
        <w:spacing w:line="480" w:lineRule="auto"/>
        <w:rPr>
          <w:b/>
        </w:rPr>
      </w:pPr>
      <w:r>
        <w:rPr>
          <w:b/>
        </w:rPr>
        <w:t>E</w:t>
      </w:r>
      <w:r w:rsidR="00986276">
        <w:rPr>
          <w:b/>
        </w:rPr>
        <w:t>.</w:t>
      </w:r>
      <w:r w:rsidR="00986276">
        <w:rPr>
          <w:b/>
        </w:rPr>
        <w:tab/>
      </w:r>
      <w:r w:rsidR="00986276" w:rsidRPr="00DE055E">
        <w:rPr>
          <w:b/>
        </w:rPr>
        <w:t>R</w:t>
      </w:r>
      <w:r>
        <w:rPr>
          <w:b/>
        </w:rPr>
        <w:t>eturn on Equity Recom</w:t>
      </w:r>
      <w:r w:rsidR="00E05E01">
        <w:rPr>
          <w:b/>
        </w:rPr>
        <w:t>men</w:t>
      </w:r>
      <w:r>
        <w:rPr>
          <w:b/>
        </w:rPr>
        <w:t>dation</w:t>
      </w:r>
    </w:p>
    <w:p w:rsidR="00986276" w:rsidRDefault="00986276" w:rsidP="00B112FC">
      <w:pPr>
        <w:keepNext/>
        <w:keepLines/>
        <w:tabs>
          <w:tab w:val="left" w:pos="720"/>
          <w:tab w:val="left" w:pos="1440"/>
          <w:tab w:val="left" w:pos="9240"/>
        </w:tabs>
        <w:spacing w:line="480" w:lineRule="auto"/>
        <w:ind w:left="720" w:hanging="720"/>
        <w:jc w:val="both"/>
        <w:rPr>
          <w:b/>
        </w:rPr>
      </w:pPr>
    </w:p>
    <w:p w:rsidR="00986276" w:rsidRDefault="00986276" w:rsidP="00B112FC">
      <w:pPr>
        <w:keepNext/>
        <w:keepLines/>
        <w:tabs>
          <w:tab w:val="left" w:pos="720"/>
          <w:tab w:val="left" w:pos="1440"/>
          <w:tab w:val="left" w:pos="9240"/>
        </w:tabs>
        <w:spacing w:line="480" w:lineRule="auto"/>
        <w:ind w:left="720" w:hanging="720"/>
        <w:rPr>
          <w:b/>
        </w:rPr>
      </w:pPr>
      <w:r>
        <w:rPr>
          <w:b/>
        </w:rPr>
        <w:t>Q.</w:t>
      </w:r>
      <w:r>
        <w:rPr>
          <w:b/>
        </w:rPr>
        <w:tab/>
        <w:t>P</w:t>
      </w:r>
      <w:r w:rsidR="00DE055E">
        <w:rPr>
          <w:b/>
        </w:rPr>
        <w:t xml:space="preserve">lease summarize the results of your three </w:t>
      </w:r>
      <w:proofErr w:type="gramStart"/>
      <w:r w:rsidR="00DE055E">
        <w:rPr>
          <w:b/>
        </w:rPr>
        <w:t>cost</w:t>
      </w:r>
      <w:proofErr w:type="gramEnd"/>
      <w:r w:rsidR="00DE055E">
        <w:rPr>
          <w:b/>
        </w:rPr>
        <w:t xml:space="preserve"> of equity analyses</w:t>
      </w:r>
      <w:r>
        <w:rPr>
          <w:b/>
        </w:rPr>
        <w:t>.</w:t>
      </w:r>
    </w:p>
    <w:p w:rsidR="00EB5BBE" w:rsidRDefault="00986276" w:rsidP="00417CF7">
      <w:pPr>
        <w:tabs>
          <w:tab w:val="left" w:pos="720"/>
          <w:tab w:val="left" w:pos="1440"/>
          <w:tab w:val="left" w:pos="9240"/>
        </w:tabs>
        <w:spacing w:line="480" w:lineRule="auto"/>
        <w:ind w:left="720" w:hanging="720"/>
      </w:pPr>
      <w:r>
        <w:t>A.</w:t>
      </w:r>
      <w:r>
        <w:tab/>
      </w:r>
      <w:r w:rsidR="002849ED">
        <w:t xml:space="preserve">The </w:t>
      </w:r>
      <w:r>
        <w:t xml:space="preserve">three </w:t>
      </w:r>
      <w:r w:rsidR="002849ED">
        <w:t xml:space="preserve">different </w:t>
      </w:r>
      <w:r>
        <w:t>methodologies produce the following</w:t>
      </w:r>
      <w:r w:rsidR="002849ED">
        <w:t xml:space="preserve"> estimated ranges for </w:t>
      </w:r>
      <w:r w:rsidR="00E93465">
        <w:t>PSE</w:t>
      </w:r>
      <w:r w:rsidR="002849ED">
        <w:t>’s cost of equity capital</w:t>
      </w:r>
      <w:r>
        <w:t>:</w:t>
      </w:r>
    </w:p>
    <w:tbl>
      <w:tblPr>
        <w:tblpPr w:leftFromText="180" w:rightFromText="180" w:vertAnchor="text" w:horzAnchor="margin" w:tblpXSpec="center" w:tblpY="92"/>
        <w:tblW w:w="0" w:type="auto"/>
        <w:tblLook w:val="01E0"/>
      </w:tblPr>
      <w:tblGrid>
        <w:gridCol w:w="3468"/>
        <w:gridCol w:w="222"/>
        <w:gridCol w:w="1216"/>
      </w:tblGrid>
      <w:tr w:rsidR="005F39D5">
        <w:tc>
          <w:tcPr>
            <w:tcW w:w="3468" w:type="dxa"/>
          </w:tcPr>
          <w:p w:rsidR="005F39D5" w:rsidRDefault="005F39D5" w:rsidP="009E2531">
            <w:pPr>
              <w:tabs>
                <w:tab w:val="left" w:pos="720"/>
                <w:tab w:val="left" w:pos="1440"/>
                <w:tab w:val="left" w:pos="9240"/>
              </w:tabs>
              <w:jc w:val="both"/>
            </w:pPr>
            <w:r>
              <w:t>Discounted Cash Flow</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EB5BBE" w:rsidP="005457A9">
            <w:pPr>
              <w:tabs>
                <w:tab w:val="left" w:pos="720"/>
                <w:tab w:val="left" w:pos="1440"/>
                <w:tab w:val="left" w:pos="9240"/>
              </w:tabs>
              <w:jc w:val="right"/>
            </w:pPr>
            <w:r>
              <w:t>9.</w:t>
            </w:r>
            <w:r w:rsidR="005457A9">
              <w:t>6</w:t>
            </w:r>
            <w:r w:rsidR="00F739C2">
              <w:t>-1</w:t>
            </w:r>
            <w:r w:rsidR="00E93465">
              <w:t>1</w:t>
            </w:r>
            <w:r w:rsidR="00F739C2">
              <w:t>.</w:t>
            </w:r>
            <w:r w:rsidR="005457A9">
              <w:t>3</w:t>
            </w:r>
            <w:r w:rsidR="00CC6A99">
              <w:t>%</w:t>
            </w:r>
            <w:r w:rsidR="005F39D5">
              <w:t xml:space="preserve"> </w:t>
            </w:r>
          </w:p>
        </w:tc>
      </w:tr>
      <w:tr w:rsidR="005F39D5">
        <w:tc>
          <w:tcPr>
            <w:tcW w:w="3468" w:type="dxa"/>
          </w:tcPr>
          <w:p w:rsidR="005F39D5" w:rsidRDefault="005F39D5" w:rsidP="009E2531">
            <w:pPr>
              <w:tabs>
                <w:tab w:val="left" w:pos="720"/>
                <w:tab w:val="left" w:pos="1440"/>
                <w:tab w:val="left" w:pos="9240"/>
              </w:tabs>
              <w:jc w:val="both"/>
            </w:pPr>
            <w:r>
              <w:t>Capital Asset Pricing Model</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5457A9" w:rsidP="005457A9">
            <w:pPr>
              <w:tabs>
                <w:tab w:val="left" w:pos="720"/>
                <w:tab w:val="left" w:pos="1440"/>
                <w:tab w:val="left" w:pos="9240"/>
              </w:tabs>
              <w:jc w:val="right"/>
            </w:pPr>
            <w:r>
              <w:t>7.9</w:t>
            </w:r>
            <w:r w:rsidR="00D644AC">
              <w:t>-8.</w:t>
            </w:r>
            <w:r>
              <w:t>2</w:t>
            </w:r>
            <w:r w:rsidR="005F39D5">
              <w:t>%</w:t>
            </w:r>
          </w:p>
        </w:tc>
      </w:tr>
      <w:tr w:rsidR="005F39D5">
        <w:tc>
          <w:tcPr>
            <w:tcW w:w="3468" w:type="dxa"/>
          </w:tcPr>
          <w:p w:rsidR="005F39D5" w:rsidRDefault="005F39D5" w:rsidP="009E2531">
            <w:pPr>
              <w:tabs>
                <w:tab w:val="left" w:pos="720"/>
                <w:tab w:val="left" w:pos="1440"/>
                <w:tab w:val="left" w:pos="9240"/>
              </w:tabs>
              <w:jc w:val="both"/>
            </w:pPr>
            <w:r>
              <w:t>Comparable Earnings</w:t>
            </w:r>
          </w:p>
        </w:tc>
        <w:tc>
          <w:tcPr>
            <w:tcW w:w="0" w:type="auto"/>
          </w:tcPr>
          <w:p w:rsidR="005F39D5" w:rsidRDefault="005F39D5" w:rsidP="009E2531">
            <w:pPr>
              <w:tabs>
                <w:tab w:val="left" w:pos="720"/>
                <w:tab w:val="left" w:pos="1440"/>
                <w:tab w:val="left" w:pos="9240"/>
              </w:tabs>
              <w:jc w:val="both"/>
            </w:pPr>
          </w:p>
        </w:tc>
        <w:tc>
          <w:tcPr>
            <w:tcW w:w="0" w:type="auto"/>
          </w:tcPr>
          <w:p w:rsidR="005F39D5" w:rsidRDefault="00F739C2" w:rsidP="00D52A4D">
            <w:pPr>
              <w:tabs>
                <w:tab w:val="left" w:pos="720"/>
                <w:tab w:val="left" w:pos="1440"/>
                <w:tab w:val="left" w:pos="9240"/>
              </w:tabs>
              <w:jc w:val="right"/>
            </w:pPr>
            <w:r>
              <w:t>9.5</w:t>
            </w:r>
            <w:r w:rsidR="00354D74">
              <w:t>-10.5</w:t>
            </w:r>
            <w:r w:rsidR="005F39D5">
              <w:t>%</w:t>
            </w:r>
          </w:p>
        </w:tc>
      </w:tr>
    </w:tbl>
    <w:p w:rsidR="005F39D5" w:rsidRDefault="005F39D5" w:rsidP="009E2531">
      <w:pPr>
        <w:tabs>
          <w:tab w:val="left" w:pos="720"/>
          <w:tab w:val="left" w:pos="1440"/>
          <w:tab w:val="left" w:pos="9240"/>
        </w:tabs>
        <w:spacing w:line="360" w:lineRule="auto"/>
        <w:ind w:left="720" w:hanging="720"/>
        <w:jc w:val="both"/>
      </w:pPr>
    </w:p>
    <w:p w:rsidR="005F39D5" w:rsidRDefault="005F39D5" w:rsidP="009E2531">
      <w:pPr>
        <w:tabs>
          <w:tab w:val="left" w:pos="720"/>
          <w:tab w:val="left" w:pos="1440"/>
          <w:tab w:val="left" w:pos="9240"/>
        </w:tabs>
        <w:spacing w:line="360" w:lineRule="auto"/>
        <w:ind w:left="720" w:hanging="720"/>
        <w:jc w:val="both"/>
      </w:pPr>
    </w:p>
    <w:p w:rsidR="005F39D5" w:rsidRDefault="005F39D5" w:rsidP="009E2531">
      <w:pPr>
        <w:tabs>
          <w:tab w:val="left" w:pos="720"/>
          <w:tab w:val="left" w:pos="1440"/>
          <w:tab w:val="left" w:pos="9240"/>
        </w:tabs>
        <w:spacing w:line="360" w:lineRule="auto"/>
        <w:ind w:left="720" w:hanging="720"/>
        <w:jc w:val="both"/>
      </w:pPr>
    </w:p>
    <w:p w:rsidR="00DE055E" w:rsidRDefault="00DE055E" w:rsidP="00D4179D">
      <w:pPr>
        <w:keepNext/>
        <w:keepLines/>
        <w:tabs>
          <w:tab w:val="left" w:pos="720"/>
          <w:tab w:val="left" w:pos="1440"/>
          <w:tab w:val="left" w:pos="1800"/>
          <w:tab w:val="left" w:pos="9240"/>
        </w:tabs>
        <w:spacing w:line="480" w:lineRule="auto"/>
        <w:ind w:left="720" w:hanging="720"/>
        <w:rPr>
          <w:b/>
        </w:rPr>
      </w:pPr>
      <w:r>
        <w:rPr>
          <w:b/>
        </w:rPr>
        <w:t>Q.</w:t>
      </w:r>
      <w:r>
        <w:rPr>
          <w:b/>
        </w:rPr>
        <w:tab/>
        <w:t xml:space="preserve">What is your cost of equity recommendation for </w:t>
      </w:r>
      <w:r w:rsidR="00E93465">
        <w:rPr>
          <w:b/>
        </w:rPr>
        <w:t>PSE</w:t>
      </w:r>
      <w:r>
        <w:rPr>
          <w:b/>
        </w:rPr>
        <w:t>?</w:t>
      </w:r>
    </w:p>
    <w:p w:rsidR="00EB5BBE" w:rsidRDefault="00DE055E" w:rsidP="00D4179D">
      <w:pPr>
        <w:keepNext/>
        <w:keepLines/>
        <w:tabs>
          <w:tab w:val="left" w:pos="720"/>
          <w:tab w:val="left" w:pos="1440"/>
          <w:tab w:val="left" w:pos="1800"/>
          <w:tab w:val="left" w:pos="9240"/>
        </w:tabs>
        <w:spacing w:line="480" w:lineRule="auto"/>
        <w:ind w:left="720" w:hanging="720"/>
      </w:pPr>
      <w:r>
        <w:t>A.</w:t>
      </w:r>
      <w:r>
        <w:tab/>
      </w:r>
      <w:r w:rsidR="00FA0B27">
        <w:t xml:space="preserve">It is my understanding that the </w:t>
      </w:r>
      <w:r w:rsidR="008561A6">
        <w:t>Commission</w:t>
      </w:r>
      <w:r w:rsidR="00EE6DE0">
        <w:t xml:space="preserve"> places the heaviest reliance on the DCF method to determine the cost of equity for the utilities it regulates.  Accordingly, my recommendation places more emphasis on the DCF findings of </w:t>
      </w:r>
      <w:r w:rsidR="00EB5BBE">
        <w:t>9.</w:t>
      </w:r>
      <w:r w:rsidR="005457A9">
        <w:t>6</w:t>
      </w:r>
      <w:r w:rsidR="00353726">
        <w:t xml:space="preserve"> percent to 1</w:t>
      </w:r>
      <w:r w:rsidR="00E93465">
        <w:t>1.</w:t>
      </w:r>
      <w:r w:rsidR="005457A9">
        <w:t>3</w:t>
      </w:r>
      <w:r w:rsidR="00EE6DE0">
        <w:t xml:space="preserve"> percent or a </w:t>
      </w:r>
      <w:r w:rsidR="00353726">
        <w:t>10.0</w:t>
      </w:r>
      <w:r w:rsidR="00EE6DE0">
        <w:t xml:space="preserve"> percent </w:t>
      </w:r>
      <w:r w:rsidR="00EB5BBE">
        <w:t xml:space="preserve">approximate </w:t>
      </w:r>
      <w:r w:rsidR="00E47CCF">
        <w:t>lower end</w:t>
      </w:r>
      <w:r w:rsidR="00EE6DE0">
        <w:t>.  I note that the results of my CE analyses (</w:t>
      </w:r>
      <w:r w:rsidR="00E47CCF">
        <w:t>9.5</w:t>
      </w:r>
      <w:r w:rsidR="00EE6DE0">
        <w:t xml:space="preserve"> percent to 10.5 percent) corroborate my DCF findings.  My specific finding for </w:t>
      </w:r>
      <w:r w:rsidR="00E93465">
        <w:t>PSE</w:t>
      </w:r>
      <w:r w:rsidR="00EE6DE0">
        <w:t xml:space="preserve"> is </w:t>
      </w:r>
      <w:r w:rsidR="00D52A4D">
        <w:t>10.0</w:t>
      </w:r>
      <w:r w:rsidR="00EE6DE0">
        <w:t xml:space="preserve"> percent, which gives primary consideration to the </w:t>
      </w:r>
      <w:r w:rsidR="00353726">
        <w:t>10.0</w:t>
      </w:r>
      <w:r w:rsidR="00EE6DE0">
        <w:t xml:space="preserve"> percent </w:t>
      </w:r>
      <w:r w:rsidR="00E47CCF">
        <w:t>low end</w:t>
      </w:r>
      <w:r w:rsidR="00EE6DE0">
        <w:t xml:space="preserve"> of my DCF findings, but also is consistent with </w:t>
      </w:r>
      <w:r w:rsidR="00E47CCF">
        <w:t>my</w:t>
      </w:r>
      <w:r w:rsidR="00EE6DE0">
        <w:t xml:space="preserve"> CE results.</w:t>
      </w:r>
    </w:p>
    <w:p w:rsidR="00574AEF" w:rsidRDefault="00574AEF" w:rsidP="00D4179D">
      <w:pPr>
        <w:keepNext/>
        <w:keepLines/>
        <w:tabs>
          <w:tab w:val="left" w:pos="720"/>
          <w:tab w:val="left" w:pos="1440"/>
          <w:tab w:val="left" w:pos="1800"/>
          <w:tab w:val="left" w:pos="9240"/>
        </w:tabs>
        <w:spacing w:line="480" w:lineRule="auto"/>
        <w:ind w:left="720" w:hanging="720"/>
      </w:pPr>
    </w:p>
    <w:p w:rsidR="00574AEF" w:rsidRDefault="00574AEF" w:rsidP="00417CF7">
      <w:pPr>
        <w:tabs>
          <w:tab w:val="left" w:pos="720"/>
          <w:tab w:val="left" w:pos="1440"/>
          <w:tab w:val="left" w:pos="1800"/>
          <w:tab w:val="left" w:pos="9240"/>
        </w:tabs>
        <w:spacing w:line="480" w:lineRule="auto"/>
        <w:ind w:left="720" w:hanging="720"/>
        <w:sectPr w:rsidR="00574AEF" w:rsidSect="00E83DA3">
          <w:footerReference w:type="default" r:id="rId33"/>
          <w:pgSz w:w="12240" w:h="15840" w:code="1"/>
          <w:pgMar w:top="1440" w:right="1440" w:bottom="720" w:left="1872" w:header="720" w:footer="720" w:gutter="0"/>
          <w:lnNumType w:countBy="1"/>
          <w:cols w:space="720"/>
          <w:docGrid w:linePitch="360"/>
        </w:sectPr>
      </w:pPr>
    </w:p>
    <w:p w:rsidR="00070096" w:rsidRDefault="00070096" w:rsidP="00417CF7">
      <w:pPr>
        <w:tabs>
          <w:tab w:val="left" w:pos="720"/>
          <w:tab w:val="left" w:pos="1440"/>
          <w:tab w:val="left" w:pos="1800"/>
          <w:tab w:val="left" w:pos="9240"/>
        </w:tabs>
        <w:spacing w:line="480" w:lineRule="auto"/>
        <w:ind w:left="720" w:hanging="720"/>
        <w:rPr>
          <w:b/>
        </w:rPr>
      </w:pPr>
      <w:r>
        <w:rPr>
          <w:b/>
        </w:rPr>
        <w:lastRenderedPageBreak/>
        <w:t>Q.</w:t>
      </w:r>
      <w:r>
        <w:rPr>
          <w:b/>
        </w:rPr>
        <w:tab/>
      </w:r>
      <w:r w:rsidR="004760D2">
        <w:rPr>
          <w:b/>
        </w:rPr>
        <w:t>Why are y</w:t>
      </w:r>
      <w:r>
        <w:rPr>
          <w:b/>
        </w:rPr>
        <w:t xml:space="preserve">our CAPM results </w:t>
      </w:r>
      <w:r w:rsidR="004760D2">
        <w:rPr>
          <w:b/>
        </w:rPr>
        <w:t>significantly</w:t>
      </w:r>
      <w:r w:rsidR="00CC0AAD">
        <w:rPr>
          <w:b/>
        </w:rPr>
        <w:t xml:space="preserve"> </w:t>
      </w:r>
      <w:r>
        <w:rPr>
          <w:b/>
        </w:rPr>
        <w:t>lower than you</w:t>
      </w:r>
      <w:r w:rsidR="005D7A6E">
        <w:rPr>
          <w:b/>
        </w:rPr>
        <w:t>r</w:t>
      </w:r>
      <w:r>
        <w:rPr>
          <w:b/>
        </w:rPr>
        <w:t xml:space="preserve"> DCF results</w:t>
      </w:r>
      <w:r w:rsidR="005D7A6E">
        <w:rPr>
          <w:b/>
        </w:rPr>
        <w:t>?</w:t>
      </w:r>
      <w:r>
        <w:rPr>
          <w:b/>
        </w:rPr>
        <w:t xml:space="preserve"> </w:t>
      </w:r>
    </w:p>
    <w:p w:rsidR="005D7A6E" w:rsidRDefault="00070096" w:rsidP="00417CF7">
      <w:pPr>
        <w:tabs>
          <w:tab w:val="left" w:pos="720"/>
          <w:tab w:val="left" w:pos="1440"/>
          <w:tab w:val="left" w:pos="1800"/>
          <w:tab w:val="left" w:pos="9240"/>
        </w:tabs>
        <w:spacing w:line="480" w:lineRule="auto"/>
        <w:ind w:left="720" w:hanging="720"/>
      </w:pPr>
      <w:r>
        <w:t>A.</w:t>
      </w:r>
      <w:r>
        <w:tab/>
        <w:t xml:space="preserve">CAPM results are lower than the DCF results, </w:t>
      </w:r>
      <w:r w:rsidR="00CC0AAD">
        <w:t>and have been</w:t>
      </w:r>
      <w:r>
        <w:t xml:space="preserve"> lower than CAPM results in recent years.  The two reasons for the lower CAPM results are the current relatively low yields on U.S. Treasury bonds (</w:t>
      </w:r>
      <w:r w:rsidR="009864AC" w:rsidRPr="009864AC">
        <w:t>i.e.</w:t>
      </w:r>
      <w:r>
        <w:t xml:space="preserve">, risk-free rate) and a lower risk premium that reflects the decline in stock prices in 2008.  </w:t>
      </w:r>
    </w:p>
    <w:p w:rsidR="00264C53" w:rsidRDefault="00264C53" w:rsidP="00417CF7">
      <w:pPr>
        <w:tabs>
          <w:tab w:val="left" w:pos="720"/>
          <w:tab w:val="left" w:pos="1440"/>
          <w:tab w:val="left" w:pos="1800"/>
          <w:tab w:val="left" w:pos="9240"/>
        </w:tabs>
        <w:spacing w:line="480" w:lineRule="auto"/>
        <w:ind w:left="720" w:hanging="720"/>
      </w:pPr>
    </w:p>
    <w:p w:rsidR="005D7A6E" w:rsidRPr="005D7A6E" w:rsidRDefault="005D7A6E" w:rsidP="00417CF7">
      <w:pPr>
        <w:tabs>
          <w:tab w:val="left" w:pos="720"/>
          <w:tab w:val="left" w:pos="1440"/>
          <w:tab w:val="left" w:pos="1800"/>
          <w:tab w:val="left" w:pos="9240"/>
        </w:tabs>
        <w:spacing w:line="480" w:lineRule="auto"/>
        <w:ind w:left="720" w:hanging="720"/>
        <w:rPr>
          <w:b/>
        </w:rPr>
      </w:pPr>
      <w:r>
        <w:rPr>
          <w:b/>
        </w:rPr>
        <w:t>Q.</w:t>
      </w:r>
      <w:r>
        <w:rPr>
          <w:b/>
        </w:rPr>
        <w:tab/>
        <w:t>Does this mean that CAPM results should be discarded?</w:t>
      </w:r>
    </w:p>
    <w:p w:rsidR="00070096" w:rsidRDefault="005D7A6E" w:rsidP="00417CF7">
      <w:pPr>
        <w:tabs>
          <w:tab w:val="left" w:pos="720"/>
          <w:tab w:val="left" w:pos="1440"/>
          <w:tab w:val="left" w:pos="1800"/>
          <w:tab w:val="left" w:pos="9240"/>
        </w:tabs>
        <w:spacing w:line="480" w:lineRule="auto"/>
        <w:ind w:left="720" w:hanging="720"/>
      </w:pPr>
      <w:r>
        <w:t>A.</w:t>
      </w:r>
      <w:r>
        <w:tab/>
        <w:t>No.  T</w:t>
      </w:r>
      <w:r w:rsidR="00070096">
        <w:t>hese currently lower CAPM results are only one-half of the impact of recent economic conditions.  The other impact is on the DCF results</w:t>
      </w:r>
      <w:r w:rsidR="004760D2">
        <w:t>,</w:t>
      </w:r>
      <w:r w:rsidR="00070096">
        <w:t xml:space="preserve"> which are somewhat higher currently due to the higher yields attributable to the decline in stock prices.  It would not be proper to disregard the lower CAPM results while not discounting the higher DCF results.</w:t>
      </w:r>
      <w:r w:rsidR="00CC0AAD">
        <w:t xml:space="preserve">  </w:t>
      </w:r>
      <w:r w:rsidR="004760D2">
        <w:t xml:space="preserve">This confirms my 10.0 percent cost of equity estimate for </w:t>
      </w:r>
      <w:r w:rsidR="00B91BA3">
        <w:t>PSE</w:t>
      </w:r>
      <w:r w:rsidR="004760D2">
        <w:t>.</w:t>
      </w:r>
    </w:p>
    <w:p w:rsidR="00F739C2" w:rsidRDefault="00F739C2" w:rsidP="00417CF7">
      <w:pPr>
        <w:tabs>
          <w:tab w:val="left" w:pos="720"/>
          <w:tab w:val="left" w:pos="1440"/>
          <w:tab w:val="left" w:pos="1800"/>
          <w:tab w:val="left" w:pos="9240"/>
        </w:tabs>
        <w:spacing w:line="480" w:lineRule="auto"/>
        <w:ind w:left="720" w:hanging="720"/>
      </w:pPr>
    </w:p>
    <w:p w:rsidR="00986276" w:rsidRPr="00F6556C" w:rsidRDefault="00DB2FA7" w:rsidP="00D4179D">
      <w:pPr>
        <w:keepNext/>
        <w:keepLines/>
        <w:tabs>
          <w:tab w:val="left" w:pos="720"/>
          <w:tab w:val="left" w:pos="9240"/>
        </w:tabs>
        <w:spacing w:line="480" w:lineRule="auto"/>
        <w:jc w:val="center"/>
        <w:rPr>
          <w:b/>
        </w:rPr>
      </w:pPr>
      <w:r>
        <w:rPr>
          <w:b/>
        </w:rPr>
        <w:t>VIII</w:t>
      </w:r>
      <w:r w:rsidR="00376659">
        <w:rPr>
          <w:b/>
        </w:rPr>
        <w:t>.</w:t>
      </w:r>
      <w:r w:rsidR="003A6B3C">
        <w:rPr>
          <w:b/>
        </w:rPr>
        <w:tab/>
      </w:r>
      <w:r w:rsidR="00376659" w:rsidRPr="00F6556C">
        <w:rPr>
          <w:b/>
        </w:rPr>
        <w:t xml:space="preserve">TOTAL </w:t>
      </w:r>
      <w:smartTag w:uri="urn:schemas-microsoft-com:office:smarttags" w:element="stockticker">
        <w:r w:rsidR="00376659" w:rsidRPr="00F6556C">
          <w:rPr>
            <w:b/>
          </w:rPr>
          <w:t>COST</w:t>
        </w:r>
      </w:smartTag>
      <w:r w:rsidR="00376659" w:rsidRPr="00F6556C">
        <w:rPr>
          <w:b/>
        </w:rPr>
        <w:t xml:space="preserve"> OF CAPITAL</w:t>
      </w:r>
    </w:p>
    <w:p w:rsidR="00376659" w:rsidRDefault="00376659" w:rsidP="00D4179D">
      <w:pPr>
        <w:keepNext/>
        <w:keepLines/>
        <w:tabs>
          <w:tab w:val="left" w:pos="720"/>
          <w:tab w:val="left" w:pos="1440"/>
          <w:tab w:val="left" w:pos="9240"/>
        </w:tabs>
        <w:spacing w:line="480" w:lineRule="auto"/>
        <w:ind w:left="720" w:hanging="720"/>
        <w:jc w:val="both"/>
        <w:rPr>
          <w:b/>
        </w:rPr>
      </w:pPr>
    </w:p>
    <w:p w:rsidR="00376659" w:rsidRDefault="00376659" w:rsidP="00D4179D">
      <w:pPr>
        <w:keepNext/>
        <w:keepLines/>
        <w:tabs>
          <w:tab w:val="left" w:pos="720"/>
          <w:tab w:val="left" w:pos="1440"/>
          <w:tab w:val="left" w:pos="9240"/>
        </w:tabs>
        <w:spacing w:line="480" w:lineRule="auto"/>
        <w:ind w:left="720" w:hanging="720"/>
        <w:rPr>
          <w:b/>
        </w:rPr>
      </w:pPr>
      <w:r>
        <w:rPr>
          <w:b/>
        </w:rPr>
        <w:t>Q.</w:t>
      </w:r>
      <w:r>
        <w:rPr>
          <w:b/>
        </w:rPr>
        <w:tab/>
        <w:t>W</w:t>
      </w:r>
      <w:r w:rsidR="00F6556C">
        <w:rPr>
          <w:b/>
        </w:rPr>
        <w:t>hat is the total cost of capital for</w:t>
      </w:r>
      <w:r>
        <w:rPr>
          <w:b/>
        </w:rPr>
        <w:t xml:space="preserve"> </w:t>
      </w:r>
      <w:r w:rsidR="00E93465">
        <w:rPr>
          <w:b/>
        </w:rPr>
        <w:t>PSE</w:t>
      </w:r>
      <w:r>
        <w:rPr>
          <w:b/>
        </w:rPr>
        <w:t>?</w:t>
      </w:r>
    </w:p>
    <w:p w:rsidR="00376659" w:rsidRDefault="00376659" w:rsidP="00417CF7">
      <w:pPr>
        <w:tabs>
          <w:tab w:val="left" w:pos="720"/>
          <w:tab w:val="left" w:pos="1440"/>
          <w:tab w:val="left" w:pos="9240"/>
        </w:tabs>
        <w:spacing w:line="480" w:lineRule="auto"/>
        <w:ind w:left="720" w:hanging="720"/>
      </w:pPr>
      <w:r>
        <w:t>A.</w:t>
      </w:r>
      <w:r>
        <w:tab/>
      </w:r>
      <w:r w:rsidR="00E93465">
        <w:t>PSE</w:t>
      </w:r>
      <w:r w:rsidR="003A52EA">
        <w:t xml:space="preserve">’s total cost of capital is </w:t>
      </w:r>
      <w:r w:rsidR="00E93465" w:rsidRPr="00574AEF">
        <w:rPr>
          <w:strike/>
        </w:rPr>
        <w:t>7.</w:t>
      </w:r>
      <w:r w:rsidR="005457A9" w:rsidRPr="00574AEF">
        <w:rPr>
          <w:strike/>
        </w:rPr>
        <w:t>8</w:t>
      </w:r>
      <w:r w:rsidR="00F60940" w:rsidRPr="00574AEF">
        <w:rPr>
          <w:strike/>
        </w:rPr>
        <w:t>9</w:t>
      </w:r>
      <w:r w:rsidR="004760D2">
        <w:t xml:space="preserve"> </w:t>
      </w:r>
      <w:r w:rsidR="00574AEF">
        <w:rPr>
          <w:u w:val="single"/>
        </w:rPr>
        <w:t xml:space="preserve">7.91 </w:t>
      </w:r>
      <w:r w:rsidR="004760D2">
        <w:t xml:space="preserve">percent.  </w:t>
      </w:r>
      <w:r w:rsidR="00591FE4">
        <w:t xml:space="preserve">Exhibit No. </w:t>
      </w:r>
      <w:r w:rsidR="00720B18">
        <w:t>DCP-</w:t>
      </w:r>
      <w:r w:rsidR="005E407C">
        <w:t>3</w:t>
      </w:r>
      <w:r w:rsidR="00720B18">
        <w:t xml:space="preserve"> </w:t>
      </w:r>
      <w:r>
        <w:t xml:space="preserve">reflects the total cost of capital for the Company using </w:t>
      </w:r>
      <w:r w:rsidR="00F739C2">
        <w:t>my</w:t>
      </w:r>
      <w:r w:rsidR="0064476E">
        <w:t xml:space="preserve"> </w:t>
      </w:r>
      <w:r w:rsidR="00CE03E6">
        <w:t>proposed</w:t>
      </w:r>
      <w:r>
        <w:t xml:space="preserve"> capital structure</w:t>
      </w:r>
      <w:r w:rsidR="00E06B1F">
        <w:t xml:space="preserve"> and c</w:t>
      </w:r>
      <w:r>
        <w:t>ost</w:t>
      </w:r>
      <w:r w:rsidR="00E005CF">
        <w:t xml:space="preserve"> of </w:t>
      </w:r>
      <w:r w:rsidR="00E06B1F">
        <w:t xml:space="preserve">debt along with </w:t>
      </w:r>
      <w:r w:rsidR="00232EC1">
        <w:t xml:space="preserve">the range of </w:t>
      </w:r>
      <w:r>
        <w:t>common equity cost</w:t>
      </w:r>
      <w:r w:rsidR="00232EC1">
        <w:t>s my DCF analysis supports</w:t>
      </w:r>
      <w:r>
        <w:t xml:space="preserve">.    </w:t>
      </w:r>
    </w:p>
    <w:p w:rsidR="00376659" w:rsidRDefault="00376659" w:rsidP="00417CF7">
      <w:pPr>
        <w:tabs>
          <w:tab w:val="left" w:pos="720"/>
          <w:tab w:val="left" w:pos="1440"/>
          <w:tab w:val="left" w:pos="9240"/>
        </w:tabs>
        <w:spacing w:line="480" w:lineRule="auto"/>
        <w:ind w:left="720" w:hanging="720"/>
      </w:pPr>
    </w:p>
    <w:p w:rsidR="00574AEF" w:rsidRDefault="00376659" w:rsidP="00417CF7">
      <w:pPr>
        <w:tabs>
          <w:tab w:val="left" w:pos="720"/>
          <w:tab w:val="left" w:pos="1440"/>
          <w:tab w:val="left" w:pos="9240"/>
        </w:tabs>
        <w:spacing w:line="480" w:lineRule="auto"/>
        <w:ind w:left="720" w:hanging="720"/>
        <w:rPr>
          <w:b/>
        </w:rPr>
        <w:sectPr w:rsidR="00574AEF" w:rsidSect="00E83DA3">
          <w:footerReference w:type="default" r:id="rId34"/>
          <w:pgSz w:w="12240" w:h="15840" w:code="1"/>
          <w:pgMar w:top="1440" w:right="1440" w:bottom="720" w:left="1872" w:header="720" w:footer="720" w:gutter="0"/>
          <w:lnNumType w:countBy="1"/>
          <w:cols w:space="720"/>
          <w:docGrid w:linePitch="360"/>
        </w:sectPr>
      </w:pPr>
      <w:proofErr w:type="gramStart"/>
      <w:r>
        <w:rPr>
          <w:b/>
        </w:rPr>
        <w:t>Q.</w:t>
      </w:r>
      <w:r>
        <w:rPr>
          <w:b/>
        </w:rPr>
        <w:tab/>
        <w:t>D</w:t>
      </w:r>
      <w:r w:rsidR="00F6556C">
        <w:rPr>
          <w:b/>
        </w:rPr>
        <w:t xml:space="preserve">oes your cost of capital recommendation provide the </w:t>
      </w:r>
      <w:r w:rsidR="00720B18">
        <w:rPr>
          <w:b/>
        </w:rPr>
        <w:t>C</w:t>
      </w:r>
      <w:r w:rsidR="00F6556C">
        <w:rPr>
          <w:b/>
        </w:rPr>
        <w:t>ompany with a sufficient level of earnings to maintain its financial integrity</w:t>
      </w:r>
      <w:r>
        <w:rPr>
          <w:b/>
        </w:rPr>
        <w:t>?</w:t>
      </w:r>
      <w:proofErr w:type="gramEnd"/>
      <w:r w:rsidR="00574AEF">
        <w:rPr>
          <w:b/>
        </w:rPr>
        <w:t xml:space="preserve">  </w:t>
      </w:r>
    </w:p>
    <w:p w:rsidR="00F60940" w:rsidRDefault="00376659" w:rsidP="00E05E01">
      <w:pPr>
        <w:tabs>
          <w:tab w:val="left" w:pos="720"/>
          <w:tab w:val="left" w:pos="1440"/>
          <w:tab w:val="left" w:pos="9240"/>
        </w:tabs>
        <w:spacing w:line="480" w:lineRule="auto"/>
        <w:ind w:left="720" w:hanging="720"/>
        <w:rPr>
          <w:b/>
        </w:rPr>
      </w:pPr>
      <w:r>
        <w:lastRenderedPageBreak/>
        <w:t>A.</w:t>
      </w:r>
      <w:r>
        <w:tab/>
        <w:t xml:space="preserve">Yes, it does.  </w:t>
      </w:r>
      <w:r w:rsidR="005E407C">
        <w:t>E</w:t>
      </w:r>
      <w:r w:rsidR="00591FE4">
        <w:t xml:space="preserve">xhibit No. </w:t>
      </w:r>
      <w:r w:rsidR="00720B18">
        <w:t>DCP-</w:t>
      </w:r>
      <w:r w:rsidR="004C4F14">
        <w:t>17</w:t>
      </w:r>
      <w:r w:rsidR="00720B18">
        <w:t xml:space="preserve"> </w:t>
      </w:r>
      <w:r>
        <w:t xml:space="preserve">shows the pre-tax coverage that would result if </w:t>
      </w:r>
      <w:r w:rsidR="00E93465">
        <w:t>PSE</w:t>
      </w:r>
      <w:r>
        <w:t xml:space="preserve"> earned my cost of capital recommendation.  As the results indicate, my recommended range would produce a coverage level within the benchmark range for a </w:t>
      </w:r>
      <w:r w:rsidR="001C5671">
        <w:t xml:space="preserve">BBB </w:t>
      </w:r>
      <w:r>
        <w:t>rated utility.  In addition, the debt ratio is within th</w:t>
      </w:r>
      <w:r w:rsidR="00AB16F3">
        <w:t>e</w:t>
      </w:r>
      <w:r>
        <w:t xml:space="preserve"> benchmark for a</w:t>
      </w:r>
      <w:r w:rsidR="001368C1">
        <w:t xml:space="preserve"> </w:t>
      </w:r>
      <w:r w:rsidR="001C5671">
        <w:t>BBB</w:t>
      </w:r>
      <w:r w:rsidR="001368C1">
        <w:t xml:space="preserve"> </w:t>
      </w:r>
      <w:r>
        <w:t>rated utility.</w:t>
      </w:r>
    </w:p>
    <w:p w:rsidR="00F254E8" w:rsidRDefault="00F254E8" w:rsidP="00D52A4D">
      <w:pPr>
        <w:tabs>
          <w:tab w:val="left" w:pos="720"/>
          <w:tab w:val="left" w:pos="1440"/>
          <w:tab w:val="left" w:pos="9240"/>
        </w:tabs>
        <w:spacing w:line="480" w:lineRule="auto"/>
        <w:ind w:left="720" w:hanging="720"/>
        <w:jc w:val="center"/>
        <w:rPr>
          <w:b/>
        </w:rPr>
      </w:pPr>
    </w:p>
    <w:p w:rsidR="00376659" w:rsidRDefault="00DB2FA7" w:rsidP="000D2E7B">
      <w:pPr>
        <w:tabs>
          <w:tab w:val="left" w:pos="720"/>
          <w:tab w:val="left" w:pos="1440"/>
          <w:tab w:val="left" w:pos="9240"/>
        </w:tabs>
        <w:spacing w:line="480" w:lineRule="auto"/>
        <w:jc w:val="center"/>
        <w:rPr>
          <w:b/>
          <w:u w:val="single"/>
        </w:rPr>
      </w:pPr>
      <w:r>
        <w:rPr>
          <w:b/>
        </w:rPr>
        <w:t>I</w:t>
      </w:r>
      <w:r w:rsidR="00EF3820">
        <w:rPr>
          <w:b/>
        </w:rPr>
        <w:t>X.</w:t>
      </w:r>
      <w:r w:rsidR="00EF3820">
        <w:rPr>
          <w:b/>
        </w:rPr>
        <w:tab/>
      </w:r>
      <w:r w:rsidR="00EF3820" w:rsidRPr="00F6556C">
        <w:rPr>
          <w:b/>
        </w:rPr>
        <w:t>COMMENTS ON COMPANY TESTIMONY</w:t>
      </w:r>
    </w:p>
    <w:p w:rsidR="00EF3820" w:rsidRDefault="00EF3820" w:rsidP="009E2531">
      <w:pPr>
        <w:tabs>
          <w:tab w:val="left" w:pos="720"/>
          <w:tab w:val="left" w:pos="1440"/>
          <w:tab w:val="left" w:pos="9240"/>
        </w:tabs>
        <w:spacing w:line="480" w:lineRule="auto"/>
        <w:ind w:left="720" w:hanging="720"/>
        <w:jc w:val="both"/>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Have you reviewed the testimony of PSE witness Roger Morin</w:t>
      </w:r>
      <w:r>
        <w:rPr>
          <w:b/>
        </w:rPr>
        <w:t>?</w:t>
      </w:r>
    </w:p>
    <w:p w:rsidR="00AE102D" w:rsidRDefault="00AE102D" w:rsidP="00906CA5">
      <w:pPr>
        <w:tabs>
          <w:tab w:val="left" w:pos="720"/>
          <w:tab w:val="left" w:pos="1440"/>
          <w:tab w:val="left" w:pos="9240"/>
        </w:tabs>
        <w:spacing w:line="480" w:lineRule="auto"/>
        <w:ind w:left="720" w:hanging="720"/>
      </w:pPr>
      <w:r w:rsidRPr="00973FA0">
        <w:t>A.</w:t>
      </w:r>
      <w:r w:rsidRPr="00DC1895">
        <w:rPr>
          <w:b/>
        </w:rPr>
        <w:tab/>
      </w:r>
      <w:r>
        <w:t>Yes, I have.</w:t>
      </w:r>
    </w:p>
    <w:p w:rsidR="00AE102D" w:rsidRDefault="00AE102D" w:rsidP="00001E45">
      <w:pPr>
        <w:keepNext/>
        <w:keepLines/>
        <w:tabs>
          <w:tab w:val="left" w:pos="720"/>
          <w:tab w:val="left" w:pos="1440"/>
          <w:tab w:val="left" w:pos="9240"/>
        </w:tabs>
        <w:spacing w:line="480" w:lineRule="auto"/>
        <w:ind w:left="720" w:hanging="720"/>
        <w:rPr>
          <w:b/>
        </w:rPr>
      </w:pPr>
      <w:r>
        <w:rPr>
          <w:b/>
        </w:rPr>
        <w:t>Q.</w:t>
      </w:r>
      <w:r>
        <w:rPr>
          <w:b/>
        </w:rPr>
        <w:tab/>
      </w:r>
      <w:r w:rsidR="00973FA0">
        <w:rPr>
          <w:b/>
        </w:rPr>
        <w:t>What is your understanding of Dr. Morin’s cost of equity recommendation for PSE</w:t>
      </w:r>
      <w:r>
        <w:rPr>
          <w:b/>
        </w:rPr>
        <w:t>?</w:t>
      </w:r>
    </w:p>
    <w:p w:rsidR="00973FA0" w:rsidRDefault="00AE102D" w:rsidP="008B65D4">
      <w:pPr>
        <w:keepNext/>
        <w:keepLines/>
        <w:tabs>
          <w:tab w:val="left" w:pos="720"/>
          <w:tab w:val="left" w:pos="1440"/>
          <w:tab w:val="left" w:pos="9240"/>
        </w:tabs>
        <w:spacing w:line="480" w:lineRule="auto"/>
        <w:ind w:left="720" w:right="-522" w:hanging="720"/>
      </w:pPr>
      <w:r w:rsidRPr="00973FA0">
        <w:t>A.</w:t>
      </w:r>
      <w:r w:rsidRPr="00973FA0">
        <w:tab/>
      </w:r>
      <w:r>
        <w:t>Dr. Morin is recommending a</w:t>
      </w:r>
      <w:r w:rsidR="00C03689">
        <w:t>n 11.5</w:t>
      </w:r>
      <w:r>
        <w:t xml:space="preserve"> percent cost of common equity for </w:t>
      </w:r>
      <w:r w:rsidR="00973FA0">
        <w:t>PSE</w:t>
      </w:r>
      <w:r>
        <w:t>.  This recommendation is based upon his implementation of the following cost of equity models:</w:t>
      </w:r>
    </w:p>
    <w:tbl>
      <w:tblPr>
        <w:tblpPr w:leftFromText="180" w:rightFromText="180" w:vertAnchor="text" w:horzAnchor="margin" w:tblpXSpec="center" w:tblpY="128"/>
        <w:tblW w:w="0" w:type="auto"/>
        <w:tblLook w:val="01E0"/>
      </w:tblPr>
      <w:tblGrid>
        <w:gridCol w:w="3642"/>
        <w:gridCol w:w="222"/>
        <w:gridCol w:w="2063"/>
        <w:gridCol w:w="222"/>
        <w:gridCol w:w="836"/>
      </w:tblGrid>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Borders>
              <w:bottom w:val="single" w:sz="4" w:space="0" w:color="auto"/>
            </w:tcBorders>
          </w:tcPr>
          <w:p w:rsidR="00AE102D" w:rsidRDefault="00AE102D" w:rsidP="00906CA5">
            <w:pPr>
              <w:tabs>
                <w:tab w:val="left" w:pos="720"/>
                <w:tab w:val="left" w:pos="1440"/>
                <w:tab w:val="left" w:pos="9240"/>
              </w:tabs>
            </w:pPr>
            <w:r>
              <w:t>Morin Conclusions</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CAPM</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Traditional</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8.5</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Empirical</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8.9</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pPr>
            <w:r>
              <w:t>8.7</w:t>
            </w:r>
            <w:r w:rsidR="00AE102D">
              <w:t>%</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Risk Premium</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Historical Electric</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C87EE0" w:rsidP="00906CA5">
            <w:pPr>
              <w:tabs>
                <w:tab w:val="left" w:pos="720"/>
                <w:tab w:val="left" w:pos="1440"/>
                <w:tab w:val="left" w:pos="9240"/>
              </w:tabs>
            </w:pPr>
            <w:r>
              <w:t>11.1%</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DCF</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jc w:val="center"/>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Vertically Integrated Value Line</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12.4</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Vertically Integrated </w:t>
            </w:r>
            <w:proofErr w:type="spellStart"/>
            <w:r>
              <w:t>Zacks</w:t>
            </w:r>
            <w:proofErr w:type="spellEnd"/>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12.1</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w:t>
            </w:r>
            <w:r w:rsidR="00973FA0">
              <w:t>S&amp;P</w:t>
            </w:r>
            <w:r>
              <w:t xml:space="preserve"> Electric Value Line</w:t>
            </w:r>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12.2</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w:t>
            </w:r>
            <w:proofErr w:type="spellStart"/>
            <w:r w:rsidR="00973FA0">
              <w:t>S&amp;P</w:t>
            </w:r>
            <w:proofErr w:type="spellEnd"/>
            <w:r>
              <w:t xml:space="preserve"> Electric </w:t>
            </w:r>
            <w:proofErr w:type="spellStart"/>
            <w:r>
              <w:t>Zacks</w:t>
            </w:r>
            <w:proofErr w:type="spellEnd"/>
          </w:p>
        </w:tc>
        <w:tc>
          <w:tcPr>
            <w:tcW w:w="0" w:type="auto"/>
          </w:tcPr>
          <w:p w:rsidR="00AE102D" w:rsidRDefault="00AE102D" w:rsidP="00906CA5">
            <w:pPr>
              <w:tabs>
                <w:tab w:val="left" w:pos="720"/>
                <w:tab w:val="left" w:pos="1440"/>
                <w:tab w:val="left" w:pos="9240"/>
              </w:tabs>
            </w:pPr>
          </w:p>
        </w:tc>
        <w:tc>
          <w:tcPr>
            <w:tcW w:w="0" w:type="auto"/>
          </w:tcPr>
          <w:p w:rsidR="00AE102D" w:rsidRDefault="00973FA0" w:rsidP="00906CA5">
            <w:pPr>
              <w:tabs>
                <w:tab w:val="left" w:pos="720"/>
                <w:tab w:val="left" w:pos="1440"/>
                <w:tab w:val="left" w:pos="9240"/>
              </w:tabs>
              <w:jc w:val="center"/>
            </w:pPr>
            <w:r>
              <w:t>12.3</w:t>
            </w:r>
            <w:r w:rsidR="00AE102D">
              <w:t>%</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r>
              <w:t>1</w:t>
            </w:r>
            <w:r w:rsidR="00973FA0">
              <w:t>2.3</w:t>
            </w:r>
            <w:r>
              <w:t>%</w:t>
            </w:r>
          </w:p>
        </w:tc>
      </w:tr>
      <w:tr w:rsidR="00AE102D" w:rsidTr="00AE102D">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r>
      <w:tr w:rsidR="00AE102D" w:rsidTr="00AE102D">
        <w:tc>
          <w:tcPr>
            <w:tcW w:w="0" w:type="auto"/>
          </w:tcPr>
          <w:p w:rsidR="00AE102D" w:rsidRDefault="00AE102D" w:rsidP="00906CA5">
            <w:pPr>
              <w:tabs>
                <w:tab w:val="left" w:pos="720"/>
                <w:tab w:val="left" w:pos="1440"/>
                <w:tab w:val="left" w:pos="9240"/>
              </w:tabs>
            </w:pPr>
            <w:r>
              <w:t xml:space="preserve">     Combined Average</w:t>
            </w: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AE102D" w:rsidP="00906CA5">
            <w:pPr>
              <w:tabs>
                <w:tab w:val="left" w:pos="720"/>
                <w:tab w:val="left" w:pos="1440"/>
                <w:tab w:val="left" w:pos="9240"/>
              </w:tabs>
            </w:pPr>
          </w:p>
        </w:tc>
        <w:tc>
          <w:tcPr>
            <w:tcW w:w="0" w:type="auto"/>
          </w:tcPr>
          <w:p w:rsidR="00AE102D" w:rsidRDefault="00973FA0" w:rsidP="00A46C62">
            <w:pPr>
              <w:tabs>
                <w:tab w:val="left" w:pos="720"/>
                <w:tab w:val="left" w:pos="1440"/>
                <w:tab w:val="left" w:pos="9240"/>
              </w:tabs>
            </w:pPr>
            <w:r>
              <w:t>11.</w:t>
            </w:r>
            <w:r w:rsidR="00A46C62">
              <w:t>1</w:t>
            </w:r>
            <w:r w:rsidR="00AE102D">
              <w:t>%</w:t>
            </w:r>
          </w:p>
        </w:tc>
      </w:tr>
    </w:tbl>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AE102D" w:rsidP="00906CA5">
      <w:pPr>
        <w:tabs>
          <w:tab w:val="left" w:pos="720"/>
          <w:tab w:val="left" w:pos="1440"/>
          <w:tab w:val="left" w:pos="9240"/>
        </w:tabs>
        <w:spacing w:line="360" w:lineRule="auto"/>
        <w:ind w:left="720" w:hanging="720"/>
      </w:pPr>
    </w:p>
    <w:p w:rsidR="00AE102D" w:rsidRDefault="00DB2FA7" w:rsidP="00906CA5">
      <w:pPr>
        <w:tabs>
          <w:tab w:val="left" w:pos="720"/>
          <w:tab w:val="left" w:pos="1440"/>
          <w:tab w:val="left" w:pos="9240"/>
        </w:tabs>
        <w:spacing w:line="480" w:lineRule="auto"/>
        <w:ind w:left="720" w:hanging="720"/>
      </w:pPr>
      <w:r>
        <w:lastRenderedPageBreak/>
        <w:tab/>
      </w:r>
      <w:r w:rsidR="00AE102D">
        <w:t>Based upon these results, he concludes that 1</w:t>
      </w:r>
      <w:r w:rsidR="00973FA0">
        <w:t>1.</w:t>
      </w:r>
      <w:r w:rsidR="00A46C62">
        <w:t>1</w:t>
      </w:r>
      <w:r w:rsidR="00AE102D">
        <w:t xml:space="preserve"> percent </w:t>
      </w:r>
      <w:r w:rsidR="00A46C62">
        <w:t xml:space="preserve">to 11.5 percent </w:t>
      </w:r>
      <w:r w:rsidR="00AE102D">
        <w:t>is the cost of equity for an average electric distribution utility.  He recommends an 11.</w:t>
      </w:r>
      <w:r w:rsidR="00973FA0">
        <w:t>5</w:t>
      </w:r>
      <w:r w:rsidR="00AE102D">
        <w:t xml:space="preserve"> percent return on equity for </w:t>
      </w:r>
      <w:r w:rsidR="00973FA0">
        <w:t>PSE</w:t>
      </w:r>
      <w:r w:rsidR="00AE102D">
        <w:t xml:space="preserve">, reflecting his perception that </w:t>
      </w:r>
      <w:r w:rsidR="00973FA0">
        <w:t>PSE</w:t>
      </w:r>
      <w:r w:rsidR="00AE102D">
        <w:t xml:space="preserve"> </w:t>
      </w:r>
      <w:r w:rsidR="00973FA0">
        <w:t xml:space="preserve">has a “higher </w:t>
      </w:r>
      <w:r w:rsidR="00A46C62">
        <w:t xml:space="preserve">relative </w:t>
      </w:r>
      <w:r w:rsidR="00C87EE0">
        <w:t>risk</w:t>
      </w:r>
      <w:r w:rsidR="00A46C62">
        <w:t>s</w:t>
      </w:r>
      <w:r w:rsidR="00973FA0">
        <w:t>.”</w:t>
      </w:r>
      <w:r w:rsidR="00C03689">
        <w:t xml:space="preserve">  However, PSE is requesting a 10.8 percent cost of equity in its filing.</w:t>
      </w:r>
    </w:p>
    <w:p w:rsidR="00AE102D" w:rsidRDefault="00AE102D"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What is your understanding of Dr. Morin’s CAPM analyses</w:t>
      </w:r>
      <w:r>
        <w:rPr>
          <w:b/>
        </w:rPr>
        <w:t>?</w:t>
      </w:r>
    </w:p>
    <w:p w:rsidR="00AE102D" w:rsidRDefault="00AE102D" w:rsidP="00906CA5">
      <w:pPr>
        <w:tabs>
          <w:tab w:val="left" w:pos="720"/>
          <w:tab w:val="left" w:pos="1440"/>
          <w:tab w:val="left" w:pos="9240"/>
        </w:tabs>
        <w:spacing w:line="480" w:lineRule="auto"/>
        <w:ind w:left="720" w:hanging="720"/>
      </w:pPr>
      <w:r w:rsidRPr="00973FA0">
        <w:t>A.</w:t>
      </w:r>
      <w:r w:rsidR="00973FA0">
        <w:tab/>
      </w:r>
      <w:r>
        <w:t>Dr. Morin performs CAPM analyses for a group of electric utilities (0.</w:t>
      </w:r>
      <w:r w:rsidR="00973FA0">
        <w:t>76</w:t>
      </w:r>
      <w:r>
        <w:t xml:space="preserve"> average </w:t>
      </w:r>
      <w:proofErr w:type="gramStart"/>
      <w:r>
        <w:t>beta</w:t>
      </w:r>
      <w:proofErr w:type="gramEnd"/>
      <w:r>
        <w:t xml:space="preserve">).  He combines </w:t>
      </w:r>
      <w:r w:rsidR="00A46C62">
        <w:t>this 0.76</w:t>
      </w:r>
      <w:r>
        <w:t xml:space="preserve"> beta with a </w:t>
      </w:r>
      <w:r w:rsidR="00973FA0">
        <w:t>3.6</w:t>
      </w:r>
      <w:r>
        <w:t xml:space="preserve"> percent level cost of long-term (30-year) Treasury bonds and a </w:t>
      </w:r>
      <w:r w:rsidR="00973FA0">
        <w:t xml:space="preserve">6.5 </w:t>
      </w:r>
      <w:r>
        <w:t>percent risk premium to get the following CAPM results (Page 46):</w:t>
      </w:r>
    </w:p>
    <w:p w:rsidR="00AE102D" w:rsidRDefault="00AE102D" w:rsidP="008561A6">
      <w:pPr>
        <w:tabs>
          <w:tab w:val="left" w:pos="720"/>
          <w:tab w:val="left" w:pos="1440"/>
          <w:tab w:val="left" w:pos="9240"/>
        </w:tabs>
        <w:spacing w:line="480" w:lineRule="auto"/>
      </w:pPr>
      <w:r>
        <w:tab/>
      </w:r>
      <w:r>
        <w:tab/>
        <w:t xml:space="preserve">K = RF + </w:t>
      </w:r>
      <w:proofErr w:type="gramStart"/>
      <w:r>
        <w:t>β(</w:t>
      </w:r>
      <w:proofErr w:type="gramEnd"/>
      <w:r>
        <w:t xml:space="preserve">RP) = </w:t>
      </w:r>
      <w:r w:rsidR="00973FA0">
        <w:t>3.6</w:t>
      </w:r>
      <w:r>
        <w:t>% + 0.</w:t>
      </w:r>
      <w:r w:rsidR="00973FA0">
        <w:t>76</w:t>
      </w:r>
      <w:r>
        <w:t xml:space="preserve"> (</w:t>
      </w:r>
      <w:r w:rsidR="00973FA0">
        <w:t>6.5</w:t>
      </w:r>
      <w:r>
        <w:t xml:space="preserve">%) = </w:t>
      </w:r>
      <w:r w:rsidR="00973FA0">
        <w:t>8.5</w:t>
      </w:r>
      <w:r>
        <w:t>%</w:t>
      </w:r>
    </w:p>
    <w:p w:rsidR="00973FA0" w:rsidRDefault="00973FA0" w:rsidP="00906CA5">
      <w:pPr>
        <w:tabs>
          <w:tab w:val="left" w:pos="720"/>
          <w:tab w:val="left" w:pos="1440"/>
          <w:tab w:val="left" w:pos="9240"/>
        </w:tabs>
        <w:spacing w:line="480" w:lineRule="auto"/>
        <w:ind w:left="720" w:hanging="720"/>
      </w:pPr>
      <w:r>
        <w:tab/>
        <w:t>These results are consistent with my CAPM results.</w:t>
      </w:r>
    </w:p>
    <w:p w:rsidR="00C87EE0" w:rsidRDefault="00C87EE0"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Please describe Dr. Morin’s “empirical” CAPM analysis</w:t>
      </w:r>
      <w:r>
        <w:rPr>
          <w:b/>
        </w:rPr>
        <w:t>.</w:t>
      </w:r>
    </w:p>
    <w:p w:rsidR="00AE102D" w:rsidRPr="00C73221" w:rsidRDefault="00AE102D" w:rsidP="00906CA5">
      <w:pPr>
        <w:tabs>
          <w:tab w:val="left" w:pos="720"/>
          <w:tab w:val="left" w:pos="1440"/>
          <w:tab w:val="left" w:pos="9240"/>
        </w:tabs>
        <w:spacing w:line="480" w:lineRule="auto"/>
        <w:ind w:left="720" w:hanging="720"/>
        <w:rPr>
          <w:b/>
        </w:rPr>
      </w:pPr>
      <w:r w:rsidRPr="00973FA0">
        <w:t>A.</w:t>
      </w:r>
      <w:r w:rsidRPr="00973FA0">
        <w:tab/>
      </w:r>
      <w:r>
        <w:t xml:space="preserve">Dr. Morin also employs what he describes as an “empirical” CAPM analysis.  This form of the CAPM assumes that beta for an industry understates the industry’s volatility and thus risk and it is necessary to substitute the overall market’s beta (i.e., 1.0) for one-fourth of the industry’s actual beta.  Dr. Morin assumed that the appropriate beta in a CAPM analysis is a combination of the actual industry beta with a 75 percent weight and a beta of 1 with a 25 percent weight.  </w:t>
      </w:r>
      <w:r>
        <w:rPr>
          <w:b/>
        </w:rPr>
        <w:tab/>
      </w:r>
    </w:p>
    <w:p w:rsidR="00AE102D" w:rsidRDefault="00AE102D" w:rsidP="00906CA5">
      <w:pPr>
        <w:tabs>
          <w:tab w:val="left" w:pos="720"/>
          <w:tab w:val="left" w:pos="1440"/>
          <w:tab w:val="left" w:pos="9240"/>
        </w:tabs>
        <w:spacing w:line="480" w:lineRule="auto"/>
        <w:ind w:left="720" w:hanging="720"/>
      </w:pPr>
      <w:r>
        <w:tab/>
      </w:r>
      <w:r>
        <w:tab/>
        <w:t xml:space="preserve">The use of an empirical CAPM overstates the cost of equity for companies with betas below that of the market.  What the empirical CAPM actually does is inflate the CAPM cost for the selected company or industry on one-fourth of its </w:t>
      </w:r>
      <w:r>
        <w:lastRenderedPageBreak/>
        <w:t xml:space="preserve">equity and assumes that one-fourth of the company has the risk of the overall market.  This essentially creates a hypothetical beta and CAPM result which is not appropriate for </w:t>
      </w:r>
      <w:r w:rsidR="008561A6">
        <w:t>PSE</w:t>
      </w:r>
      <w:r>
        <w:t xml:space="preserve"> or for other utilities.</w:t>
      </w:r>
    </w:p>
    <w:p w:rsidR="00AE102D" w:rsidRDefault="00AE102D" w:rsidP="00906CA5">
      <w:pPr>
        <w:tabs>
          <w:tab w:val="left" w:pos="720"/>
          <w:tab w:val="left" w:pos="1440"/>
          <w:tab w:val="left" w:pos="9240"/>
        </w:tabs>
        <w:spacing w:line="480" w:lineRule="auto"/>
        <w:ind w:left="720" w:hanging="720"/>
      </w:pPr>
    </w:p>
    <w:p w:rsidR="00AE102D" w:rsidRDefault="00AE102D" w:rsidP="00906CA5">
      <w:pPr>
        <w:tabs>
          <w:tab w:val="left" w:pos="720"/>
          <w:tab w:val="left" w:pos="1440"/>
          <w:tab w:val="left" w:pos="9240"/>
        </w:tabs>
        <w:spacing w:line="480" w:lineRule="auto"/>
        <w:ind w:left="720" w:hanging="720"/>
        <w:rPr>
          <w:b/>
        </w:rPr>
      </w:pPr>
      <w:r>
        <w:rPr>
          <w:b/>
        </w:rPr>
        <w:t>Q.</w:t>
      </w:r>
      <w:r>
        <w:rPr>
          <w:b/>
        </w:rPr>
        <w:tab/>
      </w:r>
      <w:r w:rsidR="00973FA0">
        <w:rPr>
          <w:b/>
        </w:rPr>
        <w:t>Please describe your understanding of Dr. Morin’s risk premium analysis</w:t>
      </w:r>
      <w:r>
        <w:rPr>
          <w:b/>
        </w:rPr>
        <w:t>.</w:t>
      </w:r>
    </w:p>
    <w:p w:rsidR="00AE102D" w:rsidRDefault="00973FA0" w:rsidP="00906CA5">
      <w:pPr>
        <w:tabs>
          <w:tab w:val="left" w:pos="720"/>
          <w:tab w:val="left" w:pos="1440"/>
          <w:tab w:val="left" w:pos="9240"/>
        </w:tabs>
        <w:spacing w:line="480" w:lineRule="auto"/>
        <w:ind w:left="720" w:hanging="720"/>
      </w:pPr>
      <w:r>
        <w:t>A</w:t>
      </w:r>
      <w:r w:rsidR="00AE102D" w:rsidRPr="00973FA0">
        <w:t>.</w:t>
      </w:r>
      <w:r w:rsidR="00AE102D" w:rsidRPr="00DC1895">
        <w:rPr>
          <w:b/>
        </w:rPr>
        <w:tab/>
      </w:r>
      <w:r w:rsidR="00AE102D">
        <w:t xml:space="preserve">Dr. Morin </w:t>
      </w:r>
      <w:r>
        <w:t xml:space="preserve">next </w:t>
      </w:r>
      <w:r w:rsidR="00AE102D">
        <w:t xml:space="preserve">performs </w:t>
      </w:r>
      <w:r>
        <w:t>a risk premium analysi</w:t>
      </w:r>
      <w:r w:rsidR="00AE102D">
        <w:t xml:space="preserve">s.  </w:t>
      </w:r>
      <w:r>
        <w:t>This</w:t>
      </w:r>
      <w:r w:rsidR="00AE102D">
        <w:t xml:space="preserve"> involve</w:t>
      </w:r>
      <w:r>
        <w:t>s</w:t>
      </w:r>
      <w:r w:rsidR="00AE102D">
        <w:t xml:space="preserve"> the estimation of a </w:t>
      </w:r>
      <w:r w:rsidR="00A46C62">
        <w:t xml:space="preserve">5.0 percent </w:t>
      </w:r>
      <w:r w:rsidR="00AE102D">
        <w:t xml:space="preserve">equity risk premium over the </w:t>
      </w:r>
      <w:r w:rsidR="00A46C62">
        <w:t>6.1</w:t>
      </w:r>
      <w:r w:rsidR="00AE102D">
        <w:t xml:space="preserve"> percent yield</w:t>
      </w:r>
      <w:r w:rsidR="00A46C62">
        <w:t xml:space="preserve"> on A-rated utility bonds</w:t>
      </w:r>
      <w:r w:rsidR="00AE102D">
        <w:t>.  Th</w:t>
      </w:r>
      <w:r>
        <w:t>is risk premium</w:t>
      </w:r>
      <w:r w:rsidR="00AE102D">
        <w:t xml:space="preserve"> he developed </w:t>
      </w:r>
      <w:r>
        <w:t>is a Historic risk premium for the electric utility industry.</w:t>
      </w:r>
    </w:p>
    <w:p w:rsidR="00AE102D" w:rsidRDefault="00AE102D" w:rsidP="00906CA5">
      <w:pPr>
        <w:tabs>
          <w:tab w:val="left" w:pos="720"/>
          <w:tab w:val="left" w:pos="1440"/>
          <w:tab w:val="left" w:pos="2160"/>
          <w:tab w:val="left" w:pos="9240"/>
        </w:tabs>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Please describe Dr. Morin’s historic risk premium for the electric utility industry</w:t>
      </w:r>
      <w:r>
        <w:rPr>
          <w:b/>
        </w:rPr>
        <w:t>.</w:t>
      </w:r>
    </w:p>
    <w:p w:rsidR="00AE102D" w:rsidRDefault="00973FA0" w:rsidP="00906CA5">
      <w:pPr>
        <w:tabs>
          <w:tab w:val="left" w:pos="720"/>
          <w:tab w:val="left" w:pos="1440"/>
          <w:tab w:val="left" w:pos="2160"/>
          <w:tab w:val="left" w:pos="9240"/>
        </w:tabs>
        <w:spacing w:line="480" w:lineRule="auto"/>
        <w:ind w:left="720" w:hanging="720"/>
      </w:pPr>
      <w:r w:rsidRPr="00973FA0">
        <w:t>A</w:t>
      </w:r>
      <w:r w:rsidR="00AE102D" w:rsidRPr="00973FA0">
        <w:t>.</w:t>
      </w:r>
      <w:r w:rsidR="00AE102D" w:rsidRPr="00973FA0">
        <w:tab/>
      </w:r>
      <w:r w:rsidR="00AE102D">
        <w:t xml:space="preserve">Dr. Morin’s historic risk premium for the electric utility industry involves an examination of the total returns of 20-year Treasury bonds (capital gains/losses plus interest) and </w:t>
      </w:r>
      <w:r w:rsidR="008B65D4">
        <w:t>Stan</w:t>
      </w:r>
      <w:r w:rsidR="00DB2FA7">
        <w:t xml:space="preserve">dard &amp; </w:t>
      </w:r>
      <w:proofErr w:type="spellStart"/>
      <w:r w:rsidR="00DB2FA7">
        <w:t>Poor</w:t>
      </w:r>
      <w:r w:rsidR="00A46C62">
        <w:t>s</w:t>
      </w:r>
      <w:proofErr w:type="spellEnd"/>
      <w:r w:rsidR="00DB2FA7">
        <w:t>’</w:t>
      </w:r>
      <w:r w:rsidR="00AE102D">
        <w:t xml:space="preserve"> Utilit</w:t>
      </w:r>
      <w:r w:rsidR="00A46C62">
        <w:t>y</w:t>
      </w:r>
      <w:r w:rsidR="00AE102D">
        <w:t xml:space="preserve"> Index (capital gains/losses plus dividend yield</w:t>
      </w:r>
      <w:r>
        <w:t>) over the period 1931</w:t>
      </w:r>
      <w:r w:rsidR="00AE102D">
        <w:t xml:space="preserve">-2007.  The average historical difference between the electric utility returns and the </w:t>
      </w:r>
      <w:r>
        <w:t>A-rated</w:t>
      </w:r>
      <w:r w:rsidR="00AE102D">
        <w:t xml:space="preserve"> bond returns was </w:t>
      </w:r>
      <w:r>
        <w:t>5.0</w:t>
      </w:r>
      <w:r w:rsidR="00AE102D">
        <w:t xml:space="preserve">.  His historic risk premium for the electric utility industry simply added the </w:t>
      </w:r>
      <w:r>
        <w:t>6.1</w:t>
      </w:r>
      <w:r w:rsidR="00AE102D">
        <w:t xml:space="preserve"> percent current </w:t>
      </w:r>
      <w:r>
        <w:t>A-rated</w:t>
      </w:r>
      <w:r w:rsidR="00AE102D">
        <w:t xml:space="preserve"> bond yield to the </w:t>
      </w:r>
      <w:r>
        <w:t>5.0</w:t>
      </w:r>
      <w:r w:rsidR="00AE102D">
        <w:t xml:space="preserve"> percent historic risk premium to get </w:t>
      </w:r>
      <w:r>
        <w:t>an</w:t>
      </w:r>
      <w:r w:rsidR="00AE102D">
        <w:t xml:space="preserve"> 1</w:t>
      </w:r>
      <w:r>
        <w:t>1.1</w:t>
      </w:r>
      <w:r w:rsidR="00AE102D">
        <w:t xml:space="preserve"> percent result.  </w:t>
      </w:r>
    </w:p>
    <w:p w:rsidR="00AE102D" w:rsidRDefault="00AE102D" w:rsidP="00906CA5">
      <w:pPr>
        <w:tabs>
          <w:tab w:val="left" w:pos="720"/>
          <w:tab w:val="left" w:pos="1440"/>
          <w:tab w:val="left" w:pos="2160"/>
          <w:tab w:val="left" w:pos="9240"/>
        </w:tabs>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Do you agree with this methodology for estimating the cost of equity for PSE</w:t>
      </w:r>
      <w:r>
        <w:rPr>
          <w:b/>
        </w:rPr>
        <w:t>?</w:t>
      </w:r>
    </w:p>
    <w:p w:rsidR="00AE102D" w:rsidRDefault="00AE102D" w:rsidP="00906CA5">
      <w:pPr>
        <w:tabs>
          <w:tab w:val="left" w:pos="720"/>
          <w:tab w:val="left" w:pos="1440"/>
          <w:tab w:val="left" w:pos="2160"/>
          <w:tab w:val="left" w:pos="9240"/>
        </w:tabs>
        <w:spacing w:line="480" w:lineRule="auto"/>
        <w:ind w:left="720" w:hanging="720"/>
      </w:pPr>
      <w:r w:rsidRPr="00973FA0">
        <w:t>A.</w:t>
      </w:r>
      <w:r w:rsidRPr="00973FA0">
        <w:tab/>
      </w:r>
      <w:r>
        <w:t xml:space="preserve">No, I do not.  Dr. Morin’s historic risk premium of </w:t>
      </w:r>
      <w:r w:rsidR="00973FA0">
        <w:t>5.0</w:t>
      </w:r>
      <w:r>
        <w:t xml:space="preserve"> percent is simply an examination of hist</w:t>
      </w:r>
      <w:r w:rsidR="00973FA0">
        <w:t>orical events going back to 1931</w:t>
      </w:r>
      <w:r>
        <w:t xml:space="preserve">.  He has made no demonstration </w:t>
      </w:r>
      <w:r>
        <w:lastRenderedPageBreak/>
        <w:t xml:space="preserve">that economic </w:t>
      </w:r>
      <w:r w:rsidR="00973FA0">
        <w:t>and financial conditions in 2009</w:t>
      </w:r>
      <w:r>
        <w:t xml:space="preserve"> are similar to those over the past seventy plus years.  The use of such a methodology implicitly assumes that the events of each of these years can have the same influences at the current time.</w:t>
      </w:r>
    </w:p>
    <w:p w:rsidR="00AE102D" w:rsidRDefault="00AE102D" w:rsidP="00906CA5">
      <w:pPr>
        <w:tabs>
          <w:tab w:val="left" w:pos="720"/>
          <w:tab w:val="left" w:pos="1440"/>
          <w:tab w:val="left" w:pos="2160"/>
          <w:tab w:val="left" w:pos="9240"/>
        </w:tabs>
        <w:spacing w:line="480" w:lineRule="auto"/>
        <w:ind w:left="720" w:hanging="720"/>
      </w:pPr>
      <w:r>
        <w:tab/>
      </w:r>
      <w:r>
        <w:tab/>
        <w:t xml:space="preserve">In addition, the risk premiums developed by Dr. Morin are generally dominated by the influence of capital gains in many years.  I do not believe it is proper to assign </w:t>
      </w:r>
      <w:r w:rsidR="00973FA0">
        <w:t>PSE</w:t>
      </w:r>
      <w:r>
        <w:t>’s cost of equity based directly upon a methodology which is dominated by stock market changes and bond market changes.</w:t>
      </w:r>
    </w:p>
    <w:p w:rsidR="00AE102D" w:rsidRDefault="00AE102D" w:rsidP="00906CA5">
      <w:pPr>
        <w:tabs>
          <w:tab w:val="left" w:pos="720"/>
          <w:tab w:val="left" w:pos="1440"/>
          <w:tab w:val="left" w:pos="2160"/>
          <w:tab w:val="left" w:pos="9240"/>
        </w:tabs>
        <w:spacing w:line="480" w:lineRule="auto"/>
        <w:ind w:left="720" w:hanging="720"/>
      </w:pPr>
      <w:r>
        <w:tab/>
      </w:r>
      <w:r>
        <w:tab/>
        <w:t xml:space="preserve">It is also apparent that the risk premium level has been very volatile over the 1931-2007 </w:t>
      </w:r>
      <w:proofErr w:type="gramStart"/>
      <w:r>
        <w:t>period</w:t>
      </w:r>
      <w:proofErr w:type="gramEnd"/>
      <w:r>
        <w:t xml:space="preserve">.  The highest risk premium was </w:t>
      </w:r>
      <w:r w:rsidR="00A46C62">
        <w:t>59.58</w:t>
      </w:r>
      <w:r>
        <w:t xml:space="preserve"> percent in 1935 and the lowest was -</w:t>
      </w:r>
      <w:r w:rsidR="00A46C62">
        <w:t>43.28</w:t>
      </w:r>
      <w:r>
        <w:t xml:space="preserve"> percent in </w:t>
      </w:r>
      <w:r w:rsidR="00A46C62">
        <w:t>2001</w:t>
      </w:r>
      <w:r>
        <w:t xml:space="preserve">.  The averages by decade have also been quite different, as is shown on my </w:t>
      </w:r>
      <w:r w:rsidR="00C03689">
        <w:t>Exhibit No. DCP-1</w:t>
      </w:r>
      <w:r w:rsidR="007B02B3">
        <w:t>8</w:t>
      </w:r>
      <w:r>
        <w:t xml:space="preserve">.  This indicates that the decade of the 1950’s dominates the risk premium averages with a </w:t>
      </w:r>
      <w:r w:rsidR="00A46C62">
        <w:t>13.61</w:t>
      </w:r>
      <w:r>
        <w:t xml:space="preserve"> percent premium.  The most recent complete decade (i.e., the 1990’s), in contrast, shows a </w:t>
      </w:r>
      <w:r w:rsidR="00A46C62">
        <w:t>-0.28</w:t>
      </w:r>
      <w:r>
        <w:t xml:space="preserve"> percent risk premium and since 2000 the average has been 4.</w:t>
      </w:r>
      <w:r w:rsidR="00A46C62">
        <w:t>2</w:t>
      </w:r>
      <w:r>
        <w:t xml:space="preserve">0 percent (an average that will fall substantially when 2008 is included).  </w:t>
      </w:r>
    </w:p>
    <w:p w:rsidR="00AE102D" w:rsidRDefault="00AE102D" w:rsidP="00906CA5">
      <w:pPr>
        <w:spacing w:line="480" w:lineRule="auto"/>
        <w:ind w:left="720" w:hanging="720"/>
      </w:pPr>
    </w:p>
    <w:p w:rsidR="00AE102D" w:rsidRDefault="00AE102D" w:rsidP="00906CA5">
      <w:pPr>
        <w:tabs>
          <w:tab w:val="left" w:pos="720"/>
          <w:tab w:val="left" w:pos="1440"/>
          <w:tab w:val="left" w:pos="2160"/>
          <w:tab w:val="left" w:pos="9240"/>
        </w:tabs>
        <w:spacing w:line="480" w:lineRule="auto"/>
        <w:ind w:left="720" w:hanging="720"/>
        <w:rPr>
          <w:b/>
        </w:rPr>
      </w:pPr>
      <w:r>
        <w:rPr>
          <w:b/>
        </w:rPr>
        <w:t>Q.</w:t>
      </w:r>
      <w:r>
        <w:rPr>
          <w:b/>
        </w:rPr>
        <w:tab/>
      </w:r>
      <w:r w:rsidR="00973FA0">
        <w:rPr>
          <w:b/>
        </w:rPr>
        <w:t>What is your understanding of Dr. Morin’s DCF analyses</w:t>
      </w:r>
      <w:r>
        <w:rPr>
          <w:b/>
        </w:rPr>
        <w:t>?</w:t>
      </w:r>
    </w:p>
    <w:p w:rsidR="001C28BD" w:rsidRDefault="00AE102D" w:rsidP="00906CA5">
      <w:pPr>
        <w:tabs>
          <w:tab w:val="left" w:pos="720"/>
          <w:tab w:val="left" w:pos="1440"/>
          <w:tab w:val="left" w:pos="2160"/>
          <w:tab w:val="left" w:pos="9240"/>
        </w:tabs>
        <w:spacing w:line="480" w:lineRule="auto"/>
        <w:ind w:left="720" w:hanging="720"/>
        <w:sectPr w:rsidR="001C28BD" w:rsidSect="00E83DA3">
          <w:footerReference w:type="default" r:id="rId35"/>
          <w:pgSz w:w="12240" w:h="15840" w:code="1"/>
          <w:pgMar w:top="1440" w:right="1440" w:bottom="720" w:left="1872" w:header="720" w:footer="720" w:gutter="0"/>
          <w:lnNumType w:countBy="1"/>
          <w:cols w:space="720"/>
          <w:docGrid w:linePitch="360"/>
        </w:sectPr>
      </w:pPr>
      <w:r w:rsidRPr="00973FA0">
        <w:t>A.</w:t>
      </w:r>
      <w:r w:rsidRPr="00DC1895">
        <w:rPr>
          <w:b/>
        </w:rPr>
        <w:tab/>
      </w:r>
      <w:r>
        <w:t xml:space="preserve">Dr. Morin performs several sets of DCF analyses for two groups of electric utilities.  In these analyses, he uses “spot” dividend yields for each company as of </w:t>
      </w:r>
      <w:r w:rsidR="00973FA0">
        <w:t>February</w:t>
      </w:r>
      <w:r>
        <w:t xml:space="preserve"> 200</w:t>
      </w:r>
      <w:r w:rsidR="00973FA0">
        <w:t>9</w:t>
      </w:r>
      <w:r>
        <w:t xml:space="preserve">.  For the growth rates, he used two indicators of growth – </w:t>
      </w:r>
      <w:proofErr w:type="spellStart"/>
      <w:r>
        <w:t>Zacks</w:t>
      </w:r>
      <w:proofErr w:type="spellEnd"/>
      <w:r>
        <w:t xml:space="preserve"> 5-year EPS growth projections and Value Line projections of EPS growth.</w:t>
      </w:r>
    </w:p>
    <w:p w:rsidR="00AE102D" w:rsidRDefault="00AE102D" w:rsidP="00906CA5">
      <w:pPr>
        <w:tabs>
          <w:tab w:val="left" w:pos="720"/>
          <w:tab w:val="left" w:pos="1440"/>
          <w:tab w:val="left" w:pos="2160"/>
          <w:tab w:val="left" w:pos="9240"/>
        </w:tabs>
        <w:spacing w:line="480" w:lineRule="auto"/>
        <w:ind w:left="720" w:hanging="720"/>
      </w:pPr>
      <w:r>
        <w:lastRenderedPageBreak/>
        <w:tab/>
      </w:r>
      <w:r>
        <w:tab/>
        <w:t>The major problem with Dr. Morin’s DCF analyses is the fact that he has used only one indicator of growth – projections of EPS growth.  As I indicated in my DCF analysis, it is customary and proper to use alternative measures of growth.</w:t>
      </w:r>
    </w:p>
    <w:p w:rsidR="00AE102D" w:rsidRDefault="00AE102D" w:rsidP="00906CA5">
      <w:pPr>
        <w:tabs>
          <w:tab w:val="left" w:pos="720"/>
          <w:tab w:val="left" w:pos="1440"/>
          <w:tab w:val="left" w:pos="2160"/>
          <w:tab w:val="left" w:pos="9240"/>
        </w:tabs>
        <w:spacing w:line="480" w:lineRule="auto"/>
        <w:ind w:left="720" w:hanging="720"/>
      </w:pPr>
      <w:r>
        <w:tab/>
      </w:r>
      <w:r>
        <w:tab/>
        <w:t>Dr. Morin’s DCF analyses implicitly assume that investors rely exclusively on EPS projections in making investment decisions.  This is a very dubious assumption and Dr. Morin has offered no evidence that it is correct.  I note, for example, that Value Line – one of the sources of his growth rate estimates – contains many statistics, both of a historic and projected nature, for the benefit of investors who subscribe to this publication and presumably make investment decisions based at least in part from the information contained in Value Line.  Yet, Dr. Morin would have us believe that Value Line subscribers and investors focus exclusively on one single number from this publication.</w:t>
      </w:r>
    </w:p>
    <w:p w:rsidR="00AE102D" w:rsidRDefault="00AE102D" w:rsidP="00906CA5">
      <w:pPr>
        <w:tabs>
          <w:tab w:val="left" w:pos="720"/>
          <w:tab w:val="left" w:pos="1440"/>
          <w:tab w:val="left" w:pos="2160"/>
          <w:tab w:val="left" w:pos="9240"/>
        </w:tabs>
        <w:spacing w:line="480" w:lineRule="auto"/>
        <w:ind w:left="720" w:hanging="720"/>
      </w:pPr>
      <w:r>
        <w:tab/>
      </w:r>
      <w:r>
        <w:tab/>
        <w:t>I note in this regard that the DCF model is a “cash flow” model.  The cash flow to investors in a DCF framework is dividends.  Dr. Morin’s DCF model, in contrast, does not even consider dividend growth rates.</w:t>
      </w:r>
    </w:p>
    <w:p w:rsidR="00AE102D" w:rsidRDefault="00AE102D" w:rsidP="00906CA5">
      <w:pPr>
        <w:tabs>
          <w:tab w:val="left" w:pos="720"/>
          <w:tab w:val="left" w:pos="1440"/>
          <w:tab w:val="left" w:pos="2160"/>
          <w:tab w:val="left" w:pos="9240"/>
        </w:tabs>
        <w:spacing w:line="480" w:lineRule="auto"/>
        <w:ind w:left="720" w:hanging="720"/>
      </w:pPr>
    </w:p>
    <w:p w:rsidR="00AE102D" w:rsidRDefault="00973FA0" w:rsidP="00906CA5">
      <w:pPr>
        <w:tabs>
          <w:tab w:val="left" w:pos="720"/>
          <w:tab w:val="left" w:pos="1440"/>
          <w:tab w:val="left" w:pos="2160"/>
          <w:tab w:val="left" w:pos="9240"/>
        </w:tabs>
        <w:spacing w:line="480" w:lineRule="auto"/>
        <w:ind w:left="720" w:hanging="720"/>
        <w:rPr>
          <w:b/>
        </w:rPr>
      </w:pPr>
      <w:r>
        <w:rPr>
          <w:b/>
        </w:rPr>
        <w:t>Q</w:t>
      </w:r>
      <w:r w:rsidR="00AE102D">
        <w:rPr>
          <w:b/>
        </w:rPr>
        <w:t>.</w:t>
      </w:r>
      <w:r w:rsidR="00AE102D">
        <w:rPr>
          <w:b/>
        </w:rPr>
        <w:tab/>
      </w:r>
      <w:r w:rsidR="008561A6">
        <w:rPr>
          <w:b/>
        </w:rPr>
        <w:t>D</w:t>
      </w:r>
      <w:r>
        <w:rPr>
          <w:b/>
        </w:rPr>
        <w:t xml:space="preserve">o you </w:t>
      </w:r>
      <w:r w:rsidRPr="001C28BD">
        <w:rPr>
          <w:rFonts w:ascii="Times New Roman Bold" w:hAnsi="Times New Roman Bold"/>
          <w:b/>
          <w:strike/>
        </w:rPr>
        <w:t>dis</w:t>
      </w:r>
      <w:r>
        <w:rPr>
          <w:b/>
        </w:rPr>
        <w:t>agree with Dr. Morin’s risk-adjustment for PSE’s cost of equity</w:t>
      </w:r>
      <w:r w:rsidR="00AE102D">
        <w:rPr>
          <w:b/>
        </w:rPr>
        <w:t>?</w:t>
      </w:r>
    </w:p>
    <w:p w:rsidR="00A46C62" w:rsidRDefault="00AE102D" w:rsidP="00906CA5">
      <w:pPr>
        <w:tabs>
          <w:tab w:val="left" w:pos="720"/>
          <w:tab w:val="left" w:pos="1440"/>
          <w:tab w:val="left" w:pos="9240"/>
        </w:tabs>
        <w:spacing w:line="480" w:lineRule="auto"/>
        <w:ind w:left="720" w:hanging="720"/>
      </w:pPr>
      <w:r w:rsidRPr="00973FA0">
        <w:t>A.</w:t>
      </w:r>
      <w:r w:rsidRPr="00973FA0">
        <w:tab/>
      </w:r>
      <w:r>
        <w:t>No, I do not.</w:t>
      </w:r>
      <w:r w:rsidR="00A46C62">
        <w:t xml:space="preserve">  </w:t>
      </w:r>
    </w:p>
    <w:p w:rsidR="00A46C62" w:rsidRDefault="00A46C62" w:rsidP="00906CA5">
      <w:pPr>
        <w:tabs>
          <w:tab w:val="left" w:pos="720"/>
          <w:tab w:val="left" w:pos="1440"/>
          <w:tab w:val="left" w:pos="9240"/>
        </w:tabs>
        <w:spacing w:line="480" w:lineRule="auto"/>
        <w:ind w:left="720" w:hanging="720"/>
      </w:pPr>
    </w:p>
    <w:p w:rsidR="001C28BD" w:rsidRDefault="00A46C62" w:rsidP="00906CA5">
      <w:pPr>
        <w:tabs>
          <w:tab w:val="left" w:pos="720"/>
          <w:tab w:val="left" w:pos="1440"/>
          <w:tab w:val="left" w:pos="9240"/>
        </w:tabs>
        <w:spacing w:line="480" w:lineRule="auto"/>
        <w:ind w:left="720" w:hanging="720"/>
        <w:sectPr w:rsidR="001C28BD" w:rsidSect="00E83DA3">
          <w:footerReference w:type="default" r:id="rId36"/>
          <w:pgSz w:w="12240" w:h="15840" w:code="1"/>
          <w:pgMar w:top="1440" w:right="1440" w:bottom="720" w:left="1872" w:header="720" w:footer="720" w:gutter="0"/>
          <w:lnNumType w:countBy="1"/>
          <w:cols w:space="720"/>
          <w:docGrid w:linePitch="360"/>
        </w:sectPr>
      </w:pPr>
      <w:r>
        <w:rPr>
          <w:b/>
        </w:rPr>
        <w:t>Q.</w:t>
      </w:r>
      <w:r>
        <w:rPr>
          <w:b/>
        </w:rPr>
        <w:tab/>
        <w:t>Dr. Morin’s testimony, on pages 57-59, cites his perception that PSE’s “construction risk” makes the Company more risky than other electric utilities.  He also states, on pages 60-61 that “regulatory lag” is a major risk factor fa</w:t>
      </w:r>
      <w:r w:rsidR="003B7EF5">
        <w:rPr>
          <w:b/>
        </w:rPr>
        <w:t>c</w:t>
      </w:r>
      <w:r>
        <w:rPr>
          <w:b/>
        </w:rPr>
        <w:t xml:space="preserve">ed by the </w:t>
      </w:r>
      <w:r w:rsidR="00DB2FA7">
        <w:rPr>
          <w:b/>
        </w:rPr>
        <w:t>C</w:t>
      </w:r>
      <w:r>
        <w:rPr>
          <w:b/>
        </w:rPr>
        <w:t>ompany.  Are those assertions valid?</w:t>
      </w:r>
      <w:r w:rsidR="00AE102D">
        <w:t xml:space="preserve">  </w:t>
      </w:r>
    </w:p>
    <w:p w:rsidR="00A46C62" w:rsidRDefault="00A46C62" w:rsidP="00906CA5">
      <w:pPr>
        <w:tabs>
          <w:tab w:val="left" w:pos="720"/>
          <w:tab w:val="left" w:pos="1440"/>
          <w:tab w:val="left" w:pos="9240"/>
        </w:tabs>
        <w:spacing w:line="480" w:lineRule="auto"/>
        <w:ind w:left="720" w:hanging="720"/>
      </w:pPr>
      <w:r>
        <w:lastRenderedPageBreak/>
        <w:t>A.</w:t>
      </w:r>
      <w:r>
        <w:tab/>
        <w:t>No.  Dr. Morin makes reference to PSE’s “massive construction program” and cites this as a major risk factor impacting the Company.  I note that all perceived risks, including construction risk</w:t>
      </w:r>
      <w:r w:rsidR="002B5F94">
        <w:t xml:space="preserve"> and regulatory lag</w:t>
      </w:r>
      <w:r>
        <w:t>, are factored into the assessment of rating agencies when they assign security ratings for a</w:t>
      </w:r>
      <w:r w:rsidR="00DB2FA7">
        <w:t>ny</w:t>
      </w:r>
      <w:r>
        <w:t xml:space="preserve"> company.  In this regard, I note that PSE’s security ratings that have changed in the several years have been to higher ratings, as is shown on Exhibit No.</w:t>
      </w:r>
      <w:r w:rsidR="002B5F94">
        <w:t xml:space="preserve"> </w:t>
      </w:r>
      <w:r>
        <w:t>DCP-7.</w:t>
      </w:r>
    </w:p>
    <w:p w:rsidR="00A46C62" w:rsidRDefault="00A46C62" w:rsidP="00906CA5">
      <w:pPr>
        <w:tabs>
          <w:tab w:val="left" w:pos="720"/>
          <w:tab w:val="left" w:pos="1440"/>
          <w:tab w:val="left" w:pos="9240"/>
        </w:tabs>
        <w:spacing w:line="480" w:lineRule="auto"/>
        <w:ind w:left="720" w:hanging="720"/>
      </w:pPr>
    </w:p>
    <w:p w:rsidR="003B7EF5" w:rsidRDefault="003B7EF5" w:rsidP="00001E45">
      <w:pPr>
        <w:keepNext/>
        <w:keepLines/>
        <w:tabs>
          <w:tab w:val="left" w:pos="720"/>
          <w:tab w:val="left" w:pos="1440"/>
          <w:tab w:val="left" w:pos="9240"/>
        </w:tabs>
        <w:spacing w:line="480" w:lineRule="auto"/>
        <w:ind w:left="720" w:hanging="720"/>
      </w:pPr>
      <w:r>
        <w:rPr>
          <w:b/>
        </w:rPr>
        <w:t>Q.</w:t>
      </w:r>
      <w:r>
        <w:rPr>
          <w:b/>
        </w:rPr>
        <w:tab/>
        <w:t>Have the credit rating agencies identified PSE’s construction program as an item of particular concern?</w:t>
      </w:r>
    </w:p>
    <w:p w:rsidR="003B7EF5" w:rsidRDefault="003B7EF5" w:rsidP="00001E45">
      <w:pPr>
        <w:keepNext/>
        <w:keepLines/>
        <w:tabs>
          <w:tab w:val="left" w:pos="720"/>
          <w:tab w:val="left" w:pos="1440"/>
          <w:tab w:val="left" w:pos="9240"/>
        </w:tabs>
        <w:spacing w:line="480" w:lineRule="auto"/>
        <w:ind w:left="720" w:hanging="720"/>
      </w:pPr>
      <w:r>
        <w:t>A.</w:t>
      </w:r>
      <w:r>
        <w:tab/>
        <w:t>S</w:t>
      </w:r>
      <w:r w:rsidR="00536E7F">
        <w:t xml:space="preserve">tandard &amp; </w:t>
      </w:r>
      <w:proofErr w:type="spellStart"/>
      <w:r w:rsidR="00536E7F">
        <w:t>Poors</w:t>
      </w:r>
      <w:proofErr w:type="spellEnd"/>
      <w:r>
        <w:t xml:space="preserve"> notes that PSE’s business risk profile is “excellent” reflecting the combined electric and gas utility businesses of the Company.  It also cites the “</w:t>
      </w:r>
      <w:proofErr w:type="gramStart"/>
      <w:r>
        <w:t>cost  recovery</w:t>
      </w:r>
      <w:proofErr w:type="gramEnd"/>
      <w:r>
        <w:t xml:space="preserve"> mechanisms” that support the Company’s credit quality.</w:t>
      </w:r>
    </w:p>
    <w:p w:rsidR="003B7EF5" w:rsidRDefault="003B7EF5" w:rsidP="00906CA5">
      <w:pPr>
        <w:tabs>
          <w:tab w:val="left" w:pos="720"/>
          <w:tab w:val="left" w:pos="1440"/>
          <w:tab w:val="left" w:pos="9240"/>
        </w:tabs>
        <w:spacing w:line="480" w:lineRule="auto"/>
        <w:ind w:left="720" w:hanging="720"/>
      </w:pPr>
      <w:r>
        <w:tab/>
      </w:r>
      <w:r>
        <w:tab/>
        <w:t xml:space="preserve">Again, all of these factors consider any impact of the Company’s “construction risk” and </w:t>
      </w:r>
      <w:r w:rsidR="00E05E01">
        <w:t>S&amp;P</w:t>
      </w:r>
      <w:r w:rsidR="00536E7F">
        <w:t xml:space="preserve"> </w:t>
      </w:r>
      <w:r>
        <w:t xml:space="preserve">in fact cites the Company’s capital requirements in its assessment.  Nevertheless, this singular item does not dominate </w:t>
      </w:r>
      <w:r w:rsidR="00E05E01">
        <w:t>S&amp;P</w:t>
      </w:r>
      <w:r w:rsidR="00536E7F">
        <w:t>’</w:t>
      </w:r>
      <w:r w:rsidR="00E05E01">
        <w:t>s</w:t>
      </w:r>
      <w:r w:rsidR="00536E7F">
        <w:t xml:space="preserve"> </w:t>
      </w:r>
      <w:r>
        <w:t>assessment</w:t>
      </w:r>
      <w:r w:rsidR="00077A46">
        <w:t xml:space="preserve"> nor does it dominate investors</w:t>
      </w:r>
      <w:r w:rsidR="004C1FC3">
        <w:t>’</w:t>
      </w:r>
      <w:r w:rsidR="00077A46">
        <w:t xml:space="preserve"> decisions regarding the cost of equity.</w:t>
      </w:r>
    </w:p>
    <w:p w:rsidR="003B7EF5" w:rsidRPr="003B7EF5" w:rsidRDefault="003B7EF5" w:rsidP="00906CA5">
      <w:pPr>
        <w:tabs>
          <w:tab w:val="left" w:pos="720"/>
          <w:tab w:val="left" w:pos="1440"/>
          <w:tab w:val="left" w:pos="9240"/>
        </w:tabs>
        <w:spacing w:line="480" w:lineRule="auto"/>
        <w:ind w:left="720" w:hanging="720"/>
      </w:pPr>
    </w:p>
    <w:p w:rsidR="00A46C62" w:rsidRDefault="00A46C62" w:rsidP="00906CA5">
      <w:pPr>
        <w:tabs>
          <w:tab w:val="left" w:pos="720"/>
          <w:tab w:val="left" w:pos="1440"/>
          <w:tab w:val="left" w:pos="9240"/>
        </w:tabs>
        <w:spacing w:line="480" w:lineRule="auto"/>
        <w:ind w:left="720" w:hanging="720"/>
      </w:pPr>
      <w:r>
        <w:rPr>
          <w:b/>
        </w:rPr>
        <w:t>Q.</w:t>
      </w:r>
      <w:r>
        <w:rPr>
          <w:b/>
        </w:rPr>
        <w:tab/>
        <w:t>Dr. Morin proposes to increase his cost of equity results by 0.30 percent for “flotation costs.”  Do you agree with this proposed adjustment?</w:t>
      </w:r>
    </w:p>
    <w:p w:rsidR="00A46C62" w:rsidRDefault="00A46C62" w:rsidP="00906CA5">
      <w:pPr>
        <w:tabs>
          <w:tab w:val="left" w:pos="720"/>
          <w:tab w:val="left" w:pos="1440"/>
          <w:tab w:val="left" w:pos="9240"/>
        </w:tabs>
        <w:spacing w:line="480" w:lineRule="auto"/>
        <w:ind w:left="720" w:hanging="720"/>
      </w:pPr>
      <w:r>
        <w:t>A.</w:t>
      </w:r>
      <w:r>
        <w:tab/>
        <w:t xml:space="preserve">No, I do not.  It is neither necessary nor appropriate to add a flotation cost “adder” to the cost of equity developed using market-based models such as DCF and CAPM.  These models, which rely on stock price data, already reflect all known and relevant information which are embedded in stock prices.  Any perceived impact of flotation </w:t>
      </w:r>
      <w:r>
        <w:lastRenderedPageBreak/>
        <w:t>costs on stock prices is thus already reflected in the cost of equity derived from these models.</w:t>
      </w:r>
    </w:p>
    <w:p w:rsidR="00264C53" w:rsidRDefault="00A46C62" w:rsidP="00906CA5">
      <w:pPr>
        <w:tabs>
          <w:tab w:val="left" w:pos="720"/>
          <w:tab w:val="left" w:pos="1440"/>
          <w:tab w:val="left" w:pos="9240"/>
        </w:tabs>
        <w:spacing w:line="480" w:lineRule="auto"/>
        <w:ind w:left="720" w:hanging="720"/>
      </w:pPr>
      <w:r>
        <w:tab/>
      </w:r>
      <w:r>
        <w:tab/>
        <w:t>I also note that PSE, on a post-merger basis, does not have a parent that issues stock to the public and incurs any flotation costs.  Further, PSE receives equity from its current (or future) parent and thus does not incur flotation costs.</w:t>
      </w:r>
      <w:r w:rsidR="00F254E8">
        <w:t xml:space="preserve">  This is the case since the ultimate parent is not publicly traded and does not issue equity in the capital markets, thus incurring flotation costs.</w:t>
      </w:r>
    </w:p>
    <w:p w:rsidR="008B65D4" w:rsidRDefault="008B65D4" w:rsidP="00906CA5">
      <w:pPr>
        <w:tabs>
          <w:tab w:val="left" w:pos="720"/>
          <w:tab w:val="left" w:pos="1440"/>
          <w:tab w:val="left" w:pos="9240"/>
        </w:tabs>
        <w:spacing w:line="480" w:lineRule="auto"/>
        <w:ind w:left="720" w:hanging="720"/>
      </w:pPr>
    </w:p>
    <w:p w:rsidR="00762B98" w:rsidRDefault="00762B98" w:rsidP="00417CF7">
      <w:pPr>
        <w:tabs>
          <w:tab w:val="left" w:pos="720"/>
          <w:tab w:val="left" w:pos="1440"/>
          <w:tab w:val="left" w:pos="2160"/>
          <w:tab w:val="left" w:pos="9240"/>
        </w:tabs>
        <w:spacing w:line="480" w:lineRule="auto"/>
        <w:ind w:left="720" w:hanging="720"/>
        <w:rPr>
          <w:b/>
        </w:rPr>
      </w:pPr>
      <w:r>
        <w:rPr>
          <w:b/>
        </w:rPr>
        <w:t>Q.</w:t>
      </w:r>
      <w:r>
        <w:rPr>
          <w:b/>
        </w:rPr>
        <w:tab/>
        <w:t>D</w:t>
      </w:r>
      <w:r w:rsidR="00F6556C">
        <w:rPr>
          <w:b/>
        </w:rPr>
        <w:t xml:space="preserve">oes this conclude your </w:t>
      </w:r>
      <w:r w:rsidR="00D3033C">
        <w:rPr>
          <w:b/>
        </w:rPr>
        <w:t>response</w:t>
      </w:r>
      <w:r w:rsidR="00F6556C">
        <w:rPr>
          <w:b/>
        </w:rPr>
        <w:t xml:space="preserve"> testimony</w:t>
      </w:r>
      <w:r w:rsidR="00380259">
        <w:rPr>
          <w:b/>
        </w:rPr>
        <w:t>?</w:t>
      </w:r>
    </w:p>
    <w:p w:rsidR="00E9584B" w:rsidRDefault="00762B98" w:rsidP="00417CF7">
      <w:pPr>
        <w:tabs>
          <w:tab w:val="left" w:pos="720"/>
          <w:tab w:val="left" w:pos="1440"/>
          <w:tab w:val="left" w:pos="9240"/>
        </w:tabs>
        <w:spacing w:line="480" w:lineRule="auto"/>
        <w:ind w:left="720" w:hanging="720"/>
        <w:rPr>
          <w:b/>
        </w:rPr>
      </w:pPr>
      <w:r>
        <w:t>A.</w:t>
      </w:r>
      <w:r>
        <w:tab/>
        <w:t>Yes, it does.</w:t>
      </w:r>
    </w:p>
    <w:sectPr w:rsidR="00E9584B" w:rsidSect="00E83DA3">
      <w:footerReference w:type="default" r:id="rId37"/>
      <w:pgSz w:w="12240" w:h="15840" w:code="1"/>
      <w:pgMar w:top="1440" w:right="1440" w:bottom="720" w:left="1872"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79D" w:rsidRDefault="00D4179D">
      <w:r>
        <w:separator/>
      </w:r>
    </w:p>
  </w:endnote>
  <w:endnote w:type="continuationSeparator" w:id="0">
    <w:p w:rsidR="00D4179D" w:rsidRDefault="00D41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9D" w:rsidRDefault="00615C77" w:rsidP="00755F86">
    <w:pPr>
      <w:pStyle w:val="Footer"/>
      <w:framePr w:wrap="around" w:vAnchor="text" w:hAnchor="margin" w:xAlign="center" w:y="1"/>
      <w:rPr>
        <w:rStyle w:val="PageNumber"/>
      </w:rPr>
    </w:pPr>
    <w:r>
      <w:rPr>
        <w:rStyle w:val="PageNumber"/>
      </w:rPr>
      <w:fldChar w:fldCharType="begin"/>
    </w:r>
    <w:r w:rsidR="00D4179D">
      <w:rPr>
        <w:rStyle w:val="PageNumber"/>
      </w:rPr>
      <w:instrText xml:space="preserve">PAGE  </w:instrText>
    </w:r>
    <w:r>
      <w:rPr>
        <w:rStyle w:val="PageNumber"/>
      </w:rPr>
      <w:fldChar w:fldCharType="separate"/>
    </w:r>
    <w:r w:rsidR="00D4179D">
      <w:rPr>
        <w:rStyle w:val="PageNumber"/>
        <w:noProof/>
      </w:rPr>
      <w:t>1</w:t>
    </w:r>
    <w:r>
      <w:rPr>
        <w:rStyle w:val="PageNumber"/>
      </w:rPr>
      <w:fldChar w:fldCharType="end"/>
    </w:r>
  </w:p>
  <w:p w:rsidR="00D4179D" w:rsidRDefault="00D4179D" w:rsidP="00755F86">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FB" w:rsidRDefault="005343FB" w:rsidP="00A83246">
    <w:pPr>
      <w:pStyle w:val="Footer"/>
      <w:tabs>
        <w:tab w:val="clear" w:pos="8640"/>
        <w:tab w:val="right" w:pos="9240"/>
      </w:tabs>
      <w:rPr>
        <w:sz w:val="22"/>
        <w:szCs w:val="22"/>
      </w:rPr>
    </w:pPr>
  </w:p>
  <w:p w:rsidR="005343FB" w:rsidRPr="000D7E15" w:rsidRDefault="005343FB"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343FB" w:rsidRPr="008B65D4" w:rsidRDefault="005343FB"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28</w:t>
    </w:r>
    <w:r w:rsidR="00615C77" w:rsidRPr="000D7E15">
      <w:rPr>
        <w:sz w:val="22"/>
        <w:szCs w:val="22"/>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EF" w:rsidRDefault="00574AEF" w:rsidP="00A83246">
    <w:pPr>
      <w:pStyle w:val="Footer"/>
      <w:tabs>
        <w:tab w:val="clear" w:pos="8640"/>
        <w:tab w:val="right" w:pos="9240"/>
      </w:tabs>
      <w:rPr>
        <w:sz w:val="22"/>
        <w:szCs w:val="22"/>
      </w:rPr>
    </w:pPr>
  </w:p>
  <w:p w:rsidR="00574AEF" w:rsidRPr="000D7E15" w:rsidRDefault="00574AEF"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74AEF" w:rsidRPr="008B65D4" w:rsidRDefault="00574AEF" w:rsidP="00574AEF">
    <w:pPr>
      <w:pStyle w:val="Footer"/>
      <w:tabs>
        <w:tab w:val="clear" w:pos="4320"/>
        <w:tab w:val="clear" w:pos="8640"/>
        <w:tab w:val="center" w:pos="50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00993425">
      <w:rPr>
        <w:b/>
        <w:sz w:val="22"/>
        <w:szCs w:val="22"/>
      </w:rPr>
      <w:t>Revised 12-11</w:t>
    </w:r>
    <w:r w:rsidRPr="00574AEF">
      <w:rPr>
        <w:b/>
        <w:sz w:val="22"/>
        <w:szCs w:val="22"/>
      </w:rPr>
      <w:t>-09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29</w:t>
    </w:r>
    <w:r w:rsidR="00615C77" w:rsidRPr="000D7E15">
      <w:rPr>
        <w:sz w:val="22"/>
        <w:szCs w:val="22"/>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EF" w:rsidRDefault="00574AEF" w:rsidP="00A83246">
    <w:pPr>
      <w:pStyle w:val="Footer"/>
      <w:tabs>
        <w:tab w:val="clear" w:pos="8640"/>
        <w:tab w:val="right" w:pos="9240"/>
      </w:tabs>
      <w:rPr>
        <w:sz w:val="22"/>
        <w:szCs w:val="22"/>
      </w:rPr>
    </w:pPr>
  </w:p>
  <w:p w:rsidR="00574AEF" w:rsidRPr="000D7E15" w:rsidRDefault="00574AEF"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74AEF" w:rsidRPr="008B65D4" w:rsidRDefault="00574AEF"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33</w:t>
    </w:r>
    <w:r w:rsidR="00615C77" w:rsidRPr="000D7E15">
      <w:rPr>
        <w:sz w:val="22"/>
        <w:szCs w:val="22"/>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34</w:t>
    </w:r>
    <w:r w:rsidR="00615C77" w:rsidRPr="000D7E15">
      <w:rPr>
        <w:sz w:val="22"/>
        <w:szCs w:val="22"/>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36</w:t>
    </w:r>
    <w:r w:rsidR="00615C77" w:rsidRPr="000D7E15">
      <w:rPr>
        <w:sz w:val="22"/>
        <w:szCs w:val="22"/>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37</w:t>
    </w:r>
    <w:r w:rsidR="00615C77" w:rsidRPr="000D7E15">
      <w:rPr>
        <w:sz w:val="22"/>
        <w:szCs w:val="22"/>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38</w:t>
    </w:r>
    <w:r w:rsidR="00615C77" w:rsidRPr="000D7E15">
      <w:rPr>
        <w:sz w:val="22"/>
        <w:szCs w:val="22"/>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39</w:t>
    </w:r>
    <w:r w:rsidR="00615C77" w:rsidRPr="000D7E15">
      <w:rPr>
        <w:sz w:val="22"/>
        <w:szCs w:val="22"/>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40</w:t>
    </w:r>
    <w:r w:rsidR="00615C77" w:rsidRPr="000D7E15">
      <w:rPr>
        <w:sz w:val="22"/>
        <w:szCs w:val="22"/>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001C28BD" w:rsidRPr="00E83DA3">
      <w:rPr>
        <w:b/>
        <w:sz w:val="22"/>
        <w:szCs w:val="22"/>
      </w:rPr>
      <w:t>Revised 11-18-09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43</w:t>
    </w:r>
    <w:r w:rsidR="00615C77" w:rsidRPr="000D7E15">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9D" w:rsidRDefault="00D4179D" w:rsidP="00A83246">
    <w:pPr>
      <w:pStyle w:val="Footer"/>
      <w:tabs>
        <w:tab w:val="clear" w:pos="8640"/>
        <w:tab w:val="right" w:pos="9240"/>
      </w:tabs>
      <w:rPr>
        <w:sz w:val="22"/>
        <w:szCs w:val="22"/>
      </w:rPr>
    </w:pPr>
  </w:p>
  <w:p w:rsidR="00D4179D" w:rsidRPr="000D7E15" w:rsidRDefault="00D4179D" w:rsidP="00A83246">
    <w:pPr>
      <w:pStyle w:val="Footer"/>
      <w:tabs>
        <w:tab w:val="clear" w:pos="8640"/>
        <w:tab w:val="right" w:pos="9240"/>
      </w:tabs>
      <w:rPr>
        <w:sz w:val="22"/>
        <w:szCs w:val="22"/>
      </w:rPr>
    </w:pPr>
    <w:r w:rsidRPr="000D7E15">
      <w:rPr>
        <w:sz w:val="22"/>
        <w:szCs w:val="22"/>
      </w:rPr>
      <w:t>TESTIMONY OF DAVID C. PARCELL</w:t>
    </w:r>
    <w:r w:rsidRPr="000D7E15">
      <w:rPr>
        <w:sz w:val="22"/>
        <w:szCs w:val="22"/>
      </w:rPr>
      <w:tab/>
    </w:r>
    <w:r w:rsidRPr="000D7E15">
      <w:rPr>
        <w:sz w:val="22"/>
        <w:szCs w:val="22"/>
      </w:rPr>
      <w:tab/>
      <w:t>Exhibit No. DCP-1T</w:t>
    </w:r>
  </w:p>
  <w:p w:rsidR="00D4179D" w:rsidRPr="008B65D4" w:rsidRDefault="00D4179D"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1</w:t>
    </w:r>
    <w:r w:rsidR="00615C77" w:rsidRPr="000D7E15">
      <w:rPr>
        <w:sz w:val="22"/>
        <w:szCs w:val="22"/>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00" w:rsidRDefault="007D0800" w:rsidP="00A83246">
    <w:pPr>
      <w:pStyle w:val="Footer"/>
      <w:tabs>
        <w:tab w:val="clear" w:pos="8640"/>
        <w:tab w:val="right" w:pos="9240"/>
      </w:tabs>
      <w:rPr>
        <w:sz w:val="22"/>
        <w:szCs w:val="22"/>
      </w:rPr>
    </w:pPr>
  </w:p>
  <w:p w:rsidR="007D0800" w:rsidRPr="000D7E15" w:rsidRDefault="007D0800"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7D0800" w:rsidRPr="008B65D4" w:rsidRDefault="007D0800"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44</w:t>
    </w:r>
    <w:r w:rsidR="00615C77" w:rsidRPr="000D7E15">
      <w:rPr>
        <w:sz w:val="22"/>
        <w:szCs w:val="22"/>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EF" w:rsidRDefault="00574AEF" w:rsidP="00A83246">
    <w:pPr>
      <w:pStyle w:val="Footer"/>
      <w:tabs>
        <w:tab w:val="clear" w:pos="8640"/>
        <w:tab w:val="right" w:pos="9240"/>
      </w:tabs>
      <w:rPr>
        <w:sz w:val="22"/>
        <w:szCs w:val="22"/>
      </w:rPr>
    </w:pPr>
  </w:p>
  <w:p w:rsidR="00574AEF" w:rsidRPr="000D7E15" w:rsidRDefault="00574AEF"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74AEF" w:rsidRPr="008B65D4" w:rsidRDefault="00574AEF" w:rsidP="00574AEF">
    <w:pPr>
      <w:pStyle w:val="Footer"/>
      <w:tabs>
        <w:tab w:val="clear" w:pos="4320"/>
        <w:tab w:val="clear" w:pos="8640"/>
        <w:tab w:val="center" w:pos="50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Pr>
        <w:b/>
        <w:sz w:val="22"/>
        <w:szCs w:val="22"/>
      </w:rPr>
      <w:t>Revised 12-</w:t>
    </w:r>
    <w:r w:rsidR="00993425">
      <w:rPr>
        <w:b/>
        <w:sz w:val="22"/>
        <w:szCs w:val="22"/>
      </w:rPr>
      <w:t>11</w:t>
    </w:r>
    <w:r>
      <w:rPr>
        <w:b/>
        <w:sz w:val="22"/>
        <w:szCs w:val="22"/>
      </w:rPr>
      <w:t>-09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45</w:t>
    </w:r>
    <w:r w:rsidR="00615C77" w:rsidRPr="000D7E15">
      <w:rPr>
        <w:sz w:val="22"/>
        <w:szCs w:val="22"/>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EF" w:rsidRDefault="00574AEF" w:rsidP="00A83246">
    <w:pPr>
      <w:pStyle w:val="Footer"/>
      <w:tabs>
        <w:tab w:val="clear" w:pos="8640"/>
        <w:tab w:val="right" w:pos="9240"/>
      </w:tabs>
      <w:rPr>
        <w:sz w:val="22"/>
        <w:szCs w:val="22"/>
      </w:rPr>
    </w:pPr>
  </w:p>
  <w:p w:rsidR="00574AEF" w:rsidRPr="000D7E15" w:rsidRDefault="00574AEF"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74AEF" w:rsidRPr="008B65D4" w:rsidRDefault="00574AEF"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49</w:t>
    </w:r>
    <w:r w:rsidR="00615C77" w:rsidRPr="000D7E15">
      <w:rPr>
        <w:sz w:val="22"/>
        <w:szCs w:val="22"/>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BD" w:rsidRDefault="001C28BD" w:rsidP="00A83246">
    <w:pPr>
      <w:pStyle w:val="Footer"/>
      <w:tabs>
        <w:tab w:val="clear" w:pos="8640"/>
        <w:tab w:val="right" w:pos="9240"/>
      </w:tabs>
      <w:rPr>
        <w:sz w:val="22"/>
        <w:szCs w:val="22"/>
      </w:rPr>
    </w:pPr>
  </w:p>
  <w:p w:rsidR="001C28BD" w:rsidRPr="000D7E15" w:rsidRDefault="001C28BD"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1C28BD" w:rsidRPr="008B65D4" w:rsidRDefault="001C28BD"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50</w:t>
    </w:r>
    <w:r w:rsidR="00615C77" w:rsidRPr="000D7E15">
      <w:rPr>
        <w:sz w:val="22"/>
        <w:szCs w:val="22"/>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BD" w:rsidRDefault="001C28BD" w:rsidP="00A83246">
    <w:pPr>
      <w:pStyle w:val="Footer"/>
      <w:tabs>
        <w:tab w:val="clear" w:pos="8640"/>
        <w:tab w:val="right" w:pos="9240"/>
      </w:tabs>
      <w:rPr>
        <w:sz w:val="22"/>
        <w:szCs w:val="22"/>
      </w:rPr>
    </w:pPr>
  </w:p>
  <w:p w:rsidR="001C28BD" w:rsidRPr="000D7E15" w:rsidRDefault="001C28BD"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1C28BD" w:rsidRPr="008B65D4" w:rsidRDefault="001C28BD"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52</w:t>
    </w:r>
    <w:r w:rsidR="00615C77" w:rsidRPr="000D7E15">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EF" w:rsidRDefault="00574AEF" w:rsidP="00A83246">
    <w:pPr>
      <w:pStyle w:val="Footer"/>
      <w:tabs>
        <w:tab w:val="clear" w:pos="8640"/>
        <w:tab w:val="right" w:pos="9240"/>
      </w:tabs>
      <w:rPr>
        <w:sz w:val="22"/>
        <w:szCs w:val="22"/>
      </w:rPr>
    </w:pPr>
  </w:p>
  <w:p w:rsidR="00574AEF" w:rsidRPr="000D7E15" w:rsidRDefault="00574AEF"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74AEF" w:rsidRPr="008B65D4" w:rsidRDefault="00574AEF" w:rsidP="00574AEF">
    <w:pPr>
      <w:pStyle w:val="Footer"/>
      <w:tabs>
        <w:tab w:val="clear" w:pos="4320"/>
        <w:tab w:val="clear" w:pos="8640"/>
        <w:tab w:val="center" w:pos="50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Pr>
        <w:b/>
        <w:sz w:val="22"/>
        <w:szCs w:val="22"/>
      </w:rPr>
      <w:t>Revised 12-</w:t>
    </w:r>
    <w:r w:rsidR="008C0F4B">
      <w:rPr>
        <w:b/>
        <w:sz w:val="22"/>
        <w:szCs w:val="22"/>
      </w:rPr>
      <w:t>11</w:t>
    </w:r>
    <w:r>
      <w:rPr>
        <w:b/>
        <w:sz w:val="22"/>
        <w:szCs w:val="22"/>
      </w:rPr>
      <w:t>-09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3</w:t>
    </w:r>
    <w:r w:rsidR="00615C77" w:rsidRPr="000D7E15">
      <w:rPr>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5550E1">
    <w:pPr>
      <w:pStyle w:val="Footer"/>
      <w:tabs>
        <w:tab w:val="clear" w:pos="4320"/>
        <w:tab w:val="clear" w:pos="8640"/>
        <w:tab w:val="center" w:pos="50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005550E1">
      <w:rPr>
        <w:b/>
        <w:sz w:val="22"/>
        <w:szCs w:val="22"/>
      </w:rPr>
      <w:t>/12-</w:t>
    </w:r>
    <w:r w:rsidR="00FA7701">
      <w:rPr>
        <w:b/>
        <w:sz w:val="22"/>
        <w:szCs w:val="22"/>
      </w:rPr>
      <w:t>11</w:t>
    </w:r>
    <w:r w:rsidR="005550E1">
      <w:rPr>
        <w:b/>
        <w:sz w:val="22"/>
        <w:szCs w:val="22"/>
      </w:rPr>
      <w:t>-09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4</w:t>
    </w:r>
    <w:r w:rsidR="00615C77" w:rsidRPr="000D7E15">
      <w:rPr>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5</w:t>
    </w:r>
    <w:r w:rsidR="00615C77" w:rsidRPr="000D7E15">
      <w:rPr>
        <w:sz w:val="22"/>
        <w:szCs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6</w:t>
    </w:r>
    <w:r w:rsidR="00615C77" w:rsidRPr="000D7E15">
      <w:rPr>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DA3" w:rsidRDefault="00E83DA3" w:rsidP="00A83246">
    <w:pPr>
      <w:pStyle w:val="Footer"/>
      <w:tabs>
        <w:tab w:val="clear" w:pos="8640"/>
        <w:tab w:val="right" w:pos="9240"/>
      </w:tabs>
      <w:rPr>
        <w:sz w:val="22"/>
        <w:szCs w:val="22"/>
      </w:rPr>
    </w:pPr>
  </w:p>
  <w:p w:rsidR="00E83DA3" w:rsidRPr="000D7E15" w:rsidRDefault="00E83DA3"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E83DA3" w:rsidRPr="008B65D4" w:rsidRDefault="00E83DA3"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18</w:t>
    </w:r>
    <w:r w:rsidR="00615C77" w:rsidRPr="000D7E15">
      <w:rPr>
        <w:sz w:val="22"/>
        <w:szCs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FB" w:rsidRDefault="005343FB" w:rsidP="00A83246">
    <w:pPr>
      <w:pStyle w:val="Footer"/>
      <w:tabs>
        <w:tab w:val="clear" w:pos="8640"/>
        <w:tab w:val="right" w:pos="9240"/>
      </w:tabs>
      <w:rPr>
        <w:sz w:val="22"/>
        <w:szCs w:val="22"/>
      </w:rPr>
    </w:pPr>
  </w:p>
  <w:p w:rsidR="005343FB" w:rsidRPr="000D7E15" w:rsidRDefault="005343FB"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343FB" w:rsidRPr="008B65D4" w:rsidRDefault="005343FB"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E83DA3">
      <w:rPr>
        <w:b/>
        <w:sz w:val="22"/>
        <w:szCs w:val="22"/>
      </w:rPr>
      <w:t>Revised 11-18-09</w:t>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19</w:t>
    </w:r>
    <w:r w:rsidR="00615C77" w:rsidRPr="000D7E15">
      <w:rPr>
        <w:sz w:val="22"/>
        <w:szCs w:val="2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3FB" w:rsidRDefault="005343FB" w:rsidP="00A83246">
    <w:pPr>
      <w:pStyle w:val="Footer"/>
      <w:tabs>
        <w:tab w:val="clear" w:pos="8640"/>
        <w:tab w:val="right" w:pos="9240"/>
      </w:tabs>
      <w:rPr>
        <w:sz w:val="22"/>
        <w:szCs w:val="22"/>
      </w:rPr>
    </w:pPr>
  </w:p>
  <w:p w:rsidR="005343FB" w:rsidRPr="000D7E15" w:rsidRDefault="005343FB" w:rsidP="00A83246">
    <w:pPr>
      <w:pStyle w:val="Footer"/>
      <w:tabs>
        <w:tab w:val="clear" w:pos="8640"/>
        <w:tab w:val="right" w:pos="9240"/>
      </w:tabs>
      <w:rPr>
        <w:sz w:val="22"/>
        <w:szCs w:val="22"/>
      </w:rPr>
    </w:pPr>
    <w:r w:rsidRPr="000D7E15">
      <w:rPr>
        <w:sz w:val="22"/>
        <w:szCs w:val="22"/>
      </w:rPr>
      <w:t xml:space="preserve">TESTIMONY OF DAVID C. </w:t>
    </w:r>
    <w:proofErr w:type="spellStart"/>
    <w:r w:rsidRPr="000D7E15">
      <w:rPr>
        <w:sz w:val="22"/>
        <w:szCs w:val="22"/>
      </w:rPr>
      <w:t>PARCELL</w:t>
    </w:r>
    <w:proofErr w:type="spellEnd"/>
    <w:r w:rsidRPr="000D7E15">
      <w:rPr>
        <w:sz w:val="22"/>
        <w:szCs w:val="22"/>
      </w:rPr>
      <w:tab/>
    </w:r>
    <w:r w:rsidRPr="000D7E15">
      <w:rPr>
        <w:sz w:val="22"/>
        <w:szCs w:val="22"/>
      </w:rPr>
      <w:tab/>
      <w:t>Exhibit No. DCP-1T</w:t>
    </w:r>
  </w:p>
  <w:p w:rsidR="005343FB" w:rsidRPr="008B65D4" w:rsidRDefault="005343FB" w:rsidP="00A83246">
    <w:pPr>
      <w:pStyle w:val="Footer"/>
      <w:tabs>
        <w:tab w:val="clear" w:pos="8640"/>
        <w:tab w:val="right" w:pos="9240"/>
      </w:tabs>
      <w:rPr>
        <w:b/>
        <w:sz w:val="22"/>
        <w:szCs w:val="22"/>
      </w:rPr>
    </w:pPr>
    <w:r w:rsidRPr="000D7E15">
      <w:rPr>
        <w:sz w:val="22"/>
        <w:szCs w:val="22"/>
      </w:rPr>
      <w:t>Dockets UE-090</w:t>
    </w:r>
    <w:r>
      <w:rPr>
        <w:sz w:val="22"/>
        <w:szCs w:val="22"/>
      </w:rPr>
      <w:t>704</w:t>
    </w:r>
    <w:r w:rsidRPr="000D7E15">
      <w:rPr>
        <w:sz w:val="22"/>
        <w:szCs w:val="22"/>
      </w:rPr>
      <w:t>/UG-090</w:t>
    </w:r>
    <w:r>
      <w:rPr>
        <w:sz w:val="22"/>
        <w:szCs w:val="22"/>
      </w:rPr>
      <w:t>705</w:t>
    </w:r>
    <w:r w:rsidRPr="000D7E15">
      <w:rPr>
        <w:sz w:val="22"/>
        <w:szCs w:val="22"/>
      </w:rPr>
      <w:tab/>
    </w:r>
    <w:r w:rsidRPr="000D7E15">
      <w:rPr>
        <w:sz w:val="22"/>
        <w:szCs w:val="22"/>
      </w:rPr>
      <w:tab/>
      <w:t xml:space="preserve">Page </w:t>
    </w:r>
    <w:r w:rsidR="00615C77" w:rsidRPr="000D7E15">
      <w:rPr>
        <w:sz w:val="22"/>
        <w:szCs w:val="22"/>
      </w:rPr>
      <w:fldChar w:fldCharType="begin"/>
    </w:r>
    <w:r w:rsidRPr="000D7E15">
      <w:rPr>
        <w:sz w:val="22"/>
        <w:szCs w:val="22"/>
      </w:rPr>
      <w:instrText xml:space="preserve"> PAGE   \* MERGEFORMAT </w:instrText>
    </w:r>
    <w:r w:rsidR="00615C77" w:rsidRPr="000D7E15">
      <w:rPr>
        <w:sz w:val="22"/>
        <w:szCs w:val="22"/>
      </w:rPr>
      <w:fldChar w:fldCharType="separate"/>
    </w:r>
    <w:r w:rsidR="00993425">
      <w:rPr>
        <w:noProof/>
        <w:sz w:val="22"/>
        <w:szCs w:val="22"/>
      </w:rPr>
      <w:t>24</w:t>
    </w:r>
    <w:r w:rsidR="00615C77" w:rsidRPr="000D7E15">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79D" w:rsidRDefault="00D4179D">
      <w:r>
        <w:separator/>
      </w:r>
    </w:p>
  </w:footnote>
  <w:footnote w:type="continuationSeparator" w:id="0">
    <w:p w:rsidR="00D4179D" w:rsidRDefault="00D41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40876C"/>
    <w:lvl w:ilvl="0">
      <w:start w:val="1"/>
      <w:numFmt w:val="decimal"/>
      <w:lvlText w:val="%1."/>
      <w:lvlJc w:val="left"/>
      <w:pPr>
        <w:tabs>
          <w:tab w:val="num" w:pos="1800"/>
        </w:tabs>
        <w:ind w:left="1800" w:hanging="360"/>
      </w:pPr>
    </w:lvl>
  </w:abstractNum>
  <w:abstractNum w:abstractNumId="1">
    <w:nsid w:val="FFFFFF7D"/>
    <w:multiLevelType w:val="singleLevel"/>
    <w:tmpl w:val="D50E121E"/>
    <w:lvl w:ilvl="0">
      <w:start w:val="1"/>
      <w:numFmt w:val="decimal"/>
      <w:lvlText w:val="%1."/>
      <w:lvlJc w:val="left"/>
      <w:pPr>
        <w:tabs>
          <w:tab w:val="num" w:pos="1440"/>
        </w:tabs>
        <w:ind w:left="1440" w:hanging="360"/>
      </w:pPr>
    </w:lvl>
  </w:abstractNum>
  <w:abstractNum w:abstractNumId="2">
    <w:nsid w:val="FFFFFF7E"/>
    <w:multiLevelType w:val="singleLevel"/>
    <w:tmpl w:val="4CF0F988"/>
    <w:lvl w:ilvl="0">
      <w:start w:val="1"/>
      <w:numFmt w:val="decimal"/>
      <w:lvlText w:val="%1."/>
      <w:lvlJc w:val="left"/>
      <w:pPr>
        <w:tabs>
          <w:tab w:val="num" w:pos="1080"/>
        </w:tabs>
        <w:ind w:left="1080" w:hanging="360"/>
      </w:pPr>
    </w:lvl>
  </w:abstractNum>
  <w:abstractNum w:abstractNumId="3">
    <w:nsid w:val="FFFFFF7F"/>
    <w:multiLevelType w:val="singleLevel"/>
    <w:tmpl w:val="AC06003A"/>
    <w:lvl w:ilvl="0">
      <w:start w:val="1"/>
      <w:numFmt w:val="decimal"/>
      <w:lvlText w:val="%1."/>
      <w:lvlJc w:val="left"/>
      <w:pPr>
        <w:tabs>
          <w:tab w:val="num" w:pos="720"/>
        </w:tabs>
        <w:ind w:left="720" w:hanging="360"/>
      </w:pPr>
    </w:lvl>
  </w:abstractNum>
  <w:abstractNum w:abstractNumId="4">
    <w:nsid w:val="FFFFFF80"/>
    <w:multiLevelType w:val="singleLevel"/>
    <w:tmpl w:val="4F4A2E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3A40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6EA9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DC2F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2609D6"/>
    <w:lvl w:ilvl="0">
      <w:start w:val="1"/>
      <w:numFmt w:val="decimal"/>
      <w:lvlText w:val="%1."/>
      <w:lvlJc w:val="left"/>
      <w:pPr>
        <w:tabs>
          <w:tab w:val="num" w:pos="360"/>
        </w:tabs>
        <w:ind w:left="360" w:hanging="360"/>
      </w:pPr>
    </w:lvl>
  </w:abstractNum>
  <w:abstractNum w:abstractNumId="9">
    <w:nsid w:val="FFFFFF89"/>
    <w:multiLevelType w:val="singleLevel"/>
    <w:tmpl w:val="51F23A30"/>
    <w:lvl w:ilvl="0">
      <w:start w:val="1"/>
      <w:numFmt w:val="bullet"/>
      <w:lvlText w:val=""/>
      <w:lvlJc w:val="left"/>
      <w:pPr>
        <w:tabs>
          <w:tab w:val="num" w:pos="360"/>
        </w:tabs>
        <w:ind w:left="360" w:hanging="360"/>
      </w:pPr>
      <w:rPr>
        <w:rFonts w:ascii="Symbol" w:hAnsi="Symbol" w:hint="default"/>
      </w:rPr>
    </w:lvl>
  </w:abstractNum>
  <w:abstractNum w:abstractNumId="10">
    <w:nsid w:val="04416851"/>
    <w:multiLevelType w:val="hybridMultilevel"/>
    <w:tmpl w:val="B59256E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A7A0D28"/>
    <w:multiLevelType w:val="hybridMultilevel"/>
    <w:tmpl w:val="25685C8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D924E95"/>
    <w:multiLevelType w:val="hybridMultilevel"/>
    <w:tmpl w:val="71D21A8C"/>
    <w:lvl w:ilvl="0" w:tplc="04090015">
      <w:start w:val="1"/>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0E9B14B3"/>
    <w:multiLevelType w:val="hybridMultilevel"/>
    <w:tmpl w:val="A1E20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042A58"/>
    <w:multiLevelType w:val="hybridMultilevel"/>
    <w:tmpl w:val="9BC8D816"/>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3D4777"/>
    <w:multiLevelType w:val="hybridMultilevel"/>
    <w:tmpl w:val="A8C8A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AF0A52"/>
    <w:multiLevelType w:val="hybridMultilevel"/>
    <w:tmpl w:val="4880B5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B73FB6"/>
    <w:multiLevelType w:val="hybridMultilevel"/>
    <w:tmpl w:val="FF0AB54C"/>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F006F6A"/>
    <w:multiLevelType w:val="hybridMultilevel"/>
    <w:tmpl w:val="09569F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187769B"/>
    <w:multiLevelType w:val="hybridMultilevel"/>
    <w:tmpl w:val="5BC87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2E60D19"/>
    <w:multiLevelType w:val="hybridMultilevel"/>
    <w:tmpl w:val="FC088538"/>
    <w:lvl w:ilvl="0" w:tplc="04090015">
      <w:start w:val="17"/>
      <w:numFmt w:val="upperLetter"/>
      <w:lvlText w:val="%1."/>
      <w:lvlJc w:val="left"/>
      <w:pPr>
        <w:tabs>
          <w:tab w:val="num" w:pos="720"/>
        </w:tabs>
        <w:ind w:left="720" w:hanging="360"/>
      </w:pPr>
      <w:rPr>
        <w:rFonts w:hint="default"/>
      </w:rPr>
    </w:lvl>
    <w:lvl w:ilvl="1" w:tplc="44DC219C">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5C5063"/>
    <w:multiLevelType w:val="hybridMultilevel"/>
    <w:tmpl w:val="51DCDFD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A13B3"/>
    <w:multiLevelType w:val="hybridMultilevel"/>
    <w:tmpl w:val="EA4E49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C4F6D24"/>
    <w:multiLevelType w:val="hybridMultilevel"/>
    <w:tmpl w:val="8364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934B2D"/>
    <w:multiLevelType w:val="hybridMultilevel"/>
    <w:tmpl w:val="94CCF8A8"/>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01E0552"/>
    <w:multiLevelType w:val="hybridMultilevel"/>
    <w:tmpl w:val="46FA4B3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270BDE"/>
    <w:multiLevelType w:val="hybridMultilevel"/>
    <w:tmpl w:val="DDDA9CF8"/>
    <w:lvl w:ilvl="0" w:tplc="04090015">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nsid w:val="4AB5368B"/>
    <w:multiLevelType w:val="hybridMultilevel"/>
    <w:tmpl w:val="80EE99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BA422AE"/>
    <w:multiLevelType w:val="hybridMultilevel"/>
    <w:tmpl w:val="EF8EABD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9E00D9"/>
    <w:multiLevelType w:val="hybridMultilevel"/>
    <w:tmpl w:val="D11012AC"/>
    <w:lvl w:ilvl="0" w:tplc="8DD48CE6">
      <w:start w:val="2002"/>
      <w:numFmt w:val="decimal"/>
      <w:lvlText w:val="%1"/>
      <w:lvlJc w:val="left"/>
      <w:pPr>
        <w:tabs>
          <w:tab w:val="num" w:pos="4320"/>
        </w:tabs>
        <w:ind w:left="4320" w:hanging="21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567B7A48"/>
    <w:multiLevelType w:val="hybridMultilevel"/>
    <w:tmpl w:val="92F8AB0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E30ADB"/>
    <w:multiLevelType w:val="hybridMultilevel"/>
    <w:tmpl w:val="994436E6"/>
    <w:lvl w:ilvl="0" w:tplc="7CE24F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D739F1"/>
    <w:multiLevelType w:val="hybridMultilevel"/>
    <w:tmpl w:val="1784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2D5936"/>
    <w:multiLevelType w:val="hybridMultilevel"/>
    <w:tmpl w:val="D65E7C56"/>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7586156"/>
    <w:multiLevelType w:val="hybridMultilevel"/>
    <w:tmpl w:val="A12A47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2E6F26"/>
    <w:multiLevelType w:val="hybridMultilevel"/>
    <w:tmpl w:val="A4DCF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3D34C4"/>
    <w:multiLevelType w:val="hybridMultilevel"/>
    <w:tmpl w:val="86948502"/>
    <w:lvl w:ilvl="0" w:tplc="04090015">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27A06AC"/>
    <w:multiLevelType w:val="hybridMultilevel"/>
    <w:tmpl w:val="0A8855B6"/>
    <w:lvl w:ilvl="0" w:tplc="04090015">
      <w:start w:val="17"/>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8">
    <w:nsid w:val="72AF699F"/>
    <w:multiLevelType w:val="hybridMultilevel"/>
    <w:tmpl w:val="042092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214A9C"/>
    <w:multiLevelType w:val="hybridMultilevel"/>
    <w:tmpl w:val="2E468F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ADA5797"/>
    <w:multiLevelType w:val="hybridMultilevel"/>
    <w:tmpl w:val="96302198"/>
    <w:lvl w:ilvl="0" w:tplc="384C4D92">
      <w:start w:val="1"/>
      <w:numFmt w:val="upperLetter"/>
      <w:lvlText w:val="%1."/>
      <w:lvlJc w:val="left"/>
      <w:pPr>
        <w:tabs>
          <w:tab w:val="num" w:pos="1800"/>
        </w:tabs>
        <w:ind w:left="1800" w:hanging="720"/>
      </w:pPr>
      <w:rPr>
        <w:rFonts w:hint="default"/>
      </w:rPr>
    </w:lvl>
    <w:lvl w:ilvl="1" w:tplc="2D3E127E">
      <w:start w:val="17"/>
      <w:numFmt w:val="upp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D6D012A"/>
    <w:multiLevelType w:val="hybridMultilevel"/>
    <w:tmpl w:val="B486F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23"/>
  </w:num>
  <w:num w:numId="4">
    <w:abstractNumId w:val="15"/>
  </w:num>
  <w:num w:numId="5">
    <w:abstractNumId w:val="13"/>
  </w:num>
  <w:num w:numId="6">
    <w:abstractNumId w:val="18"/>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1"/>
  </w:num>
  <w:num w:numId="19">
    <w:abstractNumId w:val="11"/>
  </w:num>
  <w:num w:numId="20">
    <w:abstractNumId w:val="34"/>
  </w:num>
  <w:num w:numId="21">
    <w:abstractNumId w:val="36"/>
  </w:num>
  <w:num w:numId="22">
    <w:abstractNumId w:val="12"/>
  </w:num>
  <w:num w:numId="23">
    <w:abstractNumId w:val="38"/>
  </w:num>
  <w:num w:numId="24">
    <w:abstractNumId w:val="30"/>
  </w:num>
  <w:num w:numId="25">
    <w:abstractNumId w:val="40"/>
  </w:num>
  <w:num w:numId="26">
    <w:abstractNumId w:val="20"/>
  </w:num>
  <w:num w:numId="27">
    <w:abstractNumId w:val="14"/>
  </w:num>
  <w:num w:numId="28">
    <w:abstractNumId w:val="10"/>
  </w:num>
  <w:num w:numId="29">
    <w:abstractNumId w:val="26"/>
  </w:num>
  <w:num w:numId="30">
    <w:abstractNumId w:val="28"/>
  </w:num>
  <w:num w:numId="31">
    <w:abstractNumId w:val="33"/>
  </w:num>
  <w:num w:numId="32">
    <w:abstractNumId w:val="25"/>
  </w:num>
  <w:num w:numId="33">
    <w:abstractNumId w:val="24"/>
  </w:num>
  <w:num w:numId="34">
    <w:abstractNumId w:val="39"/>
  </w:num>
  <w:num w:numId="35">
    <w:abstractNumId w:val="35"/>
  </w:num>
  <w:num w:numId="36">
    <w:abstractNumId w:val="37"/>
  </w:num>
  <w:num w:numId="37">
    <w:abstractNumId w:val="17"/>
  </w:num>
  <w:num w:numId="38">
    <w:abstractNumId w:val="19"/>
  </w:num>
  <w:num w:numId="39">
    <w:abstractNumId w:val="22"/>
  </w:num>
  <w:num w:numId="40">
    <w:abstractNumId w:val="16"/>
  </w:num>
  <w:num w:numId="41">
    <w:abstractNumId w:val="21"/>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6321"/>
  </w:hdrShapeDefaults>
  <w:footnotePr>
    <w:footnote w:id="-1"/>
    <w:footnote w:id="0"/>
  </w:footnotePr>
  <w:endnotePr>
    <w:endnote w:id="-1"/>
    <w:endnote w:id="0"/>
  </w:endnotePr>
  <w:compat>
    <w:applyBreakingRules/>
  </w:compat>
  <w:rsids>
    <w:rsidRoot w:val="00B9416C"/>
    <w:rsid w:val="00001E45"/>
    <w:rsid w:val="00002810"/>
    <w:rsid w:val="000031E3"/>
    <w:rsid w:val="00003FC4"/>
    <w:rsid w:val="0000650F"/>
    <w:rsid w:val="00006AE2"/>
    <w:rsid w:val="0001444C"/>
    <w:rsid w:val="00020CCA"/>
    <w:rsid w:val="00022BF5"/>
    <w:rsid w:val="00022D1B"/>
    <w:rsid w:val="0002576B"/>
    <w:rsid w:val="00032E71"/>
    <w:rsid w:val="0003332A"/>
    <w:rsid w:val="00047E3E"/>
    <w:rsid w:val="00055A72"/>
    <w:rsid w:val="00057D2C"/>
    <w:rsid w:val="00060B17"/>
    <w:rsid w:val="00063467"/>
    <w:rsid w:val="00064184"/>
    <w:rsid w:val="00064607"/>
    <w:rsid w:val="00067784"/>
    <w:rsid w:val="00070096"/>
    <w:rsid w:val="00070E10"/>
    <w:rsid w:val="000710C6"/>
    <w:rsid w:val="00077499"/>
    <w:rsid w:val="00077575"/>
    <w:rsid w:val="00077A46"/>
    <w:rsid w:val="000804C1"/>
    <w:rsid w:val="0008512B"/>
    <w:rsid w:val="00087BE3"/>
    <w:rsid w:val="00090400"/>
    <w:rsid w:val="00093D60"/>
    <w:rsid w:val="00094B5F"/>
    <w:rsid w:val="000971DB"/>
    <w:rsid w:val="000A13EF"/>
    <w:rsid w:val="000A24C4"/>
    <w:rsid w:val="000A3918"/>
    <w:rsid w:val="000A4196"/>
    <w:rsid w:val="000A54F6"/>
    <w:rsid w:val="000A6B4E"/>
    <w:rsid w:val="000A79F0"/>
    <w:rsid w:val="000B4855"/>
    <w:rsid w:val="000B5980"/>
    <w:rsid w:val="000B75D9"/>
    <w:rsid w:val="000C3C1B"/>
    <w:rsid w:val="000C6CA7"/>
    <w:rsid w:val="000C7034"/>
    <w:rsid w:val="000D1BFA"/>
    <w:rsid w:val="000D2E7B"/>
    <w:rsid w:val="000D3F2A"/>
    <w:rsid w:val="000D4226"/>
    <w:rsid w:val="000D7319"/>
    <w:rsid w:val="000E06F9"/>
    <w:rsid w:val="000E3E47"/>
    <w:rsid w:val="000E5371"/>
    <w:rsid w:val="000E71DC"/>
    <w:rsid w:val="000F04C0"/>
    <w:rsid w:val="000F4D60"/>
    <w:rsid w:val="000F7F30"/>
    <w:rsid w:val="00102343"/>
    <w:rsid w:val="00117B71"/>
    <w:rsid w:val="001219C5"/>
    <w:rsid w:val="00122E63"/>
    <w:rsid w:val="00124060"/>
    <w:rsid w:val="00130AD4"/>
    <w:rsid w:val="00133EDD"/>
    <w:rsid w:val="001360B8"/>
    <w:rsid w:val="001368C1"/>
    <w:rsid w:val="001370EC"/>
    <w:rsid w:val="0013777A"/>
    <w:rsid w:val="001469ED"/>
    <w:rsid w:val="0015022B"/>
    <w:rsid w:val="001553BA"/>
    <w:rsid w:val="00157277"/>
    <w:rsid w:val="001609A7"/>
    <w:rsid w:val="00160BCA"/>
    <w:rsid w:val="001627E6"/>
    <w:rsid w:val="001661BE"/>
    <w:rsid w:val="00171D14"/>
    <w:rsid w:val="0017464D"/>
    <w:rsid w:val="00175460"/>
    <w:rsid w:val="00176B99"/>
    <w:rsid w:val="00180C3C"/>
    <w:rsid w:val="0019507D"/>
    <w:rsid w:val="001973FF"/>
    <w:rsid w:val="00197E85"/>
    <w:rsid w:val="001A6795"/>
    <w:rsid w:val="001B2BD2"/>
    <w:rsid w:val="001B5EF1"/>
    <w:rsid w:val="001B6335"/>
    <w:rsid w:val="001C28BD"/>
    <w:rsid w:val="001C2D2C"/>
    <w:rsid w:val="001C45C2"/>
    <w:rsid w:val="001C484D"/>
    <w:rsid w:val="001C5671"/>
    <w:rsid w:val="001D1F6D"/>
    <w:rsid w:val="001D3E6E"/>
    <w:rsid w:val="001D5A1F"/>
    <w:rsid w:val="001D6B2C"/>
    <w:rsid w:val="001D72E0"/>
    <w:rsid w:val="001D792B"/>
    <w:rsid w:val="001D7E1E"/>
    <w:rsid w:val="001E5DD1"/>
    <w:rsid w:val="001F2A1D"/>
    <w:rsid w:val="001F2FD6"/>
    <w:rsid w:val="00204A9E"/>
    <w:rsid w:val="002122A0"/>
    <w:rsid w:val="00212AC3"/>
    <w:rsid w:val="00224D9B"/>
    <w:rsid w:val="00226C1B"/>
    <w:rsid w:val="0022765F"/>
    <w:rsid w:val="00227FD7"/>
    <w:rsid w:val="00230408"/>
    <w:rsid w:val="0023097B"/>
    <w:rsid w:val="00230984"/>
    <w:rsid w:val="0023190E"/>
    <w:rsid w:val="002323DA"/>
    <w:rsid w:val="00232EC1"/>
    <w:rsid w:val="00237974"/>
    <w:rsid w:val="00241AAD"/>
    <w:rsid w:val="00241DA6"/>
    <w:rsid w:val="00243004"/>
    <w:rsid w:val="00252456"/>
    <w:rsid w:val="002530F7"/>
    <w:rsid w:val="002579B9"/>
    <w:rsid w:val="00260074"/>
    <w:rsid w:val="00261A68"/>
    <w:rsid w:val="00262CBD"/>
    <w:rsid w:val="00264C53"/>
    <w:rsid w:val="00271C19"/>
    <w:rsid w:val="00275C54"/>
    <w:rsid w:val="00282224"/>
    <w:rsid w:val="002831DC"/>
    <w:rsid w:val="002849ED"/>
    <w:rsid w:val="002869F7"/>
    <w:rsid w:val="00286AFB"/>
    <w:rsid w:val="00291956"/>
    <w:rsid w:val="00292913"/>
    <w:rsid w:val="00296391"/>
    <w:rsid w:val="002A22E3"/>
    <w:rsid w:val="002A37CF"/>
    <w:rsid w:val="002A4F27"/>
    <w:rsid w:val="002A728C"/>
    <w:rsid w:val="002B09B2"/>
    <w:rsid w:val="002B5F94"/>
    <w:rsid w:val="002C05AB"/>
    <w:rsid w:val="002C0CAC"/>
    <w:rsid w:val="002C2D25"/>
    <w:rsid w:val="002C6FE1"/>
    <w:rsid w:val="002D21E9"/>
    <w:rsid w:val="002D48D0"/>
    <w:rsid w:val="002D4FBE"/>
    <w:rsid w:val="002E2819"/>
    <w:rsid w:val="002E3A56"/>
    <w:rsid w:val="002E401B"/>
    <w:rsid w:val="002E4475"/>
    <w:rsid w:val="002F116C"/>
    <w:rsid w:val="002F1E6B"/>
    <w:rsid w:val="003009FC"/>
    <w:rsid w:val="00302E5E"/>
    <w:rsid w:val="00320045"/>
    <w:rsid w:val="00321C66"/>
    <w:rsid w:val="003263FA"/>
    <w:rsid w:val="003309C5"/>
    <w:rsid w:val="003327FF"/>
    <w:rsid w:val="003334B7"/>
    <w:rsid w:val="00333C72"/>
    <w:rsid w:val="003350BD"/>
    <w:rsid w:val="003424DE"/>
    <w:rsid w:val="0034777A"/>
    <w:rsid w:val="00347794"/>
    <w:rsid w:val="0035031E"/>
    <w:rsid w:val="00353726"/>
    <w:rsid w:val="00354D74"/>
    <w:rsid w:val="003554F9"/>
    <w:rsid w:val="003604A5"/>
    <w:rsid w:val="00370108"/>
    <w:rsid w:val="00372DA6"/>
    <w:rsid w:val="00374DA4"/>
    <w:rsid w:val="00376659"/>
    <w:rsid w:val="00380259"/>
    <w:rsid w:val="003805B4"/>
    <w:rsid w:val="00380E23"/>
    <w:rsid w:val="00383046"/>
    <w:rsid w:val="00387040"/>
    <w:rsid w:val="00392003"/>
    <w:rsid w:val="00397310"/>
    <w:rsid w:val="003A007D"/>
    <w:rsid w:val="003A057C"/>
    <w:rsid w:val="003A52EA"/>
    <w:rsid w:val="003A6343"/>
    <w:rsid w:val="003A6B3C"/>
    <w:rsid w:val="003B0114"/>
    <w:rsid w:val="003B166C"/>
    <w:rsid w:val="003B253B"/>
    <w:rsid w:val="003B421C"/>
    <w:rsid w:val="003B733B"/>
    <w:rsid w:val="003B79BB"/>
    <w:rsid w:val="003B7EF5"/>
    <w:rsid w:val="003C0CC4"/>
    <w:rsid w:val="003C1526"/>
    <w:rsid w:val="003C2EF6"/>
    <w:rsid w:val="003C568F"/>
    <w:rsid w:val="003C7477"/>
    <w:rsid w:val="003D1D65"/>
    <w:rsid w:val="003D3630"/>
    <w:rsid w:val="003E019F"/>
    <w:rsid w:val="003E21B9"/>
    <w:rsid w:val="003E7E96"/>
    <w:rsid w:val="003F58CF"/>
    <w:rsid w:val="00400F7D"/>
    <w:rsid w:val="00406F71"/>
    <w:rsid w:val="00410A06"/>
    <w:rsid w:val="00413B15"/>
    <w:rsid w:val="004151F8"/>
    <w:rsid w:val="00415B2D"/>
    <w:rsid w:val="00417CF7"/>
    <w:rsid w:val="00420579"/>
    <w:rsid w:val="00423F29"/>
    <w:rsid w:val="00426492"/>
    <w:rsid w:val="00431620"/>
    <w:rsid w:val="00442C7E"/>
    <w:rsid w:val="004522CE"/>
    <w:rsid w:val="0045267D"/>
    <w:rsid w:val="00454820"/>
    <w:rsid w:val="004554C1"/>
    <w:rsid w:val="00461D17"/>
    <w:rsid w:val="00461F7F"/>
    <w:rsid w:val="00464CA2"/>
    <w:rsid w:val="00465E45"/>
    <w:rsid w:val="00471E2D"/>
    <w:rsid w:val="004723F2"/>
    <w:rsid w:val="004760D2"/>
    <w:rsid w:val="00476DED"/>
    <w:rsid w:val="00485658"/>
    <w:rsid w:val="00486614"/>
    <w:rsid w:val="0049060D"/>
    <w:rsid w:val="004A05A5"/>
    <w:rsid w:val="004A09F8"/>
    <w:rsid w:val="004A3F74"/>
    <w:rsid w:val="004A617C"/>
    <w:rsid w:val="004A7ED7"/>
    <w:rsid w:val="004B0165"/>
    <w:rsid w:val="004B0B15"/>
    <w:rsid w:val="004B3233"/>
    <w:rsid w:val="004B64E0"/>
    <w:rsid w:val="004B7405"/>
    <w:rsid w:val="004B7DF6"/>
    <w:rsid w:val="004C0486"/>
    <w:rsid w:val="004C1FC3"/>
    <w:rsid w:val="004C4F14"/>
    <w:rsid w:val="004C62A4"/>
    <w:rsid w:val="004D0810"/>
    <w:rsid w:val="004D3526"/>
    <w:rsid w:val="004D4F51"/>
    <w:rsid w:val="004D6128"/>
    <w:rsid w:val="004E1FA1"/>
    <w:rsid w:val="004E6C99"/>
    <w:rsid w:val="004E6FBE"/>
    <w:rsid w:val="004F1D7D"/>
    <w:rsid w:val="004F459E"/>
    <w:rsid w:val="004F45CF"/>
    <w:rsid w:val="0050087C"/>
    <w:rsid w:val="005057D6"/>
    <w:rsid w:val="0050678B"/>
    <w:rsid w:val="005222A2"/>
    <w:rsid w:val="005343C0"/>
    <w:rsid w:val="005343FB"/>
    <w:rsid w:val="00535579"/>
    <w:rsid w:val="00536E4A"/>
    <w:rsid w:val="00536E7F"/>
    <w:rsid w:val="0053708C"/>
    <w:rsid w:val="0054012B"/>
    <w:rsid w:val="005457A9"/>
    <w:rsid w:val="00546D72"/>
    <w:rsid w:val="005531B0"/>
    <w:rsid w:val="0055327A"/>
    <w:rsid w:val="00553DDA"/>
    <w:rsid w:val="005550E1"/>
    <w:rsid w:val="0055799D"/>
    <w:rsid w:val="00567C27"/>
    <w:rsid w:val="00570FE0"/>
    <w:rsid w:val="005716BA"/>
    <w:rsid w:val="00573D41"/>
    <w:rsid w:val="005741BD"/>
    <w:rsid w:val="00574AEF"/>
    <w:rsid w:val="00574F51"/>
    <w:rsid w:val="005755FE"/>
    <w:rsid w:val="00577360"/>
    <w:rsid w:val="00582A23"/>
    <w:rsid w:val="00582F43"/>
    <w:rsid w:val="005832F8"/>
    <w:rsid w:val="00586A80"/>
    <w:rsid w:val="00587687"/>
    <w:rsid w:val="005911A7"/>
    <w:rsid w:val="00591FE4"/>
    <w:rsid w:val="00592207"/>
    <w:rsid w:val="00592482"/>
    <w:rsid w:val="0059328B"/>
    <w:rsid w:val="00595F4A"/>
    <w:rsid w:val="005A4510"/>
    <w:rsid w:val="005A579F"/>
    <w:rsid w:val="005A5A9E"/>
    <w:rsid w:val="005A6287"/>
    <w:rsid w:val="005A7899"/>
    <w:rsid w:val="005B431F"/>
    <w:rsid w:val="005B462B"/>
    <w:rsid w:val="005B466D"/>
    <w:rsid w:val="005D10CF"/>
    <w:rsid w:val="005D12A4"/>
    <w:rsid w:val="005D245F"/>
    <w:rsid w:val="005D5D5B"/>
    <w:rsid w:val="005D7A6E"/>
    <w:rsid w:val="005E13FE"/>
    <w:rsid w:val="005E2C4B"/>
    <w:rsid w:val="005E3169"/>
    <w:rsid w:val="005E407C"/>
    <w:rsid w:val="005E5834"/>
    <w:rsid w:val="005E5AFE"/>
    <w:rsid w:val="005E6A82"/>
    <w:rsid w:val="005F0C99"/>
    <w:rsid w:val="005F3748"/>
    <w:rsid w:val="005F39D5"/>
    <w:rsid w:val="005F7C92"/>
    <w:rsid w:val="00605989"/>
    <w:rsid w:val="00610D8D"/>
    <w:rsid w:val="00611673"/>
    <w:rsid w:val="00614BAE"/>
    <w:rsid w:val="00615C77"/>
    <w:rsid w:val="00616126"/>
    <w:rsid w:val="00623BC8"/>
    <w:rsid w:val="00624AE3"/>
    <w:rsid w:val="006272FA"/>
    <w:rsid w:val="00630984"/>
    <w:rsid w:val="00632A49"/>
    <w:rsid w:val="00634EF0"/>
    <w:rsid w:val="00636315"/>
    <w:rsid w:val="0063736F"/>
    <w:rsid w:val="0064476E"/>
    <w:rsid w:val="0064654B"/>
    <w:rsid w:val="006465EB"/>
    <w:rsid w:val="00647849"/>
    <w:rsid w:val="00654097"/>
    <w:rsid w:val="00660CAB"/>
    <w:rsid w:val="006649E6"/>
    <w:rsid w:val="0066574E"/>
    <w:rsid w:val="00666A3A"/>
    <w:rsid w:val="00672973"/>
    <w:rsid w:val="00681BC6"/>
    <w:rsid w:val="00683907"/>
    <w:rsid w:val="00686151"/>
    <w:rsid w:val="00687220"/>
    <w:rsid w:val="00690925"/>
    <w:rsid w:val="0069761E"/>
    <w:rsid w:val="006A0BB3"/>
    <w:rsid w:val="006A1916"/>
    <w:rsid w:val="006A2A94"/>
    <w:rsid w:val="006A2DEC"/>
    <w:rsid w:val="006A47DC"/>
    <w:rsid w:val="006A51B0"/>
    <w:rsid w:val="006A58AE"/>
    <w:rsid w:val="006B1CD6"/>
    <w:rsid w:val="006B67FA"/>
    <w:rsid w:val="006B6E94"/>
    <w:rsid w:val="006B71F5"/>
    <w:rsid w:val="006C4D95"/>
    <w:rsid w:val="006C55FE"/>
    <w:rsid w:val="006D1943"/>
    <w:rsid w:val="006D394C"/>
    <w:rsid w:val="006D447C"/>
    <w:rsid w:val="006D615D"/>
    <w:rsid w:val="006E089F"/>
    <w:rsid w:val="006F1546"/>
    <w:rsid w:val="006F19EF"/>
    <w:rsid w:val="006F292D"/>
    <w:rsid w:val="006F4437"/>
    <w:rsid w:val="00701E82"/>
    <w:rsid w:val="00704151"/>
    <w:rsid w:val="00710901"/>
    <w:rsid w:val="00710EAB"/>
    <w:rsid w:val="0071342D"/>
    <w:rsid w:val="00720809"/>
    <w:rsid w:val="00720B18"/>
    <w:rsid w:val="00723296"/>
    <w:rsid w:val="00723F8C"/>
    <w:rsid w:val="00724582"/>
    <w:rsid w:val="00726D9E"/>
    <w:rsid w:val="00730604"/>
    <w:rsid w:val="00731854"/>
    <w:rsid w:val="007332A4"/>
    <w:rsid w:val="00733626"/>
    <w:rsid w:val="00737BF3"/>
    <w:rsid w:val="00745019"/>
    <w:rsid w:val="00746810"/>
    <w:rsid w:val="0075548E"/>
    <w:rsid w:val="00755F86"/>
    <w:rsid w:val="00756862"/>
    <w:rsid w:val="00762B98"/>
    <w:rsid w:val="00763996"/>
    <w:rsid w:val="00763B89"/>
    <w:rsid w:val="007642E9"/>
    <w:rsid w:val="007653AF"/>
    <w:rsid w:val="0076681D"/>
    <w:rsid w:val="00767FCD"/>
    <w:rsid w:val="00772498"/>
    <w:rsid w:val="00774C6D"/>
    <w:rsid w:val="00774EFE"/>
    <w:rsid w:val="00776B79"/>
    <w:rsid w:val="00782967"/>
    <w:rsid w:val="00784855"/>
    <w:rsid w:val="00786722"/>
    <w:rsid w:val="00793737"/>
    <w:rsid w:val="00797478"/>
    <w:rsid w:val="007A2287"/>
    <w:rsid w:val="007A35D1"/>
    <w:rsid w:val="007A3C02"/>
    <w:rsid w:val="007A7A12"/>
    <w:rsid w:val="007B02B3"/>
    <w:rsid w:val="007B2A8E"/>
    <w:rsid w:val="007B308C"/>
    <w:rsid w:val="007B476C"/>
    <w:rsid w:val="007C3990"/>
    <w:rsid w:val="007C6E29"/>
    <w:rsid w:val="007D0452"/>
    <w:rsid w:val="007D0800"/>
    <w:rsid w:val="007D7222"/>
    <w:rsid w:val="007F3941"/>
    <w:rsid w:val="00800D40"/>
    <w:rsid w:val="008066E8"/>
    <w:rsid w:val="00806BD1"/>
    <w:rsid w:val="00815E26"/>
    <w:rsid w:val="00816392"/>
    <w:rsid w:val="00820A8F"/>
    <w:rsid w:val="0082200B"/>
    <w:rsid w:val="00825051"/>
    <w:rsid w:val="00831280"/>
    <w:rsid w:val="00831C36"/>
    <w:rsid w:val="008363DF"/>
    <w:rsid w:val="008379B7"/>
    <w:rsid w:val="00841E5A"/>
    <w:rsid w:val="008506D7"/>
    <w:rsid w:val="008537AC"/>
    <w:rsid w:val="00853A60"/>
    <w:rsid w:val="008561A6"/>
    <w:rsid w:val="00857401"/>
    <w:rsid w:val="00860C87"/>
    <w:rsid w:val="00867635"/>
    <w:rsid w:val="0087097E"/>
    <w:rsid w:val="00873437"/>
    <w:rsid w:val="008734B5"/>
    <w:rsid w:val="008741E7"/>
    <w:rsid w:val="00877D7A"/>
    <w:rsid w:val="008802FE"/>
    <w:rsid w:val="008816CA"/>
    <w:rsid w:val="00890174"/>
    <w:rsid w:val="00890541"/>
    <w:rsid w:val="00890826"/>
    <w:rsid w:val="00895029"/>
    <w:rsid w:val="00897DCB"/>
    <w:rsid w:val="00897EC7"/>
    <w:rsid w:val="008A13C0"/>
    <w:rsid w:val="008A2D0B"/>
    <w:rsid w:val="008A6603"/>
    <w:rsid w:val="008A720D"/>
    <w:rsid w:val="008B3B8D"/>
    <w:rsid w:val="008B65D4"/>
    <w:rsid w:val="008B6B7C"/>
    <w:rsid w:val="008B6D41"/>
    <w:rsid w:val="008C0F4B"/>
    <w:rsid w:val="008C3BE0"/>
    <w:rsid w:val="008C405B"/>
    <w:rsid w:val="008D52D0"/>
    <w:rsid w:val="008E01EB"/>
    <w:rsid w:val="008E18BF"/>
    <w:rsid w:val="008E26B7"/>
    <w:rsid w:val="008E57E3"/>
    <w:rsid w:val="008F0A10"/>
    <w:rsid w:val="008F15A3"/>
    <w:rsid w:val="008F50AD"/>
    <w:rsid w:val="008F6992"/>
    <w:rsid w:val="008F7AF5"/>
    <w:rsid w:val="0090371E"/>
    <w:rsid w:val="00903D6D"/>
    <w:rsid w:val="00906CA5"/>
    <w:rsid w:val="009116BA"/>
    <w:rsid w:val="00911C1E"/>
    <w:rsid w:val="00914E0A"/>
    <w:rsid w:val="00915DC2"/>
    <w:rsid w:val="00916147"/>
    <w:rsid w:val="00924A36"/>
    <w:rsid w:val="00925FF4"/>
    <w:rsid w:val="00927D75"/>
    <w:rsid w:val="00937A08"/>
    <w:rsid w:val="00940F6E"/>
    <w:rsid w:val="00951B10"/>
    <w:rsid w:val="00953DE6"/>
    <w:rsid w:val="0095771C"/>
    <w:rsid w:val="00961462"/>
    <w:rsid w:val="0096348C"/>
    <w:rsid w:val="0096374C"/>
    <w:rsid w:val="009642D7"/>
    <w:rsid w:val="00973ABF"/>
    <w:rsid w:val="00973FA0"/>
    <w:rsid w:val="009752B4"/>
    <w:rsid w:val="00977270"/>
    <w:rsid w:val="00980441"/>
    <w:rsid w:val="00981E8F"/>
    <w:rsid w:val="00982418"/>
    <w:rsid w:val="00983761"/>
    <w:rsid w:val="00986276"/>
    <w:rsid w:val="009864AC"/>
    <w:rsid w:val="00993425"/>
    <w:rsid w:val="00993D58"/>
    <w:rsid w:val="00995232"/>
    <w:rsid w:val="0099553C"/>
    <w:rsid w:val="009A18D8"/>
    <w:rsid w:val="009A1923"/>
    <w:rsid w:val="009A23D1"/>
    <w:rsid w:val="009A2E6C"/>
    <w:rsid w:val="009A4874"/>
    <w:rsid w:val="009B343F"/>
    <w:rsid w:val="009B6EDD"/>
    <w:rsid w:val="009C0785"/>
    <w:rsid w:val="009C2C61"/>
    <w:rsid w:val="009C4180"/>
    <w:rsid w:val="009C5209"/>
    <w:rsid w:val="009D5DC0"/>
    <w:rsid w:val="009D62AD"/>
    <w:rsid w:val="009E2531"/>
    <w:rsid w:val="009E4C3A"/>
    <w:rsid w:val="009E55D0"/>
    <w:rsid w:val="009F2546"/>
    <w:rsid w:val="009F3315"/>
    <w:rsid w:val="009F4182"/>
    <w:rsid w:val="009F779C"/>
    <w:rsid w:val="00A04B67"/>
    <w:rsid w:val="00A06E4D"/>
    <w:rsid w:val="00A10438"/>
    <w:rsid w:val="00A1545D"/>
    <w:rsid w:val="00A17692"/>
    <w:rsid w:val="00A20239"/>
    <w:rsid w:val="00A2161D"/>
    <w:rsid w:val="00A22269"/>
    <w:rsid w:val="00A23054"/>
    <w:rsid w:val="00A243D0"/>
    <w:rsid w:val="00A25BF6"/>
    <w:rsid w:val="00A3061C"/>
    <w:rsid w:val="00A34C8E"/>
    <w:rsid w:val="00A36584"/>
    <w:rsid w:val="00A36C23"/>
    <w:rsid w:val="00A37899"/>
    <w:rsid w:val="00A4001B"/>
    <w:rsid w:val="00A45184"/>
    <w:rsid w:val="00A453C1"/>
    <w:rsid w:val="00A46C62"/>
    <w:rsid w:val="00A521F8"/>
    <w:rsid w:val="00A54EF3"/>
    <w:rsid w:val="00A612C8"/>
    <w:rsid w:val="00A61652"/>
    <w:rsid w:val="00A64A1C"/>
    <w:rsid w:val="00A64DDF"/>
    <w:rsid w:val="00A6571A"/>
    <w:rsid w:val="00A66F5A"/>
    <w:rsid w:val="00A71E75"/>
    <w:rsid w:val="00A738EA"/>
    <w:rsid w:val="00A73CC0"/>
    <w:rsid w:val="00A7423D"/>
    <w:rsid w:val="00A75D95"/>
    <w:rsid w:val="00A83246"/>
    <w:rsid w:val="00A87B0C"/>
    <w:rsid w:val="00A90D2C"/>
    <w:rsid w:val="00A97012"/>
    <w:rsid w:val="00AA5709"/>
    <w:rsid w:val="00AA7394"/>
    <w:rsid w:val="00AA7873"/>
    <w:rsid w:val="00AB16F3"/>
    <w:rsid w:val="00AB6860"/>
    <w:rsid w:val="00AC074F"/>
    <w:rsid w:val="00AC2908"/>
    <w:rsid w:val="00AE102D"/>
    <w:rsid w:val="00AE1959"/>
    <w:rsid w:val="00AF015C"/>
    <w:rsid w:val="00AF42EA"/>
    <w:rsid w:val="00B00244"/>
    <w:rsid w:val="00B0082C"/>
    <w:rsid w:val="00B04253"/>
    <w:rsid w:val="00B112FC"/>
    <w:rsid w:val="00B17651"/>
    <w:rsid w:val="00B17BE7"/>
    <w:rsid w:val="00B21A8A"/>
    <w:rsid w:val="00B235F1"/>
    <w:rsid w:val="00B25914"/>
    <w:rsid w:val="00B26F6C"/>
    <w:rsid w:val="00B30085"/>
    <w:rsid w:val="00B31539"/>
    <w:rsid w:val="00B32572"/>
    <w:rsid w:val="00B3305C"/>
    <w:rsid w:val="00B3475D"/>
    <w:rsid w:val="00B3501B"/>
    <w:rsid w:val="00B36FE5"/>
    <w:rsid w:val="00B41296"/>
    <w:rsid w:val="00B46AF4"/>
    <w:rsid w:val="00B51709"/>
    <w:rsid w:val="00B51C04"/>
    <w:rsid w:val="00B52B77"/>
    <w:rsid w:val="00B55F8F"/>
    <w:rsid w:val="00B6204D"/>
    <w:rsid w:val="00B66464"/>
    <w:rsid w:val="00B756A3"/>
    <w:rsid w:val="00B763DD"/>
    <w:rsid w:val="00B82F22"/>
    <w:rsid w:val="00B86167"/>
    <w:rsid w:val="00B91BA3"/>
    <w:rsid w:val="00B9416C"/>
    <w:rsid w:val="00B9498F"/>
    <w:rsid w:val="00B9691F"/>
    <w:rsid w:val="00BA0C6F"/>
    <w:rsid w:val="00BA0EA8"/>
    <w:rsid w:val="00BA3C80"/>
    <w:rsid w:val="00BB1065"/>
    <w:rsid w:val="00BC09DA"/>
    <w:rsid w:val="00BC2F14"/>
    <w:rsid w:val="00BC507A"/>
    <w:rsid w:val="00BC6A84"/>
    <w:rsid w:val="00BC74D0"/>
    <w:rsid w:val="00BD264A"/>
    <w:rsid w:val="00BE09C5"/>
    <w:rsid w:val="00BE59FD"/>
    <w:rsid w:val="00BF3CAA"/>
    <w:rsid w:val="00C013E2"/>
    <w:rsid w:val="00C03689"/>
    <w:rsid w:val="00C0589D"/>
    <w:rsid w:val="00C062E9"/>
    <w:rsid w:val="00C21B20"/>
    <w:rsid w:val="00C248CF"/>
    <w:rsid w:val="00C269AC"/>
    <w:rsid w:val="00C312B4"/>
    <w:rsid w:val="00C32D79"/>
    <w:rsid w:val="00C3657B"/>
    <w:rsid w:val="00C40945"/>
    <w:rsid w:val="00C43E36"/>
    <w:rsid w:val="00C4485B"/>
    <w:rsid w:val="00C475DA"/>
    <w:rsid w:val="00C5367D"/>
    <w:rsid w:val="00C60211"/>
    <w:rsid w:val="00C61754"/>
    <w:rsid w:val="00C64682"/>
    <w:rsid w:val="00C646C3"/>
    <w:rsid w:val="00C70687"/>
    <w:rsid w:val="00C7186F"/>
    <w:rsid w:val="00C73221"/>
    <w:rsid w:val="00C74C8E"/>
    <w:rsid w:val="00C77C1F"/>
    <w:rsid w:val="00C80BAA"/>
    <w:rsid w:val="00C82F65"/>
    <w:rsid w:val="00C87EE0"/>
    <w:rsid w:val="00C9300D"/>
    <w:rsid w:val="00C941C3"/>
    <w:rsid w:val="00CA2476"/>
    <w:rsid w:val="00CA2E3F"/>
    <w:rsid w:val="00CA683C"/>
    <w:rsid w:val="00CA6ADA"/>
    <w:rsid w:val="00CA6B16"/>
    <w:rsid w:val="00CA7E06"/>
    <w:rsid w:val="00CB1308"/>
    <w:rsid w:val="00CB7F4B"/>
    <w:rsid w:val="00CC06DB"/>
    <w:rsid w:val="00CC0AAD"/>
    <w:rsid w:val="00CC3185"/>
    <w:rsid w:val="00CC38AA"/>
    <w:rsid w:val="00CC4CFA"/>
    <w:rsid w:val="00CC4DA0"/>
    <w:rsid w:val="00CC6A99"/>
    <w:rsid w:val="00CC6EED"/>
    <w:rsid w:val="00CC6F57"/>
    <w:rsid w:val="00CC7188"/>
    <w:rsid w:val="00CC7C30"/>
    <w:rsid w:val="00CD0847"/>
    <w:rsid w:val="00CE03E6"/>
    <w:rsid w:val="00CE2059"/>
    <w:rsid w:val="00CE2388"/>
    <w:rsid w:val="00CE63E5"/>
    <w:rsid w:val="00CF2DC4"/>
    <w:rsid w:val="00CF56ED"/>
    <w:rsid w:val="00CF5DFC"/>
    <w:rsid w:val="00D0370F"/>
    <w:rsid w:val="00D0398A"/>
    <w:rsid w:val="00D043B6"/>
    <w:rsid w:val="00D04B33"/>
    <w:rsid w:val="00D04CEE"/>
    <w:rsid w:val="00D05EF4"/>
    <w:rsid w:val="00D06014"/>
    <w:rsid w:val="00D14427"/>
    <w:rsid w:val="00D23DEB"/>
    <w:rsid w:val="00D3033C"/>
    <w:rsid w:val="00D31405"/>
    <w:rsid w:val="00D316DB"/>
    <w:rsid w:val="00D32C17"/>
    <w:rsid w:val="00D33942"/>
    <w:rsid w:val="00D341AA"/>
    <w:rsid w:val="00D4179D"/>
    <w:rsid w:val="00D42EFC"/>
    <w:rsid w:val="00D45C91"/>
    <w:rsid w:val="00D47C0B"/>
    <w:rsid w:val="00D51814"/>
    <w:rsid w:val="00D52A4D"/>
    <w:rsid w:val="00D57207"/>
    <w:rsid w:val="00D5751A"/>
    <w:rsid w:val="00D579D0"/>
    <w:rsid w:val="00D6005E"/>
    <w:rsid w:val="00D603CF"/>
    <w:rsid w:val="00D617B1"/>
    <w:rsid w:val="00D639AA"/>
    <w:rsid w:val="00D644AC"/>
    <w:rsid w:val="00D708CF"/>
    <w:rsid w:val="00D71990"/>
    <w:rsid w:val="00D76780"/>
    <w:rsid w:val="00D801D7"/>
    <w:rsid w:val="00D834F0"/>
    <w:rsid w:val="00D83761"/>
    <w:rsid w:val="00D83C85"/>
    <w:rsid w:val="00D97ED0"/>
    <w:rsid w:val="00DA1BB4"/>
    <w:rsid w:val="00DA4368"/>
    <w:rsid w:val="00DB16C9"/>
    <w:rsid w:val="00DB196E"/>
    <w:rsid w:val="00DB2FA7"/>
    <w:rsid w:val="00DB46FA"/>
    <w:rsid w:val="00DB6361"/>
    <w:rsid w:val="00DB6EB5"/>
    <w:rsid w:val="00DB7FE3"/>
    <w:rsid w:val="00DC5E48"/>
    <w:rsid w:val="00DD0D6B"/>
    <w:rsid w:val="00DD721F"/>
    <w:rsid w:val="00DD7D62"/>
    <w:rsid w:val="00DE0279"/>
    <w:rsid w:val="00DE055E"/>
    <w:rsid w:val="00DE2546"/>
    <w:rsid w:val="00DE3E4F"/>
    <w:rsid w:val="00DE4585"/>
    <w:rsid w:val="00DE4C6A"/>
    <w:rsid w:val="00DE4C86"/>
    <w:rsid w:val="00DE69DC"/>
    <w:rsid w:val="00DF0633"/>
    <w:rsid w:val="00DF224C"/>
    <w:rsid w:val="00DF33DC"/>
    <w:rsid w:val="00DF3765"/>
    <w:rsid w:val="00DF62A4"/>
    <w:rsid w:val="00E005CF"/>
    <w:rsid w:val="00E05795"/>
    <w:rsid w:val="00E05E01"/>
    <w:rsid w:val="00E06B1F"/>
    <w:rsid w:val="00E06ED1"/>
    <w:rsid w:val="00E07C0E"/>
    <w:rsid w:val="00E112C6"/>
    <w:rsid w:val="00E21FA4"/>
    <w:rsid w:val="00E24A73"/>
    <w:rsid w:val="00E30879"/>
    <w:rsid w:val="00E404B0"/>
    <w:rsid w:val="00E422D8"/>
    <w:rsid w:val="00E433E2"/>
    <w:rsid w:val="00E43DFB"/>
    <w:rsid w:val="00E47CCF"/>
    <w:rsid w:val="00E5062C"/>
    <w:rsid w:val="00E5350A"/>
    <w:rsid w:val="00E56220"/>
    <w:rsid w:val="00E62D29"/>
    <w:rsid w:val="00E65A4F"/>
    <w:rsid w:val="00E67088"/>
    <w:rsid w:val="00E70B7A"/>
    <w:rsid w:val="00E71AE8"/>
    <w:rsid w:val="00E760E6"/>
    <w:rsid w:val="00E80D53"/>
    <w:rsid w:val="00E83DA3"/>
    <w:rsid w:val="00E85352"/>
    <w:rsid w:val="00E93465"/>
    <w:rsid w:val="00E94DAF"/>
    <w:rsid w:val="00E953E1"/>
    <w:rsid w:val="00E9584B"/>
    <w:rsid w:val="00EA51CE"/>
    <w:rsid w:val="00EA695C"/>
    <w:rsid w:val="00EB0520"/>
    <w:rsid w:val="00EB47BE"/>
    <w:rsid w:val="00EB5BBE"/>
    <w:rsid w:val="00EB5F3F"/>
    <w:rsid w:val="00EB7008"/>
    <w:rsid w:val="00EC1C93"/>
    <w:rsid w:val="00EC3B45"/>
    <w:rsid w:val="00EC74AD"/>
    <w:rsid w:val="00ED35DC"/>
    <w:rsid w:val="00ED3AE5"/>
    <w:rsid w:val="00ED4F04"/>
    <w:rsid w:val="00ED6874"/>
    <w:rsid w:val="00ED71A8"/>
    <w:rsid w:val="00ED75A8"/>
    <w:rsid w:val="00EE0279"/>
    <w:rsid w:val="00EE0C54"/>
    <w:rsid w:val="00EE213B"/>
    <w:rsid w:val="00EE6446"/>
    <w:rsid w:val="00EE6DE0"/>
    <w:rsid w:val="00EE7E17"/>
    <w:rsid w:val="00EF36A2"/>
    <w:rsid w:val="00EF3820"/>
    <w:rsid w:val="00EF39F5"/>
    <w:rsid w:val="00EF48B0"/>
    <w:rsid w:val="00EF6233"/>
    <w:rsid w:val="00F01E6E"/>
    <w:rsid w:val="00F039DC"/>
    <w:rsid w:val="00F066DE"/>
    <w:rsid w:val="00F100A4"/>
    <w:rsid w:val="00F10C54"/>
    <w:rsid w:val="00F15574"/>
    <w:rsid w:val="00F156EB"/>
    <w:rsid w:val="00F15E51"/>
    <w:rsid w:val="00F17CD8"/>
    <w:rsid w:val="00F22418"/>
    <w:rsid w:val="00F254E8"/>
    <w:rsid w:val="00F308D5"/>
    <w:rsid w:val="00F329BE"/>
    <w:rsid w:val="00F32CAF"/>
    <w:rsid w:val="00F34DB1"/>
    <w:rsid w:val="00F35624"/>
    <w:rsid w:val="00F40F8A"/>
    <w:rsid w:val="00F418FA"/>
    <w:rsid w:val="00F43247"/>
    <w:rsid w:val="00F4530A"/>
    <w:rsid w:val="00F463A8"/>
    <w:rsid w:val="00F46404"/>
    <w:rsid w:val="00F548C1"/>
    <w:rsid w:val="00F56258"/>
    <w:rsid w:val="00F571FA"/>
    <w:rsid w:val="00F60559"/>
    <w:rsid w:val="00F60940"/>
    <w:rsid w:val="00F61257"/>
    <w:rsid w:val="00F6145D"/>
    <w:rsid w:val="00F64542"/>
    <w:rsid w:val="00F6556C"/>
    <w:rsid w:val="00F676FA"/>
    <w:rsid w:val="00F7189E"/>
    <w:rsid w:val="00F739C2"/>
    <w:rsid w:val="00F73C7B"/>
    <w:rsid w:val="00F73E84"/>
    <w:rsid w:val="00F74D3A"/>
    <w:rsid w:val="00F7766F"/>
    <w:rsid w:val="00F80B6F"/>
    <w:rsid w:val="00F81266"/>
    <w:rsid w:val="00F83731"/>
    <w:rsid w:val="00F8743F"/>
    <w:rsid w:val="00F91DD0"/>
    <w:rsid w:val="00F94FDD"/>
    <w:rsid w:val="00F95081"/>
    <w:rsid w:val="00F95AD8"/>
    <w:rsid w:val="00F95C1C"/>
    <w:rsid w:val="00FA0B27"/>
    <w:rsid w:val="00FA7701"/>
    <w:rsid w:val="00FB10AF"/>
    <w:rsid w:val="00FB1E69"/>
    <w:rsid w:val="00FB32C5"/>
    <w:rsid w:val="00FB36E4"/>
    <w:rsid w:val="00FB40DD"/>
    <w:rsid w:val="00FB5FF0"/>
    <w:rsid w:val="00FB711D"/>
    <w:rsid w:val="00FC7663"/>
    <w:rsid w:val="00FD5247"/>
    <w:rsid w:val="00FE0022"/>
    <w:rsid w:val="00FE0726"/>
    <w:rsid w:val="00FE2292"/>
    <w:rsid w:val="00FE4E56"/>
    <w:rsid w:val="00FE673A"/>
    <w:rsid w:val="00FF14D8"/>
    <w:rsid w:val="00FF4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54C1"/>
    <w:pPr>
      <w:tabs>
        <w:tab w:val="center" w:pos="4320"/>
        <w:tab w:val="right" w:pos="8640"/>
      </w:tabs>
    </w:pPr>
  </w:style>
  <w:style w:type="character" w:styleId="PageNumber">
    <w:name w:val="page number"/>
    <w:basedOn w:val="DefaultParagraphFont"/>
    <w:rsid w:val="004554C1"/>
  </w:style>
  <w:style w:type="paragraph" w:styleId="Header">
    <w:name w:val="header"/>
    <w:basedOn w:val="Normal"/>
    <w:rsid w:val="004554C1"/>
    <w:pPr>
      <w:tabs>
        <w:tab w:val="center" w:pos="4320"/>
        <w:tab w:val="right" w:pos="8640"/>
      </w:tabs>
    </w:pPr>
  </w:style>
  <w:style w:type="character" w:styleId="LineNumber">
    <w:name w:val="line number"/>
    <w:basedOn w:val="DefaultParagraphFont"/>
    <w:rsid w:val="00FE0726"/>
  </w:style>
  <w:style w:type="table" w:styleId="TableGrid">
    <w:name w:val="Table Grid"/>
    <w:basedOn w:val="TableNormal"/>
    <w:rsid w:val="0073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97EC7"/>
    <w:rPr>
      <w:sz w:val="20"/>
      <w:szCs w:val="20"/>
    </w:rPr>
  </w:style>
  <w:style w:type="character" w:styleId="FootnoteReference">
    <w:name w:val="footnote reference"/>
    <w:basedOn w:val="DefaultParagraphFont"/>
    <w:semiHidden/>
    <w:rsid w:val="00897EC7"/>
    <w:rPr>
      <w:vertAlign w:val="superscript"/>
    </w:rPr>
  </w:style>
  <w:style w:type="character" w:styleId="Hyperlink">
    <w:name w:val="Hyperlink"/>
    <w:basedOn w:val="DefaultParagraphFont"/>
    <w:rsid w:val="00117B71"/>
    <w:rPr>
      <w:color w:val="0000FF"/>
      <w:u w:val="single"/>
    </w:rPr>
  </w:style>
  <w:style w:type="paragraph" w:styleId="BalloonText">
    <w:name w:val="Balloon Text"/>
    <w:basedOn w:val="Normal"/>
    <w:semiHidden/>
    <w:rsid w:val="00064184"/>
    <w:rPr>
      <w:rFonts w:ascii="Tahoma" w:hAnsi="Tahoma" w:cs="Tahoma"/>
      <w:sz w:val="16"/>
      <w:szCs w:val="16"/>
    </w:rPr>
  </w:style>
  <w:style w:type="character" w:styleId="CommentReference">
    <w:name w:val="annotation reference"/>
    <w:basedOn w:val="DefaultParagraphFont"/>
    <w:uiPriority w:val="99"/>
    <w:semiHidden/>
    <w:unhideWhenUsed/>
    <w:rsid w:val="00C70687"/>
    <w:rPr>
      <w:sz w:val="16"/>
      <w:szCs w:val="16"/>
    </w:rPr>
  </w:style>
  <w:style w:type="paragraph" w:styleId="CommentText">
    <w:name w:val="annotation text"/>
    <w:basedOn w:val="Normal"/>
    <w:link w:val="CommentTextChar"/>
    <w:uiPriority w:val="99"/>
    <w:semiHidden/>
    <w:unhideWhenUsed/>
    <w:rsid w:val="00C70687"/>
    <w:rPr>
      <w:sz w:val="20"/>
      <w:szCs w:val="20"/>
    </w:rPr>
  </w:style>
  <w:style w:type="character" w:customStyle="1" w:styleId="CommentTextChar">
    <w:name w:val="Comment Text Char"/>
    <w:basedOn w:val="DefaultParagraphFont"/>
    <w:link w:val="CommentText"/>
    <w:uiPriority w:val="99"/>
    <w:semiHidden/>
    <w:rsid w:val="00C70687"/>
  </w:style>
  <w:style w:type="paragraph" w:styleId="CommentSubject">
    <w:name w:val="annotation subject"/>
    <w:basedOn w:val="CommentText"/>
    <w:next w:val="CommentText"/>
    <w:link w:val="CommentSubjectChar"/>
    <w:uiPriority w:val="99"/>
    <w:semiHidden/>
    <w:unhideWhenUsed/>
    <w:rsid w:val="00C70687"/>
    <w:rPr>
      <w:b/>
      <w:bCs/>
    </w:rPr>
  </w:style>
  <w:style w:type="character" w:customStyle="1" w:styleId="CommentSubjectChar">
    <w:name w:val="Comment Subject Char"/>
    <w:basedOn w:val="CommentTextChar"/>
    <w:link w:val="CommentSubject"/>
    <w:uiPriority w:val="99"/>
    <w:semiHidden/>
    <w:rsid w:val="00C70687"/>
    <w:rPr>
      <w:b/>
      <w:bCs/>
    </w:rPr>
  </w:style>
  <w:style w:type="paragraph" w:customStyle="1" w:styleId="TestimonyAnswer">
    <w:name w:val="Testimony Answer"/>
    <w:basedOn w:val="Normal"/>
    <w:qFormat/>
    <w:rsid w:val="00A612C8"/>
    <w:pPr>
      <w:tabs>
        <w:tab w:val="left" w:pos="720"/>
        <w:tab w:val="right" w:leader="dot" w:pos="8640"/>
        <w:tab w:val="left" w:pos="9240"/>
      </w:tabs>
      <w:spacing w:after="360" w:line="360" w:lineRule="auto"/>
      <w:ind w:left="720" w:hanging="720"/>
      <w:jc w:val="both"/>
    </w:pPr>
    <w:rPr>
      <w:rFonts w:eastAsia="Calibri"/>
    </w:rPr>
  </w:style>
  <w:style w:type="paragraph" w:customStyle="1" w:styleId="TestimonyQuestion">
    <w:name w:val="Testimony Question"/>
    <w:basedOn w:val="Normal"/>
    <w:rsid w:val="00A612C8"/>
    <w:pPr>
      <w:tabs>
        <w:tab w:val="left" w:pos="720"/>
        <w:tab w:val="right" w:leader="dot" w:pos="8640"/>
        <w:tab w:val="left" w:pos="9240"/>
      </w:tabs>
      <w:spacing w:before="240" w:after="240"/>
      <w:ind w:left="720" w:hanging="720"/>
      <w:jc w:val="both"/>
    </w:pPr>
    <w:rPr>
      <w:rFonts w:eastAsia="Calibri"/>
      <w:b/>
      <w:caps/>
    </w:rPr>
  </w:style>
  <w:style w:type="paragraph" w:styleId="ListParagraph">
    <w:name w:val="List Paragraph"/>
    <w:basedOn w:val="Normal"/>
    <w:uiPriority w:val="34"/>
    <w:qFormat/>
    <w:rsid w:val="00392003"/>
    <w:pPr>
      <w:ind w:left="720"/>
    </w:pPr>
  </w:style>
  <w:style w:type="character" w:customStyle="1" w:styleId="FooterChar">
    <w:name w:val="Footer Char"/>
    <w:basedOn w:val="DefaultParagraphFont"/>
    <w:link w:val="Footer"/>
    <w:rsid w:val="00A83246"/>
    <w:rPr>
      <w:sz w:val="24"/>
      <w:szCs w:val="24"/>
    </w:rPr>
  </w:style>
  <w:style w:type="paragraph" w:styleId="Revision">
    <w:name w:val="Revision"/>
    <w:hidden/>
    <w:uiPriority w:val="99"/>
    <w:semiHidden/>
    <w:rsid w:val="008F7AF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oleObject" Target="embeddings/oleObject3.bin"/><Relationship Id="rId39" Type="http://schemas.openxmlformats.org/officeDocument/2006/relationships/theme" Target="theme/theme1.xml"/><Relationship Id="rId21" Type="http://schemas.openxmlformats.org/officeDocument/2006/relationships/image" Target="media/image2.wmf"/><Relationship Id="rId34" Type="http://schemas.openxmlformats.org/officeDocument/2006/relationships/footer" Target="footer2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oleObject" Target="embeddings/oleObject1.bin"/><Relationship Id="rId29" Type="http://schemas.openxmlformats.org/officeDocument/2006/relationships/footer" Target="footer16.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3.xml"/><Relationship Id="rId19" Type="http://schemas.openxmlformats.org/officeDocument/2006/relationships/image" Target="media/image1.wmf"/><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oleObject" Target="embeddings/oleObject2.bin"/><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customXml" Target="../customXml/item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image" Target="media/image3.wmf"/><Relationship Id="rId33" Type="http://schemas.openxmlformats.org/officeDocument/2006/relationships/footer" Target="footer20.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2009-12-11T08:00:00+00:00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B5FB351-8060-49C4-B877-3FFB91BD7E1F}"/>
</file>

<file path=customXml/itemProps2.xml><?xml version="1.0" encoding="utf-8"?>
<ds:datastoreItem xmlns:ds="http://schemas.openxmlformats.org/officeDocument/2006/customXml" ds:itemID="{F221AC54-BF59-444C-B212-D4AA7E4A8150}"/>
</file>

<file path=customXml/itemProps3.xml><?xml version="1.0" encoding="utf-8"?>
<ds:datastoreItem xmlns:ds="http://schemas.openxmlformats.org/officeDocument/2006/customXml" ds:itemID="{372A9604-8ABD-43FD-ABE0-59443987F29C}"/>
</file>

<file path=customXml/itemProps4.xml><?xml version="1.0" encoding="utf-8"?>
<ds:datastoreItem xmlns:ds="http://schemas.openxmlformats.org/officeDocument/2006/customXml" ds:itemID="{086A3873-16CF-4979-8FD1-439D5E03ABBB}"/>
</file>

<file path=customXml/itemProps5.xml><?xml version="1.0" encoding="utf-8"?>
<ds:datastoreItem xmlns:ds="http://schemas.openxmlformats.org/officeDocument/2006/customXml" ds:itemID="{C3844DC9-0649-4A24-8723-2F7237D8AE23}"/>
</file>

<file path=docProps/app.xml><?xml version="1.0" encoding="utf-8"?>
<Properties xmlns="http://schemas.openxmlformats.org/officeDocument/2006/extended-properties" xmlns:vt="http://schemas.openxmlformats.org/officeDocument/2006/docPropsVTypes">
  <Template>Normal.dotm</Template>
  <TotalTime>18</TotalTime>
  <Pages>55</Pages>
  <Words>12903</Words>
  <Characters>67774</Characters>
  <Application>Microsoft Office Word</Application>
  <DocSecurity>0</DocSecurity>
  <Lines>564</Lines>
  <Paragraphs>161</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 </Company>
  <LinksUpToDate>false</LinksUpToDate>
  <CharactersWithSpaces>80516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subject/>
  <dc:creator>.</dc:creator>
  <cp:keywords/>
  <dc:description/>
  <cp:lastModifiedBy>Krista Gross</cp:lastModifiedBy>
  <cp:revision>8</cp:revision>
  <cp:lastPrinted>2009-12-10T23:49:00Z</cp:lastPrinted>
  <dcterms:created xsi:type="dcterms:W3CDTF">2009-12-07T19:05:00Z</dcterms:created>
  <dcterms:modified xsi:type="dcterms:W3CDTF">2009-12-10T23:49:00Z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ies>
</file>