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84488A">
        <w:tc>
          <w:tcPr>
            <w:tcW w:w="4698" w:type="dxa"/>
            <w:tcBorders>
              <w:top w:val="nil"/>
              <w:bottom w:val="single" w:sz="4" w:space="0" w:color="auto"/>
            </w:tcBorders>
          </w:tcPr>
          <w:p w:rsidR="006117AB" w:rsidRDefault="006117AB" w:rsidP="0084488A">
            <w:pPr>
              <w:spacing w:line="276" w:lineRule="auto"/>
            </w:pPr>
            <w:bookmarkStart w:id="0" w:name="_zzmpFIXED_CaptionTable"/>
            <w:r>
              <w:t>WASHINGTON UTILITIES AND TRANSPORTATION COMMISSION,</w:t>
            </w:r>
          </w:p>
          <w:p w:rsidR="006117AB" w:rsidRDefault="006117AB" w:rsidP="0084488A">
            <w:pPr>
              <w:spacing w:line="276" w:lineRule="auto"/>
            </w:pPr>
          </w:p>
          <w:p w:rsidR="006117AB" w:rsidRDefault="006117AB" w:rsidP="0084488A">
            <w:pPr>
              <w:spacing w:line="276" w:lineRule="auto"/>
              <w:jc w:val="center"/>
            </w:pPr>
            <w:r>
              <w:t>Complainant,</w:t>
            </w:r>
          </w:p>
          <w:p w:rsidR="006117AB" w:rsidRDefault="006117AB" w:rsidP="0084488A">
            <w:pPr>
              <w:spacing w:line="276" w:lineRule="auto"/>
            </w:pPr>
          </w:p>
          <w:p w:rsidR="006117AB" w:rsidRDefault="006117AB" w:rsidP="0084488A">
            <w:pPr>
              <w:spacing w:line="276" w:lineRule="auto"/>
              <w:jc w:val="center"/>
            </w:pPr>
            <w:r>
              <w:t>v.</w:t>
            </w:r>
          </w:p>
          <w:p w:rsidR="006117AB" w:rsidRDefault="006117AB" w:rsidP="0084488A">
            <w:pPr>
              <w:spacing w:line="276" w:lineRule="auto"/>
              <w:jc w:val="center"/>
            </w:pPr>
          </w:p>
          <w:p w:rsidR="006117AB" w:rsidRDefault="006117AB" w:rsidP="0084488A">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r w:rsidR="00756B59">
              <w:t xml:space="preserve">PUGET SOUND ENERGY, </w:t>
            </w:r>
          </w:p>
          <w:p w:rsidR="006117AB" w:rsidRDefault="006117AB" w:rsidP="0084488A">
            <w:pPr>
              <w:spacing w:line="276" w:lineRule="auto"/>
              <w:jc w:val="center"/>
            </w:pP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6117AB" w:rsidRDefault="006117AB" w:rsidP="0084488A">
            <w:pPr>
              <w:spacing w:line="276" w:lineRule="auto"/>
              <w:jc w:val="center"/>
            </w:pPr>
            <w:r>
              <w:t>Respondent.</w:t>
            </w:r>
          </w:p>
          <w:p w:rsidR="006117AB" w:rsidRPr="00E16149" w:rsidRDefault="006117AB" w:rsidP="0084488A">
            <w:pPr>
              <w:pStyle w:val="Caption"/>
            </w:pPr>
          </w:p>
        </w:tc>
        <w:tc>
          <w:tcPr>
            <w:tcW w:w="4770" w:type="dxa"/>
          </w:tcPr>
          <w:p w:rsidR="006117AB" w:rsidRDefault="006117AB" w:rsidP="0084488A">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316D1A">
            <w:pPr>
              <w:pStyle w:val="DocumentTitle"/>
              <w:rPr>
                <w:b/>
              </w:rPr>
            </w:pPr>
            <w:r w:rsidRPr="00C350F8">
              <w:rPr>
                <w:b/>
              </w:rPr>
              <w:t xml:space="preserve">PUGET SOUND ENERGY’S </w:t>
            </w:r>
            <w:r w:rsidR="00316D1A">
              <w:rPr>
                <w:b/>
              </w:rPr>
              <w:t>REPLY</w:t>
            </w:r>
            <w:r w:rsidR="00C735C1">
              <w:rPr>
                <w:b/>
              </w:rPr>
              <w:t xml:space="preserve"> TO PUBLIC COUNSEL’S RESPONSE IN SUPPORT OF </w:t>
            </w:r>
            <w:r w:rsidR="00853CC0">
              <w:rPr>
                <w:b/>
              </w:rPr>
              <w:t xml:space="preserve">COMMISSION </w:t>
            </w:r>
            <w:r w:rsidR="006277A2">
              <w:rPr>
                <w:b/>
              </w:rPr>
              <w:t xml:space="preserve">STAFF’S MOTION </w:t>
            </w:r>
            <w:r w:rsidR="00853CC0">
              <w:rPr>
                <w:b/>
              </w:rPr>
              <w:t>FOR SUMMARY DETERMINATION</w:t>
            </w:r>
          </w:p>
        </w:tc>
      </w:tr>
      <w:bookmarkEnd w:id="0"/>
    </w:tbl>
    <w:p w:rsidR="00A368E9" w:rsidRPr="00A368E9" w:rsidRDefault="00A368E9" w:rsidP="00A368E9"/>
    <w:p w:rsidR="003D2170" w:rsidRPr="000204B9" w:rsidRDefault="00D31533" w:rsidP="000546ED">
      <w:pPr>
        <w:pStyle w:val="PleadingsL1"/>
      </w:pPr>
      <w:r w:rsidRPr="000204B9">
        <w:t>INTRODUCTION</w:t>
      </w:r>
    </w:p>
    <w:p w:rsidR="004F70CE" w:rsidRPr="00316D1A" w:rsidRDefault="003D6177" w:rsidP="00316D1A">
      <w:pPr>
        <w:pStyle w:val="Header"/>
        <w:numPr>
          <w:ilvl w:val="0"/>
          <w:numId w:val="41"/>
        </w:numPr>
        <w:tabs>
          <w:tab w:val="left" w:pos="720"/>
        </w:tabs>
        <w:autoSpaceDE w:val="0"/>
        <w:autoSpaceDN w:val="0"/>
        <w:adjustRightInd w:val="0"/>
        <w:spacing w:line="480" w:lineRule="auto"/>
        <w:jc w:val="both"/>
        <w:rPr>
          <w:bCs/>
        </w:rPr>
      </w:pPr>
      <w:r>
        <w:tab/>
      </w:r>
      <w:r w:rsidR="00316D1A">
        <w:t>Puget Sound Energy (“PSE”) responds to Public Counsel’s response in support of Commission Staff’s (“Staff”) Motion for Summary Determination (“Motion”).</w:t>
      </w:r>
      <w:r w:rsidR="00316D1A">
        <w:rPr>
          <w:bCs/>
        </w:rPr>
        <w:t xml:space="preserve">  </w:t>
      </w:r>
      <w:r w:rsidR="00C735C1">
        <w:t>Like Staff, Public Counsel</w:t>
      </w:r>
      <w:r w:rsidR="004F6895">
        <w:t xml:space="preserve">’s response </w:t>
      </w:r>
      <w:r w:rsidR="00720691">
        <w:t xml:space="preserve">fails to cite any </w:t>
      </w:r>
      <w:r w:rsidR="00723CF9">
        <w:t xml:space="preserve">controlling </w:t>
      </w:r>
      <w:r w:rsidR="00720691">
        <w:t>authority for the proposition that leasing is not an appropriate service by a regulated utility, and like Staff, Public Counsel fails to address the governing Washington Supreme Court case on the subject.  Further, though not binding authority, the factors in the Commission’s 2014 Interpretive Statement all</w:t>
      </w:r>
      <w:r w:rsidR="00723CF9">
        <w:t xml:space="preserve"> actually</w:t>
      </w:r>
      <w:r w:rsidR="00720691">
        <w:t xml:space="preserve"> favor PSE, further confirming that PSE’s proposed leasing service is appropriate.  Finally, PSE has demonstrated that its rates are fair, just, reasonable, and sufficient.</w:t>
      </w:r>
    </w:p>
    <w:p w:rsidR="00564FED" w:rsidRDefault="00564FED" w:rsidP="00564FED">
      <w:pPr>
        <w:pStyle w:val="PleadingsL1"/>
      </w:pPr>
      <w:r>
        <w:t>ARGUMENT</w:t>
      </w:r>
    </w:p>
    <w:p w:rsidR="00C735C1" w:rsidRPr="00C735C1" w:rsidRDefault="00316D1A" w:rsidP="00C735C1">
      <w:pPr>
        <w:pStyle w:val="PleadingsL2"/>
      </w:pPr>
      <w:r w:rsidRPr="00316D1A">
        <w:t>The Commission And The Washington Supreme Court Have Already Determined That Leasing Is A Public Service Within The Jurisdiction Of A Public Utility</w:t>
      </w:r>
    </w:p>
    <w:p w:rsidR="00C84D27" w:rsidRDefault="00564FED" w:rsidP="00DD4DEE">
      <w:pPr>
        <w:pStyle w:val="Header"/>
        <w:numPr>
          <w:ilvl w:val="0"/>
          <w:numId w:val="41"/>
        </w:numPr>
        <w:tabs>
          <w:tab w:val="left" w:pos="720"/>
        </w:tabs>
        <w:spacing w:line="480" w:lineRule="auto"/>
        <w:jc w:val="both"/>
      </w:pPr>
      <w:r>
        <w:tab/>
      </w:r>
      <w:r w:rsidR="00C735C1">
        <w:t>Public Counsel’s argument that leasing is not a regulated service fares no better than Staff’s</w:t>
      </w:r>
      <w:r w:rsidR="009A418A">
        <w:t>.</w:t>
      </w:r>
      <w:r w:rsidR="00C735C1">
        <w:t xml:space="preserve">  Like Staff, Public Counsel fails to address</w:t>
      </w:r>
      <w:r w:rsidR="00B44119">
        <w:t xml:space="preserve"> (or mention)</w:t>
      </w:r>
      <w:r w:rsidR="00ED233C">
        <w:t xml:space="preserve"> the</w:t>
      </w:r>
      <w:r w:rsidR="00B4359B">
        <w:t xml:space="preserve"> </w:t>
      </w:r>
      <w:r w:rsidR="00C735C1">
        <w:t xml:space="preserve">Commission and Washington Supreme Court decision in </w:t>
      </w:r>
      <w:r w:rsidR="00B4359B" w:rsidRPr="00B4359B">
        <w:rPr>
          <w:i/>
        </w:rPr>
        <w:t>Cole v. Washington Utilities &amp; Transportation Commission</w:t>
      </w:r>
      <w:r w:rsidR="00B4359B" w:rsidRPr="00B4359B">
        <w:t>, 79 Wn.2d 302 (1971)</w:t>
      </w:r>
      <w:r w:rsidR="00C735C1">
        <w:t xml:space="preserve">, where the Commission and Supreme Court upheld an </w:t>
      </w:r>
      <w:r w:rsidR="00C735C1">
        <w:lastRenderedPageBreak/>
        <w:t>equipment leasing program, similar to the service proposed by PSE today.</w:t>
      </w:r>
      <w:r w:rsidR="00720691">
        <w:rPr>
          <w:rStyle w:val="FootnoteReference"/>
        </w:rPr>
        <w:footnoteReference w:id="2"/>
      </w:r>
      <w:r w:rsidR="00C735C1">
        <w:t xml:space="preserve">  Instead, Public Counsel relie</w:t>
      </w:r>
      <w:r w:rsidR="00B44119">
        <w:t>s on a case from</w:t>
      </w:r>
      <w:r w:rsidR="00316D1A">
        <w:t xml:space="preserve"> 1918 </w:t>
      </w:r>
      <w:r w:rsidR="00AC2189">
        <w:t>addressing whether nineteenth-century</w:t>
      </w:r>
      <w:r w:rsidR="00316D1A">
        <w:t xml:space="preserve"> </w:t>
      </w:r>
      <w:r w:rsidR="00C735C1">
        <w:t>taxicabs</w:t>
      </w:r>
      <w:r w:rsidR="00AC2189">
        <w:t xml:space="preserve"> are common carriers</w:t>
      </w:r>
      <w:r w:rsidR="00B44119">
        <w:t>,</w:t>
      </w:r>
      <w:r w:rsidR="00C735C1">
        <w:t xml:space="preserve"> and a </w:t>
      </w:r>
      <w:r w:rsidR="00720691">
        <w:t xml:space="preserve">non-binding </w:t>
      </w:r>
      <w:r w:rsidR="001441D4">
        <w:t>Commission interpretive s</w:t>
      </w:r>
      <w:r w:rsidR="00C735C1">
        <w:t>tatement</w:t>
      </w:r>
      <w:r w:rsidR="00720691">
        <w:t>.</w:t>
      </w:r>
      <w:r w:rsidR="00C735C1">
        <w:t xml:space="preserve">  Neither overcome </w:t>
      </w:r>
      <w:r w:rsidR="00C735C1" w:rsidRPr="00C735C1">
        <w:rPr>
          <w:i/>
        </w:rPr>
        <w:t>Cole</w:t>
      </w:r>
      <w:r w:rsidR="005207EA">
        <w:t xml:space="preserve"> and the</w:t>
      </w:r>
      <w:r w:rsidR="00C735C1">
        <w:t xml:space="preserve"> mandate from the Commission and the Supreme </w:t>
      </w:r>
      <w:r w:rsidR="00B44119">
        <w:t>Court upholding the</w:t>
      </w:r>
      <w:r w:rsidR="00C735C1">
        <w:t xml:space="preserve"> appropriateness of leasing as a regulated activity</w:t>
      </w:r>
      <w:r w:rsidR="00720691">
        <w:t>.</w:t>
      </w:r>
      <w:r w:rsidR="00720691">
        <w:rPr>
          <w:rStyle w:val="FootnoteReference"/>
        </w:rPr>
        <w:footnoteReference w:id="3"/>
      </w:r>
    </w:p>
    <w:p w:rsidR="000032A0" w:rsidRDefault="00B44119" w:rsidP="000032A0">
      <w:pPr>
        <w:pStyle w:val="Header"/>
        <w:numPr>
          <w:ilvl w:val="0"/>
          <w:numId w:val="41"/>
        </w:numPr>
        <w:tabs>
          <w:tab w:val="left" w:pos="720"/>
        </w:tabs>
        <w:spacing w:line="480" w:lineRule="auto"/>
        <w:jc w:val="both"/>
      </w:pPr>
      <w:r>
        <w:tab/>
      </w:r>
      <w:r w:rsidR="00B07C0D">
        <w:t>I</w:t>
      </w:r>
      <w:r>
        <w:t xml:space="preserve">nstead of addressing the Washington Supreme Court case that actually </w:t>
      </w:r>
      <w:r w:rsidR="00723CF9">
        <w:t>analyzed</w:t>
      </w:r>
      <w:r>
        <w:t xml:space="preserve"> whether a public utility can implement an equipment leasing program (</w:t>
      </w:r>
      <w:r w:rsidRPr="00B44119">
        <w:rPr>
          <w:i/>
        </w:rPr>
        <w:t>Cole</w:t>
      </w:r>
      <w:r>
        <w:t xml:space="preserve">), Public Counsel </w:t>
      </w:r>
      <w:r w:rsidR="000C6426">
        <w:t>diverts</w:t>
      </w:r>
      <w:r>
        <w:t xml:space="preserve"> </w:t>
      </w:r>
      <w:r w:rsidR="00CA7B4F">
        <w:t>the Commission to</w:t>
      </w:r>
      <w:r>
        <w:t xml:space="preserve"> </w:t>
      </w:r>
      <w:r w:rsidRPr="00B44119">
        <w:rPr>
          <w:i/>
        </w:rPr>
        <w:t>Cushing v. White</w:t>
      </w:r>
      <w:r>
        <w:t>, 101 W</w:t>
      </w:r>
      <w:r w:rsidR="009363D4">
        <w:t>ash</w:t>
      </w:r>
      <w:r>
        <w:t xml:space="preserve">. 172 (1918).  In that case, the </w:t>
      </w:r>
      <w:r w:rsidR="000032A0">
        <w:t>issue was</w:t>
      </w:r>
      <w:r>
        <w:t xml:space="preserve"> whether an automobile </w:t>
      </w:r>
      <w:r w:rsidR="00CA7B4F">
        <w:t>transportation business (essentially a taxicab) was subject to common carrier laws.</w:t>
      </w:r>
      <w:r w:rsidR="00CA7B4F">
        <w:rPr>
          <w:rStyle w:val="FootnoteReference"/>
        </w:rPr>
        <w:footnoteReference w:id="4"/>
      </w:r>
      <w:r w:rsidR="00CA7B4F">
        <w:t xml:space="preserve">  </w:t>
      </w:r>
      <w:r w:rsidR="00CA7B4F" w:rsidRPr="00CA7B4F">
        <w:t>The Court held that whether the activity constituted a common carrier depended on the “character of the business actually carried on by the carrier, and not by any secret intention or mental reservation it may entertain or assert.”</w:t>
      </w:r>
      <w:r w:rsidR="000C6426">
        <w:rPr>
          <w:rStyle w:val="FootnoteReference"/>
        </w:rPr>
        <w:footnoteReference w:id="5"/>
      </w:r>
      <w:r w:rsidR="00CA7B4F" w:rsidRPr="00CA7B4F">
        <w:t xml:space="preserve">  </w:t>
      </w:r>
      <w:r w:rsidR="00CA7B4F">
        <w:t xml:space="preserve">Nowhere does </w:t>
      </w:r>
      <w:r w:rsidR="00CA7B4F" w:rsidRPr="00CA7B4F">
        <w:rPr>
          <w:i/>
        </w:rPr>
        <w:t>Cushing</w:t>
      </w:r>
      <w:r w:rsidR="00CA7B4F">
        <w:t xml:space="preserve"> or any other authority cited by Public Counsel indicate that this test applies to public utilities</w:t>
      </w:r>
      <w:r w:rsidR="00723CF9">
        <w:t xml:space="preserve"> in the context of the present case</w:t>
      </w:r>
      <w:r w:rsidR="00CA7B4F">
        <w:t xml:space="preserve">.  But even if it did, </w:t>
      </w:r>
      <w:r w:rsidR="00775F7A">
        <w:t>the Commission and</w:t>
      </w:r>
      <w:r w:rsidR="00CA7B4F">
        <w:t xml:space="preserve"> Washington Supreme Court have already </w:t>
      </w:r>
      <w:r w:rsidR="000C6426">
        <w:t>determined</w:t>
      </w:r>
      <w:r w:rsidR="00775F7A">
        <w:t xml:space="preserve"> that</w:t>
      </w:r>
      <w:r w:rsidR="00CA7B4F">
        <w:t xml:space="preserve"> </w:t>
      </w:r>
      <w:r w:rsidR="000032A0">
        <w:t xml:space="preserve">the character of PSE’s proposal, </w:t>
      </w:r>
      <w:r w:rsidR="000C6426">
        <w:t xml:space="preserve">water heating and HVAC </w:t>
      </w:r>
      <w:r w:rsidR="00CA7B4F">
        <w:t>equipment lease services</w:t>
      </w:r>
      <w:r w:rsidR="000032A0">
        <w:t>, can</w:t>
      </w:r>
      <w:r w:rsidR="000C6426">
        <w:t xml:space="preserve"> </w:t>
      </w:r>
      <w:r w:rsidR="000032A0">
        <w:t>appropriately be</w:t>
      </w:r>
      <w:r w:rsidR="000C6426">
        <w:t xml:space="preserve"> offered by a regulated utility.</w:t>
      </w:r>
      <w:r w:rsidR="000C6426">
        <w:rPr>
          <w:rStyle w:val="FootnoteReference"/>
        </w:rPr>
        <w:footnoteReference w:id="6"/>
      </w:r>
      <w:r w:rsidR="000032A0">
        <w:t xml:space="preserve">  </w:t>
      </w:r>
    </w:p>
    <w:p w:rsidR="00B07C0D" w:rsidRDefault="000032A0" w:rsidP="00720691">
      <w:pPr>
        <w:pStyle w:val="Header"/>
        <w:numPr>
          <w:ilvl w:val="0"/>
          <w:numId w:val="41"/>
        </w:numPr>
        <w:tabs>
          <w:tab w:val="left" w:pos="720"/>
        </w:tabs>
        <w:spacing w:line="480" w:lineRule="auto"/>
        <w:jc w:val="both"/>
      </w:pPr>
      <w:r>
        <w:tab/>
      </w:r>
      <w:r w:rsidR="00B07C0D">
        <w:t>Next, g</w:t>
      </w:r>
      <w:r w:rsidR="00775F7A">
        <w:t>iven that Commission interpretive s</w:t>
      </w:r>
      <w:r w:rsidR="00B4359B">
        <w:t>tatement</w:t>
      </w:r>
      <w:r w:rsidR="00775F7A">
        <w:t>s are not law and are “advisory only,”</w:t>
      </w:r>
      <w:r w:rsidR="00B07C0D">
        <w:rPr>
          <w:rStyle w:val="FootnoteReference"/>
        </w:rPr>
        <w:footnoteReference w:id="7"/>
      </w:r>
      <w:r w:rsidR="00775F7A">
        <w:t xml:space="preserve"> </w:t>
      </w:r>
      <w:r w:rsidR="00B07C0D">
        <w:t>Public Counsel’s argument that the factors from 2014 Interpretive Statement</w:t>
      </w:r>
      <w:r w:rsidR="001441D4">
        <w:rPr>
          <w:rStyle w:val="FootnoteReference"/>
        </w:rPr>
        <w:footnoteReference w:id="8"/>
      </w:r>
      <w:r w:rsidR="00B07C0D">
        <w:t xml:space="preserve"> provide determinative authority as whether leasing is a utility service is incorrect since “[t]hey do not </w:t>
      </w:r>
      <w:r w:rsidR="00B07C0D">
        <w:lastRenderedPageBreak/>
        <w:t>set forth immutable doctrine.”</w:t>
      </w:r>
      <w:r w:rsidR="00B07C0D">
        <w:rPr>
          <w:rStyle w:val="FootnoteReference"/>
        </w:rPr>
        <w:footnoteReference w:id="9"/>
      </w:r>
      <w:r w:rsidR="00B07C0D">
        <w:t xml:space="preserve">  Regardless, the factors </w:t>
      </w:r>
      <w:r>
        <w:t xml:space="preserve">from the 2014 Interpretive Statement </w:t>
      </w:r>
      <w:r w:rsidR="00B07C0D">
        <w:t>favor PSE and further</w:t>
      </w:r>
      <w:r w:rsidR="00B4359B">
        <w:t xml:space="preserve"> reinforce the appropriateness of </w:t>
      </w:r>
      <w:r w:rsidR="00B07C0D">
        <w:t xml:space="preserve">PSE’s proposed </w:t>
      </w:r>
      <w:r w:rsidR="00B4359B">
        <w:t>leasing</w:t>
      </w:r>
      <w:r w:rsidR="00B07C0D">
        <w:t xml:space="preserve"> service</w:t>
      </w:r>
      <w:r w:rsidR="00B4359B">
        <w:t xml:space="preserve"> as a regulated activity.  </w:t>
      </w:r>
    </w:p>
    <w:p w:rsidR="00731B31" w:rsidRDefault="00B07C0D" w:rsidP="00720691">
      <w:pPr>
        <w:pStyle w:val="Header"/>
        <w:numPr>
          <w:ilvl w:val="0"/>
          <w:numId w:val="41"/>
        </w:numPr>
        <w:tabs>
          <w:tab w:val="left" w:pos="720"/>
        </w:tabs>
        <w:spacing w:line="480" w:lineRule="auto"/>
        <w:jc w:val="both"/>
      </w:pPr>
      <w:r>
        <w:tab/>
      </w:r>
      <w:r w:rsidR="00B4359B">
        <w:t>First, unlike Staff, who did not even attempt to argue that PSE’s program fails because it is not offered to all of its customers,</w:t>
      </w:r>
      <w:r w:rsidR="008B1610">
        <w:rPr>
          <w:rStyle w:val="FootnoteReference"/>
        </w:rPr>
        <w:footnoteReference w:id="10"/>
      </w:r>
      <w:r w:rsidR="00B4359B">
        <w:t xml:space="preserve"> Public Counsel makes this argument despite clear evidence to the contrary.  As PSE has stated repeatedly, PSE’s leasing service is available to all customers who can overcome a v</w:t>
      </w:r>
      <w:r w:rsidR="00C77194">
        <w:t>ery basic credit check tied</w:t>
      </w:r>
      <w:r w:rsidR="00B4359B">
        <w:t xml:space="preserve"> to the customer’s bill history with PSE.</w:t>
      </w:r>
      <w:r w:rsidR="008B1610">
        <w:rPr>
          <w:rStyle w:val="FootnoteReference"/>
        </w:rPr>
        <w:footnoteReference w:id="11"/>
      </w:r>
      <w:r w:rsidR="00B4359B">
        <w:t xml:space="preserve">  Unlike other financing options</w:t>
      </w:r>
      <w:r w:rsidR="008B1610">
        <w:t xml:space="preserve"> in the marketplace that can require demanding pre-approval and credit worthiness requirements,</w:t>
      </w:r>
      <w:r w:rsidR="008B1610">
        <w:rPr>
          <w:rStyle w:val="FootnoteReference"/>
        </w:rPr>
        <w:footnoteReference w:id="12"/>
      </w:r>
      <w:r w:rsidR="008B1610">
        <w:t xml:space="preserve"> PSE’s service is specifically designed to provide an affordable way for customers to obtain energy efficient water heating and household heating options, with full maintenance and warranty, without significant up-front capital costs and burdensome credit requirements.</w:t>
      </w:r>
      <w:r w:rsidR="008B1610">
        <w:rPr>
          <w:rStyle w:val="FootnoteReference"/>
        </w:rPr>
        <w:footnoteReference w:id="13"/>
      </w:r>
      <w:r w:rsidR="008B1610">
        <w:t xml:space="preserve">  Vir</w:t>
      </w:r>
      <w:r w:rsidR="00AE7970">
        <w:t>tually any customer who pays their</w:t>
      </w:r>
      <w:r w:rsidR="008B1610">
        <w:t xml:space="preserve"> PSE utility bill on time can take advantage of the program.</w:t>
      </w:r>
      <w:r w:rsidR="008B1610">
        <w:rPr>
          <w:rStyle w:val="FootnoteReference"/>
        </w:rPr>
        <w:footnoteReference w:id="14"/>
      </w:r>
      <w:r w:rsidR="008B1610">
        <w:t xml:space="preserve">  </w:t>
      </w:r>
    </w:p>
    <w:p w:rsidR="00B4359B" w:rsidRDefault="00731B31" w:rsidP="00731B31">
      <w:pPr>
        <w:pStyle w:val="Header"/>
        <w:numPr>
          <w:ilvl w:val="0"/>
          <w:numId w:val="41"/>
        </w:numPr>
        <w:tabs>
          <w:tab w:val="left" w:pos="720"/>
        </w:tabs>
        <w:spacing w:line="480" w:lineRule="auto"/>
        <w:jc w:val="both"/>
      </w:pPr>
      <w:r>
        <w:tab/>
      </w:r>
      <w:r w:rsidR="000032A0">
        <w:t xml:space="preserve">Public Counsel also argues that PSE’s program is not offered to the public because under the program, only homeowners can enter into an equipment lease. </w:t>
      </w:r>
      <w:r>
        <w:t xml:space="preserve"> But this requirement (which exists for obvious reasons), does not change the fact that the program is available to the public.  There is nothing inappropriate with placing basic prerequisites on a public service.  Indeed, electric or gas utility service is predicated on the customer paying for the service and failure to do so results in the termination of service.  This, of course, does not change the fact </w:t>
      </w:r>
      <w:r>
        <w:lastRenderedPageBreak/>
        <w:t xml:space="preserve">that the service is offered to the public.  The fact that a customer may choose to rent a home instead of buying one does not change that the service is </w:t>
      </w:r>
      <w:r w:rsidR="00E3429B">
        <w:t xml:space="preserve">publicly </w:t>
      </w:r>
      <w:r>
        <w:t xml:space="preserve">available.  </w:t>
      </w:r>
      <w:r w:rsidR="008B1610">
        <w:t xml:space="preserve">Furthermore, Public Counsel has not provided any authority for the proposition that in order to be a regulated service, all customers must participate in the service.  There are numerous examples where PSE and other utilities have offered optional programs that not all customers choose to </w:t>
      </w:r>
      <w:r w:rsidR="00E3429B">
        <w:t xml:space="preserve">or qualify to </w:t>
      </w:r>
      <w:r w:rsidR="008B1610">
        <w:t>participate in, including but not limited to PSE’s optional existing lease service that has been in operation for over fifty years</w:t>
      </w:r>
      <w:r>
        <w:t>, or its current lighting rental program.</w:t>
      </w:r>
      <w:r>
        <w:rPr>
          <w:rStyle w:val="FootnoteReference"/>
        </w:rPr>
        <w:footnoteReference w:id="15"/>
      </w:r>
      <w:r w:rsidR="00CC47CE">
        <w:t xml:space="preserve"> </w:t>
      </w:r>
      <w:r w:rsidR="008B1610">
        <w:t xml:space="preserve"> PSE’s proposed service is available to all customers and this factor favors PSE.</w:t>
      </w:r>
      <w:r w:rsidR="00CC47CE" w:rsidRPr="00CC47CE">
        <w:t xml:space="preserve"> </w:t>
      </w:r>
      <w:r w:rsidR="00CC47CE">
        <w:t xml:space="preserve"> </w:t>
      </w:r>
      <w:r w:rsidR="00CC47CE" w:rsidRPr="00CC47CE">
        <w:t>Further, to the extent parties disagree about this, this is a factual issue not appropriate for determination on a motion for summary determination.</w:t>
      </w:r>
    </w:p>
    <w:p w:rsidR="008B1610" w:rsidRDefault="008B1610" w:rsidP="00DD4DEE">
      <w:pPr>
        <w:pStyle w:val="Header"/>
        <w:numPr>
          <w:ilvl w:val="0"/>
          <w:numId w:val="41"/>
        </w:numPr>
        <w:tabs>
          <w:tab w:val="left" w:pos="720"/>
        </w:tabs>
        <w:spacing w:line="480" w:lineRule="auto"/>
        <w:jc w:val="both"/>
      </w:pPr>
      <w:r>
        <w:tab/>
        <w:t xml:space="preserve">Second, as addressed in PSE’s response to Staff’s Motion, Public Counsel’s argument that </w:t>
      </w:r>
      <w:r w:rsidR="0075637F">
        <w:t>PSE’s proposed leasing service should not be permitted because PSE does not have a monopoly over equipment sales or financing fails.  PSE is not selling or offering financing.  PSE is offering a leasing service that is not currently being provided by any party in the marketplace in response to significant customer demand and market interest.</w:t>
      </w:r>
      <w:r w:rsidR="00085F58">
        <w:rPr>
          <w:rStyle w:val="FootnoteReference"/>
        </w:rPr>
        <w:footnoteReference w:id="16"/>
      </w:r>
      <w:r w:rsidR="0075637F">
        <w:t xml:space="preserve">  Further, market research demonstrates a market gap where customers are using outdated equipment and technologies.</w:t>
      </w:r>
      <w:r w:rsidR="00085F58">
        <w:rPr>
          <w:rStyle w:val="FootnoteReference"/>
        </w:rPr>
        <w:footnoteReference w:id="17"/>
      </w:r>
      <w:r w:rsidR="0075637F">
        <w:t xml:space="preserve">  </w:t>
      </w:r>
      <w:r w:rsidR="005C4D9F">
        <w:t>PSE’s service is specifically</w:t>
      </w:r>
      <w:r w:rsidR="00852899">
        <w:t xml:space="preserve"> tailored to address this gap</w:t>
      </w:r>
      <w:r w:rsidR="005C4D9F">
        <w:t xml:space="preserve"> in response to </w:t>
      </w:r>
      <w:r w:rsidR="005C4D9F">
        <w:lastRenderedPageBreak/>
        <w:t>current market options that are failing to remedy this issue.</w:t>
      </w:r>
      <w:r w:rsidR="005C4D9F">
        <w:rPr>
          <w:rStyle w:val="FootnoteReference"/>
        </w:rPr>
        <w:footnoteReference w:id="18"/>
      </w:r>
      <w:r w:rsidR="005C4D9F">
        <w:t xml:space="preserve">  The </w:t>
      </w:r>
      <w:r w:rsidR="00B70605">
        <w:t xml:space="preserve">types of </w:t>
      </w:r>
      <w:r w:rsidR="005C4D9F">
        <w:t xml:space="preserve">equipment PSE </w:t>
      </w:r>
      <w:r w:rsidR="007A16DF">
        <w:t xml:space="preserve">currently </w:t>
      </w:r>
      <w:r w:rsidR="005C4D9F">
        <w:t xml:space="preserve">seeks to lease </w:t>
      </w:r>
      <w:r w:rsidR="00B70605">
        <w:t>have</w:t>
      </w:r>
      <w:r w:rsidR="005C4D9F">
        <w:t xml:space="preserve"> a direct impact on energy consumption and efficiency.  Improving the relationship between the customer and utility through new technologies (e.g., better equipment </w:t>
      </w:r>
      <w:r w:rsidR="00720691">
        <w:t xml:space="preserve">technologies </w:t>
      </w:r>
      <w:r w:rsidR="005C4D9F">
        <w:t xml:space="preserve">and Demand Response), and improving system-wide efficiency, is a concern that PSE is </w:t>
      </w:r>
      <w:r w:rsidR="00E62FD0">
        <w:t xml:space="preserve">uniquely </w:t>
      </w:r>
      <w:r w:rsidR="005C4D9F">
        <w:t xml:space="preserve">situated to address.  Current market participants have no incentive to be concerned about regional energy efficiency on the whole.  </w:t>
      </w:r>
      <w:r w:rsidR="007A16DF">
        <w:t xml:space="preserve">Since virtually all PSE customers use water heating and HVAC equipment, providing an alternative market option </w:t>
      </w:r>
      <w:r w:rsidR="00605BBC">
        <w:t xml:space="preserve">on a household-by-household basis that is </w:t>
      </w:r>
      <w:r w:rsidR="007A16DF">
        <w:t>not currently available in the market that can achieve the purposes discussed above could have a significant transformational impact on the marketplace.</w:t>
      </w:r>
      <w:r w:rsidR="007A16DF">
        <w:rPr>
          <w:rStyle w:val="FootnoteReference"/>
        </w:rPr>
        <w:footnoteReference w:id="19"/>
      </w:r>
      <w:r w:rsidR="007A16DF">
        <w:t xml:space="preserve">  Thus, PSE’s role in the marketplace is a unique one that no party aside from PSE can fill.  </w:t>
      </w:r>
      <w:r w:rsidR="00C419DA">
        <w:t>Again, to the extent the parties dispute PSE’s role in the marketplace and current market dynamics, this is a factual issue that cannot be determ</w:t>
      </w:r>
      <w:r w:rsidR="005B4E0C">
        <w:t>ined on summary determination</w:t>
      </w:r>
      <w:r w:rsidR="00605BBC">
        <w:t>.</w:t>
      </w:r>
    </w:p>
    <w:p w:rsidR="00605BBC" w:rsidRDefault="00085F58" w:rsidP="00563992">
      <w:pPr>
        <w:pStyle w:val="Header"/>
        <w:numPr>
          <w:ilvl w:val="0"/>
          <w:numId w:val="41"/>
        </w:numPr>
        <w:tabs>
          <w:tab w:val="left" w:pos="720"/>
        </w:tabs>
        <w:spacing w:line="480" w:lineRule="auto"/>
        <w:jc w:val="both"/>
      </w:pPr>
      <w:r>
        <w:tab/>
        <w:t xml:space="preserve">Finally, given </w:t>
      </w:r>
      <w:r w:rsidR="007A16DF">
        <w:t xml:space="preserve">the above, PSE’s unique ability </w:t>
      </w:r>
      <w:r w:rsidR="00E62FD0">
        <w:t xml:space="preserve">to </w:t>
      </w:r>
      <w:r w:rsidR="007A16DF">
        <w:t>address the market demonstrates that leasing is an appropriate activity by a regulated company.</w:t>
      </w:r>
      <w:r>
        <w:t xml:space="preserve"> </w:t>
      </w:r>
      <w:r w:rsidR="00AE7970">
        <w:t xml:space="preserve"> I</w:t>
      </w:r>
      <w:r w:rsidR="005D62AC">
        <w:t xml:space="preserve">t is entirely appropriate for the Commission to oversee PSE’s program to ensure that the stated purposes of the program are being achieved and that customers are protected.  </w:t>
      </w:r>
      <w:r w:rsidR="005B4E0C">
        <w:t>PSE also disagrees with Public Counsel’s assertion that leasing is not “essential.”</w:t>
      </w:r>
      <w:r w:rsidR="00585BFB">
        <w:rPr>
          <w:rStyle w:val="FootnoteReference"/>
        </w:rPr>
        <w:footnoteReference w:id="20"/>
      </w:r>
      <w:r w:rsidR="005B4E0C">
        <w:t xml:space="preserve">  While leasing may not be as “essential” as </w:t>
      </w:r>
      <w:r w:rsidR="00563992">
        <w:t xml:space="preserve">having electricity, PSE believes that leasing will be an important mechanism by which PSE can introduce more efficient equipment into the marketplace, provide an affordable way for </w:t>
      </w:r>
      <w:r w:rsidR="00563992">
        <w:lastRenderedPageBreak/>
        <w:t>customers to acquire new equipment, diversify PSE’s revenue streams, and provide a platform for introducing additional technologies.</w:t>
      </w:r>
      <w:r w:rsidR="001441D4">
        <w:rPr>
          <w:rStyle w:val="FootnoteReference"/>
        </w:rPr>
        <w:footnoteReference w:id="21"/>
      </w:r>
      <w:r w:rsidR="00563992">
        <w:t xml:space="preserve">  </w:t>
      </w:r>
      <w:r w:rsidR="00605BBC">
        <w:t>This last factor also favors PSE.</w:t>
      </w:r>
    </w:p>
    <w:p w:rsidR="008C0EA6" w:rsidRPr="008C0EA6" w:rsidRDefault="005D62AC" w:rsidP="008C0EA6">
      <w:pPr>
        <w:pStyle w:val="PleadingsL2"/>
      </w:pPr>
      <w:r>
        <w:t>PSE Has Demonstrated That The Proposed Rates Are Fair, Just, Reasonable, And Sufficient</w:t>
      </w:r>
    </w:p>
    <w:p w:rsidR="00C735C1" w:rsidRDefault="00C84D27" w:rsidP="000B7B68">
      <w:pPr>
        <w:pStyle w:val="Header"/>
        <w:numPr>
          <w:ilvl w:val="0"/>
          <w:numId w:val="41"/>
        </w:numPr>
        <w:tabs>
          <w:tab w:val="left" w:pos="720"/>
        </w:tabs>
        <w:spacing w:line="480" w:lineRule="auto"/>
        <w:jc w:val="both"/>
      </w:pPr>
      <w:r>
        <w:tab/>
      </w:r>
      <w:r w:rsidR="005D62AC">
        <w:t xml:space="preserve">In its response to Staff’s motion, PSE has already demonstrated </w:t>
      </w:r>
      <w:r w:rsidR="009363D4">
        <w:t>that</w:t>
      </w:r>
      <w:bookmarkStart w:id="3" w:name="_GoBack"/>
      <w:bookmarkEnd w:id="3"/>
      <w:r w:rsidR="005D62AC">
        <w:t xml:space="preserve"> its proposed rates are fair, just, reasonable, and sufficient.</w:t>
      </w:r>
      <w:r w:rsidR="005D62AC">
        <w:rPr>
          <w:rStyle w:val="FootnoteReference"/>
        </w:rPr>
        <w:footnoteReference w:id="22"/>
      </w:r>
      <w:r w:rsidR="005D62AC">
        <w:t xml:space="preserve">  </w:t>
      </w:r>
      <w:r w:rsidR="00FB550B">
        <w:t>Public Counsel’s assertion that PSE’s tariff fails to “assign[] cost based . . . on actual products and services that it will offer to customers”</w:t>
      </w:r>
      <w:r w:rsidR="00FB550B">
        <w:rPr>
          <w:rStyle w:val="FootnoteReference"/>
        </w:rPr>
        <w:footnoteReference w:id="23"/>
      </w:r>
      <w:r w:rsidR="00FB550B">
        <w:t xml:space="preserve"> is simply incorrect.  T</w:t>
      </w:r>
      <w:r w:rsidR="005D62AC">
        <w:t>o be clear, PSE’s rates were set using actual equipment and installation costs, provided by actual licensed Washington service providers, for the actual services provided in the tariff.</w:t>
      </w:r>
      <w:r w:rsidR="005D62AC">
        <w:rPr>
          <w:rStyle w:val="FootnoteReference"/>
        </w:rPr>
        <w:footnoteReference w:id="24"/>
      </w:r>
      <w:r w:rsidR="005D62AC">
        <w:t xml:space="preserve">  </w:t>
      </w:r>
      <w:r w:rsidR="000B7B68">
        <w:t>T</w:t>
      </w:r>
      <w:r w:rsidR="00FB550B">
        <w:t xml:space="preserve">here is nothing inherently wrong with PSE’s use of averages to compute a </w:t>
      </w:r>
      <w:r w:rsidR="000B7B68">
        <w:t>s</w:t>
      </w:r>
      <w:r w:rsidR="00FB550B">
        <w:t>ervice rate based on actual costs</w:t>
      </w:r>
      <w:r w:rsidR="005207EA">
        <w:t xml:space="preserve">, particularly </w:t>
      </w:r>
      <w:r w:rsidR="000B7B68">
        <w:t>for a proposed service not even in operation yet</w:t>
      </w:r>
      <w:r w:rsidR="005207EA">
        <w:t>.  N</w:t>
      </w:r>
      <w:r w:rsidR="00FB550B">
        <w:t xml:space="preserve">or </w:t>
      </w:r>
      <w:r w:rsidR="00ED233C">
        <w:t>has Public Counsel demonstrated</w:t>
      </w:r>
      <w:r w:rsidR="00FB550B">
        <w:t xml:space="preserve"> how the rates themselves are not fair, just, reasonable, or sufficient.</w:t>
      </w:r>
      <w:r w:rsidR="000B7B68">
        <w:t xml:space="preserve">  </w:t>
      </w:r>
      <w:r w:rsidR="004F6895">
        <w:t>Since under PSE’s service,</w:t>
      </w:r>
      <w:r w:rsidR="005D62AC">
        <w:t xml:space="preserve"> </w:t>
      </w:r>
      <w:r w:rsidR="000B7B68">
        <w:t xml:space="preserve">for a given product, </w:t>
      </w:r>
      <w:r w:rsidR="004F6895">
        <w:t>all customers will be</w:t>
      </w:r>
      <w:r w:rsidR="005D62AC">
        <w:t xml:space="preserve"> receiving the same equipment and the same services</w:t>
      </w:r>
      <w:r w:rsidR="004F6895">
        <w:t xml:space="preserve"> for the same monthly rate,</w:t>
      </w:r>
      <w:r w:rsidR="00B70605">
        <w:rPr>
          <w:rStyle w:val="FootnoteReference"/>
        </w:rPr>
        <w:footnoteReference w:id="25"/>
      </w:r>
      <w:r w:rsidR="004F6895">
        <w:t xml:space="preserve"> PSE’s pricing model ensures uniformity and fairness across all customers, which demonstrates that PSE’s rates are fair, ju</w:t>
      </w:r>
      <w:r w:rsidR="000B7B68">
        <w:t>st, reasonable and sufficient.</w:t>
      </w:r>
      <w:r w:rsidR="00B70605">
        <w:t xml:space="preserve">  Moreover, these issues are all factual and cannot be determined on a motion for summary determination.</w:t>
      </w:r>
    </w:p>
    <w:p w:rsidR="004A024A" w:rsidRDefault="004F6895" w:rsidP="004F6895">
      <w:pPr>
        <w:pStyle w:val="Header"/>
        <w:numPr>
          <w:ilvl w:val="0"/>
          <w:numId w:val="41"/>
        </w:numPr>
        <w:tabs>
          <w:tab w:val="left" w:pos="720"/>
        </w:tabs>
        <w:spacing w:line="480" w:lineRule="auto"/>
        <w:jc w:val="both"/>
      </w:pPr>
      <w:r>
        <w:tab/>
      </w:r>
      <w:r w:rsidR="000B7B68">
        <w:t>Finally, a</w:t>
      </w:r>
      <w:r>
        <w:t>s sta</w:t>
      </w:r>
      <w:r w:rsidR="00484085">
        <w:t>ted in its response to Staff’s M</w:t>
      </w:r>
      <w:r w:rsidR="005207EA">
        <w:t>otion, PSE’s offer to refresh</w:t>
      </w:r>
      <w:r>
        <w:t xml:space="preserve"> rates is nothing more than an offer to further </w:t>
      </w:r>
      <w:r w:rsidR="001441D4">
        <w:t xml:space="preserve">confirm </w:t>
      </w:r>
      <w:r w:rsidR="000B7B68">
        <w:t>rates set in</w:t>
      </w:r>
      <w:r w:rsidR="005207EA">
        <w:t xml:space="preserve"> its tariff, but it stands by the rates currently listed in the tariff.</w:t>
      </w:r>
      <w:r w:rsidR="005207EA">
        <w:rPr>
          <w:rStyle w:val="FootnoteReference"/>
        </w:rPr>
        <w:footnoteReference w:id="26"/>
      </w:r>
      <w:r w:rsidR="00B70605">
        <w:t xml:space="preserve">  </w:t>
      </w:r>
    </w:p>
    <w:p w:rsidR="00695439" w:rsidRDefault="00695439" w:rsidP="00695439">
      <w:pPr>
        <w:pStyle w:val="PleadingsL1"/>
      </w:pPr>
      <w:r>
        <w:lastRenderedPageBreak/>
        <w:t>CONCLUSION</w:t>
      </w:r>
    </w:p>
    <w:p w:rsidR="00695439" w:rsidRDefault="00955512" w:rsidP="00DD4DEE">
      <w:pPr>
        <w:pStyle w:val="Header"/>
        <w:numPr>
          <w:ilvl w:val="0"/>
          <w:numId w:val="41"/>
        </w:numPr>
        <w:tabs>
          <w:tab w:val="left" w:pos="720"/>
        </w:tabs>
        <w:spacing w:line="480" w:lineRule="auto"/>
        <w:jc w:val="both"/>
      </w:pPr>
      <w:r>
        <w:tab/>
      </w:r>
      <w:r w:rsidR="0054015E">
        <w:t xml:space="preserve">For the reasons set forth above, </w:t>
      </w:r>
      <w:r w:rsidR="004F6895">
        <w:t xml:space="preserve">Public Counsel’s arguments do not </w:t>
      </w:r>
      <w:r w:rsidR="00E62FD0">
        <w:t xml:space="preserve">support dismissal of PSE’s case, and </w:t>
      </w:r>
      <w:r w:rsidR="004F6895">
        <w:t>Staff’s Motion for Summary Determination should be denied</w:t>
      </w:r>
      <w:r w:rsidR="0054015E">
        <w:t>.</w:t>
      </w:r>
    </w:p>
    <w:p w:rsidR="00325E05" w:rsidRDefault="00325E05">
      <w:pPr>
        <w:spacing w:after="200" w:line="276" w:lineRule="auto"/>
      </w:pPr>
    </w:p>
    <w:p w:rsidR="007E490E" w:rsidRPr="00366771" w:rsidRDefault="007E490E" w:rsidP="007E490E">
      <w:pPr>
        <w:pStyle w:val="BodyText"/>
      </w:pPr>
      <w:r w:rsidRPr="00366771">
        <w:t>Respectfully submitte</w:t>
      </w:r>
      <w:r w:rsidR="00BA1F07">
        <w:t xml:space="preserve">d this </w:t>
      </w:r>
      <w:r w:rsidR="00ED233C">
        <w:t>29</w:t>
      </w:r>
      <w:r w:rsidR="005207EA">
        <w:t>th</w:t>
      </w:r>
      <w:r>
        <w:t xml:space="preserve"> day of </w:t>
      </w:r>
      <w:r w:rsidR="00FB311F">
        <w:t>July</w:t>
      </w:r>
      <w:r w:rsidR="00D72B55">
        <w:t>, 2016</w:t>
      </w:r>
      <w:r w:rsidRPr="00366771">
        <w:t>.</w:t>
      </w:r>
    </w:p>
    <w:tbl>
      <w:tblPr>
        <w:tblW w:w="0" w:type="auto"/>
        <w:tblLayout w:type="fixed"/>
        <w:tblLook w:val="0000" w:firstRow="0" w:lastRow="0" w:firstColumn="0" w:lastColumn="0" w:noHBand="0" w:noVBand="0"/>
      </w:tblPr>
      <w:tblGrid>
        <w:gridCol w:w="4788"/>
        <w:gridCol w:w="4788"/>
      </w:tblGrid>
      <w:tr w:rsidR="007E490E" w:rsidTr="0084488A">
        <w:trPr>
          <w:cantSplit/>
        </w:trPr>
        <w:tc>
          <w:tcPr>
            <w:tcW w:w="4788" w:type="dxa"/>
          </w:tcPr>
          <w:p w:rsidR="007E490E" w:rsidRDefault="007E490E" w:rsidP="0084488A">
            <w:pPr>
              <w:pStyle w:val="PleadingSignature"/>
              <w:spacing w:before="240"/>
            </w:pPr>
            <w:bookmarkStart w:id="4" w:name="_zzmpFIXED_SignatureTable"/>
          </w:p>
        </w:tc>
        <w:tc>
          <w:tcPr>
            <w:tcW w:w="4788" w:type="dxa"/>
          </w:tcPr>
          <w:p w:rsidR="007E490E" w:rsidRPr="000A006E" w:rsidRDefault="007E490E" w:rsidP="0084488A">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84488A">
            <w:pPr>
              <w:pStyle w:val="PleadingSignature"/>
              <w:spacing w:before="480"/>
            </w:pPr>
            <w:r>
              <w:t>By:</w:t>
            </w:r>
          </w:p>
          <w:p w:rsidR="007E490E" w:rsidRPr="000A006E" w:rsidRDefault="007E490E" w:rsidP="0084488A">
            <w:pPr>
              <w:pStyle w:val="PleadingSignature"/>
              <w:pBdr>
                <w:top w:val="single" w:sz="4" w:space="1" w:color="auto"/>
              </w:pBdr>
              <w:ind w:left="432"/>
            </w:pPr>
            <w:r w:rsidRPr="000A006E">
              <w:t>Sheree S. Carson, WSBA No. 25349</w:t>
            </w:r>
          </w:p>
          <w:p w:rsidR="007E490E" w:rsidRDefault="007E490E" w:rsidP="0084488A">
            <w:pPr>
              <w:pStyle w:val="PleadingSignature"/>
              <w:ind w:left="432"/>
            </w:pPr>
            <w:r>
              <w:t>David S. Steele, WSBA No. 45640</w:t>
            </w:r>
          </w:p>
          <w:p w:rsidR="007E490E" w:rsidRDefault="007E490E" w:rsidP="0084488A">
            <w:pPr>
              <w:pStyle w:val="PleadingSignature"/>
              <w:ind w:left="432"/>
            </w:pPr>
            <w:r>
              <w:t>The PSE Building</w:t>
            </w:r>
          </w:p>
          <w:p w:rsidR="007E490E" w:rsidRDefault="007E490E" w:rsidP="0084488A">
            <w:pPr>
              <w:pStyle w:val="PleadingSignature"/>
              <w:ind w:left="432"/>
            </w:pPr>
            <w:r>
              <w:t>10885 N.E. Fourth Street, Suite 700</w:t>
            </w:r>
          </w:p>
          <w:p w:rsidR="007E490E" w:rsidRDefault="007E490E" w:rsidP="0084488A">
            <w:pPr>
              <w:pStyle w:val="PleadingSignature"/>
              <w:ind w:left="432"/>
            </w:pPr>
            <w:r>
              <w:t>Bellevue, WA  98004-5579</w:t>
            </w:r>
          </w:p>
          <w:p w:rsidR="007E490E" w:rsidRDefault="00C73AE8" w:rsidP="0084488A">
            <w:pPr>
              <w:pStyle w:val="PleadingSignature"/>
              <w:ind w:left="432"/>
            </w:pPr>
            <w:r>
              <w:t>Telephone:  425.635.</w:t>
            </w:r>
            <w:r w:rsidR="007E490E">
              <w:t>1400</w:t>
            </w:r>
          </w:p>
          <w:p w:rsidR="007E490E" w:rsidRDefault="007E490E" w:rsidP="0084488A">
            <w:pPr>
              <w:pStyle w:val="PleadingSignature"/>
              <w:ind w:left="432"/>
            </w:pPr>
            <w:r>
              <w:t>Facsimile:  425.635.2400</w:t>
            </w:r>
          </w:p>
          <w:p w:rsidR="007E490E" w:rsidRDefault="007E490E" w:rsidP="0084488A">
            <w:pPr>
              <w:pStyle w:val="PleadingSignature"/>
              <w:ind w:left="432"/>
            </w:pPr>
            <w:r>
              <w:t>Email:  SCarson@perkinscoie.com</w:t>
            </w:r>
          </w:p>
          <w:p w:rsidR="007E490E" w:rsidRPr="000A006E" w:rsidRDefault="007E490E" w:rsidP="0084488A">
            <w:pPr>
              <w:pStyle w:val="PleadingSignature"/>
              <w:ind w:left="432"/>
              <w:rPr>
                <w:szCs w:val="24"/>
              </w:rPr>
            </w:pPr>
            <w:r>
              <w:t>Email:  DSteele@perkinscoie.com</w:t>
            </w:r>
          </w:p>
          <w:p w:rsidR="007E490E" w:rsidRPr="00500F85" w:rsidRDefault="007E490E" w:rsidP="0084488A">
            <w:pPr>
              <w:pStyle w:val="PleadingSignature"/>
              <w:spacing w:before="240"/>
              <w:rPr>
                <w:i/>
              </w:rPr>
            </w:pPr>
            <w:r w:rsidRPr="00500F85">
              <w:rPr>
                <w:i/>
              </w:rPr>
              <w:t xml:space="preserve">Attorneys for </w:t>
            </w:r>
            <w:r>
              <w:rPr>
                <w:i/>
              </w:rPr>
              <w:t>Puget Sound Energy</w:t>
            </w:r>
          </w:p>
          <w:p w:rsidR="007E490E" w:rsidRPr="000A006E" w:rsidRDefault="007E490E" w:rsidP="0084488A">
            <w:pPr>
              <w:pStyle w:val="PleadingSignature"/>
            </w:pPr>
          </w:p>
        </w:tc>
      </w:tr>
      <w:bookmarkEnd w:id="4"/>
    </w:tbl>
    <w:p w:rsidR="003D2170" w:rsidRDefault="003D2170" w:rsidP="007E490E">
      <w:pPr>
        <w:spacing w:line="480" w:lineRule="auto"/>
        <w:jc w:val="both"/>
      </w:pPr>
    </w:p>
    <w:sectPr w:rsidR="003D2170" w:rsidSect="009118E4">
      <w:headerReference w:type="default" r:id="rId11"/>
      <w:footerReference w:type="default" r:id="rId12"/>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8A" w:rsidRDefault="00CD1D8A" w:rsidP="003D2170">
      <w:r>
        <w:separator/>
      </w:r>
    </w:p>
  </w:endnote>
  <w:endnote w:type="continuationSeparator" w:id="0">
    <w:p w:rsidR="00CD1D8A" w:rsidRDefault="00CD1D8A" w:rsidP="003D2170">
      <w:r>
        <w:continuationSeparator/>
      </w:r>
    </w:p>
  </w:endnote>
  <w:endnote w:type="continuationNotice" w:id="1">
    <w:p w:rsidR="00CD1D8A" w:rsidRDefault="00CD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8A" w:rsidRDefault="00CD1D8A" w:rsidP="004F6F04">
    <w:pPr>
      <w:pStyle w:val="Footer"/>
      <w:rPr>
        <w:caps/>
        <w:sz w:val="20"/>
        <w:szCs w:val="20"/>
      </w:rPr>
    </w:pPr>
    <w:r w:rsidRPr="00674F8B">
      <w:rPr>
        <w:b/>
        <w:caps/>
        <w:sz w:val="20"/>
        <w:szCs w:val="20"/>
      </w:rPr>
      <w:t xml:space="preserve">PUGET SOUND ENERGY’S </w:t>
    </w:r>
    <w:r w:rsidR="005207EA">
      <w:rPr>
        <w:b/>
        <w:caps/>
        <w:sz w:val="20"/>
        <w:szCs w:val="20"/>
      </w:rPr>
      <w:t>RePLY</w:t>
    </w:r>
    <w:r w:rsidR="00B4359B">
      <w:rPr>
        <w:b/>
        <w:caps/>
        <w:sz w:val="20"/>
        <w:szCs w:val="20"/>
      </w:rPr>
      <w:t xml:space="preserve"> to public counsel’s response in support of</w:t>
    </w:r>
    <w:r w:rsidRPr="00674F8B">
      <w:rPr>
        <w:b/>
        <w:caps/>
        <w:sz w:val="20"/>
        <w:szCs w:val="20"/>
      </w:rPr>
      <w:t xml:space="preserve"> COMMISSION STAFF’S MOTION FOR SUMMARY DETERMINATION</w:t>
    </w:r>
    <w:r>
      <w:rPr>
        <w:caps/>
        <w:sz w:val="20"/>
        <w:szCs w:val="20"/>
      </w:rPr>
      <w:br/>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9363D4">
      <w:rPr>
        <w:caps/>
        <w:noProof/>
        <w:sz w:val="20"/>
        <w:szCs w:val="20"/>
      </w:rPr>
      <w:t>7</w:t>
    </w:r>
    <w:r w:rsidRPr="003E0A8C">
      <w:rPr>
        <w: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8A" w:rsidRDefault="00CD1D8A" w:rsidP="003D2170">
      <w:r>
        <w:separator/>
      </w:r>
    </w:p>
  </w:footnote>
  <w:footnote w:type="continuationSeparator" w:id="0">
    <w:p w:rsidR="00CD1D8A" w:rsidRDefault="00CD1D8A" w:rsidP="003D2170">
      <w:r>
        <w:continuationSeparator/>
      </w:r>
    </w:p>
  </w:footnote>
  <w:footnote w:type="continuationNotice" w:id="1">
    <w:p w:rsidR="00CD1D8A" w:rsidRDefault="00CD1D8A"/>
  </w:footnote>
  <w:footnote w:id="2">
    <w:p w:rsidR="00720691" w:rsidRDefault="00720691">
      <w:pPr>
        <w:pStyle w:val="FootnoteText"/>
      </w:pPr>
      <w:r>
        <w:rPr>
          <w:rStyle w:val="FootnoteReference"/>
        </w:rPr>
        <w:footnoteRef/>
      </w:r>
      <w:r>
        <w:t xml:space="preserve"> </w:t>
      </w:r>
      <w:r w:rsidR="005207EA">
        <w:t xml:space="preserve">The Commission case is </w:t>
      </w:r>
      <w:r w:rsidR="00316D1A" w:rsidRPr="00316D1A">
        <w:rPr>
          <w:i/>
          <w:iCs/>
        </w:rPr>
        <w:t>Cole v. Wash. Natural Gas Co.</w:t>
      </w:r>
      <w:r w:rsidR="00316D1A" w:rsidRPr="00316D1A">
        <w:t>, No. U-9621 (1968) (“Commission Proposed Order”).</w:t>
      </w:r>
    </w:p>
  </w:footnote>
  <w:footnote w:id="3">
    <w:p w:rsidR="00720691" w:rsidRDefault="00720691">
      <w:pPr>
        <w:pStyle w:val="FootnoteText"/>
      </w:pPr>
      <w:r>
        <w:rPr>
          <w:rStyle w:val="FootnoteReference"/>
        </w:rPr>
        <w:footnoteRef/>
      </w:r>
      <w:r>
        <w:t xml:space="preserve"> </w:t>
      </w:r>
      <w:r w:rsidR="00775F7A" w:rsidRPr="00775F7A">
        <w:t>Puget Sound Energy’s Response to Staff’s Motion for Summary Determination, ¶¶ 26-50 (“PSE Response”).</w:t>
      </w:r>
    </w:p>
  </w:footnote>
  <w:footnote w:id="4">
    <w:p w:rsidR="00CA7B4F" w:rsidRDefault="00CA7B4F">
      <w:pPr>
        <w:pStyle w:val="FootnoteText"/>
      </w:pPr>
      <w:r>
        <w:rPr>
          <w:rStyle w:val="FootnoteReference"/>
        </w:rPr>
        <w:footnoteRef/>
      </w:r>
      <w:r>
        <w:t xml:space="preserve"> 101 W</w:t>
      </w:r>
      <w:r w:rsidR="009363D4">
        <w:t>ash</w:t>
      </w:r>
      <w:r>
        <w:t>. at 173.</w:t>
      </w:r>
    </w:p>
  </w:footnote>
  <w:footnote w:id="5">
    <w:p w:rsidR="000C6426" w:rsidRDefault="000C6426">
      <w:pPr>
        <w:pStyle w:val="FootnoteText"/>
      </w:pPr>
      <w:r>
        <w:rPr>
          <w:rStyle w:val="FootnoteReference"/>
        </w:rPr>
        <w:footnoteRef/>
      </w:r>
      <w:r>
        <w:t xml:space="preserve"> </w:t>
      </w:r>
      <w:r w:rsidRPr="000C6426">
        <w:rPr>
          <w:i/>
        </w:rPr>
        <w:t>Id.</w:t>
      </w:r>
      <w:r w:rsidRPr="000C6426">
        <w:t xml:space="preserve"> at 181-82.  </w:t>
      </w:r>
    </w:p>
  </w:footnote>
  <w:footnote w:id="6">
    <w:p w:rsidR="000C6426" w:rsidRDefault="000C6426">
      <w:pPr>
        <w:pStyle w:val="FootnoteText"/>
      </w:pPr>
      <w:r>
        <w:rPr>
          <w:rStyle w:val="FootnoteReference"/>
        </w:rPr>
        <w:footnoteRef/>
      </w:r>
      <w:r>
        <w:t xml:space="preserve"> </w:t>
      </w:r>
      <w:r w:rsidR="00775F7A">
        <w:t xml:space="preserve">PSE Response, </w:t>
      </w:r>
      <w:r>
        <w:t>¶¶ 26-50</w:t>
      </w:r>
      <w:r w:rsidRPr="000C6426">
        <w:t>.</w:t>
      </w:r>
    </w:p>
  </w:footnote>
  <w:footnote w:id="7">
    <w:p w:rsidR="00B07C0D" w:rsidRDefault="00B07C0D">
      <w:pPr>
        <w:pStyle w:val="FootnoteText"/>
      </w:pPr>
      <w:r>
        <w:rPr>
          <w:rStyle w:val="FootnoteReference"/>
        </w:rPr>
        <w:footnoteRef/>
      </w:r>
      <w:r>
        <w:t xml:space="preserve"> </w:t>
      </w:r>
      <w:r w:rsidRPr="00B07C0D">
        <w:t>RCW 34.05.230(1) (“Current interpretive and policy statements are advisory only.”).</w:t>
      </w:r>
    </w:p>
  </w:footnote>
  <w:footnote w:id="8">
    <w:p w:rsidR="001441D4" w:rsidRDefault="001441D4">
      <w:pPr>
        <w:pStyle w:val="FootnoteText"/>
      </w:pPr>
      <w:r>
        <w:rPr>
          <w:rStyle w:val="FootnoteReference"/>
        </w:rPr>
        <w:footnoteRef/>
      </w:r>
      <w:r>
        <w:t xml:space="preserve"> </w:t>
      </w:r>
      <w:r w:rsidRPr="001441D4">
        <w:rPr>
          <w:i/>
        </w:rPr>
        <w:t>In the Matter of Amending and Repealing Rules in WAC 480-108 Relating to Electric Companies – Interconnection with Electric Generators</w:t>
      </w:r>
      <w:r>
        <w:t>, Docket No. UE-112133, Interpretive Statement Concerning Commission Jurisdiction and Regulation of Third Party Owners of Net Metering Facilities (July 30, 2014).</w:t>
      </w:r>
    </w:p>
  </w:footnote>
  <w:footnote w:id="9">
    <w:p w:rsidR="00B07C0D" w:rsidRPr="00B07C0D" w:rsidRDefault="00B07C0D" w:rsidP="00B07C0D">
      <w:pPr>
        <w:pStyle w:val="FootnoteText"/>
        <w:rPr>
          <w:i/>
          <w:iCs/>
        </w:rPr>
      </w:pPr>
      <w:r>
        <w:rPr>
          <w:rStyle w:val="FootnoteReference"/>
        </w:rPr>
        <w:footnoteRef/>
      </w:r>
      <w:r>
        <w:t xml:space="preserve"> </w:t>
      </w:r>
      <w:r w:rsidRPr="00B07C0D">
        <w:rPr>
          <w:i/>
          <w:iCs/>
        </w:rPr>
        <w:t>In re Petiti</w:t>
      </w:r>
      <w:r>
        <w:rPr>
          <w:i/>
          <w:iCs/>
        </w:rPr>
        <w:t xml:space="preserve">on of PSE and NWEC For an Order </w:t>
      </w:r>
      <w:r w:rsidRPr="00B07C0D">
        <w:rPr>
          <w:i/>
          <w:iCs/>
        </w:rPr>
        <w:t>Authorizing PSE To Implement Electric and Natural Gas Decoupling Mechanisms and To Record Accounting</w:t>
      </w:r>
      <w:r>
        <w:rPr>
          <w:i/>
          <w:iCs/>
        </w:rPr>
        <w:t xml:space="preserve"> </w:t>
      </w:r>
      <w:r w:rsidRPr="00B07C0D">
        <w:rPr>
          <w:i/>
          <w:iCs/>
        </w:rPr>
        <w:t xml:space="preserve">Entries Associated With the Mechanisms, </w:t>
      </w:r>
      <w:r w:rsidRPr="00B07C0D">
        <w:t>Dockets UE-121697 &amp; UG-121705, Order 07</w:t>
      </w:r>
      <w:r w:rsidR="00AE7970">
        <w:t>,</w:t>
      </w:r>
      <w:r w:rsidRPr="00B07C0D">
        <w:t xml:space="preserve"> ¶ 95 (June 25, 2013).</w:t>
      </w:r>
    </w:p>
  </w:footnote>
  <w:footnote w:id="10">
    <w:p w:rsidR="008B1610" w:rsidRDefault="008B1610">
      <w:pPr>
        <w:pStyle w:val="FootnoteText"/>
      </w:pPr>
      <w:r>
        <w:rPr>
          <w:rStyle w:val="FootnoteReference"/>
        </w:rPr>
        <w:footnoteRef/>
      </w:r>
      <w:r w:rsidR="007F572B">
        <w:t xml:space="preserve"> Commission Staff Motion for Summary Determination, ¶ 20</w:t>
      </w:r>
      <w:r w:rsidR="00ED233C">
        <w:t xml:space="preserve"> (“Motion”)</w:t>
      </w:r>
      <w:r>
        <w:t>.</w:t>
      </w:r>
    </w:p>
  </w:footnote>
  <w:footnote w:id="11">
    <w:p w:rsidR="008B1610" w:rsidRDefault="008B1610">
      <w:pPr>
        <w:pStyle w:val="FootnoteText"/>
      </w:pPr>
      <w:r>
        <w:rPr>
          <w:rStyle w:val="FootnoteReference"/>
        </w:rPr>
        <w:footnoteRef/>
      </w:r>
      <w:r w:rsidR="00C77194">
        <w:t xml:space="preserve"> Teller, Exh. No. ___ (JET-1T), at 4:4, 10:19-21; </w:t>
      </w:r>
      <w:r w:rsidR="00C77194" w:rsidRPr="00C77194">
        <w:t>Faruq</w:t>
      </w:r>
      <w:r w:rsidR="00C77194">
        <w:t>u</w:t>
      </w:r>
      <w:r w:rsidR="00C77194" w:rsidRPr="00C77194">
        <w:t>i, Exh. No. ___ (AF4T), at</w:t>
      </w:r>
      <w:r w:rsidR="00C77194">
        <w:t xml:space="preserve"> 13:13-14.</w:t>
      </w:r>
    </w:p>
  </w:footnote>
  <w:footnote w:id="12">
    <w:p w:rsidR="008B1610" w:rsidRDefault="008B1610">
      <w:pPr>
        <w:pStyle w:val="FootnoteText"/>
      </w:pPr>
      <w:r>
        <w:rPr>
          <w:rStyle w:val="FootnoteReference"/>
        </w:rPr>
        <w:footnoteRef/>
      </w:r>
      <w:r w:rsidR="00C77194">
        <w:t xml:space="preserve"> Faruqui, Exh. No. ___ (AF-4T), at 11:12-12:2. </w:t>
      </w:r>
    </w:p>
  </w:footnote>
  <w:footnote w:id="13">
    <w:p w:rsidR="008B1610" w:rsidRDefault="008B1610">
      <w:pPr>
        <w:pStyle w:val="FootnoteText"/>
      </w:pPr>
      <w:r>
        <w:rPr>
          <w:rStyle w:val="FootnoteReference"/>
        </w:rPr>
        <w:footnoteRef/>
      </w:r>
      <w:r w:rsidR="00C77194">
        <w:t xml:space="preserve"> </w:t>
      </w:r>
      <w:r w:rsidR="00E3429B">
        <w:t xml:space="preserve">Teller, Exh. No. ___ (JET-1T), at 10:11-11:6; Norton, Exh. No. ___ (LYN-1T), at 10:13-11:16; </w:t>
      </w:r>
      <w:r w:rsidR="00C77194">
        <w:t xml:space="preserve">Faruqui, Exh. No. ___ (AF-1T), at </w:t>
      </w:r>
      <w:r w:rsidR="00E3429B">
        <w:t>14:12-15:9.</w:t>
      </w:r>
    </w:p>
  </w:footnote>
  <w:footnote w:id="14">
    <w:p w:rsidR="008B1610" w:rsidRDefault="008B1610">
      <w:pPr>
        <w:pStyle w:val="FootnoteText"/>
      </w:pPr>
      <w:r>
        <w:rPr>
          <w:rStyle w:val="FootnoteReference"/>
        </w:rPr>
        <w:footnoteRef/>
      </w:r>
      <w:r>
        <w:t xml:space="preserve"> </w:t>
      </w:r>
      <w:r w:rsidR="00E3429B" w:rsidRPr="00E3429B">
        <w:t>Teller, Exh. No.</w:t>
      </w:r>
      <w:r w:rsidR="00E3429B">
        <w:t xml:space="preserve"> ___ (JET-1T), at 4:21-5:14, 10:19-21.</w:t>
      </w:r>
    </w:p>
  </w:footnote>
  <w:footnote w:id="15">
    <w:p w:rsidR="00731B31" w:rsidRDefault="00731B31">
      <w:pPr>
        <w:pStyle w:val="FootnoteText"/>
      </w:pPr>
      <w:r>
        <w:rPr>
          <w:rStyle w:val="FootnoteReference"/>
        </w:rPr>
        <w:footnoteRef/>
      </w:r>
      <w:r>
        <w:t xml:space="preserve"> </w:t>
      </w:r>
      <w:r w:rsidR="00CC47CE">
        <w:t>PSE Response, ¶ 48.  Other examples of PSE programs that are either not offered to all customers or all customer</w:t>
      </w:r>
      <w:r w:rsidR="00585BFB">
        <w:t>s choose not to participate</w:t>
      </w:r>
      <w:r w:rsidR="00E3429B">
        <w:t xml:space="preserve"> include, but are not limited to, </w:t>
      </w:r>
      <w:r w:rsidR="00CC47CE">
        <w:t>Schedule 150 (Net Metering Services for Customer Generato</w:t>
      </w:r>
      <w:r w:rsidR="00E3429B">
        <w:t>r Systems);</w:t>
      </w:r>
      <w:r w:rsidR="00CC47CE">
        <w:t xml:space="preserve"> Schedule 7A (Mast</w:t>
      </w:r>
      <w:r w:rsidR="00E3429B">
        <w:t>er Metered Residential Service);</w:t>
      </w:r>
      <w:r w:rsidR="00CC47CE">
        <w:t xml:space="preserve"> Schedules 35 and</w:t>
      </w:r>
      <w:r w:rsidR="00585BFB">
        <w:t xml:space="preserve"> 29 (Seasonal I</w:t>
      </w:r>
      <w:r w:rsidR="00CC47CE">
        <w:t>rrigat</w:t>
      </w:r>
      <w:r w:rsidR="00E3429B">
        <w:t>ion &amp; Drainage Pumping Service);</w:t>
      </w:r>
      <w:r w:rsidR="00CC47CE">
        <w:t xml:space="preserve"> Schedule 43 (</w:t>
      </w:r>
      <w:r w:rsidR="00CC47CE" w:rsidRPr="00CC47CE">
        <w:t>Interruptible Primary Service for Total-Electric Schools</w:t>
      </w:r>
      <w:r w:rsidR="00E3429B">
        <w:t>);</w:t>
      </w:r>
      <w:r w:rsidR="00CC47CE">
        <w:t xml:space="preserve"> Schedule 93 (Vo</w:t>
      </w:r>
      <w:r w:rsidR="00E3429B">
        <w:t>luntary Load Curtailment Rider);</w:t>
      </w:r>
      <w:r w:rsidR="00CC47CE">
        <w:t xml:space="preserve"> Schedule 194 (Residential and Farm Energy Exchange Benefit)</w:t>
      </w:r>
      <w:r w:rsidR="00E3429B">
        <w:t>;</w:t>
      </w:r>
      <w:r w:rsidR="00CC47CE">
        <w:t xml:space="preserve"> Schedule 195 (Electric Vehicle Charger Incentive)</w:t>
      </w:r>
      <w:r w:rsidR="00E3429B">
        <w:t xml:space="preserve">; </w:t>
      </w:r>
      <w:r w:rsidR="00CC47CE">
        <w:t>Schedule 136 (Large Volu</w:t>
      </w:r>
      <w:r w:rsidR="00E3429B">
        <w:t>me Green Energy Purchase Rider); Schedule 61 (Special Standby and Auxiliary Heating Service); Schedule 307 (Extension of Distribution Facilities – Pilots); Schedule 54 Optional Gas Compression Service); Schedule 50 (Emergency Compressed Natural Gas Service); Schedule 53 (Propane Service); and Schedule 41 (Large Volume High Load Factor Gas Service).</w:t>
      </w:r>
    </w:p>
  </w:footnote>
  <w:footnote w:id="16">
    <w:p w:rsidR="00085F58" w:rsidRDefault="00085F58">
      <w:pPr>
        <w:pStyle w:val="FootnoteText"/>
      </w:pPr>
      <w:r>
        <w:rPr>
          <w:rStyle w:val="FootnoteReference"/>
        </w:rPr>
        <w:footnoteRef/>
      </w:r>
      <w:r w:rsidR="00585BFB">
        <w:t xml:space="preserve"> PSE Response, ¶ 53.</w:t>
      </w:r>
    </w:p>
  </w:footnote>
  <w:footnote w:id="17">
    <w:p w:rsidR="00085F58" w:rsidRDefault="00085F58">
      <w:pPr>
        <w:pStyle w:val="FootnoteText"/>
      </w:pPr>
      <w:r>
        <w:rPr>
          <w:rStyle w:val="FootnoteReference"/>
        </w:rPr>
        <w:footnoteRef/>
      </w:r>
      <w:r w:rsidR="00585BFB">
        <w:t xml:space="preserve"> </w:t>
      </w:r>
      <w:r w:rsidR="00585BFB" w:rsidRPr="00585BFB">
        <w:rPr>
          <w:i/>
        </w:rPr>
        <w:t>Id.</w:t>
      </w:r>
      <w:r w:rsidR="00585BFB">
        <w:t xml:space="preserve"> ¶ 54.</w:t>
      </w:r>
    </w:p>
  </w:footnote>
  <w:footnote w:id="18">
    <w:p w:rsidR="005C4D9F" w:rsidRPr="00585BFB" w:rsidRDefault="005C4D9F" w:rsidP="005C4D9F">
      <w:pPr>
        <w:pStyle w:val="FootnoteText"/>
        <w:rPr>
          <w:i/>
        </w:rPr>
      </w:pPr>
      <w:r>
        <w:rPr>
          <w:rStyle w:val="FootnoteReference"/>
        </w:rPr>
        <w:footnoteRef/>
      </w:r>
      <w:r w:rsidR="00585BFB">
        <w:t xml:space="preserve"> </w:t>
      </w:r>
      <w:r w:rsidR="00585BFB" w:rsidRPr="00585BFB">
        <w:rPr>
          <w:i/>
        </w:rPr>
        <w:t>Id.</w:t>
      </w:r>
    </w:p>
  </w:footnote>
  <w:footnote w:id="19">
    <w:p w:rsidR="007A16DF" w:rsidRDefault="007A16DF" w:rsidP="007A16DF">
      <w:pPr>
        <w:pStyle w:val="FootnoteText"/>
      </w:pPr>
      <w:r>
        <w:rPr>
          <w:rStyle w:val="FootnoteReference"/>
        </w:rPr>
        <w:footnoteRef/>
      </w:r>
      <w:r w:rsidR="00585BFB">
        <w:t xml:space="preserve"> </w:t>
      </w:r>
      <w:r w:rsidR="00585BFB" w:rsidRPr="00585BFB">
        <w:rPr>
          <w:i/>
        </w:rPr>
        <w:t>See</w:t>
      </w:r>
      <w:r w:rsidR="00585BFB">
        <w:t xml:space="preserve"> Norton, Exh. No. ___ (LYN-1T), at 3:5-8:14; 14:11-15:2; 28:1-30:8.</w:t>
      </w:r>
    </w:p>
  </w:footnote>
  <w:footnote w:id="20">
    <w:p w:rsidR="00585BFB" w:rsidRDefault="00585BFB">
      <w:pPr>
        <w:pStyle w:val="FootnoteText"/>
      </w:pPr>
      <w:r>
        <w:rPr>
          <w:rStyle w:val="FootnoteReference"/>
        </w:rPr>
        <w:footnoteRef/>
      </w:r>
      <w:r>
        <w:t xml:space="preserve"> Public Counsel </w:t>
      </w:r>
      <w:r w:rsidR="00B70605">
        <w:t>Response to Staff’s Motion for Summary Determination, ¶ 8 (“Public Counsel Response”)</w:t>
      </w:r>
      <w:r>
        <w:t>.</w:t>
      </w:r>
    </w:p>
  </w:footnote>
  <w:footnote w:id="21">
    <w:p w:rsidR="001441D4" w:rsidRDefault="001441D4">
      <w:pPr>
        <w:pStyle w:val="FootnoteText"/>
      </w:pPr>
      <w:r>
        <w:rPr>
          <w:rStyle w:val="FootnoteReference"/>
        </w:rPr>
        <w:footnoteRef/>
      </w:r>
      <w:r>
        <w:t xml:space="preserve"> PSE Response, ¶ 11.</w:t>
      </w:r>
    </w:p>
  </w:footnote>
  <w:footnote w:id="22">
    <w:p w:rsidR="005D62AC" w:rsidRDefault="005D62AC">
      <w:pPr>
        <w:pStyle w:val="FootnoteText"/>
      </w:pPr>
      <w:r>
        <w:rPr>
          <w:rStyle w:val="FootnoteReference"/>
        </w:rPr>
        <w:footnoteRef/>
      </w:r>
      <w:r w:rsidR="001441D4">
        <w:t xml:space="preserve"> </w:t>
      </w:r>
      <w:r w:rsidR="001441D4" w:rsidRPr="001441D4">
        <w:rPr>
          <w:i/>
        </w:rPr>
        <w:t>Id.</w:t>
      </w:r>
      <w:r w:rsidR="001441D4">
        <w:t xml:space="preserve"> ¶¶ 57-66.</w:t>
      </w:r>
    </w:p>
  </w:footnote>
  <w:footnote w:id="23">
    <w:p w:rsidR="00FB550B" w:rsidRDefault="00FB550B">
      <w:pPr>
        <w:pStyle w:val="FootnoteText"/>
      </w:pPr>
      <w:r>
        <w:rPr>
          <w:rStyle w:val="FootnoteReference"/>
        </w:rPr>
        <w:footnoteRef/>
      </w:r>
      <w:r>
        <w:t xml:space="preserve"> </w:t>
      </w:r>
      <w:r w:rsidR="001441D4">
        <w:t xml:space="preserve">Public Counsel </w:t>
      </w:r>
      <w:r w:rsidR="00B70605">
        <w:t xml:space="preserve">Response, </w:t>
      </w:r>
      <w:r w:rsidR="001441D4">
        <w:t>¶ 9.</w:t>
      </w:r>
    </w:p>
  </w:footnote>
  <w:footnote w:id="24">
    <w:p w:rsidR="005D62AC" w:rsidRDefault="005D62AC">
      <w:pPr>
        <w:pStyle w:val="FootnoteText"/>
      </w:pPr>
      <w:r>
        <w:rPr>
          <w:rStyle w:val="FootnoteReference"/>
        </w:rPr>
        <w:footnoteRef/>
      </w:r>
      <w:r>
        <w:t xml:space="preserve"> </w:t>
      </w:r>
      <w:r w:rsidR="001441D4">
        <w:t>PSE Response, ¶¶ 15, 58.</w:t>
      </w:r>
    </w:p>
  </w:footnote>
  <w:footnote w:id="25">
    <w:p w:rsidR="00B70605" w:rsidRDefault="00B70605">
      <w:pPr>
        <w:pStyle w:val="FootnoteText"/>
      </w:pPr>
      <w:r>
        <w:rPr>
          <w:rStyle w:val="FootnoteReference"/>
        </w:rPr>
        <w:footnoteRef/>
      </w:r>
      <w:r>
        <w:t xml:space="preserve"> McCulloch, Exh. No. ___ (MBM-7THC), at 9:1-7.</w:t>
      </w:r>
    </w:p>
  </w:footnote>
  <w:footnote w:id="26">
    <w:p w:rsidR="005207EA" w:rsidRDefault="005207EA">
      <w:pPr>
        <w:pStyle w:val="FootnoteText"/>
      </w:pPr>
      <w:r>
        <w:rPr>
          <w:rStyle w:val="FootnoteReference"/>
        </w:rPr>
        <w:footnoteRef/>
      </w:r>
      <w:r w:rsidR="001441D4">
        <w:t xml:space="preserve"> </w:t>
      </w:r>
      <w:r w:rsidR="00B70605">
        <w:t xml:space="preserve">PSE Response, </w:t>
      </w:r>
      <w:r>
        <w:t>¶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8A" w:rsidRDefault="00CD1D8A" w:rsidP="00ED673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040"/>
    <w:multiLevelType w:val="hybridMultilevel"/>
    <w:tmpl w:val="9A0C6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4">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8897624"/>
    <w:multiLevelType w:val="hybridMultilevel"/>
    <w:tmpl w:val="BDA2A28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0">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25915283"/>
    <w:multiLevelType w:val="hybridMultilevel"/>
    <w:tmpl w:val="8D8A6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5">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8">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9">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20">
    <w:nsid w:val="41535450"/>
    <w:multiLevelType w:val="hybridMultilevel"/>
    <w:tmpl w:val="50A06176"/>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4">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5">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6">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7">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8">
    <w:nsid w:val="66550FC3"/>
    <w:multiLevelType w:val="hybridMultilevel"/>
    <w:tmpl w:val="B35437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nsid w:val="672415FA"/>
    <w:multiLevelType w:val="hybridMultilevel"/>
    <w:tmpl w:val="7A84AC5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7612013"/>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34">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11"/>
  </w:num>
  <w:num w:numId="2">
    <w:abstractNumId w:val="8"/>
  </w:num>
  <w:num w:numId="3">
    <w:abstractNumId w:val="26"/>
  </w:num>
  <w:num w:numId="4">
    <w:abstractNumId w:val="32"/>
  </w:num>
  <w:num w:numId="5">
    <w:abstractNumId w:val="15"/>
  </w:num>
  <w:num w:numId="6">
    <w:abstractNumId w:val="19"/>
  </w:num>
  <w:num w:numId="7">
    <w:abstractNumId w:val="17"/>
  </w:num>
  <w:num w:numId="8">
    <w:abstractNumId w:val="5"/>
  </w:num>
  <w:num w:numId="9">
    <w:abstractNumId w:val="3"/>
  </w:num>
  <w:num w:numId="10">
    <w:abstractNumId w:val="30"/>
  </w:num>
  <w:num w:numId="11">
    <w:abstractNumId w:val="34"/>
  </w:num>
  <w:num w:numId="12">
    <w:abstractNumId w:val="13"/>
  </w:num>
  <w:num w:numId="13">
    <w:abstractNumId w:val="25"/>
  </w:num>
  <w:num w:numId="14">
    <w:abstractNumId w:val="27"/>
  </w:num>
  <w:num w:numId="15">
    <w:abstractNumId w:val="4"/>
  </w:num>
  <w:num w:numId="16">
    <w:abstractNumId w:val="7"/>
  </w:num>
  <w:num w:numId="17">
    <w:abstractNumId w:val="23"/>
  </w:num>
  <w:num w:numId="18">
    <w:abstractNumId w:val="21"/>
  </w:num>
  <w:num w:numId="19">
    <w:abstractNumId w:val="16"/>
  </w:num>
  <w:num w:numId="20">
    <w:abstractNumId w:val="1"/>
  </w:num>
  <w:num w:numId="21">
    <w:abstractNumId w:val="31"/>
  </w:num>
  <w:num w:numId="22">
    <w:abstractNumId w:val="6"/>
  </w:num>
  <w:num w:numId="23">
    <w:abstractNumId w:val="22"/>
  </w:num>
  <w:num w:numId="24">
    <w:abstractNumId w:val="10"/>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24"/>
  </w:num>
  <w:num w:numId="36">
    <w:abstractNumId w:val="2"/>
  </w:num>
  <w:num w:numId="37">
    <w:abstractNumId w:val="14"/>
  </w:num>
  <w:num w:numId="38">
    <w:abstractNumId w:val="29"/>
  </w:num>
  <w:num w:numId="39">
    <w:abstractNumId w:val="28"/>
  </w:num>
  <w:num w:numId="40">
    <w:abstractNumId w:val="12"/>
  </w:num>
  <w:num w:numId="41">
    <w:abstractNumId w:val="20"/>
  </w:num>
  <w:num w:numId="42">
    <w:abstractNumId w:val="33"/>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1617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2010019.1"/>
    <w:docVar w:name="MPDocIDTemplate" w:val="%c-|%m/|%n|.%v"/>
    <w:docVar w:name="MPDocIDTemplateDefault" w:val="%c-|%m/|%n|.%v"/>
    <w:docVar w:name="NewDocStampType" w:val="1"/>
    <w:docVar w:name="zzmpFixedCurScheme" w:val="Pleadings"/>
    <w:docVar w:name="zzmpFixedCurScheme_9.0" w:val="1zzmpPleadings"/>
    <w:docVar w:name="zzmpnSession" w:val="0.3907892"/>
    <w:docVar w:name="zzmpPleadings" w:val="||Pleadings|2|1|1|1|10|33||1|12|33||1|12|33||1|12|33||1|12|33||1|12|33||1|12|33||1|12|33||1|12|33||"/>
  </w:docVars>
  <w:rsids>
    <w:rsidRoot w:val="003D453C"/>
    <w:rsid w:val="00000730"/>
    <w:rsid w:val="000017BA"/>
    <w:rsid w:val="000019B2"/>
    <w:rsid w:val="000032A0"/>
    <w:rsid w:val="0000611A"/>
    <w:rsid w:val="000062F0"/>
    <w:rsid w:val="00006885"/>
    <w:rsid w:val="00010DB6"/>
    <w:rsid w:val="00011864"/>
    <w:rsid w:val="00013E10"/>
    <w:rsid w:val="000149D1"/>
    <w:rsid w:val="00014A45"/>
    <w:rsid w:val="00016F0D"/>
    <w:rsid w:val="000204B9"/>
    <w:rsid w:val="0002222D"/>
    <w:rsid w:val="00023C78"/>
    <w:rsid w:val="00023EC7"/>
    <w:rsid w:val="000259FF"/>
    <w:rsid w:val="000267D0"/>
    <w:rsid w:val="0002778B"/>
    <w:rsid w:val="00032B03"/>
    <w:rsid w:val="00032BE9"/>
    <w:rsid w:val="000348E2"/>
    <w:rsid w:val="00036DC6"/>
    <w:rsid w:val="000416D4"/>
    <w:rsid w:val="00041BEC"/>
    <w:rsid w:val="000429F5"/>
    <w:rsid w:val="000447EF"/>
    <w:rsid w:val="000451B3"/>
    <w:rsid w:val="000479B7"/>
    <w:rsid w:val="00050739"/>
    <w:rsid w:val="00050C49"/>
    <w:rsid w:val="00051163"/>
    <w:rsid w:val="0005157E"/>
    <w:rsid w:val="0005198D"/>
    <w:rsid w:val="00052EC5"/>
    <w:rsid w:val="000546ED"/>
    <w:rsid w:val="000573ED"/>
    <w:rsid w:val="00057E32"/>
    <w:rsid w:val="00061CA5"/>
    <w:rsid w:val="00062604"/>
    <w:rsid w:val="000633AF"/>
    <w:rsid w:val="0006599D"/>
    <w:rsid w:val="00066500"/>
    <w:rsid w:val="0006676D"/>
    <w:rsid w:val="000708A3"/>
    <w:rsid w:val="00076C7E"/>
    <w:rsid w:val="00077C34"/>
    <w:rsid w:val="000801EE"/>
    <w:rsid w:val="0008186D"/>
    <w:rsid w:val="00081F67"/>
    <w:rsid w:val="0008287F"/>
    <w:rsid w:val="00082C5D"/>
    <w:rsid w:val="00082EE7"/>
    <w:rsid w:val="0008395E"/>
    <w:rsid w:val="0008544C"/>
    <w:rsid w:val="000856DB"/>
    <w:rsid w:val="00085F58"/>
    <w:rsid w:val="0008691E"/>
    <w:rsid w:val="00087466"/>
    <w:rsid w:val="000912E9"/>
    <w:rsid w:val="00091716"/>
    <w:rsid w:val="00092E15"/>
    <w:rsid w:val="00093905"/>
    <w:rsid w:val="00094C1E"/>
    <w:rsid w:val="0009542A"/>
    <w:rsid w:val="000969D7"/>
    <w:rsid w:val="000971CC"/>
    <w:rsid w:val="00097954"/>
    <w:rsid w:val="000A195C"/>
    <w:rsid w:val="000A3989"/>
    <w:rsid w:val="000A70A2"/>
    <w:rsid w:val="000B51D3"/>
    <w:rsid w:val="000B53B7"/>
    <w:rsid w:val="000B7B68"/>
    <w:rsid w:val="000C0376"/>
    <w:rsid w:val="000C0E34"/>
    <w:rsid w:val="000C112D"/>
    <w:rsid w:val="000C6426"/>
    <w:rsid w:val="000C6E14"/>
    <w:rsid w:val="000D767D"/>
    <w:rsid w:val="000E33A5"/>
    <w:rsid w:val="000E4D17"/>
    <w:rsid w:val="000E587F"/>
    <w:rsid w:val="000E7EE3"/>
    <w:rsid w:val="000F04D6"/>
    <w:rsid w:val="000F0845"/>
    <w:rsid w:val="000F0993"/>
    <w:rsid w:val="000F2DEC"/>
    <w:rsid w:val="000F2E1A"/>
    <w:rsid w:val="000F3A90"/>
    <w:rsid w:val="000F3B62"/>
    <w:rsid w:val="000F4729"/>
    <w:rsid w:val="000F4CA6"/>
    <w:rsid w:val="000F54DA"/>
    <w:rsid w:val="000F73F4"/>
    <w:rsid w:val="000F7A62"/>
    <w:rsid w:val="0010697C"/>
    <w:rsid w:val="001111D5"/>
    <w:rsid w:val="0011264D"/>
    <w:rsid w:val="00114883"/>
    <w:rsid w:val="00115282"/>
    <w:rsid w:val="001178B9"/>
    <w:rsid w:val="00120D59"/>
    <w:rsid w:val="00121717"/>
    <w:rsid w:val="001230AB"/>
    <w:rsid w:val="001234F8"/>
    <w:rsid w:val="00123B79"/>
    <w:rsid w:val="00124B1D"/>
    <w:rsid w:val="00124DA8"/>
    <w:rsid w:val="00126FF3"/>
    <w:rsid w:val="00130B93"/>
    <w:rsid w:val="00130FAE"/>
    <w:rsid w:val="00132488"/>
    <w:rsid w:val="00132809"/>
    <w:rsid w:val="00132CED"/>
    <w:rsid w:val="001330AC"/>
    <w:rsid w:val="00134122"/>
    <w:rsid w:val="001366A5"/>
    <w:rsid w:val="0013717C"/>
    <w:rsid w:val="00143611"/>
    <w:rsid w:val="00143897"/>
    <w:rsid w:val="001441D4"/>
    <w:rsid w:val="00145CAC"/>
    <w:rsid w:val="00145E8B"/>
    <w:rsid w:val="00146685"/>
    <w:rsid w:val="00146BE0"/>
    <w:rsid w:val="001470FC"/>
    <w:rsid w:val="00153124"/>
    <w:rsid w:val="00153200"/>
    <w:rsid w:val="001550DE"/>
    <w:rsid w:val="001554AC"/>
    <w:rsid w:val="0016022C"/>
    <w:rsid w:val="0016683F"/>
    <w:rsid w:val="00166D8A"/>
    <w:rsid w:val="00166E91"/>
    <w:rsid w:val="001707BC"/>
    <w:rsid w:val="001713E1"/>
    <w:rsid w:val="00172B47"/>
    <w:rsid w:val="00172FDF"/>
    <w:rsid w:val="00175089"/>
    <w:rsid w:val="00177C05"/>
    <w:rsid w:val="00183D6B"/>
    <w:rsid w:val="00187562"/>
    <w:rsid w:val="00187AA5"/>
    <w:rsid w:val="00191012"/>
    <w:rsid w:val="00195D6E"/>
    <w:rsid w:val="001962B2"/>
    <w:rsid w:val="0019788A"/>
    <w:rsid w:val="00197C74"/>
    <w:rsid w:val="001A00C2"/>
    <w:rsid w:val="001A07F5"/>
    <w:rsid w:val="001A0A82"/>
    <w:rsid w:val="001A1196"/>
    <w:rsid w:val="001A309F"/>
    <w:rsid w:val="001B0056"/>
    <w:rsid w:val="001B0AA8"/>
    <w:rsid w:val="001B3A76"/>
    <w:rsid w:val="001B3BD8"/>
    <w:rsid w:val="001B407E"/>
    <w:rsid w:val="001C0DA6"/>
    <w:rsid w:val="001C3B8B"/>
    <w:rsid w:val="001C5D0E"/>
    <w:rsid w:val="001C7DB0"/>
    <w:rsid w:val="001C7EE0"/>
    <w:rsid w:val="001D25B3"/>
    <w:rsid w:val="001D32FD"/>
    <w:rsid w:val="001D57A8"/>
    <w:rsid w:val="001D6056"/>
    <w:rsid w:val="001D6CB2"/>
    <w:rsid w:val="001E0AE5"/>
    <w:rsid w:val="001E11F8"/>
    <w:rsid w:val="001E34C4"/>
    <w:rsid w:val="001E44A5"/>
    <w:rsid w:val="001E4705"/>
    <w:rsid w:val="001E6508"/>
    <w:rsid w:val="001E6EE4"/>
    <w:rsid w:val="001E7018"/>
    <w:rsid w:val="001F5646"/>
    <w:rsid w:val="001F5D1C"/>
    <w:rsid w:val="001F5D80"/>
    <w:rsid w:val="001F6013"/>
    <w:rsid w:val="00200CB6"/>
    <w:rsid w:val="0020310D"/>
    <w:rsid w:val="00203CE1"/>
    <w:rsid w:val="002050B8"/>
    <w:rsid w:val="002066AB"/>
    <w:rsid w:val="002073D8"/>
    <w:rsid w:val="00207E31"/>
    <w:rsid w:val="00214167"/>
    <w:rsid w:val="002158F0"/>
    <w:rsid w:val="00216AAA"/>
    <w:rsid w:val="0021701D"/>
    <w:rsid w:val="002219E4"/>
    <w:rsid w:val="00224167"/>
    <w:rsid w:val="00225473"/>
    <w:rsid w:val="00227511"/>
    <w:rsid w:val="002327B7"/>
    <w:rsid w:val="00232D89"/>
    <w:rsid w:val="00233BFF"/>
    <w:rsid w:val="00236705"/>
    <w:rsid w:val="002374FC"/>
    <w:rsid w:val="0024416C"/>
    <w:rsid w:val="00245637"/>
    <w:rsid w:val="0024590C"/>
    <w:rsid w:val="0025032A"/>
    <w:rsid w:val="002509C7"/>
    <w:rsid w:val="00250F13"/>
    <w:rsid w:val="002517C3"/>
    <w:rsid w:val="00252DF4"/>
    <w:rsid w:val="002576A4"/>
    <w:rsid w:val="002607F9"/>
    <w:rsid w:val="00262355"/>
    <w:rsid w:val="00262474"/>
    <w:rsid w:val="00262C1B"/>
    <w:rsid w:val="00264407"/>
    <w:rsid w:val="00264A0D"/>
    <w:rsid w:val="0026583A"/>
    <w:rsid w:val="00265F27"/>
    <w:rsid w:val="00267D64"/>
    <w:rsid w:val="002758E8"/>
    <w:rsid w:val="002775C8"/>
    <w:rsid w:val="00281B3C"/>
    <w:rsid w:val="002823B2"/>
    <w:rsid w:val="00282CF0"/>
    <w:rsid w:val="00282D24"/>
    <w:rsid w:val="002838CA"/>
    <w:rsid w:val="00285221"/>
    <w:rsid w:val="00285B0A"/>
    <w:rsid w:val="00287853"/>
    <w:rsid w:val="00290D5B"/>
    <w:rsid w:val="002917A1"/>
    <w:rsid w:val="002926A1"/>
    <w:rsid w:val="002969A4"/>
    <w:rsid w:val="00297ADC"/>
    <w:rsid w:val="002A0A07"/>
    <w:rsid w:val="002A0D91"/>
    <w:rsid w:val="002A2DAE"/>
    <w:rsid w:val="002A6860"/>
    <w:rsid w:val="002B0D06"/>
    <w:rsid w:val="002B1B97"/>
    <w:rsid w:val="002B45A5"/>
    <w:rsid w:val="002B5EB1"/>
    <w:rsid w:val="002B60BD"/>
    <w:rsid w:val="002B7233"/>
    <w:rsid w:val="002C1474"/>
    <w:rsid w:val="002C2EDA"/>
    <w:rsid w:val="002C613D"/>
    <w:rsid w:val="002D0517"/>
    <w:rsid w:val="002D2174"/>
    <w:rsid w:val="002D290E"/>
    <w:rsid w:val="002D381E"/>
    <w:rsid w:val="002D6015"/>
    <w:rsid w:val="002D65AA"/>
    <w:rsid w:val="002E2930"/>
    <w:rsid w:val="002E3358"/>
    <w:rsid w:val="002E3E13"/>
    <w:rsid w:val="002E6800"/>
    <w:rsid w:val="002E772C"/>
    <w:rsid w:val="002E7AE4"/>
    <w:rsid w:val="002F0031"/>
    <w:rsid w:val="002F05F2"/>
    <w:rsid w:val="002F12E4"/>
    <w:rsid w:val="002F3AC6"/>
    <w:rsid w:val="002F3B14"/>
    <w:rsid w:val="003008D3"/>
    <w:rsid w:val="003013A2"/>
    <w:rsid w:val="003016BB"/>
    <w:rsid w:val="003027F2"/>
    <w:rsid w:val="00303799"/>
    <w:rsid w:val="00307A76"/>
    <w:rsid w:val="00312612"/>
    <w:rsid w:val="0031454E"/>
    <w:rsid w:val="00315045"/>
    <w:rsid w:val="00315F75"/>
    <w:rsid w:val="00316D1A"/>
    <w:rsid w:val="003205FD"/>
    <w:rsid w:val="003231FA"/>
    <w:rsid w:val="00325E05"/>
    <w:rsid w:val="00326A0D"/>
    <w:rsid w:val="00330AD1"/>
    <w:rsid w:val="0033221F"/>
    <w:rsid w:val="003324C4"/>
    <w:rsid w:val="00336D43"/>
    <w:rsid w:val="00337594"/>
    <w:rsid w:val="00337B1C"/>
    <w:rsid w:val="003409E3"/>
    <w:rsid w:val="003427EA"/>
    <w:rsid w:val="003433F8"/>
    <w:rsid w:val="003453C3"/>
    <w:rsid w:val="00347FF1"/>
    <w:rsid w:val="00350684"/>
    <w:rsid w:val="00352830"/>
    <w:rsid w:val="00354915"/>
    <w:rsid w:val="00355281"/>
    <w:rsid w:val="00355B46"/>
    <w:rsid w:val="00355C39"/>
    <w:rsid w:val="003566E8"/>
    <w:rsid w:val="00360698"/>
    <w:rsid w:val="00360A04"/>
    <w:rsid w:val="00360DC2"/>
    <w:rsid w:val="00363784"/>
    <w:rsid w:val="00366A71"/>
    <w:rsid w:val="00366D7A"/>
    <w:rsid w:val="00366ECD"/>
    <w:rsid w:val="003672F4"/>
    <w:rsid w:val="00367E00"/>
    <w:rsid w:val="003701DC"/>
    <w:rsid w:val="00370326"/>
    <w:rsid w:val="003713F3"/>
    <w:rsid w:val="00371B3D"/>
    <w:rsid w:val="00374836"/>
    <w:rsid w:val="00375FCB"/>
    <w:rsid w:val="003823C2"/>
    <w:rsid w:val="00385C54"/>
    <w:rsid w:val="003910F5"/>
    <w:rsid w:val="00392547"/>
    <w:rsid w:val="003A014E"/>
    <w:rsid w:val="003A0674"/>
    <w:rsid w:val="003A2BE1"/>
    <w:rsid w:val="003A7081"/>
    <w:rsid w:val="003A74FB"/>
    <w:rsid w:val="003B054A"/>
    <w:rsid w:val="003B0703"/>
    <w:rsid w:val="003B09A0"/>
    <w:rsid w:val="003B3EF9"/>
    <w:rsid w:val="003B41FA"/>
    <w:rsid w:val="003B5D00"/>
    <w:rsid w:val="003B62AB"/>
    <w:rsid w:val="003C17C1"/>
    <w:rsid w:val="003C77C5"/>
    <w:rsid w:val="003C7EC4"/>
    <w:rsid w:val="003D003E"/>
    <w:rsid w:val="003D0EEE"/>
    <w:rsid w:val="003D1F52"/>
    <w:rsid w:val="003D2170"/>
    <w:rsid w:val="003D26E8"/>
    <w:rsid w:val="003D3A71"/>
    <w:rsid w:val="003D3AEE"/>
    <w:rsid w:val="003D44AD"/>
    <w:rsid w:val="003D453C"/>
    <w:rsid w:val="003D497F"/>
    <w:rsid w:val="003D4BD1"/>
    <w:rsid w:val="003D4D4A"/>
    <w:rsid w:val="003D5E0D"/>
    <w:rsid w:val="003D6177"/>
    <w:rsid w:val="003D622B"/>
    <w:rsid w:val="003D71CB"/>
    <w:rsid w:val="003D7A35"/>
    <w:rsid w:val="003E09B6"/>
    <w:rsid w:val="003E0A8C"/>
    <w:rsid w:val="003E1AB9"/>
    <w:rsid w:val="003E1FBA"/>
    <w:rsid w:val="003E25C4"/>
    <w:rsid w:val="003E4CF1"/>
    <w:rsid w:val="003E7A8A"/>
    <w:rsid w:val="003F0AEA"/>
    <w:rsid w:val="003F0E35"/>
    <w:rsid w:val="003F1C9D"/>
    <w:rsid w:val="003F4976"/>
    <w:rsid w:val="003F50AC"/>
    <w:rsid w:val="003F579E"/>
    <w:rsid w:val="003F6800"/>
    <w:rsid w:val="003F79B6"/>
    <w:rsid w:val="00400120"/>
    <w:rsid w:val="00400493"/>
    <w:rsid w:val="00407049"/>
    <w:rsid w:val="00407EBA"/>
    <w:rsid w:val="0041023B"/>
    <w:rsid w:val="0041462B"/>
    <w:rsid w:val="0041565F"/>
    <w:rsid w:val="004158E1"/>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2D8A"/>
    <w:rsid w:val="0045447F"/>
    <w:rsid w:val="00455552"/>
    <w:rsid w:val="004558AA"/>
    <w:rsid w:val="00455E9B"/>
    <w:rsid w:val="00456484"/>
    <w:rsid w:val="004629F3"/>
    <w:rsid w:val="00462A3F"/>
    <w:rsid w:val="00467C91"/>
    <w:rsid w:val="00467CC5"/>
    <w:rsid w:val="00470A11"/>
    <w:rsid w:val="00472002"/>
    <w:rsid w:val="004739F8"/>
    <w:rsid w:val="00477307"/>
    <w:rsid w:val="00480006"/>
    <w:rsid w:val="00480CF0"/>
    <w:rsid w:val="004811DB"/>
    <w:rsid w:val="00481F84"/>
    <w:rsid w:val="00483791"/>
    <w:rsid w:val="004837FC"/>
    <w:rsid w:val="00483FF8"/>
    <w:rsid w:val="00484085"/>
    <w:rsid w:val="004850A5"/>
    <w:rsid w:val="004915A0"/>
    <w:rsid w:val="0049735F"/>
    <w:rsid w:val="004A00C8"/>
    <w:rsid w:val="004A024A"/>
    <w:rsid w:val="004A1C3A"/>
    <w:rsid w:val="004A1D07"/>
    <w:rsid w:val="004A1E7A"/>
    <w:rsid w:val="004A2D06"/>
    <w:rsid w:val="004A35C0"/>
    <w:rsid w:val="004A3E18"/>
    <w:rsid w:val="004A405F"/>
    <w:rsid w:val="004A4A78"/>
    <w:rsid w:val="004A4C6B"/>
    <w:rsid w:val="004B367E"/>
    <w:rsid w:val="004B3DB6"/>
    <w:rsid w:val="004B49C6"/>
    <w:rsid w:val="004C1AE9"/>
    <w:rsid w:val="004C3C43"/>
    <w:rsid w:val="004C495D"/>
    <w:rsid w:val="004D1F58"/>
    <w:rsid w:val="004D47A6"/>
    <w:rsid w:val="004D6B97"/>
    <w:rsid w:val="004D773D"/>
    <w:rsid w:val="004E22D7"/>
    <w:rsid w:val="004E26B4"/>
    <w:rsid w:val="004E644C"/>
    <w:rsid w:val="004E7B14"/>
    <w:rsid w:val="004E7BAF"/>
    <w:rsid w:val="004F005B"/>
    <w:rsid w:val="004F021C"/>
    <w:rsid w:val="004F261C"/>
    <w:rsid w:val="004F397B"/>
    <w:rsid w:val="004F3BE6"/>
    <w:rsid w:val="004F3D48"/>
    <w:rsid w:val="004F6895"/>
    <w:rsid w:val="004F6F04"/>
    <w:rsid w:val="004F70CE"/>
    <w:rsid w:val="0050020C"/>
    <w:rsid w:val="005023A5"/>
    <w:rsid w:val="005023F6"/>
    <w:rsid w:val="00502AF9"/>
    <w:rsid w:val="00504A2D"/>
    <w:rsid w:val="005057FB"/>
    <w:rsid w:val="00505BF1"/>
    <w:rsid w:val="00510908"/>
    <w:rsid w:val="00511B6A"/>
    <w:rsid w:val="00512410"/>
    <w:rsid w:val="0051737E"/>
    <w:rsid w:val="00517F19"/>
    <w:rsid w:val="005207EA"/>
    <w:rsid w:val="0052118D"/>
    <w:rsid w:val="00522D49"/>
    <w:rsid w:val="00523424"/>
    <w:rsid w:val="00524BA0"/>
    <w:rsid w:val="00525371"/>
    <w:rsid w:val="00525B11"/>
    <w:rsid w:val="00525D0D"/>
    <w:rsid w:val="0052684A"/>
    <w:rsid w:val="00530971"/>
    <w:rsid w:val="005327B2"/>
    <w:rsid w:val="00536D15"/>
    <w:rsid w:val="0054015E"/>
    <w:rsid w:val="0054102B"/>
    <w:rsid w:val="00545CB0"/>
    <w:rsid w:val="00545D79"/>
    <w:rsid w:val="00546DC5"/>
    <w:rsid w:val="00553EDB"/>
    <w:rsid w:val="0055717E"/>
    <w:rsid w:val="00557AED"/>
    <w:rsid w:val="005608DD"/>
    <w:rsid w:val="005615C2"/>
    <w:rsid w:val="00563992"/>
    <w:rsid w:val="00564FED"/>
    <w:rsid w:val="005659CD"/>
    <w:rsid w:val="00565BAB"/>
    <w:rsid w:val="00566937"/>
    <w:rsid w:val="005669B5"/>
    <w:rsid w:val="005713DD"/>
    <w:rsid w:val="00571991"/>
    <w:rsid w:val="0057264C"/>
    <w:rsid w:val="005739ED"/>
    <w:rsid w:val="00574569"/>
    <w:rsid w:val="00574CBC"/>
    <w:rsid w:val="00575DAD"/>
    <w:rsid w:val="00576C07"/>
    <w:rsid w:val="00580D82"/>
    <w:rsid w:val="005814C5"/>
    <w:rsid w:val="00585BFB"/>
    <w:rsid w:val="005927A1"/>
    <w:rsid w:val="005941F8"/>
    <w:rsid w:val="005A08E9"/>
    <w:rsid w:val="005A0A12"/>
    <w:rsid w:val="005A1D95"/>
    <w:rsid w:val="005A1E2E"/>
    <w:rsid w:val="005A2F1E"/>
    <w:rsid w:val="005A3125"/>
    <w:rsid w:val="005A4EBE"/>
    <w:rsid w:val="005A63BE"/>
    <w:rsid w:val="005A7878"/>
    <w:rsid w:val="005B280B"/>
    <w:rsid w:val="005B2E00"/>
    <w:rsid w:val="005B383D"/>
    <w:rsid w:val="005B3EB4"/>
    <w:rsid w:val="005B457A"/>
    <w:rsid w:val="005B4E0C"/>
    <w:rsid w:val="005B51D4"/>
    <w:rsid w:val="005B730A"/>
    <w:rsid w:val="005B7DDF"/>
    <w:rsid w:val="005C3D15"/>
    <w:rsid w:val="005C3E40"/>
    <w:rsid w:val="005C4D9F"/>
    <w:rsid w:val="005C5A65"/>
    <w:rsid w:val="005C7F1A"/>
    <w:rsid w:val="005D1CC6"/>
    <w:rsid w:val="005D4004"/>
    <w:rsid w:val="005D5AE1"/>
    <w:rsid w:val="005D5DCE"/>
    <w:rsid w:val="005D62AC"/>
    <w:rsid w:val="005D6E09"/>
    <w:rsid w:val="005D7888"/>
    <w:rsid w:val="005D7EE3"/>
    <w:rsid w:val="005E11E5"/>
    <w:rsid w:val="005E5E10"/>
    <w:rsid w:val="00600F54"/>
    <w:rsid w:val="006011CB"/>
    <w:rsid w:val="006029B6"/>
    <w:rsid w:val="006032B2"/>
    <w:rsid w:val="00603E59"/>
    <w:rsid w:val="00605BBC"/>
    <w:rsid w:val="00605FFC"/>
    <w:rsid w:val="006062B5"/>
    <w:rsid w:val="006072AD"/>
    <w:rsid w:val="00607839"/>
    <w:rsid w:val="006102E2"/>
    <w:rsid w:val="00610824"/>
    <w:rsid w:val="00610EC5"/>
    <w:rsid w:val="00611060"/>
    <w:rsid w:val="006117AB"/>
    <w:rsid w:val="00612264"/>
    <w:rsid w:val="00612BED"/>
    <w:rsid w:val="00614315"/>
    <w:rsid w:val="006204F2"/>
    <w:rsid w:val="006214DB"/>
    <w:rsid w:val="00623458"/>
    <w:rsid w:val="00625E9C"/>
    <w:rsid w:val="00626B11"/>
    <w:rsid w:val="006277A2"/>
    <w:rsid w:val="0063208B"/>
    <w:rsid w:val="00634CD1"/>
    <w:rsid w:val="0063561C"/>
    <w:rsid w:val="00636395"/>
    <w:rsid w:val="006406EC"/>
    <w:rsid w:val="00643973"/>
    <w:rsid w:val="0064433F"/>
    <w:rsid w:val="00644E5E"/>
    <w:rsid w:val="00650494"/>
    <w:rsid w:val="00653A71"/>
    <w:rsid w:val="0065439D"/>
    <w:rsid w:val="0065462D"/>
    <w:rsid w:val="00655BDC"/>
    <w:rsid w:val="00662406"/>
    <w:rsid w:val="006647AC"/>
    <w:rsid w:val="00664AB7"/>
    <w:rsid w:val="006672A0"/>
    <w:rsid w:val="0066738E"/>
    <w:rsid w:val="0067022C"/>
    <w:rsid w:val="00670C28"/>
    <w:rsid w:val="006725C3"/>
    <w:rsid w:val="00674F8B"/>
    <w:rsid w:val="006755BA"/>
    <w:rsid w:val="0067722E"/>
    <w:rsid w:val="00677BE3"/>
    <w:rsid w:val="00681662"/>
    <w:rsid w:val="00682E30"/>
    <w:rsid w:val="00683825"/>
    <w:rsid w:val="00687B02"/>
    <w:rsid w:val="00695439"/>
    <w:rsid w:val="00696C06"/>
    <w:rsid w:val="006A3349"/>
    <w:rsid w:val="006A366F"/>
    <w:rsid w:val="006A506B"/>
    <w:rsid w:val="006B0AA6"/>
    <w:rsid w:val="006B5126"/>
    <w:rsid w:val="006B5D30"/>
    <w:rsid w:val="006B69F1"/>
    <w:rsid w:val="006C01B6"/>
    <w:rsid w:val="006C0688"/>
    <w:rsid w:val="006C11D7"/>
    <w:rsid w:val="006C3E07"/>
    <w:rsid w:val="006C4545"/>
    <w:rsid w:val="006C529A"/>
    <w:rsid w:val="006C6A25"/>
    <w:rsid w:val="006C6D1A"/>
    <w:rsid w:val="006D2641"/>
    <w:rsid w:val="006D3A06"/>
    <w:rsid w:val="006D71FD"/>
    <w:rsid w:val="006D752E"/>
    <w:rsid w:val="006D7B63"/>
    <w:rsid w:val="006E0AD0"/>
    <w:rsid w:val="006E1815"/>
    <w:rsid w:val="006E60CB"/>
    <w:rsid w:val="006E626A"/>
    <w:rsid w:val="006E776B"/>
    <w:rsid w:val="006F2F10"/>
    <w:rsid w:val="006F31DD"/>
    <w:rsid w:val="006F5E41"/>
    <w:rsid w:val="00703C4E"/>
    <w:rsid w:val="0070712A"/>
    <w:rsid w:val="00710678"/>
    <w:rsid w:val="00711180"/>
    <w:rsid w:val="00712C0E"/>
    <w:rsid w:val="00717616"/>
    <w:rsid w:val="00720691"/>
    <w:rsid w:val="00721984"/>
    <w:rsid w:val="007225B8"/>
    <w:rsid w:val="00723CF9"/>
    <w:rsid w:val="00724826"/>
    <w:rsid w:val="0072560E"/>
    <w:rsid w:val="0072632C"/>
    <w:rsid w:val="00726C5C"/>
    <w:rsid w:val="00726F4F"/>
    <w:rsid w:val="00727895"/>
    <w:rsid w:val="007317EA"/>
    <w:rsid w:val="00731B31"/>
    <w:rsid w:val="00733B9C"/>
    <w:rsid w:val="00734774"/>
    <w:rsid w:val="007359BC"/>
    <w:rsid w:val="007400A5"/>
    <w:rsid w:val="00740588"/>
    <w:rsid w:val="00741F6C"/>
    <w:rsid w:val="007435AF"/>
    <w:rsid w:val="00744154"/>
    <w:rsid w:val="00744740"/>
    <w:rsid w:val="007467FB"/>
    <w:rsid w:val="00747F35"/>
    <w:rsid w:val="00750DE8"/>
    <w:rsid w:val="007512A5"/>
    <w:rsid w:val="00753CA3"/>
    <w:rsid w:val="007541A7"/>
    <w:rsid w:val="0075637F"/>
    <w:rsid w:val="00756B59"/>
    <w:rsid w:val="007646DC"/>
    <w:rsid w:val="00764872"/>
    <w:rsid w:val="00765EA1"/>
    <w:rsid w:val="00766E84"/>
    <w:rsid w:val="00771DFD"/>
    <w:rsid w:val="00773629"/>
    <w:rsid w:val="00775F7A"/>
    <w:rsid w:val="007770F6"/>
    <w:rsid w:val="00777114"/>
    <w:rsid w:val="0077789B"/>
    <w:rsid w:val="00783AC0"/>
    <w:rsid w:val="00784B58"/>
    <w:rsid w:val="0078580E"/>
    <w:rsid w:val="00790C75"/>
    <w:rsid w:val="007938DD"/>
    <w:rsid w:val="00794CE1"/>
    <w:rsid w:val="00796BA8"/>
    <w:rsid w:val="00797EAE"/>
    <w:rsid w:val="007A07EA"/>
    <w:rsid w:val="007A16DF"/>
    <w:rsid w:val="007A2EB6"/>
    <w:rsid w:val="007A5001"/>
    <w:rsid w:val="007A71AE"/>
    <w:rsid w:val="007A7A34"/>
    <w:rsid w:val="007A7C79"/>
    <w:rsid w:val="007B4C61"/>
    <w:rsid w:val="007B4CE2"/>
    <w:rsid w:val="007B7DBB"/>
    <w:rsid w:val="007C01AF"/>
    <w:rsid w:val="007C33D5"/>
    <w:rsid w:val="007C39EF"/>
    <w:rsid w:val="007C544E"/>
    <w:rsid w:val="007C5EB9"/>
    <w:rsid w:val="007C7368"/>
    <w:rsid w:val="007D113D"/>
    <w:rsid w:val="007D1469"/>
    <w:rsid w:val="007D2C3C"/>
    <w:rsid w:val="007D386C"/>
    <w:rsid w:val="007D56E5"/>
    <w:rsid w:val="007D603A"/>
    <w:rsid w:val="007D6228"/>
    <w:rsid w:val="007D710B"/>
    <w:rsid w:val="007E1B8E"/>
    <w:rsid w:val="007E2D21"/>
    <w:rsid w:val="007E490E"/>
    <w:rsid w:val="007E4CCA"/>
    <w:rsid w:val="007E4D17"/>
    <w:rsid w:val="007E574A"/>
    <w:rsid w:val="007E61F7"/>
    <w:rsid w:val="007E620F"/>
    <w:rsid w:val="007E6E7D"/>
    <w:rsid w:val="007E7FA9"/>
    <w:rsid w:val="007F0605"/>
    <w:rsid w:val="007F2520"/>
    <w:rsid w:val="007F3ADC"/>
    <w:rsid w:val="007F572B"/>
    <w:rsid w:val="007F5A6E"/>
    <w:rsid w:val="007F64CD"/>
    <w:rsid w:val="007F6F7C"/>
    <w:rsid w:val="007F70C5"/>
    <w:rsid w:val="007F74AE"/>
    <w:rsid w:val="0080045C"/>
    <w:rsid w:val="00803300"/>
    <w:rsid w:val="008033A2"/>
    <w:rsid w:val="00805FFD"/>
    <w:rsid w:val="00807217"/>
    <w:rsid w:val="0080794F"/>
    <w:rsid w:val="00811271"/>
    <w:rsid w:val="00812E1E"/>
    <w:rsid w:val="00815DC4"/>
    <w:rsid w:val="00816090"/>
    <w:rsid w:val="008160AD"/>
    <w:rsid w:val="00816E9D"/>
    <w:rsid w:val="00817E30"/>
    <w:rsid w:val="00821551"/>
    <w:rsid w:val="00821F4E"/>
    <w:rsid w:val="00822502"/>
    <w:rsid w:val="00822CC7"/>
    <w:rsid w:val="00826D3E"/>
    <w:rsid w:val="0082776B"/>
    <w:rsid w:val="008311E5"/>
    <w:rsid w:val="00832E0D"/>
    <w:rsid w:val="008335B9"/>
    <w:rsid w:val="0083396E"/>
    <w:rsid w:val="00835DA3"/>
    <w:rsid w:val="00837986"/>
    <w:rsid w:val="00841F89"/>
    <w:rsid w:val="008441EB"/>
    <w:rsid w:val="0084488A"/>
    <w:rsid w:val="008449BC"/>
    <w:rsid w:val="00846970"/>
    <w:rsid w:val="00846A72"/>
    <w:rsid w:val="00846F55"/>
    <w:rsid w:val="008473EA"/>
    <w:rsid w:val="0084758C"/>
    <w:rsid w:val="00850841"/>
    <w:rsid w:val="0085180E"/>
    <w:rsid w:val="00851A91"/>
    <w:rsid w:val="00852899"/>
    <w:rsid w:val="00853CC0"/>
    <w:rsid w:val="00855F54"/>
    <w:rsid w:val="00856AD8"/>
    <w:rsid w:val="0085794E"/>
    <w:rsid w:val="00860BFE"/>
    <w:rsid w:val="00862F4F"/>
    <w:rsid w:val="0086300D"/>
    <w:rsid w:val="008631BE"/>
    <w:rsid w:val="00863227"/>
    <w:rsid w:val="0086390F"/>
    <w:rsid w:val="00863AF0"/>
    <w:rsid w:val="0086479D"/>
    <w:rsid w:val="00865BB1"/>
    <w:rsid w:val="0087046F"/>
    <w:rsid w:val="008706EA"/>
    <w:rsid w:val="0087220B"/>
    <w:rsid w:val="0087460B"/>
    <w:rsid w:val="008827FD"/>
    <w:rsid w:val="00882DC6"/>
    <w:rsid w:val="008842BC"/>
    <w:rsid w:val="00886103"/>
    <w:rsid w:val="0088713F"/>
    <w:rsid w:val="00890F05"/>
    <w:rsid w:val="008928E2"/>
    <w:rsid w:val="008936DE"/>
    <w:rsid w:val="00894B41"/>
    <w:rsid w:val="008A1D58"/>
    <w:rsid w:val="008A2B1B"/>
    <w:rsid w:val="008A6420"/>
    <w:rsid w:val="008B124F"/>
    <w:rsid w:val="008B1610"/>
    <w:rsid w:val="008B3895"/>
    <w:rsid w:val="008B39FA"/>
    <w:rsid w:val="008B422A"/>
    <w:rsid w:val="008B5562"/>
    <w:rsid w:val="008B667D"/>
    <w:rsid w:val="008C09EB"/>
    <w:rsid w:val="008C0EA6"/>
    <w:rsid w:val="008C2B0A"/>
    <w:rsid w:val="008C2B9F"/>
    <w:rsid w:val="008C3218"/>
    <w:rsid w:val="008C451B"/>
    <w:rsid w:val="008C4D3B"/>
    <w:rsid w:val="008C67FA"/>
    <w:rsid w:val="008C7F9D"/>
    <w:rsid w:val="008D1305"/>
    <w:rsid w:val="008D4E21"/>
    <w:rsid w:val="008D56BE"/>
    <w:rsid w:val="008D5ACA"/>
    <w:rsid w:val="008D60F5"/>
    <w:rsid w:val="008D61C8"/>
    <w:rsid w:val="008D69DD"/>
    <w:rsid w:val="008D7596"/>
    <w:rsid w:val="008E095E"/>
    <w:rsid w:val="008E4752"/>
    <w:rsid w:val="008E783B"/>
    <w:rsid w:val="008F0472"/>
    <w:rsid w:val="008F0FD2"/>
    <w:rsid w:val="008F3CE7"/>
    <w:rsid w:val="008F4A8B"/>
    <w:rsid w:val="008F5287"/>
    <w:rsid w:val="008F5C5C"/>
    <w:rsid w:val="008F77CA"/>
    <w:rsid w:val="008F7D3F"/>
    <w:rsid w:val="008F7DBE"/>
    <w:rsid w:val="009041CC"/>
    <w:rsid w:val="00904627"/>
    <w:rsid w:val="00905360"/>
    <w:rsid w:val="00905B74"/>
    <w:rsid w:val="009072A4"/>
    <w:rsid w:val="00907F99"/>
    <w:rsid w:val="009118E4"/>
    <w:rsid w:val="0091221A"/>
    <w:rsid w:val="00912B0D"/>
    <w:rsid w:val="00912B53"/>
    <w:rsid w:val="00914189"/>
    <w:rsid w:val="00914290"/>
    <w:rsid w:val="00914335"/>
    <w:rsid w:val="00914338"/>
    <w:rsid w:val="00914F13"/>
    <w:rsid w:val="00915004"/>
    <w:rsid w:val="009158D2"/>
    <w:rsid w:val="00917558"/>
    <w:rsid w:val="009210CD"/>
    <w:rsid w:val="00921762"/>
    <w:rsid w:val="009233BC"/>
    <w:rsid w:val="009244B4"/>
    <w:rsid w:val="00924BEE"/>
    <w:rsid w:val="009308B7"/>
    <w:rsid w:val="009324A6"/>
    <w:rsid w:val="00933776"/>
    <w:rsid w:val="009363D4"/>
    <w:rsid w:val="00940845"/>
    <w:rsid w:val="00940A43"/>
    <w:rsid w:val="00941AAB"/>
    <w:rsid w:val="00942257"/>
    <w:rsid w:val="009432E1"/>
    <w:rsid w:val="00943660"/>
    <w:rsid w:val="009438EE"/>
    <w:rsid w:val="00943F15"/>
    <w:rsid w:val="00945138"/>
    <w:rsid w:val="0094644B"/>
    <w:rsid w:val="00952A18"/>
    <w:rsid w:val="00953782"/>
    <w:rsid w:val="00953A07"/>
    <w:rsid w:val="00955512"/>
    <w:rsid w:val="009559BC"/>
    <w:rsid w:val="0096037A"/>
    <w:rsid w:val="00960DE3"/>
    <w:rsid w:val="00967F72"/>
    <w:rsid w:val="009701AE"/>
    <w:rsid w:val="009723FE"/>
    <w:rsid w:val="0097307E"/>
    <w:rsid w:val="0097320D"/>
    <w:rsid w:val="009811EB"/>
    <w:rsid w:val="00981388"/>
    <w:rsid w:val="0098152B"/>
    <w:rsid w:val="009818FF"/>
    <w:rsid w:val="00981F12"/>
    <w:rsid w:val="009820D5"/>
    <w:rsid w:val="009841F9"/>
    <w:rsid w:val="0098478C"/>
    <w:rsid w:val="00984C21"/>
    <w:rsid w:val="00986BEB"/>
    <w:rsid w:val="00994B45"/>
    <w:rsid w:val="009950B0"/>
    <w:rsid w:val="009A418A"/>
    <w:rsid w:val="009A4C9E"/>
    <w:rsid w:val="009A515C"/>
    <w:rsid w:val="009A5537"/>
    <w:rsid w:val="009A619E"/>
    <w:rsid w:val="009B02AD"/>
    <w:rsid w:val="009B0E02"/>
    <w:rsid w:val="009B0EE6"/>
    <w:rsid w:val="009B1CA4"/>
    <w:rsid w:val="009B6A16"/>
    <w:rsid w:val="009C0505"/>
    <w:rsid w:val="009C1B5C"/>
    <w:rsid w:val="009C4F3D"/>
    <w:rsid w:val="009C6017"/>
    <w:rsid w:val="009D359B"/>
    <w:rsid w:val="009D4E33"/>
    <w:rsid w:val="009E10D3"/>
    <w:rsid w:val="009E1C05"/>
    <w:rsid w:val="009E2302"/>
    <w:rsid w:val="009E303F"/>
    <w:rsid w:val="009E3184"/>
    <w:rsid w:val="009E3A6F"/>
    <w:rsid w:val="009E4940"/>
    <w:rsid w:val="009E64F5"/>
    <w:rsid w:val="009E7200"/>
    <w:rsid w:val="009F0A5E"/>
    <w:rsid w:val="009F0BAB"/>
    <w:rsid w:val="009F2DF8"/>
    <w:rsid w:val="009F2E9C"/>
    <w:rsid w:val="009F38EA"/>
    <w:rsid w:val="009F399A"/>
    <w:rsid w:val="009F3E76"/>
    <w:rsid w:val="009F73C1"/>
    <w:rsid w:val="00A00C6D"/>
    <w:rsid w:val="00A02A76"/>
    <w:rsid w:val="00A05B32"/>
    <w:rsid w:val="00A1042B"/>
    <w:rsid w:val="00A108D9"/>
    <w:rsid w:val="00A10E5A"/>
    <w:rsid w:val="00A12385"/>
    <w:rsid w:val="00A1251F"/>
    <w:rsid w:val="00A1391F"/>
    <w:rsid w:val="00A1478B"/>
    <w:rsid w:val="00A14C14"/>
    <w:rsid w:val="00A16BD8"/>
    <w:rsid w:val="00A215ED"/>
    <w:rsid w:val="00A2184F"/>
    <w:rsid w:val="00A21ADA"/>
    <w:rsid w:val="00A21C17"/>
    <w:rsid w:val="00A2519E"/>
    <w:rsid w:val="00A25735"/>
    <w:rsid w:val="00A26CD4"/>
    <w:rsid w:val="00A33721"/>
    <w:rsid w:val="00A34C91"/>
    <w:rsid w:val="00A356E9"/>
    <w:rsid w:val="00A368E9"/>
    <w:rsid w:val="00A41481"/>
    <w:rsid w:val="00A41652"/>
    <w:rsid w:val="00A416EA"/>
    <w:rsid w:val="00A41A50"/>
    <w:rsid w:val="00A4511A"/>
    <w:rsid w:val="00A464FF"/>
    <w:rsid w:val="00A46861"/>
    <w:rsid w:val="00A50FE7"/>
    <w:rsid w:val="00A5268B"/>
    <w:rsid w:val="00A537A7"/>
    <w:rsid w:val="00A53AF6"/>
    <w:rsid w:val="00A551B8"/>
    <w:rsid w:val="00A55C63"/>
    <w:rsid w:val="00A56A09"/>
    <w:rsid w:val="00A578D5"/>
    <w:rsid w:val="00A609DB"/>
    <w:rsid w:val="00A621F1"/>
    <w:rsid w:val="00A628DB"/>
    <w:rsid w:val="00A64731"/>
    <w:rsid w:val="00A6537D"/>
    <w:rsid w:val="00A66BC0"/>
    <w:rsid w:val="00A7206D"/>
    <w:rsid w:val="00A72120"/>
    <w:rsid w:val="00A72938"/>
    <w:rsid w:val="00A75C1C"/>
    <w:rsid w:val="00A80E7C"/>
    <w:rsid w:val="00A81DD0"/>
    <w:rsid w:val="00A829AB"/>
    <w:rsid w:val="00A83BBF"/>
    <w:rsid w:val="00A83E30"/>
    <w:rsid w:val="00A86614"/>
    <w:rsid w:val="00A90F81"/>
    <w:rsid w:val="00A914F5"/>
    <w:rsid w:val="00A93EF4"/>
    <w:rsid w:val="00A949F8"/>
    <w:rsid w:val="00A9659D"/>
    <w:rsid w:val="00A97739"/>
    <w:rsid w:val="00AA16C7"/>
    <w:rsid w:val="00AA732F"/>
    <w:rsid w:val="00AA783B"/>
    <w:rsid w:val="00AB0554"/>
    <w:rsid w:val="00AB0DBC"/>
    <w:rsid w:val="00AB2FAD"/>
    <w:rsid w:val="00AB356F"/>
    <w:rsid w:val="00AB7748"/>
    <w:rsid w:val="00AC09FC"/>
    <w:rsid w:val="00AC18DD"/>
    <w:rsid w:val="00AC2189"/>
    <w:rsid w:val="00AC38D8"/>
    <w:rsid w:val="00AC4978"/>
    <w:rsid w:val="00AC6595"/>
    <w:rsid w:val="00AC6977"/>
    <w:rsid w:val="00AD1CDE"/>
    <w:rsid w:val="00AD351E"/>
    <w:rsid w:val="00AD4491"/>
    <w:rsid w:val="00AD4A1C"/>
    <w:rsid w:val="00AD6B0D"/>
    <w:rsid w:val="00AD6E97"/>
    <w:rsid w:val="00AE01CA"/>
    <w:rsid w:val="00AE3F8C"/>
    <w:rsid w:val="00AE6909"/>
    <w:rsid w:val="00AE6D92"/>
    <w:rsid w:val="00AE6FB8"/>
    <w:rsid w:val="00AE7126"/>
    <w:rsid w:val="00AE7970"/>
    <w:rsid w:val="00AF062F"/>
    <w:rsid w:val="00AF1A2D"/>
    <w:rsid w:val="00AF34FD"/>
    <w:rsid w:val="00AF3C91"/>
    <w:rsid w:val="00AF4710"/>
    <w:rsid w:val="00AF54FF"/>
    <w:rsid w:val="00AF5CE3"/>
    <w:rsid w:val="00AF63BD"/>
    <w:rsid w:val="00AF64F2"/>
    <w:rsid w:val="00B00D5B"/>
    <w:rsid w:val="00B02E02"/>
    <w:rsid w:val="00B05E43"/>
    <w:rsid w:val="00B07C0D"/>
    <w:rsid w:val="00B13502"/>
    <w:rsid w:val="00B15F39"/>
    <w:rsid w:val="00B16E83"/>
    <w:rsid w:val="00B175CE"/>
    <w:rsid w:val="00B209F5"/>
    <w:rsid w:val="00B221EF"/>
    <w:rsid w:val="00B22C3F"/>
    <w:rsid w:val="00B23245"/>
    <w:rsid w:val="00B24258"/>
    <w:rsid w:val="00B27911"/>
    <w:rsid w:val="00B32142"/>
    <w:rsid w:val="00B32A98"/>
    <w:rsid w:val="00B34A7D"/>
    <w:rsid w:val="00B36AE7"/>
    <w:rsid w:val="00B3730C"/>
    <w:rsid w:val="00B37440"/>
    <w:rsid w:val="00B4077B"/>
    <w:rsid w:val="00B4359B"/>
    <w:rsid w:val="00B44087"/>
    <w:rsid w:val="00B44119"/>
    <w:rsid w:val="00B44308"/>
    <w:rsid w:val="00B475EA"/>
    <w:rsid w:val="00B4798B"/>
    <w:rsid w:val="00B51F8A"/>
    <w:rsid w:val="00B52D48"/>
    <w:rsid w:val="00B53DC7"/>
    <w:rsid w:val="00B54043"/>
    <w:rsid w:val="00B60545"/>
    <w:rsid w:val="00B625F6"/>
    <w:rsid w:val="00B63548"/>
    <w:rsid w:val="00B63695"/>
    <w:rsid w:val="00B6409B"/>
    <w:rsid w:val="00B6496D"/>
    <w:rsid w:val="00B667B7"/>
    <w:rsid w:val="00B67154"/>
    <w:rsid w:val="00B6776D"/>
    <w:rsid w:val="00B70605"/>
    <w:rsid w:val="00B71E2B"/>
    <w:rsid w:val="00B72D55"/>
    <w:rsid w:val="00B8055C"/>
    <w:rsid w:val="00B808DA"/>
    <w:rsid w:val="00B83EA6"/>
    <w:rsid w:val="00B84055"/>
    <w:rsid w:val="00B849F0"/>
    <w:rsid w:val="00B857FE"/>
    <w:rsid w:val="00B86A03"/>
    <w:rsid w:val="00B9002D"/>
    <w:rsid w:val="00B93E3B"/>
    <w:rsid w:val="00BA1031"/>
    <w:rsid w:val="00BA1DA6"/>
    <w:rsid w:val="00BA1F07"/>
    <w:rsid w:val="00BA45A8"/>
    <w:rsid w:val="00BA6A72"/>
    <w:rsid w:val="00BB0045"/>
    <w:rsid w:val="00BB1F9A"/>
    <w:rsid w:val="00BB2E5D"/>
    <w:rsid w:val="00BB5C1B"/>
    <w:rsid w:val="00BB6D04"/>
    <w:rsid w:val="00BC09D0"/>
    <w:rsid w:val="00BC31BD"/>
    <w:rsid w:val="00BC3276"/>
    <w:rsid w:val="00BC5AB9"/>
    <w:rsid w:val="00BC72D4"/>
    <w:rsid w:val="00BD13B0"/>
    <w:rsid w:val="00BD2FC5"/>
    <w:rsid w:val="00BD3D62"/>
    <w:rsid w:val="00BD3DA2"/>
    <w:rsid w:val="00BD4EEF"/>
    <w:rsid w:val="00BE3C8E"/>
    <w:rsid w:val="00BE4AC4"/>
    <w:rsid w:val="00BE62EF"/>
    <w:rsid w:val="00BE7BF4"/>
    <w:rsid w:val="00BF017B"/>
    <w:rsid w:val="00BF0A30"/>
    <w:rsid w:val="00BF0E97"/>
    <w:rsid w:val="00BF1DF0"/>
    <w:rsid w:val="00BF1E4E"/>
    <w:rsid w:val="00BF22E2"/>
    <w:rsid w:val="00BF30A9"/>
    <w:rsid w:val="00BF49B9"/>
    <w:rsid w:val="00C0294C"/>
    <w:rsid w:val="00C03FDB"/>
    <w:rsid w:val="00C069B0"/>
    <w:rsid w:val="00C06BBF"/>
    <w:rsid w:val="00C1312B"/>
    <w:rsid w:val="00C13F8E"/>
    <w:rsid w:val="00C17AD1"/>
    <w:rsid w:val="00C20101"/>
    <w:rsid w:val="00C20896"/>
    <w:rsid w:val="00C2196E"/>
    <w:rsid w:val="00C24D73"/>
    <w:rsid w:val="00C24F00"/>
    <w:rsid w:val="00C24F30"/>
    <w:rsid w:val="00C322A9"/>
    <w:rsid w:val="00C35F78"/>
    <w:rsid w:val="00C419DA"/>
    <w:rsid w:val="00C44A25"/>
    <w:rsid w:val="00C461E0"/>
    <w:rsid w:val="00C472EE"/>
    <w:rsid w:val="00C51513"/>
    <w:rsid w:val="00C5464A"/>
    <w:rsid w:val="00C57131"/>
    <w:rsid w:val="00C6157F"/>
    <w:rsid w:val="00C6172D"/>
    <w:rsid w:val="00C61992"/>
    <w:rsid w:val="00C624EB"/>
    <w:rsid w:val="00C6625D"/>
    <w:rsid w:val="00C662D8"/>
    <w:rsid w:val="00C67B14"/>
    <w:rsid w:val="00C735C1"/>
    <w:rsid w:val="00C73AE8"/>
    <w:rsid w:val="00C74DA7"/>
    <w:rsid w:val="00C76617"/>
    <w:rsid w:val="00C77194"/>
    <w:rsid w:val="00C81F4C"/>
    <w:rsid w:val="00C82257"/>
    <w:rsid w:val="00C82AAD"/>
    <w:rsid w:val="00C83225"/>
    <w:rsid w:val="00C841D4"/>
    <w:rsid w:val="00C84D27"/>
    <w:rsid w:val="00C8569B"/>
    <w:rsid w:val="00C85AFA"/>
    <w:rsid w:val="00C85D02"/>
    <w:rsid w:val="00C92908"/>
    <w:rsid w:val="00C9544A"/>
    <w:rsid w:val="00CA0DF2"/>
    <w:rsid w:val="00CA12F6"/>
    <w:rsid w:val="00CA2CDC"/>
    <w:rsid w:val="00CA3349"/>
    <w:rsid w:val="00CA5B52"/>
    <w:rsid w:val="00CA5E68"/>
    <w:rsid w:val="00CA5FE3"/>
    <w:rsid w:val="00CA6EEE"/>
    <w:rsid w:val="00CA7149"/>
    <w:rsid w:val="00CA7B4F"/>
    <w:rsid w:val="00CB3879"/>
    <w:rsid w:val="00CB47E2"/>
    <w:rsid w:val="00CB7FC0"/>
    <w:rsid w:val="00CC0431"/>
    <w:rsid w:val="00CC0CBA"/>
    <w:rsid w:val="00CC0DB0"/>
    <w:rsid w:val="00CC24DA"/>
    <w:rsid w:val="00CC3E46"/>
    <w:rsid w:val="00CC47CE"/>
    <w:rsid w:val="00CC4B1D"/>
    <w:rsid w:val="00CD0A48"/>
    <w:rsid w:val="00CD1D8A"/>
    <w:rsid w:val="00CD346E"/>
    <w:rsid w:val="00CD35D5"/>
    <w:rsid w:val="00CD5083"/>
    <w:rsid w:val="00CE05FD"/>
    <w:rsid w:val="00CE106C"/>
    <w:rsid w:val="00CE1CE2"/>
    <w:rsid w:val="00CE2DAE"/>
    <w:rsid w:val="00CE4DB5"/>
    <w:rsid w:val="00CE5956"/>
    <w:rsid w:val="00CE607B"/>
    <w:rsid w:val="00CE6484"/>
    <w:rsid w:val="00CE6A1F"/>
    <w:rsid w:val="00CF1C94"/>
    <w:rsid w:val="00CF2201"/>
    <w:rsid w:val="00CF4A9A"/>
    <w:rsid w:val="00CF565A"/>
    <w:rsid w:val="00CF57AC"/>
    <w:rsid w:val="00CF7D5D"/>
    <w:rsid w:val="00D00F1B"/>
    <w:rsid w:val="00D042A3"/>
    <w:rsid w:val="00D06C87"/>
    <w:rsid w:val="00D076B4"/>
    <w:rsid w:val="00D10206"/>
    <w:rsid w:val="00D10607"/>
    <w:rsid w:val="00D10F3A"/>
    <w:rsid w:val="00D1377B"/>
    <w:rsid w:val="00D176D3"/>
    <w:rsid w:val="00D17CEA"/>
    <w:rsid w:val="00D21DC3"/>
    <w:rsid w:val="00D22FC4"/>
    <w:rsid w:val="00D310A1"/>
    <w:rsid w:val="00D31533"/>
    <w:rsid w:val="00D32137"/>
    <w:rsid w:val="00D3270E"/>
    <w:rsid w:val="00D34E94"/>
    <w:rsid w:val="00D3615C"/>
    <w:rsid w:val="00D377C2"/>
    <w:rsid w:val="00D4121A"/>
    <w:rsid w:val="00D425C2"/>
    <w:rsid w:val="00D468C0"/>
    <w:rsid w:val="00D5076C"/>
    <w:rsid w:val="00D50B9F"/>
    <w:rsid w:val="00D5134F"/>
    <w:rsid w:val="00D52B33"/>
    <w:rsid w:val="00D54B77"/>
    <w:rsid w:val="00D555FC"/>
    <w:rsid w:val="00D556FF"/>
    <w:rsid w:val="00D55A78"/>
    <w:rsid w:val="00D614B3"/>
    <w:rsid w:val="00D62982"/>
    <w:rsid w:val="00D6392C"/>
    <w:rsid w:val="00D643FC"/>
    <w:rsid w:val="00D64EA0"/>
    <w:rsid w:val="00D67321"/>
    <w:rsid w:val="00D673C3"/>
    <w:rsid w:val="00D72B55"/>
    <w:rsid w:val="00D776C8"/>
    <w:rsid w:val="00D81C58"/>
    <w:rsid w:val="00D849BB"/>
    <w:rsid w:val="00D870BC"/>
    <w:rsid w:val="00D90101"/>
    <w:rsid w:val="00D901DD"/>
    <w:rsid w:val="00D93266"/>
    <w:rsid w:val="00D948E2"/>
    <w:rsid w:val="00D979F4"/>
    <w:rsid w:val="00DA1690"/>
    <w:rsid w:val="00DA5809"/>
    <w:rsid w:val="00DA6D27"/>
    <w:rsid w:val="00DB1A40"/>
    <w:rsid w:val="00DB3672"/>
    <w:rsid w:val="00DB3CAE"/>
    <w:rsid w:val="00DB415A"/>
    <w:rsid w:val="00DB5651"/>
    <w:rsid w:val="00DB57E6"/>
    <w:rsid w:val="00DB75D3"/>
    <w:rsid w:val="00DC05D2"/>
    <w:rsid w:val="00DC1328"/>
    <w:rsid w:val="00DC16B7"/>
    <w:rsid w:val="00DC173A"/>
    <w:rsid w:val="00DC1976"/>
    <w:rsid w:val="00DC40DA"/>
    <w:rsid w:val="00DC5ED0"/>
    <w:rsid w:val="00DC620F"/>
    <w:rsid w:val="00DC75B5"/>
    <w:rsid w:val="00DD217C"/>
    <w:rsid w:val="00DD4DEE"/>
    <w:rsid w:val="00DD5757"/>
    <w:rsid w:val="00DD623D"/>
    <w:rsid w:val="00DD6311"/>
    <w:rsid w:val="00DD669A"/>
    <w:rsid w:val="00DD6BAD"/>
    <w:rsid w:val="00DE032E"/>
    <w:rsid w:val="00DE0D98"/>
    <w:rsid w:val="00DE14E7"/>
    <w:rsid w:val="00DE2B11"/>
    <w:rsid w:val="00DE3B8F"/>
    <w:rsid w:val="00DE3BBC"/>
    <w:rsid w:val="00DE3E50"/>
    <w:rsid w:val="00DF0C1E"/>
    <w:rsid w:val="00DF0D3B"/>
    <w:rsid w:val="00DF1151"/>
    <w:rsid w:val="00DF4BE6"/>
    <w:rsid w:val="00DF74C1"/>
    <w:rsid w:val="00DF74F5"/>
    <w:rsid w:val="00E0482B"/>
    <w:rsid w:val="00E04FCD"/>
    <w:rsid w:val="00E0507F"/>
    <w:rsid w:val="00E06C5E"/>
    <w:rsid w:val="00E06EDE"/>
    <w:rsid w:val="00E10466"/>
    <w:rsid w:val="00E110A4"/>
    <w:rsid w:val="00E112B5"/>
    <w:rsid w:val="00E14C66"/>
    <w:rsid w:val="00E151B1"/>
    <w:rsid w:val="00E16ABE"/>
    <w:rsid w:val="00E170AA"/>
    <w:rsid w:val="00E17B2D"/>
    <w:rsid w:val="00E20C43"/>
    <w:rsid w:val="00E229DB"/>
    <w:rsid w:val="00E249A5"/>
    <w:rsid w:val="00E24BBB"/>
    <w:rsid w:val="00E27D8D"/>
    <w:rsid w:val="00E31878"/>
    <w:rsid w:val="00E3429B"/>
    <w:rsid w:val="00E34F46"/>
    <w:rsid w:val="00E36590"/>
    <w:rsid w:val="00E37FC1"/>
    <w:rsid w:val="00E41264"/>
    <w:rsid w:val="00E42AAC"/>
    <w:rsid w:val="00E43A76"/>
    <w:rsid w:val="00E46327"/>
    <w:rsid w:val="00E46FAD"/>
    <w:rsid w:val="00E504F0"/>
    <w:rsid w:val="00E52952"/>
    <w:rsid w:val="00E52AF0"/>
    <w:rsid w:val="00E57213"/>
    <w:rsid w:val="00E60710"/>
    <w:rsid w:val="00E61FEE"/>
    <w:rsid w:val="00E6244B"/>
    <w:rsid w:val="00E62FD0"/>
    <w:rsid w:val="00E6312B"/>
    <w:rsid w:val="00E636BC"/>
    <w:rsid w:val="00E63807"/>
    <w:rsid w:val="00E650C1"/>
    <w:rsid w:val="00E70830"/>
    <w:rsid w:val="00E71C99"/>
    <w:rsid w:val="00E72BCF"/>
    <w:rsid w:val="00E72F3B"/>
    <w:rsid w:val="00E7301E"/>
    <w:rsid w:val="00E7382C"/>
    <w:rsid w:val="00E761EC"/>
    <w:rsid w:val="00E811DB"/>
    <w:rsid w:val="00E8192F"/>
    <w:rsid w:val="00E82FDA"/>
    <w:rsid w:val="00E83C65"/>
    <w:rsid w:val="00E857B8"/>
    <w:rsid w:val="00E92270"/>
    <w:rsid w:val="00E94EEF"/>
    <w:rsid w:val="00EA52E4"/>
    <w:rsid w:val="00EA79AD"/>
    <w:rsid w:val="00EB2359"/>
    <w:rsid w:val="00EB2BF5"/>
    <w:rsid w:val="00EB2F7B"/>
    <w:rsid w:val="00EB3C03"/>
    <w:rsid w:val="00EB4888"/>
    <w:rsid w:val="00EB7508"/>
    <w:rsid w:val="00EC1877"/>
    <w:rsid w:val="00EC5127"/>
    <w:rsid w:val="00ED03BC"/>
    <w:rsid w:val="00ED233C"/>
    <w:rsid w:val="00ED3893"/>
    <w:rsid w:val="00ED3976"/>
    <w:rsid w:val="00ED673A"/>
    <w:rsid w:val="00ED7340"/>
    <w:rsid w:val="00ED7C87"/>
    <w:rsid w:val="00EE159A"/>
    <w:rsid w:val="00EE238E"/>
    <w:rsid w:val="00EE28DD"/>
    <w:rsid w:val="00EE3241"/>
    <w:rsid w:val="00EE3459"/>
    <w:rsid w:val="00EE37A7"/>
    <w:rsid w:val="00EE49D9"/>
    <w:rsid w:val="00EE580A"/>
    <w:rsid w:val="00EE61D4"/>
    <w:rsid w:val="00EE68B0"/>
    <w:rsid w:val="00EE75E8"/>
    <w:rsid w:val="00EE7A93"/>
    <w:rsid w:val="00EF0E81"/>
    <w:rsid w:val="00EF366F"/>
    <w:rsid w:val="00EF3945"/>
    <w:rsid w:val="00EF39C4"/>
    <w:rsid w:val="00EF516F"/>
    <w:rsid w:val="00EF5A88"/>
    <w:rsid w:val="00EF6A33"/>
    <w:rsid w:val="00EF7098"/>
    <w:rsid w:val="00EF763A"/>
    <w:rsid w:val="00EF76FA"/>
    <w:rsid w:val="00F017E2"/>
    <w:rsid w:val="00F051B3"/>
    <w:rsid w:val="00F07EC2"/>
    <w:rsid w:val="00F128C3"/>
    <w:rsid w:val="00F129D6"/>
    <w:rsid w:val="00F14656"/>
    <w:rsid w:val="00F147C1"/>
    <w:rsid w:val="00F15228"/>
    <w:rsid w:val="00F21DE9"/>
    <w:rsid w:val="00F21F97"/>
    <w:rsid w:val="00F248C2"/>
    <w:rsid w:val="00F258E9"/>
    <w:rsid w:val="00F26B0C"/>
    <w:rsid w:val="00F26F45"/>
    <w:rsid w:val="00F278CE"/>
    <w:rsid w:val="00F27A52"/>
    <w:rsid w:val="00F3059F"/>
    <w:rsid w:val="00F346B2"/>
    <w:rsid w:val="00F3589B"/>
    <w:rsid w:val="00F35FBA"/>
    <w:rsid w:val="00F36AB1"/>
    <w:rsid w:val="00F37529"/>
    <w:rsid w:val="00F40211"/>
    <w:rsid w:val="00F41E92"/>
    <w:rsid w:val="00F421F9"/>
    <w:rsid w:val="00F42789"/>
    <w:rsid w:val="00F42CE0"/>
    <w:rsid w:val="00F45CA7"/>
    <w:rsid w:val="00F4669E"/>
    <w:rsid w:val="00F511F6"/>
    <w:rsid w:val="00F532CF"/>
    <w:rsid w:val="00F5458D"/>
    <w:rsid w:val="00F6109C"/>
    <w:rsid w:val="00F632CB"/>
    <w:rsid w:val="00F63627"/>
    <w:rsid w:val="00F63776"/>
    <w:rsid w:val="00F64BA5"/>
    <w:rsid w:val="00F65DC1"/>
    <w:rsid w:val="00F7450E"/>
    <w:rsid w:val="00F75F8F"/>
    <w:rsid w:val="00F76D7F"/>
    <w:rsid w:val="00F770B4"/>
    <w:rsid w:val="00F77B6A"/>
    <w:rsid w:val="00F80982"/>
    <w:rsid w:val="00F828F5"/>
    <w:rsid w:val="00F84931"/>
    <w:rsid w:val="00F863BC"/>
    <w:rsid w:val="00F867B9"/>
    <w:rsid w:val="00F869AC"/>
    <w:rsid w:val="00F90244"/>
    <w:rsid w:val="00F91BEE"/>
    <w:rsid w:val="00F9204B"/>
    <w:rsid w:val="00F92831"/>
    <w:rsid w:val="00F942DD"/>
    <w:rsid w:val="00F95530"/>
    <w:rsid w:val="00F95DBB"/>
    <w:rsid w:val="00FA1AA8"/>
    <w:rsid w:val="00FA22E2"/>
    <w:rsid w:val="00FA2F78"/>
    <w:rsid w:val="00FA6DA6"/>
    <w:rsid w:val="00FB08E1"/>
    <w:rsid w:val="00FB0D86"/>
    <w:rsid w:val="00FB1CDE"/>
    <w:rsid w:val="00FB311F"/>
    <w:rsid w:val="00FB550B"/>
    <w:rsid w:val="00FB664B"/>
    <w:rsid w:val="00FB72FF"/>
    <w:rsid w:val="00FB76FA"/>
    <w:rsid w:val="00FB7AF0"/>
    <w:rsid w:val="00FC1F8E"/>
    <w:rsid w:val="00FC2809"/>
    <w:rsid w:val="00FC28A8"/>
    <w:rsid w:val="00FC2D1D"/>
    <w:rsid w:val="00FD1DFA"/>
    <w:rsid w:val="00FD3838"/>
    <w:rsid w:val="00FD3D4F"/>
    <w:rsid w:val="00FD486C"/>
    <w:rsid w:val="00FE2892"/>
    <w:rsid w:val="00FE2D3F"/>
    <w:rsid w:val="00FE52C1"/>
    <w:rsid w:val="00FE52F3"/>
    <w:rsid w:val="00FE5B57"/>
    <w:rsid w:val="00FE65E3"/>
    <w:rsid w:val="00FE7176"/>
    <w:rsid w:val="00FE74C4"/>
    <w:rsid w:val="00FF1AF4"/>
    <w:rsid w:val="00FF39A7"/>
    <w:rsid w:val="00FF472B"/>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B625F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paragraph" w:styleId="Heading9">
    <w:name w:val="heading 9"/>
    <w:basedOn w:val="Normal"/>
    <w:next w:val="Normal"/>
    <w:link w:val="Heading9Char"/>
    <w:uiPriority w:val="9"/>
    <w:semiHidden/>
    <w:unhideWhenUsed/>
    <w:qFormat/>
    <w:rsid w:val="00747F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ootnote Text1 Char"/>
    <w:basedOn w:val="Normal"/>
    <w:link w:val="FootnoteTextChar"/>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Style 3,o4,o5,o6,o11,o21,o7"/>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20"/>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unhideWhenUsed/>
    <w:rsid w:val="009D4E33"/>
    <w:rPr>
      <w:sz w:val="20"/>
      <w:szCs w:val="20"/>
    </w:rPr>
  </w:style>
  <w:style w:type="character" w:customStyle="1" w:styleId="CommentTextChar">
    <w:name w:val="Comment Text Char"/>
    <w:basedOn w:val="DefaultParagraphFont"/>
    <w:link w:val="CommentText"/>
    <w:uiPriority w:val="99"/>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B625F6"/>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 w:type="character" w:styleId="Strong">
    <w:name w:val="Strong"/>
    <w:basedOn w:val="DefaultParagraphFont"/>
    <w:uiPriority w:val="22"/>
    <w:qFormat/>
    <w:rsid w:val="0084488A"/>
    <w:rPr>
      <w:b/>
      <w:bCs/>
    </w:rPr>
  </w:style>
  <w:style w:type="character" w:customStyle="1" w:styleId="costarpage">
    <w:name w:val="co_starpage"/>
    <w:basedOn w:val="DefaultParagraphFont"/>
    <w:rsid w:val="0084488A"/>
  </w:style>
  <w:style w:type="character" w:customStyle="1" w:styleId="cosearchterm">
    <w:name w:val="co_searchterm"/>
    <w:basedOn w:val="DefaultParagraphFont"/>
    <w:rsid w:val="0084488A"/>
  </w:style>
  <w:style w:type="character" w:customStyle="1" w:styleId="Heading9Char">
    <w:name w:val="Heading 9 Char"/>
    <w:basedOn w:val="DefaultParagraphFont"/>
    <w:link w:val="Heading9"/>
    <w:uiPriority w:val="9"/>
    <w:semiHidden/>
    <w:rsid w:val="00747F35"/>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2219">
      <w:bodyDiv w:val="1"/>
      <w:marLeft w:val="0"/>
      <w:marRight w:val="0"/>
      <w:marTop w:val="0"/>
      <w:marBottom w:val="0"/>
      <w:divBdr>
        <w:top w:val="none" w:sz="0" w:space="0" w:color="auto"/>
        <w:left w:val="none" w:sz="0" w:space="0" w:color="auto"/>
        <w:bottom w:val="none" w:sz="0" w:space="0" w:color="auto"/>
        <w:right w:val="none" w:sz="0" w:space="0" w:color="auto"/>
      </w:divBdr>
      <w:divsChild>
        <w:div w:id="492139882">
          <w:marLeft w:val="0"/>
          <w:marRight w:val="0"/>
          <w:marTop w:val="0"/>
          <w:marBottom w:val="0"/>
          <w:divBdr>
            <w:top w:val="none" w:sz="0" w:space="0" w:color="auto"/>
            <w:left w:val="none" w:sz="0" w:space="0" w:color="auto"/>
            <w:bottom w:val="none" w:sz="0" w:space="0" w:color="auto"/>
            <w:right w:val="none" w:sz="0" w:space="0" w:color="auto"/>
          </w:divBdr>
          <w:divsChild>
            <w:div w:id="787285593">
              <w:marLeft w:val="0"/>
              <w:marRight w:val="0"/>
              <w:marTop w:val="0"/>
              <w:marBottom w:val="0"/>
              <w:divBdr>
                <w:top w:val="none" w:sz="0" w:space="0" w:color="auto"/>
                <w:left w:val="none" w:sz="0" w:space="0" w:color="auto"/>
                <w:bottom w:val="none" w:sz="0" w:space="0" w:color="auto"/>
                <w:right w:val="none" w:sz="0" w:space="0" w:color="auto"/>
              </w:divBdr>
              <w:divsChild>
                <w:div w:id="1786805798">
                  <w:marLeft w:val="0"/>
                  <w:marRight w:val="0"/>
                  <w:marTop w:val="0"/>
                  <w:marBottom w:val="0"/>
                  <w:divBdr>
                    <w:top w:val="none" w:sz="0" w:space="0" w:color="auto"/>
                    <w:left w:val="none" w:sz="0" w:space="0" w:color="auto"/>
                    <w:bottom w:val="none" w:sz="0" w:space="0" w:color="auto"/>
                    <w:right w:val="none" w:sz="0" w:space="0" w:color="auto"/>
                  </w:divBdr>
                </w:div>
              </w:divsChild>
            </w:div>
            <w:div w:id="297029097">
              <w:marLeft w:val="0"/>
              <w:marRight w:val="0"/>
              <w:marTop w:val="0"/>
              <w:marBottom w:val="0"/>
              <w:divBdr>
                <w:top w:val="none" w:sz="0" w:space="0" w:color="auto"/>
                <w:left w:val="none" w:sz="0" w:space="0" w:color="auto"/>
                <w:bottom w:val="none" w:sz="0" w:space="0" w:color="auto"/>
                <w:right w:val="none" w:sz="0" w:space="0" w:color="auto"/>
              </w:divBdr>
              <w:divsChild>
                <w:div w:id="379788570">
                  <w:marLeft w:val="0"/>
                  <w:marRight w:val="0"/>
                  <w:marTop w:val="0"/>
                  <w:marBottom w:val="0"/>
                  <w:divBdr>
                    <w:top w:val="none" w:sz="0" w:space="0" w:color="auto"/>
                    <w:left w:val="none" w:sz="0" w:space="0" w:color="auto"/>
                    <w:bottom w:val="none" w:sz="0" w:space="0" w:color="auto"/>
                    <w:right w:val="none" w:sz="0" w:space="0" w:color="auto"/>
                  </w:divBdr>
                </w:div>
              </w:divsChild>
            </w:div>
            <w:div w:id="1167942954">
              <w:marLeft w:val="0"/>
              <w:marRight w:val="0"/>
              <w:marTop w:val="0"/>
              <w:marBottom w:val="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
              </w:divsChild>
            </w:div>
            <w:div w:id="4262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68C36F-8B80-48C5-9E6F-2821024324F7}"/>
</file>

<file path=customXml/itemProps2.xml><?xml version="1.0" encoding="utf-8"?>
<ds:datastoreItem xmlns:ds="http://schemas.openxmlformats.org/officeDocument/2006/customXml" ds:itemID="{89229A50-6537-46EE-896A-5DCEEC938AB0}"/>
</file>

<file path=customXml/itemProps3.xml><?xml version="1.0" encoding="utf-8"?>
<ds:datastoreItem xmlns:ds="http://schemas.openxmlformats.org/officeDocument/2006/customXml" ds:itemID="{6982C61F-027C-42AB-931A-8EDED64D8AA2}"/>
</file>

<file path=customXml/itemProps4.xml><?xml version="1.0" encoding="utf-8"?>
<ds:datastoreItem xmlns:ds="http://schemas.openxmlformats.org/officeDocument/2006/customXml" ds:itemID="{31EA4E1C-6799-472B-8839-24F09E5E205F}"/>
</file>

<file path=customXml/itemProps5.xml><?xml version="1.0" encoding="utf-8"?>
<ds:datastoreItem xmlns:ds="http://schemas.openxmlformats.org/officeDocument/2006/customXml" ds:itemID="{5BD8101F-55FA-4825-A924-BB350A83C49C}"/>
</file>

<file path=customXml/itemProps6.xml><?xml version="1.0" encoding="utf-8"?>
<ds:datastoreItem xmlns:ds="http://schemas.openxmlformats.org/officeDocument/2006/customXml" ds:itemID="{A064AB06-E6E5-4EFB-B885-7799999E05D0}"/>
</file>

<file path=customXml/itemProps7.xml><?xml version="1.0" encoding="utf-8"?>
<ds:datastoreItem xmlns:ds="http://schemas.openxmlformats.org/officeDocument/2006/customXml" ds:itemID="{30CD7F04-E553-4AC9-ACA5-08C5A7BF2EEA}"/>
</file>

<file path=docProps/app.xml><?xml version="1.0" encoding="utf-8"?>
<Properties xmlns="http://schemas.openxmlformats.org/officeDocument/2006/extended-properties" xmlns:vt="http://schemas.openxmlformats.org/officeDocument/2006/docPropsVTypes">
  <Template>Normal.dotm</Template>
  <TotalTime>0</TotalTime>
  <Pages>7</Pages>
  <Words>1568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2016-07-25T02:55:00Z</dcterms:created>
  <dcterms:modified xsi:type="dcterms:W3CDTF">2016-07-29T19:57:00Z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UFAAkxpNJwTxbIDo5Z5ClzoLAVnUJxuBBqI/I8tF/5CJaeL38gp8o1a+r1obwgeCwSOtJi/qh7mRUy7N
3PsIBwr+GamoymI02mCgNZTOh7PnHPA6MGsBKYqCPsqsG0qY5XQ4UFiJOL6LtlW3hiRbcVDH+gmL
TfOBosesS0Ndcllk6ZR77i8jmVhCkEW2PvKS2W4HGsHe4bNq6VJUlUl+2b6jPD0/vo0tPklX+Pdi
rxLPf8Ag0J8++3nL3</vt:lpwstr>
  </property>
  <property fmtid="{D5CDD505-2E9C-101B-9397-08002B2CF9AE}" pid="3" name="MAIL_MSG_ID2">
    <vt:lpwstr>w1y9ESR4F0r+ao1YGuSHEKvMx1Wq0Jz+DTwhm/Ml8xZ3i/z+2HzRvr7xiBt
yzV9d25+RnZpyAa3cL93VlfTAMo=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