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2E" w:rsidRPr="00FC202E" w:rsidRDefault="00ED74C7">
      <w:pPr>
        <w:pStyle w:val="LetterDate"/>
        <w:spacing w:after="720"/>
      </w:pPr>
      <w:bookmarkStart w:id="0" w:name="_GoBack"/>
      <w:bookmarkEnd w:id="0"/>
      <w:r>
        <w:rPr>
          <w:noProof/>
        </w:rPr>
        <w:t>January 27,</w:t>
      </w:r>
      <w:r w:rsidR="00FC202E" w:rsidRPr="00FC202E">
        <w:rPr>
          <w:noProof/>
        </w:rPr>
        <w:t xml:space="preserve"> 201</w:t>
      </w:r>
      <w:r>
        <w:rPr>
          <w:noProof/>
        </w:rPr>
        <w:t>7</w:t>
      </w:r>
    </w:p>
    <w:p w:rsidR="0078004C" w:rsidRDefault="0078004C" w:rsidP="0078004C">
      <w:pPr>
        <w:pStyle w:val="DeliveryPhrase"/>
      </w:pPr>
      <w:r>
        <w:t xml:space="preserve">VIA WEB PORTAL AND </w:t>
      </w:r>
      <w:r w:rsidR="00546804">
        <w:t>OVERNIGHT COURIER</w:t>
      </w:r>
    </w:p>
    <w:p w:rsidR="0078004C" w:rsidRDefault="0078004C" w:rsidP="0078004C">
      <w:pPr>
        <w:pStyle w:val="Addressee"/>
      </w:pPr>
      <w:r>
        <w:t>Mr. Steven V. King</w:t>
      </w:r>
    </w:p>
    <w:p w:rsidR="0078004C" w:rsidRDefault="0078004C" w:rsidP="0078004C">
      <w:pPr>
        <w:pStyle w:val="Addressee"/>
      </w:pPr>
      <w:r>
        <w:t>Executive Director and Secretary</w:t>
      </w:r>
    </w:p>
    <w:p w:rsidR="0078004C" w:rsidRDefault="0078004C" w:rsidP="0078004C">
      <w:pPr>
        <w:pStyle w:val="Addressee"/>
      </w:pPr>
      <w:r>
        <w:t>Washington Utilities and Transportation Commission</w:t>
      </w:r>
    </w:p>
    <w:p w:rsidR="0078004C" w:rsidRDefault="0078004C" w:rsidP="0078004C">
      <w:pPr>
        <w:pStyle w:val="Addressee"/>
      </w:pPr>
      <w:r>
        <w:t>1300 S. Evergreen Park Drive, SW</w:t>
      </w:r>
    </w:p>
    <w:p w:rsidR="00FC202E" w:rsidRPr="00FC202E" w:rsidRDefault="0078004C" w:rsidP="0078004C">
      <w:pPr>
        <w:pStyle w:val="Addressee"/>
      </w:pPr>
      <w:r>
        <w:t>Olympia, WA 98504</w:t>
      </w:r>
    </w:p>
    <w:p w:rsidR="00FC202E" w:rsidRPr="00FC202E" w:rsidRDefault="00FC202E">
      <w:pPr>
        <w:pStyle w:val="ReLine"/>
      </w:pPr>
      <w:r w:rsidRPr="00FC202E">
        <w:t>Re:</w:t>
      </w:r>
      <w:r w:rsidRPr="00FC202E">
        <w:tab/>
      </w:r>
      <w:r w:rsidR="0078004C" w:rsidRPr="0078004C">
        <w:rPr>
          <w:i/>
        </w:rPr>
        <w:t>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0078004C">
        <w:t>, Docket No. UG-151663</w:t>
      </w:r>
      <w:r w:rsidR="0078004C">
        <w:br/>
        <w:t>Notice of the Formation of Puget LNG, LLC by Puget Energy, Inc.</w:t>
      </w:r>
    </w:p>
    <w:p w:rsidR="00FC202E" w:rsidRDefault="00FC202E" w:rsidP="00FC202E">
      <w:pPr>
        <w:pStyle w:val="Salutation"/>
        <w:ind w:firstLine="720"/>
      </w:pPr>
      <w:r>
        <w:t>On October</w:t>
      </w:r>
      <w:r w:rsidR="00DD5E56">
        <w:t> </w:t>
      </w:r>
      <w:r>
        <w:t>31, 2016, the Commission issued Order 10 (Final Order Approving and Adopting Settlement Stipulation; Reopening Record and Amending Order 08 in Docket U-072375) in Docket UG-151663</w:t>
      </w:r>
      <w:r w:rsidR="00972140">
        <w:t xml:space="preserve"> (“Order 10”)</w:t>
      </w:r>
      <w:r>
        <w:t>.</w:t>
      </w:r>
      <w:r w:rsidR="00DD5E56">
        <w:t xml:space="preserve"> </w:t>
      </w:r>
      <w:r>
        <w:t xml:space="preserve">Among other things, the Commission approved in Order 10 </w:t>
      </w:r>
      <w:r w:rsidR="00FD48F9">
        <w:t>the formation by Puget Energy of a wholly-owned subsidiary named Puget LNG</w:t>
      </w:r>
      <w:r w:rsidR="00DD5E56">
        <w:t>, LLC (“Puget LNG”)</w:t>
      </w:r>
      <w:r w:rsidR="00FD48F9">
        <w:t xml:space="preserve"> and allocation of the capital costs of the Tacoma LNG Facility </w:t>
      </w:r>
      <w:r w:rsidR="009B4F58">
        <w:t xml:space="preserve">between Puget Sound Energy (“PSE”) and Puget LNG as well as </w:t>
      </w:r>
      <w:r>
        <w:t>several new ring-fencing provisions proposed by the Settling Parties</w:t>
      </w:r>
      <w:r>
        <w:rPr>
          <w:rStyle w:val="FootnoteReference"/>
        </w:rPr>
        <w:footnoteReference w:id="1"/>
      </w:r>
      <w:r>
        <w:t xml:space="preserve"> to that proceeding and assigned these provisions numbers </w:t>
      </w:r>
      <w:r w:rsidRPr="00FC202E">
        <w:t>consistent with Appendix</w:t>
      </w:r>
      <w:r>
        <w:t> </w:t>
      </w:r>
      <w:r w:rsidRPr="00FC202E">
        <w:t>A to the settlement stipulation the Commission approved in Order</w:t>
      </w:r>
      <w:r>
        <w:t> </w:t>
      </w:r>
      <w:r w:rsidRPr="00FC202E">
        <w:t>08 in Docket U-072375</w:t>
      </w:r>
      <w:r>
        <w:t>.</w:t>
      </w:r>
      <w:r w:rsidR="00DD5E56">
        <w:t xml:space="preserve"> </w:t>
      </w:r>
      <w:r>
        <w:t>Among the ring-fencing provisions approved by the Commiss</w:t>
      </w:r>
      <w:r w:rsidR="00B94909">
        <w:t>i</w:t>
      </w:r>
      <w:r>
        <w:t>on in Order 10 included new Commitment 6</w:t>
      </w:r>
      <w:r w:rsidR="0019534A">
        <w:t>4</w:t>
      </w:r>
      <w:r w:rsidR="000E25BC">
        <w:t xml:space="preserve"> which states</w:t>
      </w:r>
      <w:r w:rsidR="00DD5E56">
        <w:t xml:space="preserve"> as follows</w:t>
      </w:r>
      <w:r>
        <w:t>:</w:t>
      </w:r>
    </w:p>
    <w:p w:rsidR="0019534A" w:rsidRPr="0019534A" w:rsidRDefault="0019534A" w:rsidP="00DD5E56">
      <w:pPr>
        <w:pStyle w:val="Salutation"/>
        <w:ind w:left="1440" w:right="720"/>
        <w:jc w:val="both"/>
      </w:pPr>
      <w:r>
        <w:rPr>
          <w:u w:val="single"/>
        </w:rPr>
        <w:t>Commitment 64</w:t>
      </w:r>
      <w:r>
        <w:t xml:space="preserve"> </w:t>
      </w:r>
      <w:r w:rsidRPr="0019534A">
        <w:t>Within thirty (30) days of issuance of an order by the Commission approving the Settlement Stipulation consistent with its terms and its conditions, Puget Energy will form or will cause to be formed a wholly-owned subsidiary of Puget Energy named Puget LNG, LLC (“Puget LNG”). Puget LNG will be a special purpose limited liability company formed by Puget Energy solely for the purposes of owning, developing, and financing the Tacoma LNG Facility as a tenant-in-common with PSE.</w:t>
      </w:r>
    </w:p>
    <w:p w:rsidR="0019534A" w:rsidRDefault="0019534A" w:rsidP="0019534A">
      <w:pPr>
        <w:pStyle w:val="BodyText"/>
        <w:ind w:right="720"/>
        <w:jc w:val="both"/>
      </w:pPr>
      <w:r w:rsidRPr="0019534A">
        <w:t xml:space="preserve">Order </w:t>
      </w:r>
      <w:r w:rsidR="00972140">
        <w:t xml:space="preserve">10 </w:t>
      </w:r>
      <w:r w:rsidRPr="0019534A">
        <w:t>at ¶ 74.</w:t>
      </w:r>
    </w:p>
    <w:p w:rsidR="00B94909" w:rsidRDefault="00F16C73" w:rsidP="00B94909">
      <w:pPr>
        <w:pStyle w:val="BodyText"/>
        <w:ind w:right="720" w:firstLine="720"/>
        <w:jc w:val="both"/>
      </w:pPr>
      <w:r>
        <w:lastRenderedPageBreak/>
        <w:t xml:space="preserve">Included as </w:t>
      </w:r>
      <w:r w:rsidR="00DD5E56">
        <w:t>Exhibit </w:t>
      </w:r>
      <w:r>
        <w:t>A to this letter is the Affidavit of Steve</w:t>
      </w:r>
      <w:r w:rsidR="00DD5E56">
        <w:t> </w:t>
      </w:r>
      <w:r>
        <w:t>R. Secrist in Compliance with the Conditions of Order</w:t>
      </w:r>
      <w:r w:rsidR="00DD5E56">
        <w:t> </w:t>
      </w:r>
      <w:r>
        <w:t>10 Final Order Approving and Adopting Settlement Stipulation; Reopening Record and Amending Order 08 in Docket U-072375 (“Secrist Affidavit”).</w:t>
      </w:r>
      <w:r w:rsidR="00DD5E56">
        <w:t xml:space="preserve"> </w:t>
      </w:r>
      <w:r>
        <w:t xml:space="preserve">The Secrist Affidavit </w:t>
      </w:r>
      <w:r w:rsidR="0062622F" w:rsidRPr="0062622F">
        <w:t>affirms that Puget Energy formed a wholly-owned subsidiary of Puget Energy named Puget LNG</w:t>
      </w:r>
      <w:r w:rsidR="00DD5E56">
        <w:t xml:space="preserve"> </w:t>
      </w:r>
      <w:r w:rsidR="0062622F" w:rsidRPr="0062622F">
        <w:t>within thirty (30) days of issuance of the Final Order by the Commission.</w:t>
      </w:r>
      <w:r w:rsidR="0062622F">
        <w:t xml:space="preserve"> (Secrist Affidavit at ¶3</w:t>
      </w:r>
      <w:r w:rsidR="00DD5E56">
        <w:t>.</w:t>
      </w:r>
      <w:r w:rsidR="0062622F">
        <w:t>)</w:t>
      </w:r>
      <w:r w:rsidR="00DD5E56">
        <w:t xml:space="preserve"> </w:t>
      </w:r>
      <w:r w:rsidR="0062622F">
        <w:t>In addition, o</w:t>
      </w:r>
      <w:r w:rsidR="0062622F" w:rsidRPr="0062622F">
        <w:t xml:space="preserve">n November 30, 2016, PSE </w:t>
      </w:r>
      <w:r w:rsidR="0062622F">
        <w:t xml:space="preserve">submitted </w:t>
      </w:r>
      <w:r w:rsidR="0062622F" w:rsidRPr="0062622F">
        <w:t xml:space="preserve">a compliance filing </w:t>
      </w:r>
      <w:r w:rsidR="0062622F">
        <w:t xml:space="preserve">in </w:t>
      </w:r>
      <w:r w:rsidR="0062622F" w:rsidRPr="0062622F">
        <w:t>Docket UG-151663 that provided confirmation that Puget Energy had filed a Certificate of Formation for the formation of Puget LNG with the Washington Secretary of State. On January 3, 2017, the Commission issued a notice stating that the Commission has examined PSE’s compliance filing and that it appears to comply with the terms of the Final Order, Paragraph 74, Commitment 64</w:t>
      </w:r>
      <w:r w:rsidR="0062622F">
        <w:t>.</w:t>
      </w:r>
    </w:p>
    <w:p w:rsidR="00DD5E56" w:rsidRDefault="0062622F" w:rsidP="00DD5E56">
      <w:pPr>
        <w:pStyle w:val="BodyText"/>
        <w:ind w:right="720" w:firstLine="720"/>
        <w:jc w:val="both"/>
      </w:pPr>
      <w:r w:rsidRPr="0062622F">
        <w:t xml:space="preserve">The Secrist Affidavit further affirms </w:t>
      </w:r>
      <w:r>
        <w:t xml:space="preserve">that </w:t>
      </w:r>
      <w:r w:rsidRPr="0062622F">
        <w:t>(i) Puget Energy formed Puget LNG as a special purpose limited liability company solely for the purposes of owning, developing, and financing the Tacoma LNG Facility as a tenant-in-common with PSE and (ii) Puget LNG will remain a special purpose limited liability company formed solely for the purposes of owning, developing, and financing the Tacoma LNG Facility as a tenant-in-common with PSE for so long as Puget Energy, or any affiliate or subsidiary of Puget Energy, is a member of Puget LNG.</w:t>
      </w:r>
      <w:r>
        <w:t xml:space="preserve"> </w:t>
      </w:r>
      <w:r w:rsidR="00430F1F" w:rsidRPr="00430F1F">
        <w:t>(Secrist Affidavit at ¶</w:t>
      </w:r>
      <w:r w:rsidR="00430F1F">
        <w:t>4</w:t>
      </w:r>
      <w:r w:rsidR="00DD5E56">
        <w:t>.</w:t>
      </w:r>
      <w:r w:rsidR="00430F1F" w:rsidRPr="00430F1F">
        <w:t>)</w:t>
      </w:r>
    </w:p>
    <w:p w:rsidR="0019534A" w:rsidRDefault="00B94909" w:rsidP="00DD5E56">
      <w:pPr>
        <w:pStyle w:val="BodyText"/>
        <w:ind w:right="720" w:firstLine="720"/>
        <w:jc w:val="both"/>
      </w:pPr>
      <w:r w:rsidRPr="00B94909">
        <w:t xml:space="preserve">The Commission </w:t>
      </w:r>
      <w:r w:rsidR="00430F1F">
        <w:t xml:space="preserve">also </w:t>
      </w:r>
      <w:r w:rsidRPr="00B94909">
        <w:t>approved Commitment</w:t>
      </w:r>
      <w:r w:rsidR="00DD5E56">
        <w:t> </w:t>
      </w:r>
      <w:r w:rsidRPr="00B94909">
        <w:t>6</w:t>
      </w:r>
      <w:r>
        <w:t>5</w:t>
      </w:r>
      <w:r w:rsidRPr="00B94909">
        <w:t xml:space="preserve"> in Order</w:t>
      </w:r>
      <w:r w:rsidR="00DD5E56">
        <w:t> </w:t>
      </w:r>
      <w:r w:rsidRPr="00B94909">
        <w:t>10</w:t>
      </w:r>
      <w:r w:rsidR="00430F1F">
        <w:t xml:space="preserve"> </w:t>
      </w:r>
      <w:r w:rsidR="000E25BC">
        <w:t>which states</w:t>
      </w:r>
      <w:r w:rsidR="004A5A98">
        <w:t>, in part</w:t>
      </w:r>
      <w:r w:rsidR="00DD5E56">
        <w:t>, as follows</w:t>
      </w:r>
      <w:r w:rsidR="000E25BC">
        <w:t>:</w:t>
      </w:r>
    </w:p>
    <w:p w:rsidR="00FC202E" w:rsidRDefault="00430F1F" w:rsidP="00DD5E56">
      <w:pPr>
        <w:pStyle w:val="Salutation"/>
        <w:ind w:left="1440" w:right="720"/>
        <w:jc w:val="both"/>
      </w:pPr>
      <w:r>
        <w:rPr>
          <w:u w:val="single"/>
        </w:rPr>
        <w:t>Commitment 65</w:t>
      </w:r>
      <w:r>
        <w:t xml:space="preserve"> </w:t>
      </w:r>
      <w:r w:rsidR="00FC202E" w:rsidRPr="00FC202E">
        <w:t xml:space="preserve">Within </w:t>
      </w:r>
      <w:r w:rsidR="009B4F58">
        <w:t>sixty</w:t>
      </w:r>
      <w:r w:rsidR="00DD5E56">
        <w:t> </w:t>
      </w:r>
      <w:r w:rsidR="00FC202E" w:rsidRPr="00FC202E">
        <w:t>(</w:t>
      </w:r>
      <w:r w:rsidR="009B4F58">
        <w:t>60</w:t>
      </w:r>
      <w:r w:rsidR="00FC202E" w:rsidRPr="00FC202E">
        <w:t xml:space="preserve">) days of </w:t>
      </w:r>
      <w:r w:rsidR="009B4F58">
        <w:t>the formation of Puget LNG, PSE will file a non-consolidation opinion with the Commission which concludes, consistent with customary assumptions and exceptions, that the ring-fencing provisions are sufficient that a bankruptcy court would not order the substantive consolidation of the assets and liabilities of PSE with those of Puget Energy or its affiliates or subsidiaries, including Puget</w:t>
      </w:r>
      <w:r w:rsidR="00DD5E56">
        <w:t> </w:t>
      </w:r>
      <w:r w:rsidR="009B4F58">
        <w:t>LNG</w:t>
      </w:r>
      <w:r w:rsidR="0078004C">
        <w:t>.</w:t>
      </w:r>
      <w:r w:rsidR="009B4F58">
        <w:t xml:space="preserve"> </w:t>
      </w:r>
    </w:p>
    <w:p w:rsidR="00FC202E" w:rsidRPr="00FC202E" w:rsidRDefault="00FC202E" w:rsidP="00FC202E">
      <w:pPr>
        <w:pStyle w:val="BodyText"/>
      </w:pPr>
      <w:r>
        <w:t>Order 10 at ¶ 7</w:t>
      </w:r>
      <w:r w:rsidR="00961CD4">
        <w:t>6</w:t>
      </w:r>
      <w:r>
        <w:t>.</w:t>
      </w:r>
    </w:p>
    <w:p w:rsidR="00961CD4" w:rsidRDefault="00430F1F" w:rsidP="00FC202E">
      <w:pPr>
        <w:pStyle w:val="Salutation"/>
        <w:ind w:firstLine="720"/>
      </w:pPr>
      <w:r>
        <w:t xml:space="preserve">The Secrist Affidavit affirms that </w:t>
      </w:r>
      <w:r w:rsidR="00961CD4">
        <w:t xml:space="preserve">PSE is filing </w:t>
      </w:r>
      <w:r>
        <w:t>within sixty</w:t>
      </w:r>
      <w:r w:rsidR="00DD5E56">
        <w:t> </w:t>
      </w:r>
      <w:r>
        <w:t>(60) days of the formation of Puget</w:t>
      </w:r>
      <w:r w:rsidR="00DD5E56">
        <w:t> </w:t>
      </w:r>
      <w:r>
        <w:t>LNG,</w:t>
      </w:r>
      <w:r w:rsidR="00961CD4">
        <w:t xml:space="preserve"> a non-consolidation opinion which concludes </w:t>
      </w:r>
      <w:r w:rsidR="00961CD4" w:rsidRPr="00961CD4">
        <w:t>that the ring-fencing provisions are sufficient that a bankruptcy court would not order the substantive consolidation of the assets and liabilities of PSE with those of Puget Energy or its affiliates or subsidiaries, including Puget LNG</w:t>
      </w:r>
      <w:r w:rsidR="00961CD4">
        <w:t>.</w:t>
      </w:r>
      <w:r>
        <w:t xml:space="preserve"> </w:t>
      </w:r>
      <w:r w:rsidRPr="00430F1F">
        <w:t>(Secrist Affidavit at ¶</w:t>
      </w:r>
      <w:r w:rsidR="00E715D8">
        <w:t>6</w:t>
      </w:r>
      <w:r w:rsidR="00DD5E56">
        <w:t>.</w:t>
      </w:r>
      <w:r w:rsidRPr="00430F1F">
        <w:t>)</w:t>
      </w:r>
      <w:r w:rsidR="00DD5E56">
        <w:t xml:space="preserve"> </w:t>
      </w:r>
      <w:r>
        <w:t>The non-consolidation opinion is included as Exhibit</w:t>
      </w:r>
      <w:r w:rsidR="00DD5E56">
        <w:t> </w:t>
      </w:r>
      <w:r>
        <w:t>B</w:t>
      </w:r>
      <w:r w:rsidR="00DD5E56">
        <w:t xml:space="preserve"> to this letter</w:t>
      </w:r>
      <w:r>
        <w:t>.</w:t>
      </w:r>
    </w:p>
    <w:p w:rsidR="00AB2068" w:rsidRDefault="00AB2068" w:rsidP="00FC202E">
      <w:pPr>
        <w:pStyle w:val="Salutation"/>
        <w:ind w:firstLine="720"/>
      </w:pPr>
      <w:r>
        <w:lastRenderedPageBreak/>
        <w:t xml:space="preserve">The Commission also approved new </w:t>
      </w:r>
      <w:r w:rsidR="00B94909">
        <w:t>C</w:t>
      </w:r>
      <w:r>
        <w:t>ommitment</w:t>
      </w:r>
      <w:r w:rsidR="00DD5E56">
        <w:t> </w:t>
      </w:r>
      <w:r w:rsidR="00B94909">
        <w:t>66</w:t>
      </w:r>
      <w:r>
        <w:t xml:space="preserve"> in Order</w:t>
      </w:r>
      <w:r w:rsidR="00DD5E56">
        <w:t> </w:t>
      </w:r>
      <w:r>
        <w:t>10</w:t>
      </w:r>
      <w:r w:rsidR="00DD5E56">
        <w:t>,</w:t>
      </w:r>
      <w:r w:rsidR="00430F1F">
        <w:t xml:space="preserve"> </w:t>
      </w:r>
      <w:r w:rsidR="000E25BC">
        <w:t>which states</w:t>
      </w:r>
      <w:r w:rsidR="00DD5E56">
        <w:t xml:space="preserve"> as follows</w:t>
      </w:r>
      <w:r w:rsidR="000E25BC">
        <w:t>:</w:t>
      </w:r>
    </w:p>
    <w:p w:rsidR="006A5C96" w:rsidRPr="006A5C96" w:rsidRDefault="00AB2068" w:rsidP="00DD5E56">
      <w:pPr>
        <w:pStyle w:val="Salutation"/>
        <w:ind w:left="1440" w:right="720"/>
        <w:jc w:val="both"/>
      </w:pPr>
      <w:r w:rsidRPr="006A5C96">
        <w:rPr>
          <w:u w:val="single"/>
        </w:rPr>
        <w:t>Commitment 66</w:t>
      </w:r>
      <w:r w:rsidR="00DD5E56">
        <w:t xml:space="preserve"> </w:t>
      </w:r>
      <w:r>
        <w:t>PSE’s customers will be held harmless from the liabilities and financial losses of non-regulated activity of the Tacoma LNG Facility</w:t>
      </w:r>
      <w:r w:rsidR="006A5C96">
        <w:t xml:space="preserve"> </w:t>
      </w:r>
      <w:r w:rsidR="006A5C96" w:rsidRPr="006A5C96">
        <w:t>including any non-regulated activity of Puget LNG. Puget Energy guarantees and will hold PSE’s customers harmless from all liabilities and financial losses of Puget LNG resulting from:</w:t>
      </w:r>
    </w:p>
    <w:p w:rsidR="006A5C96" w:rsidRPr="006A5C96" w:rsidRDefault="006A5C96" w:rsidP="00DD5E56">
      <w:pPr>
        <w:pStyle w:val="Salutation"/>
        <w:ind w:left="2160" w:right="720" w:hanging="720"/>
        <w:jc w:val="both"/>
      </w:pPr>
      <w:r w:rsidRPr="006A5C96">
        <w:t>(i)</w:t>
      </w:r>
      <w:r w:rsidRPr="006A5C96">
        <w:tab/>
        <w:t>any non-regulated activity of the Tacoma LNG Facility, including the sale or assignment of the assets of Puget LNG to a third party; and</w:t>
      </w:r>
    </w:p>
    <w:p w:rsidR="006A5C96" w:rsidRPr="006A5C96" w:rsidRDefault="006A5C96" w:rsidP="00DD5E56">
      <w:pPr>
        <w:pStyle w:val="Salutation"/>
        <w:ind w:left="2160" w:right="720" w:hanging="720"/>
        <w:jc w:val="both"/>
      </w:pPr>
      <w:r w:rsidRPr="006A5C96">
        <w:t>(ii)</w:t>
      </w:r>
      <w:r w:rsidRPr="006A5C96">
        <w:tab/>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p>
    <w:p w:rsidR="006A5C96" w:rsidRPr="006A5C96" w:rsidRDefault="006A5C96" w:rsidP="006A5C96">
      <w:pPr>
        <w:pStyle w:val="Salutation"/>
      </w:pPr>
      <w:r w:rsidRPr="006A5C96">
        <w:t>Order</w:t>
      </w:r>
      <w:r w:rsidR="00972140">
        <w:t xml:space="preserve"> 10</w:t>
      </w:r>
      <w:r w:rsidRPr="006A5C96">
        <w:t xml:space="preserve"> at ¶ 79.</w:t>
      </w:r>
    </w:p>
    <w:p w:rsidR="00AB2068" w:rsidRDefault="006A5C96" w:rsidP="00FC202E">
      <w:pPr>
        <w:pStyle w:val="Salutation"/>
        <w:ind w:firstLine="720"/>
      </w:pPr>
      <w:r>
        <w:t xml:space="preserve">The Secrist Affidavit affirms </w:t>
      </w:r>
      <w:r w:rsidRPr="006A5C96">
        <w:t>that Puget Energy will hold PSE’s customers harmless from the liabilities and financial losses of any non-regulated activity of the Tacoma LNG Facility, including any non-regulated activity of Puget LNG, for so long as Puget Energy, or any affiliate or subsidiary of Puget Energy, is a member of Puget LNG</w:t>
      </w:r>
      <w:r>
        <w:t>. (Secrist Affidavit at ¶</w:t>
      </w:r>
      <w:r w:rsidR="00E715D8">
        <w:t>8</w:t>
      </w:r>
      <w:r w:rsidR="00DD5E56">
        <w:t xml:space="preserve">.) </w:t>
      </w:r>
      <w:r>
        <w:t xml:space="preserve">The Secrist </w:t>
      </w:r>
      <w:r w:rsidRPr="006A5C96">
        <w:t>Affidavit further affirms that Puget Energy will guarantee and hold PSE’s customers harmless from</w:t>
      </w:r>
      <w:r w:rsidR="00E715D8">
        <w:t>:</w:t>
      </w:r>
      <w:r w:rsidRPr="006A5C96">
        <w:t xml:space="preserve"> </w:t>
      </w:r>
      <w:r w:rsidR="00E715D8">
        <w:t xml:space="preserve">(i) </w:t>
      </w:r>
      <w:r w:rsidRPr="006A5C96">
        <w:t xml:space="preserve">all liabilities and financial losses of Puget LNG resulting from </w:t>
      </w:r>
      <w:r w:rsidR="00E715D8" w:rsidRPr="00E715D8">
        <w:t xml:space="preserve">any non-regulated activity of the Tacoma LNG Facility, including the sale or assignment of the assets of Puget LNG to a third party; and </w:t>
      </w:r>
      <w:r w:rsidR="00E715D8">
        <w:t xml:space="preserve">(ii) </w:t>
      </w:r>
      <w:r w:rsidR="00E715D8" w:rsidRPr="00E715D8">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r w:rsidR="00E715D8">
        <w:t>,</w:t>
      </w:r>
      <w:r w:rsidRPr="006A5C96">
        <w:t xml:space="preserve"> for so long as Puget Energy, or any affiliate or subsidiary of Puget Energy, is a member of Puget LNG</w:t>
      </w:r>
      <w:r w:rsidR="00E715D8">
        <w:t>. (Secrist Affidavit at ¶9)</w:t>
      </w:r>
      <w:r w:rsidRPr="006A5C96">
        <w:t>:</w:t>
      </w:r>
    </w:p>
    <w:p w:rsidR="00E715D8" w:rsidRPr="00E715D8" w:rsidRDefault="00E715D8" w:rsidP="00E715D8">
      <w:pPr>
        <w:pStyle w:val="Salutation"/>
      </w:pPr>
      <w:r>
        <w:tab/>
      </w:r>
      <w:r w:rsidRPr="00E715D8">
        <w:t>The Commission also approved new Commitment 6</w:t>
      </w:r>
      <w:r>
        <w:t>7</w:t>
      </w:r>
      <w:r w:rsidRPr="00E715D8">
        <w:t xml:space="preserve"> in Order 10</w:t>
      </w:r>
      <w:r w:rsidR="000E25BC">
        <w:t>, which states, in part:</w:t>
      </w:r>
    </w:p>
    <w:p w:rsidR="00E715D8" w:rsidRDefault="00E715D8" w:rsidP="000E25BC">
      <w:pPr>
        <w:pStyle w:val="Salutation"/>
        <w:ind w:left="720"/>
      </w:pPr>
      <w:r w:rsidRPr="00E715D8">
        <w:rPr>
          <w:u w:val="single"/>
        </w:rPr>
        <w:t>Commitment 6</w:t>
      </w:r>
      <w:r w:rsidR="00830ADC">
        <w:rPr>
          <w:u w:val="single"/>
        </w:rPr>
        <w:t>7</w:t>
      </w:r>
      <w:r w:rsidRPr="00E715D8">
        <w:t xml:space="preserve"> Within</w:t>
      </w:r>
      <w:r w:rsidR="00830ADC">
        <w:t xml:space="preserve"> sixty (60) days of the formation of Puget LNG, PSE </w:t>
      </w:r>
      <w:r w:rsidR="00830ADC" w:rsidRPr="00830ADC">
        <w:t xml:space="preserve">will file a Joint Ownership Agreement between Puget LNG and PSE for approval by the </w:t>
      </w:r>
      <w:r w:rsidR="00830ADC" w:rsidRPr="00830ADC">
        <w:lastRenderedPageBreak/>
        <w:t>Commission pursuant to RCW 80.16.020.</w:t>
      </w:r>
      <w:r w:rsidR="00DD5E56">
        <w:t xml:space="preserve"> </w:t>
      </w:r>
      <w:r w:rsidR="00830ADC">
        <w:t>The terms and conditions of the Joint Ownership Agreement will reflect the terms and conditions set forth in Attachment B to this Settlement Stipulation.</w:t>
      </w:r>
    </w:p>
    <w:p w:rsidR="00972140" w:rsidRDefault="00972140" w:rsidP="00972140">
      <w:pPr>
        <w:pStyle w:val="BodyText"/>
      </w:pPr>
      <w:r>
        <w:t>Order 10 at ¶86.</w:t>
      </w:r>
      <w:r w:rsidR="00DD5E56">
        <w:t xml:space="preserve"> </w:t>
      </w:r>
      <w:r>
        <w:t xml:space="preserve">In addition, Commitment 67 in Order 10 includes specific details regarding the </w:t>
      </w:r>
      <w:r w:rsidR="00795D87">
        <w:t xml:space="preserve">treatment of </w:t>
      </w:r>
      <w:r>
        <w:t>operating costs</w:t>
      </w:r>
      <w:r w:rsidR="00795D87">
        <w:t>,</w:t>
      </w:r>
      <w:r>
        <w:t xml:space="preserve"> liabilities, insurance requirements and usage fees under the Joint Ownership Agreement.</w:t>
      </w:r>
    </w:p>
    <w:p w:rsidR="003E1BCF" w:rsidRPr="003E1BCF" w:rsidRDefault="00795D87" w:rsidP="00A55EC2">
      <w:pPr>
        <w:pStyle w:val="BodyText"/>
        <w:ind w:firstLine="720"/>
      </w:pPr>
      <w:r>
        <w:t xml:space="preserve">The Secrist Affidavit affirms that within sixty (60) days </w:t>
      </w:r>
      <w:r w:rsidRPr="00795D87">
        <w:t>of the formation of Puget LNG, PSE is filing a Joint Ownership Agreement between Puget LNG and PSE for approval by the Commission pursuant to RCW 80.16.020.</w:t>
      </w:r>
      <w:r w:rsidR="00DD5E56">
        <w:t xml:space="preserve"> </w:t>
      </w:r>
      <w:r>
        <w:t>(Secrist Affidavit at ¶11).</w:t>
      </w:r>
      <w:r w:rsidR="00DD5E56">
        <w:t xml:space="preserve"> I</w:t>
      </w:r>
      <w:r>
        <w:t>ncluded</w:t>
      </w:r>
      <w:r w:rsidR="003E1BCF">
        <w:t xml:space="preserve"> as Exhibit</w:t>
      </w:r>
      <w:r w:rsidR="00DD5E56">
        <w:t> </w:t>
      </w:r>
      <w:r w:rsidR="003E1BCF">
        <w:t>C</w:t>
      </w:r>
      <w:r w:rsidR="00DD5E56">
        <w:t xml:space="preserve"> to this letter is </w:t>
      </w:r>
      <w:r>
        <w:t xml:space="preserve">a copy of the Joint Ownership Agreement between Puget LNG and PSE </w:t>
      </w:r>
      <w:r w:rsidR="003E1BCF">
        <w:t>which includes the terms and conditions set forth in Attachment</w:t>
      </w:r>
      <w:r w:rsidR="00DD5E56">
        <w:t> </w:t>
      </w:r>
      <w:r w:rsidR="003E1BCF">
        <w:t>B of the Settlement Stipulation approved in Order</w:t>
      </w:r>
      <w:r w:rsidR="00DD5E56">
        <w:t> </w:t>
      </w:r>
      <w:r w:rsidR="003E1BCF">
        <w:t>10 and the specific details required by Commitment</w:t>
      </w:r>
      <w:r w:rsidR="00DD5E56">
        <w:t> </w:t>
      </w:r>
      <w:r w:rsidR="003E1BCF">
        <w:t>67 in Order</w:t>
      </w:r>
      <w:r w:rsidR="00DD5E56">
        <w:t> </w:t>
      </w:r>
      <w:r w:rsidR="003E1BCF">
        <w:t>10.</w:t>
      </w:r>
      <w:r>
        <w:t xml:space="preserve"> </w:t>
      </w:r>
    </w:p>
    <w:p w:rsidR="003E1BCF" w:rsidRPr="003E1BCF" w:rsidRDefault="003E1BCF" w:rsidP="003E1BCF">
      <w:pPr>
        <w:pStyle w:val="BodyText"/>
        <w:ind w:firstLine="720"/>
      </w:pPr>
      <w:r w:rsidRPr="003E1BCF">
        <w:t>The Commission also approved new Commitment 6</w:t>
      </w:r>
      <w:r>
        <w:t>8</w:t>
      </w:r>
      <w:r w:rsidRPr="003E1BCF">
        <w:t xml:space="preserve"> in Order 10, which states:</w:t>
      </w:r>
    </w:p>
    <w:p w:rsidR="003E1BCF" w:rsidRPr="003E1BCF" w:rsidRDefault="003E1BCF" w:rsidP="00DD5E56">
      <w:pPr>
        <w:pStyle w:val="Salutation"/>
        <w:ind w:left="1440" w:right="720"/>
        <w:jc w:val="both"/>
      </w:pPr>
      <w:r w:rsidRPr="003E1BCF">
        <w:rPr>
          <w:u w:val="single"/>
        </w:rPr>
        <w:t>Commitment 6</w:t>
      </w:r>
      <w:r>
        <w:rPr>
          <w:u w:val="single"/>
        </w:rPr>
        <w:t>8</w:t>
      </w:r>
      <w:r>
        <w:t xml:space="preserve"> </w:t>
      </w:r>
      <w:r w:rsidRPr="003E1BCF">
        <w:t xml:space="preserve">PSE will </w:t>
      </w:r>
      <w:r>
        <w:t xml:space="preserve">notify </w:t>
      </w:r>
      <w:r w:rsidRPr="003E1BCF">
        <w:t>the Commission of any potential sale or transfer of all or substantially all of the assets of the Tacoma LNG Facility or the potential sale or transfer of Puget LNG’s non-regulated operations. PSE must give this notice as soon as practicable.</w:t>
      </w:r>
    </w:p>
    <w:p w:rsidR="003E1BCF" w:rsidRPr="003E1BCF" w:rsidRDefault="003E1BCF" w:rsidP="003E1BCF">
      <w:pPr>
        <w:pStyle w:val="BodyText"/>
      </w:pPr>
      <w:r w:rsidRPr="003E1BCF">
        <w:t>Final Order at ¶ 95.</w:t>
      </w:r>
    </w:p>
    <w:p w:rsidR="00652C13" w:rsidRPr="00652C13" w:rsidRDefault="003E1BCF" w:rsidP="00652C13">
      <w:pPr>
        <w:pStyle w:val="BodyText"/>
        <w:ind w:firstLine="720"/>
      </w:pPr>
      <w:r>
        <w:t xml:space="preserve">The Secrist Affidavit affirms that </w:t>
      </w:r>
      <w:r w:rsidR="00652C13" w:rsidRPr="00652C13">
        <w:t>(i) PSE will notify the Commission of any potential sale or transfer of all or substantially all of the assets of the Tacoma LNG Facility or the potential sale or transfer of Puget LNG’s non-regulated operations and (ii) PSE will give this notice as soon as practicable.</w:t>
      </w:r>
      <w:r w:rsidR="00DD5E56">
        <w:t xml:space="preserve"> (Secrist Affidavit at ¶13.)</w:t>
      </w:r>
    </w:p>
    <w:p w:rsidR="00795D87" w:rsidRDefault="00652C13" w:rsidP="003E1BCF">
      <w:pPr>
        <w:pStyle w:val="BodyText"/>
        <w:ind w:firstLine="720"/>
      </w:pPr>
      <w:r>
        <w:t>In paragraph</w:t>
      </w:r>
      <w:r w:rsidR="00DD5E56">
        <w:t> </w:t>
      </w:r>
      <w:r>
        <w:t>141 of Order</w:t>
      </w:r>
      <w:r w:rsidR="00DD5E56">
        <w:t> </w:t>
      </w:r>
      <w:r>
        <w:t xml:space="preserve">10, the Commission addressed the governance structure </w:t>
      </w:r>
      <w:r w:rsidR="00046974">
        <w:t>and B</w:t>
      </w:r>
      <w:r>
        <w:t xml:space="preserve">oard of </w:t>
      </w:r>
      <w:r w:rsidR="00046974">
        <w:t>M</w:t>
      </w:r>
      <w:r>
        <w:t>anagers of Puget LNG.</w:t>
      </w:r>
      <w:r w:rsidR="00DD5E56">
        <w:t xml:space="preserve"> </w:t>
      </w:r>
      <w:r>
        <w:t xml:space="preserve">The Commission required that </w:t>
      </w:r>
      <w:r w:rsidRPr="00652C13">
        <w:t>(i) two managers on the Board of Managers of Puget LNG should be independent and, therefore, not a member, stockholder, director, officer, or employee of Puget Holdings, LLC (“Puget Holdings”), Puget Energy, PSE, or any other affiliated businesses and (ii) ideally, these independent managers on the Board of Managers, or at least one of them, will have knowledge and experience with liquefied natural gas infrastructure, operations, marketing, or regulation. Order</w:t>
      </w:r>
      <w:r w:rsidR="00046974">
        <w:t xml:space="preserve"> 10</w:t>
      </w:r>
      <w:r w:rsidRPr="00652C13">
        <w:t xml:space="preserve"> at ¶ 141</w:t>
      </w:r>
      <w:r w:rsidR="00046974">
        <w:t>.</w:t>
      </w:r>
    </w:p>
    <w:p w:rsidR="00046974" w:rsidRDefault="00046974" w:rsidP="003E1BCF">
      <w:pPr>
        <w:pStyle w:val="BodyText"/>
        <w:ind w:firstLine="720"/>
      </w:pPr>
      <w:r>
        <w:t xml:space="preserve">The Secrist Affidavit affirms </w:t>
      </w:r>
      <w:r w:rsidR="009E0DE6">
        <w:t xml:space="preserve">that </w:t>
      </w:r>
      <w:r w:rsidR="009E0DE6" w:rsidRPr="009E0DE6">
        <w:t xml:space="preserve">as of the date of commercial operations of the Tacoma LNG Facility and continuing thereafter, (i) two managers on the Board of Managers of Puget LNG will be independent and, therefore, not a member, stockholder, director, officer, or employee of Puget Holdings, Puget Energy, PSE, or any other affiliated businesses and (ii) at </w:t>
      </w:r>
      <w:r w:rsidR="009E0DE6" w:rsidRPr="009E0DE6">
        <w:lastRenderedPageBreak/>
        <w:t>least one of the independent managers of the Board of Managers will have knowledge and experience with liquefied natural gas infrastructure, operations, marketing, or regulation.</w:t>
      </w:r>
      <w:r w:rsidR="00A55EC2">
        <w:t xml:space="preserve"> (</w:t>
      </w:r>
      <w:r w:rsidR="00075FFF">
        <w:t>S</w:t>
      </w:r>
      <w:r w:rsidR="00A55EC2">
        <w:t>ecrist Affidavit at ¶15</w:t>
      </w:r>
      <w:r w:rsidR="00075FFF">
        <w:t>.</w:t>
      </w:r>
      <w:r w:rsidR="00A55EC2">
        <w:t>)</w:t>
      </w:r>
    </w:p>
    <w:p w:rsidR="0078004C" w:rsidRPr="0078004C" w:rsidRDefault="003D7AF3" w:rsidP="003D7AF3">
      <w:pPr>
        <w:pStyle w:val="Salutation"/>
        <w:ind w:firstLine="720"/>
      </w:pPr>
      <w:r w:rsidRPr="003D7AF3">
        <w:t>If you have any questions, please contact the undersigned at 425-635-1416</w:t>
      </w:r>
      <w:r>
        <w:t xml:space="preserve"> or </w:t>
      </w:r>
      <w:hyperlink r:id="rId9" w:history="1">
        <w:r w:rsidRPr="00406595">
          <w:rPr>
            <w:rStyle w:val="Hyperlink"/>
          </w:rPr>
          <w:t>jkuzma@perkinscoie.com</w:t>
        </w:r>
      </w:hyperlink>
      <w:r w:rsidRPr="003D7AF3">
        <w:t>.</w:t>
      </w:r>
    </w:p>
    <w:p w:rsidR="00FC202E" w:rsidRPr="00FC202E" w:rsidRDefault="00FC202E" w:rsidP="003D7AF3">
      <w:pPr>
        <w:pStyle w:val="LetterSignature"/>
        <w:ind w:left="4320"/>
      </w:pPr>
      <w:r w:rsidRPr="00FC202E">
        <w:t>Very truly yours,</w:t>
      </w:r>
    </w:p>
    <w:p w:rsidR="00353E07" w:rsidRPr="00546804" w:rsidRDefault="00546804" w:rsidP="00546804">
      <w:pPr>
        <w:pStyle w:val="LetterSignature"/>
        <w:spacing w:before="360" w:after="360"/>
        <w:ind w:left="4320"/>
        <w:rPr>
          <w:i/>
        </w:rPr>
      </w:pPr>
      <w:r w:rsidRPr="00546804">
        <w:rPr>
          <w:i/>
          <w:noProof/>
        </w:rPr>
        <w:t>/s/ Jason Kuzma</w:t>
      </w:r>
    </w:p>
    <w:p w:rsidR="00FC202E" w:rsidRPr="00FC202E" w:rsidRDefault="003D7AF3" w:rsidP="003D7AF3">
      <w:pPr>
        <w:pStyle w:val="LetterSignature"/>
        <w:spacing w:before="120"/>
        <w:ind w:left="4320"/>
      </w:pPr>
      <w:r>
        <w:t xml:space="preserve">Jason </w:t>
      </w:r>
      <w:r w:rsidR="00FC202E" w:rsidRPr="00FC202E">
        <w:t>Kuzma</w:t>
      </w:r>
    </w:p>
    <w:p w:rsidR="00FC202E" w:rsidRPr="00FC202E" w:rsidRDefault="00FC202E" w:rsidP="00271B16">
      <w:pPr>
        <w:pStyle w:val="LetterSignatureSub2"/>
        <w:rPr>
          <w:vanish w:val="0"/>
        </w:rPr>
      </w:pPr>
      <w:proofErr w:type="spellStart"/>
      <w:r w:rsidRPr="00FC202E">
        <w:rPr>
          <w:vanish w:val="0"/>
        </w:rPr>
        <w:t>JTK</w:t>
      </w:r>
      <w:proofErr w:type="spellEnd"/>
    </w:p>
    <w:p w:rsidR="00D206D5" w:rsidRDefault="003D7AF3">
      <w:r>
        <w:t>Attachments</w:t>
      </w:r>
    </w:p>
    <w:p w:rsidR="003D7AF3" w:rsidRDefault="003D7AF3">
      <w:pPr>
        <w:sectPr w:rsidR="003D7AF3" w:rsidSect="00FC202E">
          <w:headerReference w:type="default" r:id="rId10"/>
          <w:footerReference w:type="default" r:id="rId11"/>
          <w:headerReference w:type="first" r:id="rId12"/>
          <w:footerReference w:type="first" r:id="rId13"/>
          <w:pgSz w:w="12240" w:h="15840" w:code="1"/>
          <w:pgMar w:top="2520" w:right="1440" w:bottom="1800" w:left="1440" w:header="1440" w:footer="1152" w:gutter="0"/>
          <w:cols w:space="720"/>
          <w:formProt w:val="0"/>
          <w:titlePg/>
          <w:docGrid w:linePitch="360"/>
        </w:sectPr>
      </w:pPr>
      <w:r>
        <w:t>Cc:</w:t>
      </w:r>
      <w:r>
        <w:tab/>
        <w:t>Service List in Docket UG-151663</w:t>
      </w:r>
    </w:p>
    <w:p w:rsidR="009E0DE6" w:rsidRDefault="003D7AF3" w:rsidP="003D7AF3">
      <w:pPr>
        <w:jc w:val="center"/>
        <w:rPr>
          <w:b/>
          <w:sz w:val="48"/>
          <w:szCs w:val="48"/>
        </w:rPr>
        <w:sectPr w:rsidR="009E0DE6" w:rsidSect="003D7AF3">
          <w:headerReference w:type="first" r:id="rId14"/>
          <w:footerReference w:type="first" r:id="rId15"/>
          <w:pgSz w:w="12240" w:h="15840" w:code="1"/>
          <w:pgMar w:top="1440" w:right="1440" w:bottom="1440" w:left="1440" w:header="1440" w:footer="1152" w:gutter="0"/>
          <w:cols w:space="720"/>
          <w:formProt w:val="0"/>
          <w:vAlign w:val="center"/>
          <w:titlePg/>
          <w:docGrid w:linePitch="360"/>
        </w:sectPr>
      </w:pPr>
      <w:r w:rsidRPr="003D7AF3">
        <w:rPr>
          <w:b/>
          <w:sz w:val="48"/>
          <w:szCs w:val="48"/>
        </w:rPr>
        <w:lastRenderedPageBreak/>
        <w:t>Exhibit A</w:t>
      </w:r>
      <w:r w:rsidR="009E0DE6">
        <w:rPr>
          <w:b/>
          <w:sz w:val="48"/>
          <w:szCs w:val="48"/>
        </w:rPr>
        <w:t xml:space="preserve"> </w:t>
      </w:r>
    </w:p>
    <w:p w:rsidR="00450526" w:rsidRDefault="00450526" w:rsidP="003D7AF3">
      <w:pPr>
        <w:rPr>
          <w:b/>
          <w:szCs w:val="24"/>
        </w:rPr>
      </w:pPr>
    </w:p>
    <w:p w:rsidR="00A55EC2" w:rsidRPr="00353E07" w:rsidRDefault="00A55EC2" w:rsidP="00A55EC2">
      <w:pPr>
        <w:spacing w:line="480" w:lineRule="atLeast"/>
        <w:jc w:val="center"/>
        <w:rPr>
          <w:b/>
          <w:sz w:val="48"/>
          <w:szCs w:val="48"/>
        </w:rPr>
        <w:sectPr w:rsidR="00A55EC2" w:rsidRPr="00353E07" w:rsidSect="003D7AF3">
          <w:headerReference w:type="first" r:id="rId16"/>
          <w:footerReference w:type="first" r:id="rId17"/>
          <w:pgSz w:w="12240" w:h="15840" w:code="1"/>
          <w:pgMar w:top="1440" w:right="1440" w:bottom="1440" w:left="1440" w:header="1440" w:footer="1152" w:gutter="0"/>
          <w:cols w:space="720"/>
          <w:formProt w:val="0"/>
          <w:vAlign w:val="center"/>
          <w:titlePg/>
          <w:docGrid w:linePitch="360"/>
        </w:sectPr>
      </w:pPr>
      <w:r w:rsidRPr="00353E07">
        <w:rPr>
          <w:b/>
          <w:sz w:val="48"/>
          <w:szCs w:val="48"/>
        </w:rPr>
        <w:t>Exhibit B</w:t>
      </w:r>
    </w:p>
    <w:p w:rsidR="00DA6B1A" w:rsidRPr="00353E07" w:rsidRDefault="00A55EC2" w:rsidP="00DA6B1A">
      <w:pPr>
        <w:spacing w:line="480" w:lineRule="atLeast"/>
        <w:jc w:val="center"/>
        <w:rPr>
          <w:b/>
          <w:sz w:val="48"/>
          <w:szCs w:val="48"/>
        </w:rPr>
        <w:sectPr w:rsidR="00DA6B1A" w:rsidRPr="00353E07" w:rsidSect="00353E07">
          <w:headerReference w:type="default" r:id="rId18"/>
          <w:footerReference w:type="default" r:id="rId19"/>
          <w:pgSz w:w="12240" w:h="15840" w:code="1"/>
          <w:pgMar w:top="1440" w:right="1440" w:bottom="1440" w:left="1440" w:header="720" w:footer="1152" w:gutter="0"/>
          <w:cols w:space="720"/>
          <w:formProt w:val="0"/>
          <w:vAlign w:val="center"/>
          <w:titlePg/>
          <w:docGrid w:linePitch="360"/>
        </w:sectPr>
      </w:pPr>
      <w:r w:rsidRPr="00353E07">
        <w:rPr>
          <w:b/>
          <w:sz w:val="48"/>
          <w:szCs w:val="48"/>
        </w:rPr>
        <w:lastRenderedPageBreak/>
        <w:t>Exhibit C</w:t>
      </w:r>
    </w:p>
    <w:p w:rsidR="00DA6B1A" w:rsidRDefault="00DA6B1A" w:rsidP="00DA6B1A">
      <w:pPr>
        <w:jc w:val="center"/>
        <w:rPr>
          <w:b/>
          <w:sz w:val="48"/>
          <w:szCs w:val="48"/>
        </w:rPr>
        <w:sectPr w:rsidR="00DA6B1A" w:rsidSect="00435150">
          <w:headerReference w:type="first" r:id="rId20"/>
          <w:footerReference w:type="first" r:id="rId21"/>
          <w:pgSz w:w="12240" w:h="15840" w:code="1"/>
          <w:pgMar w:top="1440" w:right="1440" w:bottom="1440" w:left="1440" w:header="720" w:footer="1152" w:gutter="0"/>
          <w:cols w:space="720"/>
          <w:formProt w:val="0"/>
          <w:vAlign w:val="center"/>
          <w:titlePg/>
          <w:docGrid w:linePitch="360"/>
        </w:sectPr>
      </w:pPr>
      <w:r>
        <w:rPr>
          <w:b/>
          <w:sz w:val="48"/>
          <w:szCs w:val="48"/>
        </w:rPr>
        <w:lastRenderedPageBreak/>
        <w:t>Certificate of Service</w:t>
      </w:r>
    </w:p>
    <w:p w:rsidR="00DA6B1A" w:rsidRPr="00DA6B1A" w:rsidRDefault="00DA6B1A" w:rsidP="00DA6B1A">
      <w:pPr>
        <w:jc w:val="center"/>
        <w:rPr>
          <w:b/>
          <w:sz w:val="22"/>
          <w:szCs w:val="22"/>
          <w:u w:val="single"/>
        </w:rPr>
      </w:pPr>
      <w:r w:rsidRPr="00DA6B1A">
        <w:rPr>
          <w:b/>
          <w:sz w:val="22"/>
          <w:szCs w:val="22"/>
          <w:u w:val="single"/>
        </w:rPr>
        <w:lastRenderedPageBreak/>
        <w:t>CERTIFICATE OF SERVICE</w:t>
      </w:r>
      <w:r w:rsidRPr="00DA6B1A">
        <w:rPr>
          <w:b/>
          <w:sz w:val="22"/>
          <w:szCs w:val="22"/>
          <w:u w:val="single"/>
        </w:rPr>
        <w:br/>
        <w:t>DOCKET NO. UG-151663</w:t>
      </w:r>
      <w:r w:rsidRPr="00DA6B1A">
        <w:rPr>
          <w:b/>
          <w:sz w:val="22"/>
          <w:szCs w:val="22"/>
          <w:u w:val="single"/>
        </w:rPr>
        <w:br/>
        <w:t>(Re:  LNG Petition)</w:t>
      </w:r>
    </w:p>
    <w:p w:rsidR="00DA6B1A" w:rsidRPr="00DA6B1A" w:rsidRDefault="00DA6B1A" w:rsidP="00DA6B1A">
      <w:pPr>
        <w:spacing w:line="480" w:lineRule="atLeast"/>
        <w:ind w:firstLine="720"/>
        <w:rPr>
          <w:sz w:val="22"/>
          <w:szCs w:val="22"/>
          <w:lang w:val="fr-FR"/>
        </w:rPr>
      </w:pPr>
      <w:r w:rsidRPr="00DA6B1A">
        <w:rPr>
          <w:sz w:val="22"/>
          <w:szCs w:val="22"/>
        </w:rPr>
        <w:t xml:space="preserve">I hereby certify that I have this day caused the foregoing to be served, in accordance with WAC 480-07-150(6), to the following persons via email and </w:t>
      </w:r>
      <w:r w:rsidR="00546804">
        <w:rPr>
          <w:sz w:val="22"/>
          <w:szCs w:val="22"/>
        </w:rPr>
        <w:t>overnight courier</w:t>
      </w:r>
      <w:r w:rsidRPr="00DA6B1A">
        <w:rPr>
          <w:sz w:val="22"/>
          <w:szCs w:val="22"/>
        </w:rPr>
        <w:t>:</w:t>
      </w:r>
    </w:p>
    <w:p w:rsidR="00DA6B1A" w:rsidRPr="00DA6B1A" w:rsidRDefault="00DA6B1A" w:rsidP="00DA6B1A">
      <w:pPr>
        <w:spacing w:line="240" w:lineRule="atLeast"/>
        <w:rPr>
          <w:sz w:val="22"/>
          <w:szCs w:val="22"/>
        </w:rPr>
      </w:pPr>
    </w:p>
    <w:tbl>
      <w:tblPr>
        <w:tblW w:w="9468" w:type="dxa"/>
        <w:tblLook w:val="01E0" w:firstRow="1" w:lastRow="1" w:firstColumn="1" w:lastColumn="1" w:noHBand="0" w:noVBand="0"/>
      </w:tblPr>
      <w:tblGrid>
        <w:gridCol w:w="4776"/>
        <w:gridCol w:w="4692"/>
      </w:tblGrid>
      <w:tr w:rsidR="00DA6B1A" w:rsidRPr="00DA6B1A" w:rsidTr="00105976">
        <w:trPr>
          <w:cantSplit/>
        </w:trPr>
        <w:tc>
          <w:tcPr>
            <w:tcW w:w="4776" w:type="dxa"/>
            <w:shd w:val="clear" w:color="auto" w:fill="auto"/>
          </w:tcPr>
          <w:p w:rsidR="00DA6B1A" w:rsidRPr="00DA6B1A" w:rsidRDefault="00DA6B1A" w:rsidP="00DA6B1A">
            <w:pPr>
              <w:spacing w:line="240" w:lineRule="atLeast"/>
            </w:pPr>
            <w:r w:rsidRPr="00DA6B1A">
              <w:rPr>
                <w:b/>
                <w:sz w:val="22"/>
                <w:szCs w:val="22"/>
                <w:u w:val="single"/>
              </w:rPr>
              <w:t>Commission Staff</w:t>
            </w:r>
            <w:r w:rsidRPr="00DA6B1A">
              <w:t>:</w:t>
            </w:r>
          </w:p>
          <w:p w:rsidR="00DA6B1A" w:rsidRPr="00DA6B1A" w:rsidRDefault="00DA6B1A" w:rsidP="00DA6B1A">
            <w:pPr>
              <w:spacing w:line="240" w:lineRule="atLeast"/>
              <w:rPr>
                <w:sz w:val="22"/>
                <w:szCs w:val="22"/>
              </w:rPr>
            </w:pPr>
            <w:r w:rsidRPr="00DA6B1A">
              <w:rPr>
                <w:sz w:val="22"/>
                <w:szCs w:val="22"/>
              </w:rPr>
              <w:t>Brett P. Shearer</w:t>
            </w:r>
            <w:r w:rsidRPr="00DA6B1A">
              <w:rPr>
                <w:sz w:val="22"/>
                <w:szCs w:val="22"/>
              </w:rPr>
              <w:br/>
              <w:t>Jeff Roberson</w:t>
            </w:r>
            <w:r w:rsidRPr="00DA6B1A">
              <w:rPr>
                <w:sz w:val="22"/>
                <w:szCs w:val="22"/>
              </w:rPr>
              <w:br/>
              <w:t>Office of the Attorney General</w:t>
            </w:r>
            <w:r w:rsidRPr="00DA6B1A">
              <w:rPr>
                <w:sz w:val="22"/>
                <w:szCs w:val="22"/>
              </w:rPr>
              <w:br/>
              <w:t>Utilities and Transportation Division</w:t>
            </w:r>
            <w:r w:rsidRPr="00DA6B1A">
              <w:rPr>
                <w:sz w:val="22"/>
                <w:szCs w:val="22"/>
              </w:rPr>
              <w:br/>
              <w:t>1400 S. Evergreen Park Dr. S.W.</w:t>
            </w:r>
            <w:r w:rsidRPr="00DA6B1A">
              <w:rPr>
                <w:sz w:val="22"/>
                <w:szCs w:val="22"/>
              </w:rPr>
              <w:br/>
              <w:t>P.O. Box 40128</w:t>
            </w:r>
            <w:r w:rsidRPr="00DA6B1A">
              <w:rPr>
                <w:sz w:val="22"/>
                <w:szCs w:val="22"/>
              </w:rPr>
              <w:br/>
              <w:t>Olympia, WA  98504-0128</w:t>
            </w:r>
            <w:r w:rsidRPr="00DA6B1A">
              <w:rPr>
                <w:sz w:val="22"/>
                <w:szCs w:val="22"/>
              </w:rPr>
              <w:br/>
              <w:t>Phone:</w:t>
            </w:r>
            <w:r w:rsidRPr="00DA6B1A">
              <w:rPr>
                <w:sz w:val="22"/>
                <w:szCs w:val="22"/>
              </w:rPr>
              <w:tab/>
              <w:t>(360) 664-1187</w:t>
            </w:r>
          </w:p>
          <w:p w:rsidR="00DA6B1A" w:rsidRPr="00DA6B1A" w:rsidRDefault="00DA6B1A" w:rsidP="00DA6B1A">
            <w:pPr>
              <w:spacing w:line="240" w:lineRule="atLeast"/>
              <w:rPr>
                <w:sz w:val="22"/>
                <w:szCs w:val="22"/>
                <w:lang w:val="fr-FR"/>
              </w:rPr>
            </w:pPr>
            <w:r w:rsidRPr="00DA6B1A">
              <w:rPr>
                <w:sz w:val="22"/>
                <w:szCs w:val="22"/>
              </w:rPr>
              <w:t>Phone:</w:t>
            </w:r>
            <w:r w:rsidRPr="00DA6B1A">
              <w:rPr>
                <w:sz w:val="22"/>
                <w:szCs w:val="22"/>
              </w:rPr>
              <w:tab/>
              <w:t>(360) 664-1188</w:t>
            </w:r>
            <w:r w:rsidRPr="00DA6B1A">
              <w:rPr>
                <w:sz w:val="22"/>
                <w:szCs w:val="22"/>
              </w:rPr>
              <w:br/>
              <w:t>Fax:</w:t>
            </w:r>
            <w:r w:rsidRPr="00DA6B1A">
              <w:rPr>
                <w:sz w:val="22"/>
                <w:szCs w:val="22"/>
              </w:rPr>
              <w:tab/>
              <w:t>(360) 586-5522</w:t>
            </w:r>
            <w:r w:rsidRPr="00DA6B1A">
              <w:rPr>
                <w:sz w:val="22"/>
                <w:szCs w:val="22"/>
              </w:rPr>
              <w:br/>
            </w:r>
            <w:r w:rsidRPr="00DA6B1A">
              <w:rPr>
                <w:sz w:val="22"/>
                <w:szCs w:val="22"/>
                <w:lang w:val="fr-FR"/>
              </w:rPr>
              <w:t>Email:</w:t>
            </w:r>
            <w:r w:rsidRPr="00DA6B1A">
              <w:rPr>
                <w:sz w:val="22"/>
                <w:szCs w:val="22"/>
                <w:lang w:val="fr-FR"/>
              </w:rPr>
              <w:tab/>
            </w:r>
            <w:hyperlink r:id="rId22" w:history="1">
              <w:r w:rsidRPr="00DA6B1A">
                <w:rPr>
                  <w:color w:val="0000FF"/>
                  <w:sz w:val="22"/>
                  <w:szCs w:val="22"/>
                  <w:u w:val="single"/>
                  <w:lang w:val="fr-FR"/>
                </w:rPr>
                <w:t>bshearer@utc.wa.gov</w:t>
              </w:r>
            </w:hyperlink>
          </w:p>
          <w:p w:rsidR="00DA6B1A" w:rsidRPr="00DA6B1A" w:rsidRDefault="00DA6B1A" w:rsidP="00DA6B1A">
            <w:pPr>
              <w:spacing w:line="240" w:lineRule="atLeast"/>
              <w:rPr>
                <w:sz w:val="22"/>
                <w:szCs w:val="22"/>
                <w:lang w:val="fr-FR"/>
              </w:rPr>
            </w:pPr>
            <w:r w:rsidRPr="00DA6B1A">
              <w:rPr>
                <w:sz w:val="22"/>
                <w:szCs w:val="22"/>
                <w:lang w:val="fr-FR"/>
              </w:rPr>
              <w:t>Email:</w:t>
            </w:r>
            <w:r w:rsidRPr="00DA6B1A">
              <w:rPr>
                <w:sz w:val="22"/>
                <w:szCs w:val="22"/>
                <w:lang w:val="fr-FR"/>
              </w:rPr>
              <w:tab/>
            </w:r>
            <w:hyperlink r:id="rId23" w:history="1">
              <w:r w:rsidRPr="00DA6B1A">
                <w:rPr>
                  <w:color w:val="0000FF"/>
                  <w:sz w:val="22"/>
                  <w:szCs w:val="22"/>
                  <w:u w:val="single"/>
                  <w:lang w:val="fr-FR"/>
                </w:rPr>
                <w:t>jroberso@utc.wa.gov</w:t>
              </w:r>
            </w:hyperlink>
          </w:p>
        </w:tc>
        <w:tc>
          <w:tcPr>
            <w:tcW w:w="4692" w:type="dxa"/>
            <w:shd w:val="clear" w:color="auto" w:fill="auto"/>
          </w:tcPr>
          <w:p w:rsidR="00DA6B1A" w:rsidRPr="00DA6B1A" w:rsidRDefault="00DA6B1A" w:rsidP="00DA6B1A">
            <w:pPr>
              <w:spacing w:line="240" w:lineRule="atLeast"/>
              <w:rPr>
                <w:sz w:val="22"/>
                <w:szCs w:val="22"/>
                <w:lang w:val="fr-FR"/>
              </w:rPr>
            </w:pPr>
            <w:r w:rsidRPr="00DA6B1A">
              <w:rPr>
                <w:b/>
                <w:sz w:val="22"/>
                <w:szCs w:val="22"/>
                <w:u w:val="single"/>
              </w:rPr>
              <w:t>Public Counsel</w:t>
            </w:r>
            <w:r w:rsidRPr="00DA6B1A">
              <w:rPr>
                <w:b/>
                <w:sz w:val="22"/>
                <w:szCs w:val="22"/>
              </w:rPr>
              <w:t>:</w:t>
            </w:r>
            <w:r w:rsidRPr="00DA6B1A">
              <w:rPr>
                <w:b/>
                <w:sz w:val="22"/>
                <w:szCs w:val="22"/>
              </w:rPr>
              <w:br/>
            </w:r>
            <w:r w:rsidRPr="00DA6B1A">
              <w:rPr>
                <w:sz w:val="22"/>
                <w:szCs w:val="22"/>
              </w:rPr>
              <w:t>Lisa W. Gafken</w:t>
            </w:r>
            <w:r w:rsidRPr="00DA6B1A">
              <w:rPr>
                <w:sz w:val="22"/>
                <w:szCs w:val="22"/>
              </w:rPr>
              <w:br/>
              <w:t>Assistant Attorney General</w:t>
            </w:r>
            <w:r w:rsidRPr="00DA6B1A">
              <w:rPr>
                <w:sz w:val="22"/>
                <w:szCs w:val="22"/>
              </w:rPr>
              <w:br/>
              <w:t>Office of the Attorney General</w:t>
            </w:r>
            <w:r w:rsidRPr="00DA6B1A">
              <w:rPr>
                <w:sz w:val="22"/>
                <w:szCs w:val="22"/>
              </w:rPr>
              <w:br/>
              <w:t>Public Counsel Section</w:t>
            </w:r>
            <w:r w:rsidRPr="00DA6B1A">
              <w:rPr>
                <w:sz w:val="22"/>
                <w:szCs w:val="22"/>
              </w:rPr>
              <w:br/>
              <w:t>800 Fifth Avenue, Suite 2000</w:t>
            </w:r>
            <w:r w:rsidRPr="00DA6B1A">
              <w:rPr>
                <w:sz w:val="22"/>
                <w:szCs w:val="22"/>
              </w:rPr>
              <w:br/>
              <w:t>Seattle, WA  98104-3188</w:t>
            </w:r>
            <w:r w:rsidRPr="00DA6B1A">
              <w:rPr>
                <w:sz w:val="22"/>
                <w:szCs w:val="22"/>
              </w:rPr>
              <w:br/>
              <w:t>Phone:</w:t>
            </w:r>
            <w:r w:rsidRPr="00DA6B1A">
              <w:rPr>
                <w:sz w:val="22"/>
                <w:szCs w:val="22"/>
              </w:rPr>
              <w:tab/>
              <w:t>(206) 464-6595</w:t>
            </w:r>
            <w:r w:rsidRPr="00DA6B1A">
              <w:rPr>
                <w:sz w:val="22"/>
                <w:szCs w:val="22"/>
              </w:rPr>
              <w:br/>
            </w:r>
            <w:r w:rsidRPr="00DA6B1A">
              <w:rPr>
                <w:sz w:val="22"/>
                <w:szCs w:val="22"/>
                <w:lang w:val="fr-FR"/>
              </w:rPr>
              <w:t>Fax :</w:t>
            </w:r>
            <w:r w:rsidRPr="00DA6B1A">
              <w:rPr>
                <w:sz w:val="22"/>
                <w:szCs w:val="22"/>
                <w:lang w:val="fr-FR"/>
              </w:rPr>
              <w:tab/>
              <w:t>(206) 464-6451</w:t>
            </w:r>
            <w:r w:rsidRPr="00DA6B1A">
              <w:rPr>
                <w:sz w:val="22"/>
                <w:szCs w:val="22"/>
                <w:lang w:val="fr-FR"/>
              </w:rPr>
              <w:br/>
              <w:t>Email :</w:t>
            </w:r>
            <w:r w:rsidRPr="00DA6B1A">
              <w:rPr>
                <w:sz w:val="22"/>
                <w:szCs w:val="22"/>
                <w:lang w:val="fr-FR"/>
              </w:rPr>
              <w:tab/>
            </w:r>
            <w:hyperlink r:id="rId24" w:history="1">
              <w:r w:rsidRPr="00DA6B1A">
                <w:rPr>
                  <w:color w:val="0000FF"/>
                  <w:sz w:val="22"/>
                  <w:u w:val="single"/>
                  <w:lang w:val="fr-FR"/>
                </w:rPr>
                <w:t>lisa.gafken@atg.wa.gov</w:t>
              </w:r>
            </w:hyperlink>
          </w:p>
        </w:tc>
      </w:tr>
      <w:tr w:rsidR="00DA6B1A" w:rsidRPr="00DA6B1A" w:rsidTr="00105976">
        <w:trPr>
          <w:cantSplit/>
        </w:trPr>
        <w:tc>
          <w:tcPr>
            <w:tcW w:w="4776" w:type="dxa"/>
            <w:shd w:val="clear" w:color="auto" w:fill="auto"/>
          </w:tcPr>
          <w:p w:rsidR="00DA6B1A" w:rsidRPr="00DA6B1A" w:rsidRDefault="00DA6B1A" w:rsidP="00DA6B1A">
            <w:pPr>
              <w:rPr>
                <w:sz w:val="22"/>
                <w:szCs w:val="22"/>
              </w:rPr>
            </w:pPr>
          </w:p>
        </w:tc>
        <w:tc>
          <w:tcPr>
            <w:tcW w:w="4692" w:type="dxa"/>
            <w:shd w:val="clear" w:color="auto" w:fill="auto"/>
          </w:tcPr>
          <w:p w:rsidR="00DA6B1A" w:rsidRPr="00DA6B1A" w:rsidRDefault="00DA6B1A" w:rsidP="00DA6B1A">
            <w:pPr>
              <w:rPr>
                <w:b/>
                <w:sz w:val="22"/>
                <w:szCs w:val="22"/>
                <w:u w:val="single"/>
                <w:lang w:val="fr-FR"/>
              </w:rPr>
            </w:pPr>
          </w:p>
        </w:tc>
      </w:tr>
      <w:tr w:rsidR="00DA6B1A" w:rsidRPr="00DA6B1A" w:rsidTr="00105976">
        <w:trPr>
          <w:cantSplit/>
        </w:trPr>
        <w:tc>
          <w:tcPr>
            <w:tcW w:w="4776" w:type="dxa"/>
            <w:shd w:val="clear" w:color="auto" w:fill="auto"/>
          </w:tcPr>
          <w:p w:rsidR="00DA6B1A" w:rsidRPr="00DA6B1A" w:rsidRDefault="00DA6B1A" w:rsidP="00DA6B1A">
            <w:pPr>
              <w:rPr>
                <w:b/>
                <w:sz w:val="22"/>
                <w:szCs w:val="22"/>
                <w:u w:val="single"/>
                <w:lang w:val="fr-FR"/>
              </w:rPr>
            </w:pPr>
            <w:r w:rsidRPr="00DA6B1A">
              <w:rPr>
                <w:b/>
                <w:sz w:val="22"/>
                <w:szCs w:val="22"/>
                <w:u w:val="single"/>
                <w:lang w:val="fr-FR"/>
              </w:rPr>
              <w:t xml:space="preserve">Attorneys for </w:t>
            </w:r>
            <w:proofErr w:type="spellStart"/>
            <w:r w:rsidRPr="00DA6B1A">
              <w:rPr>
                <w:b/>
                <w:sz w:val="22"/>
                <w:szCs w:val="22"/>
                <w:u w:val="single"/>
                <w:lang w:val="fr-FR"/>
              </w:rPr>
              <w:t>NWIGU</w:t>
            </w:r>
            <w:proofErr w:type="spellEnd"/>
          </w:p>
          <w:p w:rsidR="00DA6B1A" w:rsidRPr="00DA6B1A" w:rsidRDefault="00DA6B1A" w:rsidP="00DA6B1A">
            <w:pPr>
              <w:rPr>
                <w:sz w:val="22"/>
                <w:szCs w:val="22"/>
                <w:lang w:val="fr-FR"/>
              </w:rPr>
            </w:pPr>
            <w:r w:rsidRPr="00DA6B1A">
              <w:rPr>
                <w:sz w:val="22"/>
                <w:szCs w:val="22"/>
                <w:lang w:val="fr-FR"/>
              </w:rPr>
              <w:t>Chad M. Stokes</w:t>
            </w:r>
            <w:r w:rsidRPr="00DA6B1A">
              <w:rPr>
                <w:sz w:val="22"/>
                <w:szCs w:val="22"/>
                <w:lang w:val="fr-FR"/>
              </w:rPr>
              <w:br/>
              <w:t>Tommy A. Brooks</w:t>
            </w:r>
            <w:r w:rsidRPr="00DA6B1A">
              <w:rPr>
                <w:sz w:val="22"/>
                <w:szCs w:val="22"/>
                <w:lang w:val="fr-FR"/>
              </w:rPr>
              <w:br/>
            </w:r>
            <w:proofErr w:type="spellStart"/>
            <w:r w:rsidRPr="00DA6B1A">
              <w:rPr>
                <w:sz w:val="22"/>
                <w:szCs w:val="22"/>
                <w:lang w:val="fr-FR"/>
              </w:rPr>
              <w:t>Cable</w:t>
            </w:r>
            <w:proofErr w:type="spellEnd"/>
            <w:r w:rsidRPr="00DA6B1A">
              <w:rPr>
                <w:sz w:val="22"/>
                <w:szCs w:val="22"/>
                <w:lang w:val="fr-FR"/>
              </w:rPr>
              <w:t xml:space="preserve"> Huston</w:t>
            </w:r>
            <w:r w:rsidRPr="00DA6B1A">
              <w:rPr>
                <w:sz w:val="22"/>
                <w:szCs w:val="22"/>
                <w:lang w:val="fr-FR"/>
              </w:rPr>
              <w:br/>
              <w:t xml:space="preserve">1001 </w:t>
            </w:r>
            <w:proofErr w:type="spellStart"/>
            <w:r w:rsidRPr="00DA6B1A">
              <w:rPr>
                <w:sz w:val="22"/>
                <w:szCs w:val="22"/>
                <w:lang w:val="fr-FR"/>
              </w:rPr>
              <w:t>SW</w:t>
            </w:r>
            <w:proofErr w:type="spellEnd"/>
            <w:r w:rsidRPr="00DA6B1A">
              <w:rPr>
                <w:sz w:val="22"/>
                <w:szCs w:val="22"/>
                <w:lang w:val="fr-FR"/>
              </w:rPr>
              <w:t xml:space="preserve"> </w:t>
            </w:r>
            <w:proofErr w:type="spellStart"/>
            <w:r w:rsidRPr="00DA6B1A">
              <w:rPr>
                <w:sz w:val="22"/>
                <w:szCs w:val="22"/>
                <w:lang w:val="fr-FR"/>
              </w:rPr>
              <w:t>Fifth</w:t>
            </w:r>
            <w:proofErr w:type="spellEnd"/>
            <w:r w:rsidRPr="00DA6B1A">
              <w:rPr>
                <w:sz w:val="22"/>
                <w:szCs w:val="22"/>
                <w:lang w:val="fr-FR"/>
              </w:rPr>
              <w:t xml:space="preserve"> Avenue, Suite 2000</w:t>
            </w:r>
            <w:r w:rsidRPr="00DA6B1A">
              <w:rPr>
                <w:sz w:val="22"/>
                <w:szCs w:val="22"/>
                <w:lang w:val="fr-FR"/>
              </w:rPr>
              <w:br/>
              <w:t>Portland, OR  97204-01136</w:t>
            </w:r>
            <w:r w:rsidRPr="00DA6B1A">
              <w:rPr>
                <w:sz w:val="22"/>
                <w:szCs w:val="22"/>
                <w:lang w:val="fr-FR"/>
              </w:rPr>
              <w:br/>
              <w:t>Phone :</w:t>
            </w:r>
            <w:r w:rsidRPr="00DA6B1A">
              <w:rPr>
                <w:sz w:val="22"/>
                <w:szCs w:val="22"/>
                <w:lang w:val="fr-FR"/>
              </w:rPr>
              <w:tab/>
              <w:t>503-224-3092</w:t>
            </w:r>
            <w:r w:rsidRPr="00DA6B1A">
              <w:rPr>
                <w:sz w:val="22"/>
                <w:szCs w:val="22"/>
                <w:lang w:val="fr-FR"/>
              </w:rPr>
              <w:br/>
              <w:t>Fax :</w:t>
            </w:r>
            <w:r w:rsidRPr="00DA6B1A">
              <w:rPr>
                <w:sz w:val="22"/>
                <w:szCs w:val="22"/>
                <w:lang w:val="fr-FR"/>
              </w:rPr>
              <w:tab/>
              <w:t>503-224-3176</w:t>
            </w:r>
            <w:r w:rsidRPr="00DA6B1A">
              <w:rPr>
                <w:sz w:val="22"/>
                <w:szCs w:val="22"/>
                <w:lang w:val="fr-FR"/>
              </w:rPr>
              <w:br/>
              <w:t>Email :</w:t>
            </w:r>
            <w:r w:rsidRPr="00DA6B1A">
              <w:rPr>
                <w:sz w:val="22"/>
                <w:szCs w:val="22"/>
                <w:lang w:val="fr-FR"/>
              </w:rPr>
              <w:tab/>
            </w:r>
            <w:hyperlink r:id="rId25" w:history="1">
              <w:r w:rsidRPr="00DA6B1A">
                <w:rPr>
                  <w:color w:val="0000FF"/>
                  <w:sz w:val="22"/>
                  <w:szCs w:val="22"/>
                  <w:u w:val="single"/>
                  <w:lang w:val="fr-FR"/>
                </w:rPr>
                <w:t>cstokes@cablehuston.com</w:t>
              </w:r>
            </w:hyperlink>
          </w:p>
          <w:p w:rsidR="00DA6B1A" w:rsidRPr="00DA6B1A" w:rsidRDefault="00DA6B1A" w:rsidP="00DA6B1A">
            <w:pPr>
              <w:rPr>
                <w:sz w:val="22"/>
                <w:szCs w:val="22"/>
                <w:lang w:val="fr-FR"/>
              </w:rPr>
            </w:pPr>
            <w:r w:rsidRPr="00DA6B1A">
              <w:rPr>
                <w:sz w:val="22"/>
                <w:szCs w:val="22"/>
                <w:lang w:val="fr-FR"/>
              </w:rPr>
              <w:tab/>
            </w:r>
            <w:hyperlink r:id="rId26" w:history="1">
              <w:r w:rsidRPr="00DA6B1A">
                <w:rPr>
                  <w:color w:val="0000FF"/>
                  <w:sz w:val="22"/>
                  <w:szCs w:val="22"/>
                  <w:u w:val="single"/>
                  <w:lang w:val="fr-FR"/>
                </w:rPr>
                <w:t>tbrooks@cablehuston.com</w:t>
              </w:r>
            </w:hyperlink>
          </w:p>
        </w:tc>
        <w:tc>
          <w:tcPr>
            <w:tcW w:w="4692" w:type="dxa"/>
            <w:shd w:val="clear" w:color="auto" w:fill="auto"/>
          </w:tcPr>
          <w:p w:rsidR="00DA6B1A" w:rsidRPr="00DA6B1A" w:rsidRDefault="00DA6B1A" w:rsidP="00DA6B1A">
            <w:pPr>
              <w:rPr>
                <w:b/>
                <w:sz w:val="22"/>
                <w:szCs w:val="22"/>
                <w:lang w:val="fr-FR"/>
              </w:rPr>
            </w:pPr>
            <w:proofErr w:type="spellStart"/>
            <w:r w:rsidRPr="00DA6B1A">
              <w:rPr>
                <w:b/>
                <w:sz w:val="22"/>
                <w:szCs w:val="22"/>
                <w:u w:val="single"/>
                <w:lang w:val="fr-FR"/>
              </w:rPr>
              <w:t>NWIGU</w:t>
            </w:r>
            <w:proofErr w:type="spellEnd"/>
            <w:r w:rsidRPr="00DA6B1A">
              <w:rPr>
                <w:b/>
                <w:sz w:val="22"/>
                <w:szCs w:val="22"/>
                <w:lang w:val="fr-FR"/>
              </w:rPr>
              <w:t>:</w:t>
            </w:r>
          </w:p>
          <w:p w:rsidR="00DA6B1A" w:rsidRPr="00DA6B1A" w:rsidRDefault="00DA6B1A" w:rsidP="00DA6B1A">
            <w:pPr>
              <w:spacing w:line="240" w:lineRule="atLeast"/>
              <w:rPr>
                <w:b/>
                <w:sz w:val="22"/>
                <w:szCs w:val="22"/>
                <w:u w:val="single"/>
              </w:rPr>
            </w:pPr>
            <w:r w:rsidRPr="00DA6B1A">
              <w:rPr>
                <w:sz w:val="22"/>
                <w:szCs w:val="22"/>
                <w:lang w:val="fr-FR"/>
              </w:rPr>
              <w:t>Ed Finklea</w:t>
            </w:r>
            <w:r w:rsidRPr="00DA6B1A">
              <w:rPr>
                <w:sz w:val="22"/>
                <w:szCs w:val="22"/>
                <w:lang w:val="fr-FR"/>
              </w:rPr>
              <w:br/>
            </w:r>
            <w:proofErr w:type="spellStart"/>
            <w:r w:rsidRPr="00DA6B1A">
              <w:rPr>
                <w:sz w:val="22"/>
                <w:szCs w:val="22"/>
                <w:lang w:val="fr-FR"/>
              </w:rPr>
              <w:t>Executive</w:t>
            </w:r>
            <w:proofErr w:type="spellEnd"/>
            <w:r w:rsidRPr="00DA6B1A">
              <w:rPr>
                <w:sz w:val="22"/>
                <w:szCs w:val="22"/>
                <w:lang w:val="fr-FR"/>
              </w:rPr>
              <w:t xml:space="preserve"> </w:t>
            </w:r>
            <w:proofErr w:type="spellStart"/>
            <w:r w:rsidRPr="00DA6B1A">
              <w:rPr>
                <w:sz w:val="22"/>
                <w:szCs w:val="22"/>
                <w:lang w:val="fr-FR"/>
              </w:rPr>
              <w:t>Director</w:t>
            </w:r>
            <w:proofErr w:type="spellEnd"/>
            <w:r w:rsidRPr="00DA6B1A">
              <w:rPr>
                <w:sz w:val="22"/>
                <w:szCs w:val="22"/>
                <w:lang w:val="fr-FR"/>
              </w:rPr>
              <w:br/>
              <w:t xml:space="preserve">Northwest </w:t>
            </w:r>
            <w:proofErr w:type="spellStart"/>
            <w:r w:rsidRPr="00DA6B1A">
              <w:rPr>
                <w:sz w:val="22"/>
                <w:szCs w:val="22"/>
                <w:lang w:val="fr-FR"/>
              </w:rPr>
              <w:t>Industrial</w:t>
            </w:r>
            <w:proofErr w:type="spellEnd"/>
            <w:r w:rsidRPr="00DA6B1A">
              <w:rPr>
                <w:sz w:val="22"/>
                <w:szCs w:val="22"/>
                <w:lang w:val="fr-FR"/>
              </w:rPr>
              <w:t xml:space="preserve"> </w:t>
            </w:r>
            <w:proofErr w:type="spellStart"/>
            <w:r w:rsidRPr="00DA6B1A">
              <w:rPr>
                <w:sz w:val="22"/>
                <w:szCs w:val="22"/>
                <w:lang w:val="fr-FR"/>
              </w:rPr>
              <w:t>Gas</w:t>
            </w:r>
            <w:proofErr w:type="spellEnd"/>
            <w:r w:rsidRPr="00DA6B1A">
              <w:rPr>
                <w:sz w:val="22"/>
                <w:szCs w:val="22"/>
                <w:lang w:val="fr-FR"/>
              </w:rPr>
              <w:t xml:space="preserve"> </w:t>
            </w:r>
            <w:proofErr w:type="spellStart"/>
            <w:r w:rsidRPr="00DA6B1A">
              <w:rPr>
                <w:sz w:val="22"/>
                <w:szCs w:val="22"/>
                <w:lang w:val="fr-FR"/>
              </w:rPr>
              <w:t>Users</w:t>
            </w:r>
            <w:proofErr w:type="spellEnd"/>
            <w:r w:rsidRPr="00DA6B1A">
              <w:rPr>
                <w:sz w:val="22"/>
                <w:szCs w:val="22"/>
                <w:lang w:val="fr-FR"/>
              </w:rPr>
              <w:br/>
              <w:t>545 Grandview Drive</w:t>
            </w:r>
            <w:r w:rsidRPr="00DA6B1A">
              <w:rPr>
                <w:sz w:val="22"/>
                <w:szCs w:val="22"/>
                <w:lang w:val="fr-FR"/>
              </w:rPr>
              <w:br/>
              <w:t>Ashland, OR  97520</w:t>
            </w:r>
            <w:r w:rsidRPr="00DA6B1A">
              <w:rPr>
                <w:sz w:val="22"/>
                <w:szCs w:val="22"/>
                <w:lang w:val="fr-FR"/>
              </w:rPr>
              <w:br/>
              <w:t>Phone :</w:t>
            </w:r>
            <w:r w:rsidRPr="00DA6B1A">
              <w:rPr>
                <w:sz w:val="22"/>
                <w:szCs w:val="22"/>
                <w:lang w:val="fr-FR"/>
              </w:rPr>
              <w:tab/>
              <w:t>541-708-6338</w:t>
            </w:r>
            <w:r w:rsidRPr="00DA6B1A">
              <w:rPr>
                <w:sz w:val="22"/>
                <w:szCs w:val="22"/>
                <w:lang w:val="fr-FR"/>
              </w:rPr>
              <w:br/>
              <w:t>Fax :</w:t>
            </w:r>
            <w:r w:rsidRPr="00DA6B1A">
              <w:rPr>
                <w:sz w:val="22"/>
                <w:szCs w:val="22"/>
                <w:lang w:val="fr-FR"/>
              </w:rPr>
              <w:tab/>
              <w:t>541-708-6339</w:t>
            </w:r>
            <w:r w:rsidRPr="00DA6B1A">
              <w:rPr>
                <w:sz w:val="22"/>
                <w:szCs w:val="22"/>
                <w:lang w:val="fr-FR"/>
              </w:rPr>
              <w:br/>
              <w:t>Email :</w:t>
            </w:r>
            <w:r w:rsidRPr="00DA6B1A">
              <w:rPr>
                <w:sz w:val="22"/>
                <w:szCs w:val="22"/>
                <w:lang w:val="fr-FR"/>
              </w:rPr>
              <w:tab/>
            </w:r>
            <w:hyperlink r:id="rId27" w:history="1">
              <w:r w:rsidRPr="00DA6B1A">
                <w:rPr>
                  <w:color w:val="0000FF"/>
                  <w:sz w:val="22"/>
                  <w:szCs w:val="22"/>
                  <w:u w:val="single"/>
                  <w:lang w:val="fr-FR"/>
                </w:rPr>
                <w:t>efinklea@nwigu.org</w:t>
              </w:r>
            </w:hyperlink>
          </w:p>
        </w:tc>
      </w:tr>
      <w:tr w:rsidR="00DA6B1A" w:rsidRPr="00DA6B1A" w:rsidTr="00105976">
        <w:trPr>
          <w:cantSplit/>
        </w:trPr>
        <w:tc>
          <w:tcPr>
            <w:tcW w:w="4776" w:type="dxa"/>
            <w:shd w:val="clear" w:color="auto" w:fill="auto"/>
          </w:tcPr>
          <w:p w:rsidR="00DA6B1A" w:rsidRPr="00DA6B1A" w:rsidRDefault="00DA6B1A" w:rsidP="00DA6B1A">
            <w:pPr>
              <w:rPr>
                <w:sz w:val="22"/>
                <w:szCs w:val="22"/>
              </w:rPr>
            </w:pPr>
          </w:p>
        </w:tc>
        <w:tc>
          <w:tcPr>
            <w:tcW w:w="4692" w:type="dxa"/>
            <w:shd w:val="clear" w:color="auto" w:fill="auto"/>
          </w:tcPr>
          <w:p w:rsidR="00DA6B1A" w:rsidRPr="00DA6B1A" w:rsidRDefault="00DA6B1A" w:rsidP="00DA6B1A">
            <w:pPr>
              <w:rPr>
                <w:b/>
                <w:sz w:val="22"/>
                <w:szCs w:val="22"/>
                <w:u w:val="single"/>
                <w:lang w:val="fr-FR"/>
              </w:rPr>
            </w:pPr>
          </w:p>
        </w:tc>
      </w:tr>
      <w:tr w:rsidR="00DA6B1A" w:rsidRPr="00DA6B1A" w:rsidTr="00105976">
        <w:trPr>
          <w:cantSplit/>
        </w:trPr>
        <w:tc>
          <w:tcPr>
            <w:tcW w:w="4776" w:type="dxa"/>
            <w:shd w:val="clear" w:color="auto" w:fill="auto"/>
          </w:tcPr>
          <w:p w:rsidR="00DA6B1A" w:rsidRPr="00DA6B1A" w:rsidRDefault="00DA6B1A" w:rsidP="00DA6B1A">
            <w:pPr>
              <w:rPr>
                <w:b/>
                <w:sz w:val="22"/>
                <w:szCs w:val="22"/>
                <w:u w:val="single"/>
                <w:lang w:val="fr-FR"/>
              </w:rPr>
            </w:pPr>
            <w:r w:rsidRPr="00DA6B1A">
              <w:rPr>
                <w:b/>
                <w:sz w:val="22"/>
                <w:szCs w:val="22"/>
                <w:u w:val="single"/>
                <w:lang w:val="fr-FR"/>
              </w:rPr>
              <w:t>Attorneys for ICNU</w:t>
            </w:r>
          </w:p>
          <w:p w:rsidR="00DA6B1A" w:rsidRPr="00DA6B1A" w:rsidRDefault="00DA6B1A" w:rsidP="00DA6B1A">
            <w:pPr>
              <w:rPr>
                <w:sz w:val="22"/>
                <w:szCs w:val="22"/>
              </w:rPr>
            </w:pPr>
            <w:r w:rsidRPr="00DA6B1A">
              <w:rPr>
                <w:sz w:val="22"/>
                <w:szCs w:val="22"/>
              </w:rPr>
              <w:t xml:space="preserve">Tyler C. </w:t>
            </w:r>
            <w:proofErr w:type="spellStart"/>
            <w:r w:rsidRPr="00DA6B1A">
              <w:rPr>
                <w:sz w:val="22"/>
                <w:szCs w:val="22"/>
              </w:rPr>
              <w:t>Pepple</w:t>
            </w:r>
            <w:proofErr w:type="spellEnd"/>
            <w:r w:rsidRPr="00DA6B1A">
              <w:rPr>
                <w:sz w:val="22"/>
                <w:szCs w:val="22"/>
              </w:rPr>
              <w:br/>
              <w:t>Davison Van Cleve, P.C.</w:t>
            </w:r>
            <w:r w:rsidRPr="00DA6B1A">
              <w:rPr>
                <w:sz w:val="22"/>
                <w:szCs w:val="22"/>
              </w:rPr>
              <w:br/>
              <w:t>333 S.W. Taylor, Suite 400</w:t>
            </w:r>
            <w:r w:rsidRPr="00DA6B1A">
              <w:rPr>
                <w:sz w:val="22"/>
                <w:szCs w:val="22"/>
              </w:rPr>
              <w:br/>
              <w:t>Portland, Oregon  97204</w:t>
            </w:r>
            <w:r w:rsidRPr="00DA6B1A">
              <w:rPr>
                <w:sz w:val="22"/>
                <w:szCs w:val="22"/>
              </w:rPr>
              <w:br/>
              <w:t>Phone:</w:t>
            </w:r>
            <w:r w:rsidRPr="00DA6B1A">
              <w:rPr>
                <w:sz w:val="22"/>
                <w:szCs w:val="22"/>
              </w:rPr>
              <w:tab/>
              <w:t>503-241-7242</w:t>
            </w:r>
            <w:r w:rsidRPr="00DA6B1A">
              <w:rPr>
                <w:sz w:val="22"/>
                <w:szCs w:val="22"/>
              </w:rPr>
              <w:br/>
              <w:t>Fax:</w:t>
            </w:r>
            <w:r w:rsidRPr="00DA6B1A">
              <w:rPr>
                <w:sz w:val="22"/>
                <w:szCs w:val="22"/>
              </w:rPr>
              <w:tab/>
              <w:t>503-241-8160</w:t>
            </w:r>
            <w:r w:rsidRPr="00DA6B1A">
              <w:rPr>
                <w:sz w:val="22"/>
                <w:szCs w:val="22"/>
              </w:rPr>
              <w:br/>
              <w:t>Email:</w:t>
            </w:r>
            <w:r w:rsidRPr="00DA6B1A">
              <w:rPr>
                <w:sz w:val="22"/>
                <w:szCs w:val="22"/>
              </w:rPr>
              <w:tab/>
            </w:r>
            <w:hyperlink r:id="rId28" w:history="1">
              <w:r w:rsidRPr="00DA6B1A">
                <w:rPr>
                  <w:color w:val="0000FF"/>
                  <w:sz w:val="22"/>
                  <w:szCs w:val="22"/>
                  <w:u w:val="single"/>
                </w:rPr>
                <w:t>tcp@dvclaw.com</w:t>
              </w:r>
            </w:hyperlink>
          </w:p>
        </w:tc>
        <w:tc>
          <w:tcPr>
            <w:tcW w:w="4692" w:type="dxa"/>
            <w:shd w:val="clear" w:color="auto" w:fill="auto"/>
          </w:tcPr>
          <w:p w:rsidR="00DA6B1A" w:rsidRPr="00DA6B1A" w:rsidRDefault="00DA6B1A" w:rsidP="00DA6B1A">
            <w:pPr>
              <w:rPr>
                <w:b/>
                <w:sz w:val="22"/>
                <w:szCs w:val="22"/>
                <w:u w:val="single"/>
                <w:lang w:val="fr-FR"/>
              </w:rPr>
            </w:pPr>
          </w:p>
        </w:tc>
      </w:tr>
    </w:tbl>
    <w:p w:rsidR="00DA6B1A" w:rsidRPr="00DA6B1A" w:rsidRDefault="00DA6B1A" w:rsidP="00DA6B1A">
      <w:pPr>
        <w:spacing w:line="480" w:lineRule="atLeast"/>
        <w:ind w:firstLine="720"/>
        <w:rPr>
          <w:sz w:val="22"/>
          <w:szCs w:val="22"/>
        </w:rPr>
      </w:pPr>
      <w:r w:rsidRPr="00DA6B1A">
        <w:rPr>
          <w:sz w:val="22"/>
          <w:szCs w:val="22"/>
        </w:rPr>
        <w:t xml:space="preserve">Dated in Bellevue this </w:t>
      </w:r>
      <w:r w:rsidR="009E0DE6">
        <w:rPr>
          <w:sz w:val="22"/>
          <w:szCs w:val="22"/>
        </w:rPr>
        <w:t>27</w:t>
      </w:r>
      <w:r w:rsidRPr="00DA6B1A">
        <w:rPr>
          <w:sz w:val="22"/>
          <w:szCs w:val="22"/>
        </w:rPr>
        <w:t xml:space="preserve">th day of </w:t>
      </w:r>
      <w:r w:rsidR="009E0DE6">
        <w:rPr>
          <w:sz w:val="22"/>
          <w:szCs w:val="22"/>
        </w:rPr>
        <w:t>January</w:t>
      </w:r>
      <w:r w:rsidRPr="00DA6B1A">
        <w:rPr>
          <w:sz w:val="22"/>
          <w:szCs w:val="22"/>
        </w:rPr>
        <w:t>, 201</w:t>
      </w:r>
      <w:r w:rsidR="009E0DE6">
        <w:rPr>
          <w:sz w:val="22"/>
          <w:szCs w:val="22"/>
        </w:rPr>
        <w:t>7</w:t>
      </w:r>
      <w:r w:rsidRPr="00DA6B1A">
        <w:rPr>
          <w:sz w:val="22"/>
          <w:szCs w:val="22"/>
        </w:rPr>
        <w:t>.</w:t>
      </w:r>
    </w:p>
    <w:p w:rsidR="00DA6B1A" w:rsidRPr="00BF01A0" w:rsidRDefault="00546804" w:rsidP="00BF01A0">
      <w:pPr>
        <w:pStyle w:val="LetterSignature"/>
        <w:spacing w:before="360" w:after="360"/>
        <w:ind w:left="4320"/>
        <w:rPr>
          <w:i/>
        </w:rPr>
      </w:pPr>
      <w:r w:rsidRPr="00546804">
        <w:rPr>
          <w:i/>
          <w:noProof/>
          <w:u w:val="single"/>
        </w:rPr>
        <w:t>/s/ Jason Kuzma</w:t>
      </w:r>
      <w:r w:rsidRPr="00546804">
        <w:rPr>
          <w:i/>
          <w:noProof/>
          <w:u w:val="single"/>
        </w:rPr>
        <w:tab/>
      </w:r>
      <w:r w:rsidRPr="00546804">
        <w:rPr>
          <w:i/>
          <w:noProof/>
          <w:u w:val="single"/>
        </w:rPr>
        <w:tab/>
      </w:r>
      <w:r w:rsidR="00DA6B1A" w:rsidRPr="00BF01A0">
        <w:rPr>
          <w:sz w:val="22"/>
          <w:szCs w:val="22"/>
          <w:u w:val="single"/>
        </w:rPr>
        <w:br/>
      </w:r>
      <w:r w:rsidR="00DA6B1A" w:rsidRPr="00DA6B1A">
        <w:rPr>
          <w:sz w:val="22"/>
          <w:szCs w:val="22"/>
        </w:rPr>
        <w:t>Jason Kuzma</w:t>
      </w:r>
    </w:p>
    <w:sectPr w:rsidR="00DA6B1A" w:rsidRPr="00BF01A0" w:rsidSect="00435150">
      <w:headerReference w:type="first" r:id="rId29"/>
      <w:pgSz w:w="12240" w:h="15840" w:code="1"/>
      <w:pgMar w:top="900" w:right="1440" w:bottom="1440" w:left="1440" w:header="45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04" w:rsidRDefault="00284C04" w:rsidP="00FC202E">
      <w:r>
        <w:separator/>
      </w:r>
    </w:p>
  </w:endnote>
  <w:endnote w:type="continuationSeparator" w:id="0">
    <w:p w:rsidR="00284C04" w:rsidRDefault="00284C04" w:rsidP="00FC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284C04" w:rsidP="00FC202E">
    <w:pPr>
      <w:pStyle w:val="Footer"/>
    </w:pPr>
    <w:bookmarkStart w:id="1" w:name="zzmpFIXED_LHPrimaryFooter"/>
    <w:r>
      <w:rPr>
        <w:noProof/>
      </w:rPr>
      <w:pict>
        <v:shapetype id="_x0000_t202" coordsize="21600,21600" o:spt="202" path="m,l,21600r21600,l21600,xe">
          <v:stroke joinstyle="miter"/>
          <v:path gradientshapeok="t" o:connecttype="rect"/>
        </v:shapetype>
        <v:shape id="_x0000_s2061" type="#_x0000_t202" style="position:absolute;margin-left:1in;margin-top:738pt;width:54.75pt;height:17.2pt;z-index:251670528;visibility:visible;mso-wrap-style:none;mso-position-horizontal-relative:page;mso-position-vertical-relative:page;mso-width-relative:margin;mso-height-relative:margin" stroked="f">
          <v:textbox style="mso-next-textbox:#_x0000_s2061;mso-fit-shape-to-text:t" inset="0,0,0,0">
            <w:txbxContent>
              <w:p w:rsidR="00FC202E" w:rsidRDefault="00284C04">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7.5pt">
                      <v:imagedata r:id="rId1" o:title="goodlogo"/>
                    </v:shape>
                  </w:pict>
                </w:r>
              </w:p>
            </w:txbxContent>
          </v:textbox>
          <w10:wrap anchorx="page" anchory="page"/>
        </v:shape>
      </w:pic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284C04" w:rsidP="00FC202E">
    <w:pPr>
      <w:pStyle w:val="Footer"/>
    </w:pPr>
    <w:bookmarkStart w:id="3" w:name="zzmpFIXED_LHFirstPageFooter"/>
    <w:r>
      <w:rPr>
        <w:noProof/>
      </w:rPr>
      <w:pict>
        <v:shapetype id="_x0000_t202" coordsize="21600,21600" o:spt="202" path="m,l,21600r21600,l21600,xe">
          <v:stroke joinstyle="miter"/>
          <v:path gradientshapeok="t" o:connecttype="rect"/>
        </v:shapetype>
        <v:shape id="Text Box 2" o:spid="_x0000_s2060" type="#_x0000_t202" style="position:absolute;margin-left:1in;margin-top:738pt;width:54.75pt;height:17.2pt;z-index:251668480;visibility:visible;mso-wrap-style:none;mso-position-horizontal-relative:page;mso-position-vertical-relative:page;mso-width-relative:margin;mso-height-relative:margin" stroked="f">
          <v:textbox style="mso-fit-shape-to-text:t" inset="0,0,0,0">
            <w:txbxContent>
              <w:p w:rsidR="00FC202E" w:rsidRDefault="00284C04">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7.5pt">
                      <v:imagedata r:id="rId1" o:title="goodlogo"/>
                    </v:shape>
                  </w:pict>
                </w:r>
              </w:p>
            </w:txbxContent>
          </v:textbox>
          <w10:wrap anchorx="page" anchory="page"/>
        </v:shape>
      </w:pict>
    </w:r>
    <w:r>
      <w:rPr>
        <w:noProof/>
      </w:rPr>
      <w:pict>
        <v:shape id="_x0000_s2059" type="#_x0000_t75" style="position:absolute;margin-left:9in;margin-top:36pt;width:40.2pt;height:7.5pt;z-index:-251649024;mso-position-horizontal-relative:page;mso-position-vertical-relative:page">
          <v:imagedata r:id="rId2" o:title="LLP"/>
          <w10:wrap anchorx="page" anchory="page"/>
        </v:shape>
      </w:pic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F3" w:rsidRPr="003D7AF3" w:rsidRDefault="003D7AF3" w:rsidP="003D7A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C2" w:rsidRPr="003D7AF3" w:rsidRDefault="00A55EC2" w:rsidP="003D7A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DA6B1A" w:rsidRDefault="00DA6B1A" w:rsidP="00DA6B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3D7AF3" w:rsidRDefault="00DA6B1A" w:rsidP="003D7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04" w:rsidRDefault="00284C04" w:rsidP="00FC202E">
      <w:r>
        <w:separator/>
      </w:r>
    </w:p>
  </w:footnote>
  <w:footnote w:type="continuationSeparator" w:id="0">
    <w:p w:rsidR="00284C04" w:rsidRDefault="00284C04" w:rsidP="00FC202E">
      <w:r>
        <w:continuationSeparator/>
      </w:r>
    </w:p>
  </w:footnote>
  <w:footnote w:id="1">
    <w:p w:rsidR="00FC202E" w:rsidRDefault="00FC202E" w:rsidP="00FC202E">
      <w:pPr>
        <w:pStyle w:val="FootnoteText"/>
        <w:ind w:firstLine="360"/>
      </w:pPr>
      <w:r>
        <w:rPr>
          <w:rStyle w:val="FootnoteReference"/>
        </w:rPr>
        <w:footnoteRef/>
      </w:r>
      <w:r>
        <w:tab/>
        <w:t xml:space="preserve">The Settling Parties are PSE, </w:t>
      </w:r>
      <w:r w:rsidRPr="00FC202E">
        <w:t xml:space="preserve">the Commission’s regulatory staff, the Public Counsel Unit of the Washington Attorney General’s Office, </w:t>
      </w:r>
      <w:r>
        <w:t xml:space="preserve">the </w:t>
      </w:r>
      <w:r w:rsidRPr="00FC202E">
        <w:t>Northwest Industrial Gas Users</w:t>
      </w:r>
      <w:r>
        <w:t>, and the Industrial Customers of Northwest Utilities.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78004C">
    <w:pPr>
      <w:pStyle w:val="Header"/>
    </w:pPr>
    <w:r w:rsidRPr="0078004C">
      <w:t>Mr. Steven V. King</w:t>
    </w:r>
  </w:p>
  <w:p w:rsidR="00A166A9" w:rsidRDefault="00284C04">
    <w:pPr>
      <w:pStyle w:val="Header"/>
    </w:pPr>
    <w:r>
      <w:fldChar w:fldCharType="begin"/>
    </w:r>
    <w:r>
      <w:instrText xml:space="preserve"> STYLEREF "Letter Date" \* MERGEFORMAT </w:instrText>
    </w:r>
    <w:r>
      <w:fldChar w:fldCharType="separate"/>
    </w:r>
    <w:r w:rsidR="00546804">
      <w:rPr>
        <w:noProof/>
      </w:rPr>
      <w:t>January 27, 2017</w:t>
    </w:r>
    <w:r>
      <w:rPr>
        <w:noProof/>
      </w:rPr>
      <w:fldChar w:fldCharType="end"/>
    </w:r>
  </w:p>
  <w:p w:rsidR="00A166A9" w:rsidRDefault="00F139CB">
    <w:pPr>
      <w:pStyle w:val="Header"/>
      <w:spacing w:after="480"/>
    </w:pPr>
    <w:r>
      <w:t xml:space="preserve">Page </w:t>
    </w:r>
    <w:r>
      <w:fldChar w:fldCharType="begin"/>
    </w:r>
    <w:r>
      <w:instrText xml:space="preserve"> PAGE \* MERGEFORMAT </w:instrText>
    </w:r>
    <w:r>
      <w:fldChar w:fldCharType="separate"/>
    </w:r>
    <w:r w:rsidR="0054680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284C04" w:rsidP="00FC202E">
    <w:pPr>
      <w:pStyle w:val="Header"/>
    </w:pPr>
    <w:bookmarkStart w:id="2" w:name="zzmpFIXED_LHFirst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in;margin-top:-1in;width:612pt;height:90.3pt;z-index:-251651072">
          <v:imagedata r:id="rId1" o:title="PC_Lthd_Banners_Rev"/>
        </v:shape>
      </w:pict>
    </w:r>
    <w:r>
      <w:rPr>
        <w:noProof/>
        <w:sz w:val="20"/>
      </w:rPr>
      <w:pict>
        <v:shapetype id="_x0000_t202" coordsize="21600,21600" o:spt="202" path="m,l,21600r21600,l21600,xe">
          <v:stroke joinstyle="miter"/>
          <v:path gradientshapeok="t" o:connecttype="rect"/>
        </v:shapetype>
        <v:shape id="_x0000_s2057" type="#_x0000_t202" style="position:absolute;margin-left:309.6pt;margin-top:126pt;width:230.4pt;height:100.8pt;z-index:251664384;mso-wrap-style:none;mso-position-horizontal-relative:page;mso-position-vertical-relative:page" filled="f" stroked="f">
          <v:textbox style="mso-next-textbox:#_x0000_s2057"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FC202E">
                  <w:trPr>
                    <w:trHeight w:hRule="exact" w:val="1872"/>
                  </w:trPr>
                  <w:tc>
                    <w:tcPr>
                      <w:tcW w:w="4608" w:type="dxa"/>
                    </w:tcPr>
                    <w:p w:rsidR="00FC202E" w:rsidRPr="00FC202E" w:rsidRDefault="00FC202E" w:rsidP="00704AC2">
                      <w:pPr>
                        <w:pStyle w:val="LetterheadAuthor"/>
                        <w:jc w:val="right"/>
                      </w:pPr>
                      <w:r w:rsidRPr="00FC202E">
                        <w:t>Jason T. Kuzma</w:t>
                      </w:r>
                    </w:p>
                    <w:p w:rsidR="00FC202E" w:rsidRPr="00FC202E" w:rsidRDefault="00FC202E" w:rsidP="00704AC2">
                      <w:pPr>
                        <w:pStyle w:val="LetterheadAuthor"/>
                        <w:jc w:val="right"/>
                      </w:pPr>
                      <w:r w:rsidRPr="00FC202E">
                        <w:t>JKuzma@perkinscoie.com</w:t>
                      </w:r>
                    </w:p>
                    <w:p w:rsidR="00FC202E" w:rsidRPr="00FC202E" w:rsidRDefault="00FC202E" w:rsidP="00704AC2">
                      <w:pPr>
                        <w:pStyle w:val="LetterheadAuthor"/>
                        <w:tabs>
                          <w:tab w:val="left" w:pos="245"/>
                        </w:tabs>
                        <w:jc w:val="right"/>
                      </w:pPr>
                      <w:r w:rsidRPr="00FC202E">
                        <w:t>D.</w:t>
                      </w:r>
                      <w:r w:rsidRPr="00FC202E">
                        <w:tab/>
                        <w:t>+1.425.635.1416</w:t>
                      </w:r>
                    </w:p>
                    <w:p w:rsidR="00FC202E" w:rsidRPr="00FC202E" w:rsidRDefault="00FC202E" w:rsidP="00704AC2">
                      <w:pPr>
                        <w:pStyle w:val="LetterheadAuthor"/>
                        <w:tabs>
                          <w:tab w:val="left" w:pos="245"/>
                        </w:tabs>
                        <w:jc w:val="right"/>
                      </w:pPr>
                      <w:r w:rsidRPr="00FC202E">
                        <w:t>F.</w:t>
                      </w:r>
                      <w:r w:rsidRPr="00FC202E">
                        <w:tab/>
                        <w:t>+1.425.635.2416</w:t>
                      </w:r>
                    </w:p>
                    <w:p w:rsidR="00FC202E" w:rsidRDefault="00FC202E" w:rsidP="00704AC2">
                      <w:pPr>
                        <w:pStyle w:val="LetterheadAuthor"/>
                        <w:jc w:val="right"/>
                      </w:pPr>
                    </w:p>
                  </w:tc>
                </w:tr>
              </w:tbl>
              <w:p w:rsidR="00FC202E" w:rsidRDefault="00FC202E">
                <w:pPr>
                  <w:pStyle w:val="LetterheadAuthor"/>
                </w:pPr>
              </w:p>
            </w:txbxContent>
          </v:textbox>
          <w10:wrap anchorx="page" anchory="page"/>
        </v:shape>
      </w:pic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F3" w:rsidRPr="003D7AF3" w:rsidRDefault="003D7AF3" w:rsidP="003D7A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C2" w:rsidRPr="003D7AF3" w:rsidRDefault="00A55EC2" w:rsidP="003D7A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26" w:rsidRPr="00DA6B1A" w:rsidRDefault="00450526" w:rsidP="00DA6B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3D7AF3" w:rsidRDefault="00DA6B1A" w:rsidP="003D7AF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3D7AF3" w:rsidRDefault="00DA6B1A" w:rsidP="003D7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2E"/>
    <w:rsid w:val="00046974"/>
    <w:rsid w:val="00075FFF"/>
    <w:rsid w:val="00090AAE"/>
    <w:rsid w:val="00097B39"/>
    <w:rsid w:val="000E25BC"/>
    <w:rsid w:val="0019534A"/>
    <w:rsid w:val="00284C04"/>
    <w:rsid w:val="002960E6"/>
    <w:rsid w:val="00353E07"/>
    <w:rsid w:val="003D7AF3"/>
    <w:rsid w:val="003E1BCF"/>
    <w:rsid w:val="00405B6C"/>
    <w:rsid w:val="00430F1F"/>
    <w:rsid w:val="00435150"/>
    <w:rsid w:val="00450526"/>
    <w:rsid w:val="004A5A98"/>
    <w:rsid w:val="00546804"/>
    <w:rsid w:val="0062622F"/>
    <w:rsid w:val="00652C13"/>
    <w:rsid w:val="006A5C96"/>
    <w:rsid w:val="0078004C"/>
    <w:rsid w:val="00795D87"/>
    <w:rsid w:val="007C4AE6"/>
    <w:rsid w:val="00830ADC"/>
    <w:rsid w:val="00961CD4"/>
    <w:rsid w:val="00972140"/>
    <w:rsid w:val="00981954"/>
    <w:rsid w:val="009B4F58"/>
    <w:rsid w:val="009E0DE6"/>
    <w:rsid w:val="00A55EC2"/>
    <w:rsid w:val="00AB2068"/>
    <w:rsid w:val="00B94909"/>
    <w:rsid w:val="00BF01A0"/>
    <w:rsid w:val="00D206D5"/>
    <w:rsid w:val="00DA6B1A"/>
    <w:rsid w:val="00DD5E56"/>
    <w:rsid w:val="00DF103F"/>
    <w:rsid w:val="00E715D8"/>
    <w:rsid w:val="00ED74C7"/>
    <w:rsid w:val="00F139CB"/>
    <w:rsid w:val="00F16C73"/>
    <w:rsid w:val="00FC202E"/>
    <w:rsid w:val="00FD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2E"/>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FC202E"/>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FC202E"/>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FC202E"/>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02E"/>
    <w:pPr>
      <w:spacing w:after="240"/>
    </w:pPr>
  </w:style>
  <w:style w:type="character" w:customStyle="1" w:styleId="BodyTextChar">
    <w:name w:val="Body Text Char"/>
    <w:link w:val="BodyText"/>
    <w:rsid w:val="00FC202E"/>
    <w:rPr>
      <w:rFonts w:ascii="Times New Roman" w:eastAsia="Times New Roman" w:hAnsi="Times New Roman" w:cs="Times New Roman"/>
      <w:sz w:val="24"/>
      <w:szCs w:val="20"/>
      <w:lang w:eastAsia="en-US"/>
    </w:rPr>
  </w:style>
  <w:style w:type="paragraph" w:styleId="Header">
    <w:name w:val="header"/>
    <w:basedOn w:val="Normal"/>
    <w:link w:val="HeaderChar"/>
    <w:rsid w:val="00FC202E"/>
    <w:pPr>
      <w:tabs>
        <w:tab w:val="center" w:pos="4680"/>
      </w:tabs>
    </w:pPr>
  </w:style>
  <w:style w:type="character" w:customStyle="1" w:styleId="HeaderChar">
    <w:name w:val="Header Char"/>
    <w:basedOn w:val="DefaultParagraphFont"/>
    <w:link w:val="Header"/>
    <w:rsid w:val="00FC202E"/>
    <w:rPr>
      <w:rFonts w:ascii="Times New Roman" w:eastAsia="Times New Roman" w:hAnsi="Times New Roman" w:cs="Times New Roman"/>
      <w:sz w:val="24"/>
      <w:szCs w:val="20"/>
      <w:lang w:eastAsia="en-US"/>
    </w:rPr>
  </w:style>
  <w:style w:type="paragraph" w:styleId="Footer">
    <w:name w:val="footer"/>
    <w:basedOn w:val="Normal"/>
    <w:link w:val="FooterChar"/>
    <w:rsid w:val="00FC202E"/>
    <w:pPr>
      <w:tabs>
        <w:tab w:val="center" w:pos="4680"/>
        <w:tab w:val="right" w:pos="9360"/>
      </w:tabs>
    </w:pPr>
  </w:style>
  <w:style w:type="character" w:customStyle="1" w:styleId="FooterChar">
    <w:name w:val="Footer Char"/>
    <w:basedOn w:val="DefaultParagraphFont"/>
    <w:link w:val="Footer"/>
    <w:rsid w:val="00FC202E"/>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FC202E"/>
    <w:pPr>
      <w:spacing w:after="60"/>
      <w:jc w:val="left"/>
    </w:pPr>
    <w:rPr>
      <w:rFonts w:ascii="Times New Roman" w:hAnsi="Times New Roman"/>
      <w:caps w:val="0"/>
    </w:rPr>
  </w:style>
  <w:style w:type="character" w:customStyle="1" w:styleId="Heading1Char">
    <w:name w:val="Heading 1 Char"/>
    <w:basedOn w:val="DefaultParagraphFont"/>
    <w:link w:val="Heading1"/>
    <w:rsid w:val="00FC202E"/>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FC202E"/>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FC202E"/>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FC202E"/>
  </w:style>
  <w:style w:type="paragraph" w:customStyle="1" w:styleId="Addressee">
    <w:name w:val="Addressee"/>
    <w:basedOn w:val="Normal"/>
    <w:rsid w:val="00FC202E"/>
  </w:style>
  <w:style w:type="paragraph" w:customStyle="1" w:styleId="LetterSignature">
    <w:name w:val="Letter Signature"/>
    <w:basedOn w:val="Normal"/>
    <w:rsid w:val="00FC202E"/>
    <w:pPr>
      <w:keepNext/>
      <w:keepLines/>
    </w:pPr>
  </w:style>
  <w:style w:type="paragraph" w:customStyle="1" w:styleId="ReLine">
    <w:name w:val="ReLine"/>
    <w:basedOn w:val="Normal"/>
    <w:next w:val="Normal"/>
    <w:rsid w:val="00FC202E"/>
    <w:pPr>
      <w:spacing w:before="240"/>
      <w:ind w:left="720" w:hanging="720"/>
    </w:pPr>
    <w:rPr>
      <w:b/>
    </w:rPr>
  </w:style>
  <w:style w:type="paragraph" w:styleId="Salutation">
    <w:name w:val="Salutation"/>
    <w:basedOn w:val="Normal"/>
    <w:next w:val="BodyText"/>
    <w:link w:val="SalutationChar"/>
    <w:rsid w:val="00FC202E"/>
    <w:pPr>
      <w:spacing w:before="240" w:after="240"/>
    </w:pPr>
  </w:style>
  <w:style w:type="character" w:customStyle="1" w:styleId="SalutationChar">
    <w:name w:val="Salutation Char"/>
    <w:basedOn w:val="DefaultParagraphFont"/>
    <w:link w:val="Salutation"/>
    <w:rsid w:val="00FC202E"/>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FC202E"/>
    <w:pPr>
      <w:spacing w:after="240"/>
    </w:pPr>
    <w:rPr>
      <w:b/>
      <w:caps/>
    </w:rPr>
  </w:style>
  <w:style w:type="paragraph" w:customStyle="1" w:styleId="Letterhead">
    <w:name w:val="Letterhead"/>
    <w:rsid w:val="00FC202E"/>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FC202E"/>
    <w:pPr>
      <w:spacing w:before="240"/>
      <w:ind w:left="720" w:hanging="720"/>
    </w:pPr>
  </w:style>
  <w:style w:type="paragraph" w:styleId="Quote">
    <w:name w:val="Quote"/>
    <w:basedOn w:val="Normal"/>
    <w:next w:val="BodyTextContinued"/>
    <w:link w:val="QuoteChar"/>
    <w:qFormat/>
    <w:rsid w:val="00FC202E"/>
    <w:pPr>
      <w:spacing w:after="240"/>
      <w:ind w:left="1440" w:right="1440"/>
    </w:pPr>
  </w:style>
  <w:style w:type="character" w:customStyle="1" w:styleId="QuoteChar">
    <w:name w:val="Quote Char"/>
    <w:basedOn w:val="DefaultParagraphFont"/>
    <w:link w:val="Quote"/>
    <w:rsid w:val="00FC202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C202E"/>
  </w:style>
  <w:style w:type="paragraph" w:customStyle="1" w:styleId="CarrierReLine">
    <w:name w:val="Carrier ReLine"/>
    <w:basedOn w:val="ReLine"/>
    <w:next w:val="Normal"/>
    <w:rsid w:val="00FC202E"/>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FC202E"/>
    <w:pPr>
      <w:ind w:left="0" w:firstLine="0"/>
      <w:jc w:val="center"/>
    </w:pPr>
    <w:rPr>
      <w:i/>
      <w:szCs w:val="24"/>
    </w:rPr>
  </w:style>
  <w:style w:type="table" w:styleId="TableGrid">
    <w:name w:val="Table Grid"/>
    <w:basedOn w:val="TableNormal"/>
    <w:rsid w:val="00FC202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FC202E"/>
    <w:pPr>
      <w:spacing w:before="60" w:after="60" w:line="240" w:lineRule="exact"/>
    </w:pPr>
    <w:rPr>
      <w:szCs w:val="24"/>
    </w:rPr>
  </w:style>
  <w:style w:type="paragraph" w:styleId="Title">
    <w:name w:val="Title"/>
    <w:basedOn w:val="Normal"/>
    <w:next w:val="BodyText"/>
    <w:link w:val="TitleChar"/>
    <w:qFormat/>
    <w:rsid w:val="00FC202E"/>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FC202E"/>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FC202E"/>
    <w:rPr>
      <w:rFonts w:ascii="Tahoma" w:hAnsi="Tahoma" w:cs="Tahoma"/>
      <w:sz w:val="16"/>
      <w:szCs w:val="16"/>
    </w:rPr>
  </w:style>
  <w:style w:type="character" w:customStyle="1" w:styleId="BalloonTextChar">
    <w:name w:val="Balloon Text Char"/>
    <w:link w:val="BalloonText"/>
    <w:rsid w:val="00FC202E"/>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FC202E"/>
    <w:pPr>
      <w:keepNext/>
      <w:spacing w:before="240"/>
      <w:ind w:left="720" w:hanging="720"/>
    </w:pPr>
    <w:rPr>
      <w:vanish/>
    </w:rPr>
  </w:style>
  <w:style w:type="paragraph" w:styleId="FootnoteText">
    <w:name w:val="footnote text"/>
    <w:basedOn w:val="Normal"/>
    <w:link w:val="FootnoteTextChar"/>
    <w:uiPriority w:val="99"/>
    <w:semiHidden/>
    <w:unhideWhenUsed/>
    <w:rsid w:val="00FC202E"/>
    <w:rPr>
      <w:sz w:val="20"/>
    </w:rPr>
  </w:style>
  <w:style w:type="character" w:customStyle="1" w:styleId="FootnoteTextChar">
    <w:name w:val="Footnote Text Char"/>
    <w:basedOn w:val="DefaultParagraphFont"/>
    <w:link w:val="FootnoteText"/>
    <w:uiPriority w:val="99"/>
    <w:semiHidden/>
    <w:rsid w:val="00FC202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FC202E"/>
    <w:rPr>
      <w:vertAlign w:val="superscript"/>
    </w:rPr>
  </w:style>
  <w:style w:type="character" w:styleId="Hyperlink">
    <w:name w:val="Hyperlink"/>
    <w:basedOn w:val="DefaultParagraphFont"/>
    <w:uiPriority w:val="99"/>
    <w:unhideWhenUsed/>
    <w:rsid w:val="003D7A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2E"/>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FC202E"/>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FC202E"/>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FC202E"/>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02E"/>
    <w:pPr>
      <w:spacing w:after="240"/>
    </w:pPr>
  </w:style>
  <w:style w:type="character" w:customStyle="1" w:styleId="BodyTextChar">
    <w:name w:val="Body Text Char"/>
    <w:link w:val="BodyText"/>
    <w:rsid w:val="00FC202E"/>
    <w:rPr>
      <w:rFonts w:ascii="Times New Roman" w:eastAsia="Times New Roman" w:hAnsi="Times New Roman" w:cs="Times New Roman"/>
      <w:sz w:val="24"/>
      <w:szCs w:val="20"/>
      <w:lang w:eastAsia="en-US"/>
    </w:rPr>
  </w:style>
  <w:style w:type="paragraph" w:styleId="Header">
    <w:name w:val="header"/>
    <w:basedOn w:val="Normal"/>
    <w:link w:val="HeaderChar"/>
    <w:rsid w:val="00FC202E"/>
    <w:pPr>
      <w:tabs>
        <w:tab w:val="center" w:pos="4680"/>
      </w:tabs>
    </w:pPr>
  </w:style>
  <w:style w:type="character" w:customStyle="1" w:styleId="HeaderChar">
    <w:name w:val="Header Char"/>
    <w:basedOn w:val="DefaultParagraphFont"/>
    <w:link w:val="Header"/>
    <w:rsid w:val="00FC202E"/>
    <w:rPr>
      <w:rFonts w:ascii="Times New Roman" w:eastAsia="Times New Roman" w:hAnsi="Times New Roman" w:cs="Times New Roman"/>
      <w:sz w:val="24"/>
      <w:szCs w:val="20"/>
      <w:lang w:eastAsia="en-US"/>
    </w:rPr>
  </w:style>
  <w:style w:type="paragraph" w:styleId="Footer">
    <w:name w:val="footer"/>
    <w:basedOn w:val="Normal"/>
    <w:link w:val="FooterChar"/>
    <w:rsid w:val="00FC202E"/>
    <w:pPr>
      <w:tabs>
        <w:tab w:val="center" w:pos="4680"/>
        <w:tab w:val="right" w:pos="9360"/>
      </w:tabs>
    </w:pPr>
  </w:style>
  <w:style w:type="character" w:customStyle="1" w:styleId="FooterChar">
    <w:name w:val="Footer Char"/>
    <w:basedOn w:val="DefaultParagraphFont"/>
    <w:link w:val="Footer"/>
    <w:rsid w:val="00FC202E"/>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FC202E"/>
    <w:pPr>
      <w:spacing w:after="60"/>
      <w:jc w:val="left"/>
    </w:pPr>
    <w:rPr>
      <w:rFonts w:ascii="Times New Roman" w:hAnsi="Times New Roman"/>
      <w:caps w:val="0"/>
    </w:rPr>
  </w:style>
  <w:style w:type="character" w:customStyle="1" w:styleId="Heading1Char">
    <w:name w:val="Heading 1 Char"/>
    <w:basedOn w:val="DefaultParagraphFont"/>
    <w:link w:val="Heading1"/>
    <w:rsid w:val="00FC202E"/>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FC202E"/>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FC202E"/>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FC202E"/>
  </w:style>
  <w:style w:type="paragraph" w:customStyle="1" w:styleId="Addressee">
    <w:name w:val="Addressee"/>
    <w:basedOn w:val="Normal"/>
    <w:rsid w:val="00FC202E"/>
  </w:style>
  <w:style w:type="paragraph" w:customStyle="1" w:styleId="LetterSignature">
    <w:name w:val="Letter Signature"/>
    <w:basedOn w:val="Normal"/>
    <w:rsid w:val="00FC202E"/>
    <w:pPr>
      <w:keepNext/>
      <w:keepLines/>
    </w:pPr>
  </w:style>
  <w:style w:type="paragraph" w:customStyle="1" w:styleId="ReLine">
    <w:name w:val="ReLine"/>
    <w:basedOn w:val="Normal"/>
    <w:next w:val="Normal"/>
    <w:rsid w:val="00FC202E"/>
    <w:pPr>
      <w:spacing w:before="240"/>
      <w:ind w:left="720" w:hanging="720"/>
    </w:pPr>
    <w:rPr>
      <w:b/>
    </w:rPr>
  </w:style>
  <w:style w:type="paragraph" w:styleId="Salutation">
    <w:name w:val="Salutation"/>
    <w:basedOn w:val="Normal"/>
    <w:next w:val="BodyText"/>
    <w:link w:val="SalutationChar"/>
    <w:rsid w:val="00FC202E"/>
    <w:pPr>
      <w:spacing w:before="240" w:after="240"/>
    </w:pPr>
  </w:style>
  <w:style w:type="character" w:customStyle="1" w:styleId="SalutationChar">
    <w:name w:val="Salutation Char"/>
    <w:basedOn w:val="DefaultParagraphFont"/>
    <w:link w:val="Salutation"/>
    <w:rsid w:val="00FC202E"/>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FC202E"/>
    <w:pPr>
      <w:spacing w:after="240"/>
    </w:pPr>
    <w:rPr>
      <w:b/>
      <w:caps/>
    </w:rPr>
  </w:style>
  <w:style w:type="paragraph" w:customStyle="1" w:styleId="Letterhead">
    <w:name w:val="Letterhead"/>
    <w:rsid w:val="00FC202E"/>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FC202E"/>
    <w:pPr>
      <w:spacing w:before="240"/>
      <w:ind w:left="720" w:hanging="720"/>
    </w:pPr>
  </w:style>
  <w:style w:type="paragraph" w:styleId="Quote">
    <w:name w:val="Quote"/>
    <w:basedOn w:val="Normal"/>
    <w:next w:val="BodyTextContinued"/>
    <w:link w:val="QuoteChar"/>
    <w:qFormat/>
    <w:rsid w:val="00FC202E"/>
    <w:pPr>
      <w:spacing w:after="240"/>
      <w:ind w:left="1440" w:right="1440"/>
    </w:pPr>
  </w:style>
  <w:style w:type="character" w:customStyle="1" w:styleId="QuoteChar">
    <w:name w:val="Quote Char"/>
    <w:basedOn w:val="DefaultParagraphFont"/>
    <w:link w:val="Quote"/>
    <w:rsid w:val="00FC202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C202E"/>
  </w:style>
  <w:style w:type="paragraph" w:customStyle="1" w:styleId="CarrierReLine">
    <w:name w:val="Carrier ReLine"/>
    <w:basedOn w:val="ReLine"/>
    <w:next w:val="Normal"/>
    <w:rsid w:val="00FC202E"/>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FC202E"/>
    <w:pPr>
      <w:ind w:left="0" w:firstLine="0"/>
      <w:jc w:val="center"/>
    </w:pPr>
    <w:rPr>
      <w:i/>
      <w:szCs w:val="24"/>
    </w:rPr>
  </w:style>
  <w:style w:type="table" w:styleId="TableGrid">
    <w:name w:val="Table Grid"/>
    <w:basedOn w:val="TableNormal"/>
    <w:rsid w:val="00FC202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FC202E"/>
    <w:pPr>
      <w:spacing w:before="60" w:after="60" w:line="240" w:lineRule="exact"/>
    </w:pPr>
    <w:rPr>
      <w:szCs w:val="24"/>
    </w:rPr>
  </w:style>
  <w:style w:type="paragraph" w:styleId="Title">
    <w:name w:val="Title"/>
    <w:basedOn w:val="Normal"/>
    <w:next w:val="BodyText"/>
    <w:link w:val="TitleChar"/>
    <w:qFormat/>
    <w:rsid w:val="00FC202E"/>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FC202E"/>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FC202E"/>
    <w:rPr>
      <w:rFonts w:ascii="Tahoma" w:hAnsi="Tahoma" w:cs="Tahoma"/>
      <w:sz w:val="16"/>
      <w:szCs w:val="16"/>
    </w:rPr>
  </w:style>
  <w:style w:type="character" w:customStyle="1" w:styleId="BalloonTextChar">
    <w:name w:val="Balloon Text Char"/>
    <w:link w:val="BalloonText"/>
    <w:rsid w:val="00FC202E"/>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FC202E"/>
    <w:pPr>
      <w:keepNext/>
      <w:spacing w:before="240"/>
      <w:ind w:left="720" w:hanging="720"/>
    </w:pPr>
    <w:rPr>
      <w:vanish/>
    </w:rPr>
  </w:style>
  <w:style w:type="paragraph" w:styleId="FootnoteText">
    <w:name w:val="footnote text"/>
    <w:basedOn w:val="Normal"/>
    <w:link w:val="FootnoteTextChar"/>
    <w:uiPriority w:val="99"/>
    <w:semiHidden/>
    <w:unhideWhenUsed/>
    <w:rsid w:val="00FC202E"/>
    <w:rPr>
      <w:sz w:val="20"/>
    </w:rPr>
  </w:style>
  <w:style w:type="character" w:customStyle="1" w:styleId="FootnoteTextChar">
    <w:name w:val="Footnote Text Char"/>
    <w:basedOn w:val="DefaultParagraphFont"/>
    <w:link w:val="FootnoteText"/>
    <w:uiPriority w:val="99"/>
    <w:semiHidden/>
    <w:rsid w:val="00FC202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FC202E"/>
    <w:rPr>
      <w:vertAlign w:val="superscript"/>
    </w:rPr>
  </w:style>
  <w:style w:type="character" w:styleId="Hyperlink">
    <w:name w:val="Hyperlink"/>
    <w:basedOn w:val="DefaultParagraphFont"/>
    <w:uiPriority w:val="99"/>
    <w:unhideWhenUsed/>
    <w:rsid w:val="003D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mailto:tbrooks@cablehuston.com"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cstokes@cablehuston.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lisaw4@atg.wa.gov"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jroberson@utc.wa.gov" TargetMode="External"/><Relationship Id="rId28" Type="http://schemas.openxmlformats.org/officeDocument/2006/relationships/hyperlink" Target="mailto:tcp@dvclaw.co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kuzma@perkinscoie.com" TargetMode="External"/><Relationship Id="rId14" Type="http://schemas.openxmlformats.org/officeDocument/2006/relationships/header" Target="header3.xml"/><Relationship Id="rId22" Type="http://schemas.openxmlformats.org/officeDocument/2006/relationships/hyperlink" Target="mailto:bshearer@utc.wa.gov" TargetMode="External"/><Relationship Id="rId27" Type="http://schemas.openxmlformats.org/officeDocument/2006/relationships/hyperlink" Target="mailto:efinklea@nwigu.org"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151663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41CD8E8-D2D4-4667-9BD9-CCE42FDAA5FA}">
  <ds:schemaRefs>
    <ds:schemaRef ds:uri="http://schemas.openxmlformats.org/officeDocument/2006/bibliography"/>
  </ds:schemaRefs>
</ds:datastoreItem>
</file>

<file path=customXml/itemProps2.xml><?xml version="1.0" encoding="utf-8"?>
<ds:datastoreItem xmlns:ds="http://schemas.openxmlformats.org/officeDocument/2006/customXml" ds:itemID="{DA467091-BE98-48F6-A0C8-198C950E5528}"/>
</file>

<file path=customXml/itemProps3.xml><?xml version="1.0" encoding="utf-8"?>
<ds:datastoreItem xmlns:ds="http://schemas.openxmlformats.org/officeDocument/2006/customXml" ds:itemID="{EFF6E22B-BA34-4192-9FFA-DD998699A096}"/>
</file>

<file path=customXml/itemProps4.xml><?xml version="1.0" encoding="utf-8"?>
<ds:datastoreItem xmlns:ds="http://schemas.openxmlformats.org/officeDocument/2006/customXml" ds:itemID="{0FA0CD80-4251-48DD-8CE1-D66DD7253742}"/>
</file>

<file path=customXml/itemProps5.xml><?xml version="1.0" encoding="utf-8"?>
<ds:datastoreItem xmlns:ds="http://schemas.openxmlformats.org/officeDocument/2006/customXml" ds:itemID="{E01CFC4A-269E-4FCE-ABFF-D942E872290A}"/>
</file>

<file path=docProps/app.xml><?xml version="1.0" encoding="utf-8"?>
<Properties xmlns="http://schemas.openxmlformats.org/officeDocument/2006/extended-properties" xmlns:vt="http://schemas.openxmlformats.org/officeDocument/2006/docPropsVTypes">
  <Template>Letter.dotx</Template>
  <TotalTime>1</TotalTime>
  <Pages>10</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11756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(BEL)</dc:creator>
  <cp:lastModifiedBy>No Name</cp:lastModifiedBy>
  <cp:revision>2</cp:revision>
  <dcterms:created xsi:type="dcterms:W3CDTF">2017-01-27T23:32:00Z</dcterms:created>
  <dcterms:modified xsi:type="dcterms:W3CDTF">2017-01-27T23:32:00Z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