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FC" w:rsidRPr="0062060B" w:rsidRDefault="00501FFC" w:rsidP="00F748D8">
      <w:pPr>
        <w:tabs>
          <w:tab w:val="center" w:pos="4680"/>
        </w:tabs>
        <w:ind w:right="-108" w:hanging="180"/>
        <w:jc w:val="both"/>
        <w:rPr>
          <w:sz w:val="24"/>
        </w:rPr>
      </w:pPr>
    </w:p>
    <w:p w:rsidR="00501FFC" w:rsidRPr="0062060B" w:rsidRDefault="00501FFC" w:rsidP="00F748D8">
      <w:pPr>
        <w:tabs>
          <w:tab w:val="center" w:pos="4680"/>
        </w:tabs>
        <w:ind w:right="-108" w:hanging="180"/>
        <w:jc w:val="both"/>
        <w:rPr>
          <w:sz w:val="24"/>
        </w:rPr>
      </w:pPr>
    </w:p>
    <w:p w:rsidR="00501FFC" w:rsidRPr="0062060B" w:rsidRDefault="00501FFC" w:rsidP="00F748D8">
      <w:pPr>
        <w:tabs>
          <w:tab w:val="center" w:pos="4680"/>
        </w:tabs>
        <w:ind w:right="-108" w:hanging="180"/>
        <w:jc w:val="both"/>
        <w:rPr>
          <w:sz w:val="24"/>
        </w:rPr>
      </w:pPr>
    </w:p>
    <w:p w:rsidR="00501FFC" w:rsidRPr="0062060B" w:rsidRDefault="00501FFC" w:rsidP="00F748D8">
      <w:pPr>
        <w:tabs>
          <w:tab w:val="center" w:pos="4680"/>
        </w:tabs>
        <w:ind w:right="-108" w:hanging="180"/>
        <w:jc w:val="both"/>
        <w:rPr>
          <w:sz w:val="24"/>
        </w:rPr>
      </w:pPr>
    </w:p>
    <w:p w:rsidR="00501FFC" w:rsidRPr="0062060B" w:rsidRDefault="00501FFC" w:rsidP="00F748D8">
      <w:pPr>
        <w:tabs>
          <w:tab w:val="center" w:pos="4680"/>
        </w:tabs>
        <w:ind w:right="-108" w:hanging="180"/>
        <w:jc w:val="both"/>
        <w:rPr>
          <w:sz w:val="24"/>
        </w:rPr>
      </w:pPr>
    </w:p>
    <w:p w:rsidR="00F748D8" w:rsidRPr="0062060B" w:rsidRDefault="00F748D8" w:rsidP="00F748D8">
      <w:pPr>
        <w:tabs>
          <w:tab w:val="center" w:pos="4680"/>
        </w:tabs>
        <w:ind w:right="-108" w:hanging="180"/>
        <w:jc w:val="both"/>
        <w:rPr>
          <w:sz w:val="24"/>
        </w:rPr>
      </w:pPr>
      <w:r w:rsidRPr="0062060B">
        <w:rPr>
          <w:sz w:val="24"/>
        </w:rPr>
        <w:t>BEFORE THE WASHINGTON UTILITIES AND TRANSPORTATION COMMISSION</w:t>
      </w:r>
    </w:p>
    <w:p w:rsidR="00F748D8" w:rsidRPr="0062060B" w:rsidRDefault="00F748D8" w:rsidP="00F748D8">
      <w:pPr>
        <w:jc w:val="both"/>
        <w:rPr>
          <w:sz w:val="24"/>
        </w:rPr>
      </w:pPr>
    </w:p>
    <w:p w:rsidR="00F748D8" w:rsidRPr="0062060B" w:rsidRDefault="00F748D8" w:rsidP="00F748D8">
      <w:pPr>
        <w:jc w:val="both"/>
        <w:rPr>
          <w:sz w:val="24"/>
        </w:rPr>
      </w:pPr>
    </w:p>
    <w:tbl>
      <w:tblPr>
        <w:tblW w:w="0" w:type="auto"/>
        <w:tblInd w:w="124" w:type="dxa"/>
        <w:tblLayout w:type="fixed"/>
        <w:tblCellMar>
          <w:left w:w="124" w:type="dxa"/>
          <w:right w:w="124" w:type="dxa"/>
        </w:tblCellMar>
        <w:tblLook w:val="0000"/>
      </w:tblPr>
      <w:tblGrid>
        <w:gridCol w:w="4590"/>
        <w:gridCol w:w="4590"/>
      </w:tblGrid>
      <w:tr w:rsidR="00F748D8" w:rsidRPr="0062060B">
        <w:tblPrEx>
          <w:tblCellMar>
            <w:top w:w="0" w:type="dxa"/>
            <w:bottom w:w="0" w:type="dxa"/>
          </w:tblCellMar>
        </w:tblPrEx>
        <w:tc>
          <w:tcPr>
            <w:tcW w:w="4590" w:type="dxa"/>
            <w:tcBorders>
              <w:top w:val="single" w:sz="6" w:space="0" w:color="FFFFFF"/>
              <w:left w:val="single" w:sz="6" w:space="0" w:color="FFFFFF"/>
              <w:bottom w:val="single" w:sz="7" w:space="0" w:color="000000"/>
              <w:right w:val="single" w:sz="6" w:space="0" w:color="FFFFFF"/>
            </w:tcBorders>
          </w:tcPr>
          <w:p w:rsidR="0062060B" w:rsidRPr="0062060B" w:rsidRDefault="0062060B" w:rsidP="0062060B">
            <w:pPr>
              <w:rPr>
                <w:sz w:val="24"/>
              </w:rPr>
            </w:pPr>
            <w:r w:rsidRPr="0062060B">
              <w:rPr>
                <w:sz w:val="24"/>
              </w:rPr>
              <w:t>In the Matter of the Joint Application of</w:t>
            </w:r>
          </w:p>
          <w:p w:rsidR="0062060B" w:rsidRPr="0062060B" w:rsidRDefault="0062060B" w:rsidP="0062060B">
            <w:pPr>
              <w:rPr>
                <w:sz w:val="24"/>
              </w:rPr>
            </w:pPr>
          </w:p>
          <w:p w:rsidR="0062060B" w:rsidRPr="0062060B" w:rsidRDefault="0062060B" w:rsidP="0062060B">
            <w:pPr>
              <w:rPr>
                <w:sz w:val="24"/>
              </w:rPr>
            </w:pPr>
            <w:r w:rsidRPr="0062060B">
              <w:rPr>
                <w:sz w:val="24"/>
              </w:rPr>
              <w:t>EMBARQ CORPORATION AND</w:t>
            </w:r>
          </w:p>
          <w:p w:rsidR="0062060B" w:rsidRPr="0062060B" w:rsidRDefault="0062060B" w:rsidP="0062060B">
            <w:pPr>
              <w:rPr>
                <w:sz w:val="24"/>
              </w:rPr>
            </w:pPr>
            <w:r w:rsidRPr="0062060B">
              <w:rPr>
                <w:sz w:val="24"/>
              </w:rPr>
              <w:t>CENTURYTEL, INC.</w:t>
            </w:r>
          </w:p>
          <w:p w:rsidR="0062060B" w:rsidRPr="0062060B" w:rsidRDefault="0062060B" w:rsidP="0062060B">
            <w:pPr>
              <w:rPr>
                <w:sz w:val="24"/>
              </w:rPr>
            </w:pPr>
          </w:p>
          <w:p w:rsidR="00595D41" w:rsidRPr="0062060B" w:rsidRDefault="0062060B" w:rsidP="0062060B">
            <w:pPr>
              <w:rPr>
                <w:sz w:val="24"/>
              </w:rPr>
            </w:pPr>
            <w:r w:rsidRPr="0062060B">
              <w:rPr>
                <w:sz w:val="24"/>
              </w:rPr>
              <w:t>For Approval of Transfer of Control of United Telephone Company of the Northwest d/b/a Embarq and Embarq Communications, Inc.</w:t>
            </w:r>
          </w:p>
          <w:p w:rsidR="004F69A5" w:rsidRPr="0062060B" w:rsidRDefault="004F69A5" w:rsidP="0062060B">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62060B" w:rsidRDefault="004C3D65" w:rsidP="00C5478B">
            <w:pPr>
              <w:ind w:firstLine="720"/>
              <w:rPr>
                <w:sz w:val="24"/>
              </w:rPr>
            </w:pPr>
            <w:r w:rsidRPr="0062060B">
              <w:rPr>
                <w:sz w:val="24"/>
              </w:rPr>
              <w:t xml:space="preserve">DOCKET </w:t>
            </w:r>
            <w:r w:rsidR="007F5220">
              <w:rPr>
                <w:sz w:val="24"/>
              </w:rPr>
              <w:t>UT</w:t>
            </w:r>
            <w:r w:rsidR="0062060B" w:rsidRPr="0062060B">
              <w:rPr>
                <w:sz w:val="24"/>
              </w:rPr>
              <w:t>-082119</w:t>
            </w:r>
          </w:p>
          <w:p w:rsidR="00F748D8" w:rsidRPr="0062060B" w:rsidRDefault="00F748D8" w:rsidP="00C5478B">
            <w:pPr>
              <w:rPr>
                <w:sz w:val="24"/>
              </w:rPr>
            </w:pPr>
          </w:p>
          <w:p w:rsidR="00F748D8" w:rsidRPr="0062060B" w:rsidRDefault="0062060B" w:rsidP="00C5478B">
            <w:pPr>
              <w:spacing w:after="19"/>
              <w:ind w:left="720"/>
              <w:rPr>
                <w:sz w:val="24"/>
              </w:rPr>
            </w:pPr>
            <w:r w:rsidRPr="0062060B">
              <w:rPr>
                <w:sz w:val="24"/>
              </w:rPr>
              <w:t xml:space="preserve">COMMISSION STAFF’S RESPONSE TO </w:t>
            </w:r>
            <w:r w:rsidR="002C119A">
              <w:rPr>
                <w:sz w:val="24"/>
              </w:rPr>
              <w:t xml:space="preserve">IBEW’S </w:t>
            </w:r>
            <w:r w:rsidRPr="0062060B">
              <w:rPr>
                <w:sz w:val="24"/>
              </w:rPr>
              <w:t>MOTION TO DISMISS</w:t>
            </w:r>
            <w:r w:rsidR="002C119A">
              <w:rPr>
                <w:sz w:val="24"/>
              </w:rPr>
              <w:t>, OR, IN THE ALTERNATIVE, TO SUSPEND PROCEDURAL SCHEDULE</w:t>
            </w:r>
            <w:r w:rsidR="00F748D8" w:rsidRPr="0062060B">
              <w:rPr>
                <w:sz w:val="24"/>
              </w:rPr>
              <w:t xml:space="preserve"> </w:t>
            </w:r>
          </w:p>
        </w:tc>
      </w:tr>
    </w:tbl>
    <w:p w:rsidR="00F748D8" w:rsidRPr="0062060B" w:rsidRDefault="00F748D8" w:rsidP="00F748D8">
      <w:pPr>
        <w:jc w:val="both"/>
        <w:rPr>
          <w:sz w:val="24"/>
        </w:rPr>
      </w:pP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Commission Staff submits the following response to the Motion of the International Brotherhood of Electrical Workers, Local 89 (“IBEW”) to Dismiss or, in the Alternative, Motion to Suspend Procedural Schedule.</w:t>
      </w:r>
    </w:p>
    <w:p w:rsidR="00950065" w:rsidRPr="003C1042" w:rsidRDefault="00950065" w:rsidP="00950065">
      <w:pPr>
        <w:pStyle w:val="PlainText"/>
        <w:jc w:val="center"/>
        <w:rPr>
          <w:rFonts w:ascii="Times New Roman" w:hAnsi="Times New Roman"/>
          <w:b/>
          <w:sz w:val="24"/>
          <w:szCs w:val="24"/>
        </w:rPr>
      </w:pPr>
      <w:r w:rsidRPr="003C1042">
        <w:rPr>
          <w:rFonts w:ascii="Times New Roman" w:hAnsi="Times New Roman"/>
          <w:b/>
          <w:sz w:val="24"/>
          <w:szCs w:val="24"/>
        </w:rPr>
        <w:t>I.</w:t>
      </w:r>
      <w:r w:rsidRPr="003C1042">
        <w:rPr>
          <w:rFonts w:ascii="Times New Roman" w:hAnsi="Times New Roman"/>
          <w:b/>
          <w:sz w:val="24"/>
          <w:szCs w:val="24"/>
        </w:rPr>
        <w:tab/>
        <w:t>INTRODUCTION</w:t>
      </w:r>
    </w:p>
    <w:p w:rsidR="00950065" w:rsidRDefault="00950065" w:rsidP="00950065">
      <w:pPr>
        <w:pStyle w:val="PlainText"/>
        <w:rPr>
          <w:rFonts w:ascii="Times New Roman" w:hAnsi="Times New Roman"/>
          <w:sz w:val="24"/>
          <w:szCs w:val="24"/>
        </w:rPr>
      </w:pP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Staff agrees with IBEW that by only requesting approval for the transfer of the Embarq operating subsidiaries, the Application contains an incomplete statement of the approval that is required under RCW 80.12.020 for the proposed transaction.</w:t>
      </w: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Because the proposed transaction falls not just within the “disposition clause,” but also within the “merger clause” of RCW 80.12.020 it is not sufficient for Embarq Corporation and CenturyTel, Inc. (“the Applicants’”) to only request approval for the “transfer of control” of the Embarq operating subsidiaries in Washington (United Telephone Company of the Northwest and Embarq Communications, Inc.).</w:t>
      </w:r>
    </w:p>
    <w:p w:rsidR="00950065" w:rsidRDefault="00950065" w:rsidP="00950065">
      <w:pPr>
        <w:pStyle w:val="PlainText"/>
        <w:spacing w:line="480" w:lineRule="auto"/>
        <w:rPr>
          <w:rFonts w:ascii="Times New Roman" w:hAnsi="Times New Roman"/>
          <w:sz w:val="24"/>
          <w:szCs w:val="24"/>
        </w:rPr>
      </w:pP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lastRenderedPageBreak/>
        <w:t xml:space="preserve">The Commission should allow the Applicants to amend their Application to include a request for approval of the merger (or “indirect” merger) of the Embarq </w:t>
      </w:r>
      <w:r w:rsidRPr="0092132A">
        <w:rPr>
          <w:rFonts w:ascii="Times New Roman" w:hAnsi="Times New Roman"/>
          <w:i/>
          <w:sz w:val="24"/>
          <w:szCs w:val="24"/>
        </w:rPr>
        <w:t>and CenturyTel</w:t>
      </w:r>
      <w:r>
        <w:rPr>
          <w:rFonts w:ascii="Times New Roman" w:hAnsi="Times New Roman"/>
          <w:sz w:val="24"/>
          <w:szCs w:val="24"/>
        </w:rPr>
        <w:t xml:space="preserve"> public service company subsidiaries in the Washington jurisdiction.  Staff anticipates that the Applicants will do so voluntarily.  Staff does not believe it is necessary to suspend the procedural schedule or to require CenturyTel to file additional direct testimony</w:t>
      </w:r>
      <w:r w:rsidR="007E1DE4">
        <w:rPr>
          <w:rFonts w:ascii="Times New Roman" w:hAnsi="Times New Roman"/>
          <w:sz w:val="24"/>
          <w:szCs w:val="24"/>
        </w:rPr>
        <w:t>,</w:t>
      </w:r>
      <w:r>
        <w:rPr>
          <w:rFonts w:ascii="Times New Roman" w:hAnsi="Times New Roman"/>
          <w:sz w:val="24"/>
          <w:szCs w:val="24"/>
        </w:rPr>
        <w:t xml:space="preserve"> because IBEW has failed to demonstrate that it is prejudiced.</w:t>
      </w:r>
    </w:p>
    <w:p w:rsidR="00950065" w:rsidRDefault="00950065" w:rsidP="00950065">
      <w:pPr>
        <w:pStyle w:val="PlainText"/>
        <w:rPr>
          <w:rFonts w:ascii="Times New Roman" w:hAnsi="Times New Roman"/>
          <w:sz w:val="24"/>
          <w:szCs w:val="24"/>
        </w:rPr>
      </w:pPr>
    </w:p>
    <w:p w:rsidR="00950065" w:rsidRPr="004A42AC" w:rsidRDefault="00950065" w:rsidP="00950065">
      <w:pPr>
        <w:pStyle w:val="PlainText"/>
        <w:keepNext/>
        <w:jc w:val="center"/>
        <w:rPr>
          <w:rFonts w:ascii="Times New Roman" w:hAnsi="Times New Roman"/>
          <w:b/>
          <w:sz w:val="24"/>
          <w:szCs w:val="24"/>
        </w:rPr>
      </w:pPr>
      <w:r w:rsidRPr="004A42AC">
        <w:rPr>
          <w:rFonts w:ascii="Times New Roman" w:hAnsi="Times New Roman"/>
          <w:b/>
          <w:sz w:val="24"/>
          <w:szCs w:val="24"/>
        </w:rPr>
        <w:t>II.</w:t>
      </w:r>
      <w:r w:rsidRPr="004A42AC">
        <w:rPr>
          <w:rFonts w:ascii="Times New Roman" w:hAnsi="Times New Roman"/>
          <w:b/>
          <w:sz w:val="24"/>
          <w:szCs w:val="24"/>
        </w:rPr>
        <w:tab/>
        <w:t>ARGUMENT</w:t>
      </w:r>
    </w:p>
    <w:p w:rsidR="00950065" w:rsidRDefault="00950065" w:rsidP="00950065">
      <w:pPr>
        <w:pStyle w:val="PlainText"/>
        <w:rPr>
          <w:rFonts w:ascii="Times New Roman" w:hAnsi="Times New Roman"/>
          <w:sz w:val="24"/>
          <w:szCs w:val="24"/>
        </w:rPr>
      </w:pPr>
    </w:p>
    <w:p w:rsidR="00950065" w:rsidRPr="004A42AC" w:rsidRDefault="00950065" w:rsidP="00950065">
      <w:pPr>
        <w:pStyle w:val="PlainText"/>
        <w:ind w:left="720" w:hanging="72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t>The transaction will at least result in an “indirect merger” of the CenturyTel and Embarq operating subsidiaries in Washington.  As such, potential harm to customers of the CenturyTel subsidiaries, and not just to the Embarq subsidiaries, is at issue.</w:t>
      </w:r>
    </w:p>
    <w:p w:rsidR="00950065" w:rsidRDefault="00950065" w:rsidP="00950065">
      <w:pPr>
        <w:pStyle w:val="PlainText"/>
        <w:rPr>
          <w:rFonts w:ascii="Times New Roman" w:hAnsi="Times New Roman"/>
          <w:sz w:val="24"/>
          <w:szCs w:val="24"/>
        </w:rPr>
      </w:pP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By only including a request for approval of the transfer of the Embarq subsidiaries</w:t>
      </w:r>
      <w:r>
        <w:rPr>
          <w:rStyle w:val="FootnoteReference"/>
          <w:rFonts w:ascii="Times New Roman" w:hAnsi="Times New Roman"/>
          <w:sz w:val="24"/>
          <w:szCs w:val="24"/>
        </w:rPr>
        <w:footnoteReference w:id="2"/>
      </w:r>
      <w:r>
        <w:rPr>
          <w:rFonts w:ascii="Times New Roman" w:hAnsi="Times New Roman"/>
          <w:sz w:val="24"/>
          <w:szCs w:val="24"/>
        </w:rPr>
        <w:t xml:space="preserve"> (presumably under the “otherwise dispose” language in RCW 80.12.020), the Applicants’ request for relief suggests that it is only potential harm to the Embarq operating subsidiaries that is relevant to the Commission’s review of the proposed transaction.  In Staff’s view, however, Commission approval is required for each of the Embarq and CenturyTel operating subsidiaries under the “merger” clause of RCW 80.12.020.  Therefore, potential harm to the CenturyTel public service companies is also at issue.</w:t>
      </w:r>
    </w:p>
    <w:p w:rsidR="00950065" w:rsidRPr="00BC2E53" w:rsidRDefault="007E1DE4" w:rsidP="00950065">
      <w:pPr>
        <w:pStyle w:val="PlainText"/>
        <w:spacing w:line="480" w:lineRule="auto"/>
        <w:rPr>
          <w:rFonts w:ascii="Times New Roman" w:hAnsi="Times New Roman"/>
          <w:sz w:val="24"/>
          <w:szCs w:val="24"/>
        </w:rPr>
      </w:pPr>
      <w:r>
        <w:rPr>
          <w:rFonts w:ascii="Times New Roman" w:hAnsi="Times New Roman"/>
          <w:sz w:val="24"/>
          <w:szCs w:val="24"/>
        </w:rPr>
        <w:tab/>
      </w:r>
      <w:r w:rsidR="00950065">
        <w:rPr>
          <w:rFonts w:ascii="Times New Roman" w:hAnsi="Times New Roman"/>
          <w:sz w:val="24"/>
          <w:szCs w:val="24"/>
        </w:rPr>
        <w:t xml:space="preserve">RCW 80.12.020 </w:t>
      </w:r>
      <w:r w:rsidR="004C149E">
        <w:rPr>
          <w:rFonts w:ascii="Times New Roman" w:hAnsi="Times New Roman"/>
          <w:sz w:val="24"/>
          <w:szCs w:val="24"/>
        </w:rPr>
        <w:t>includes a “disposition” clause and a “merger” clause</w:t>
      </w:r>
      <w:r w:rsidR="00950065" w:rsidRPr="00BC2E53">
        <w:rPr>
          <w:rFonts w:ascii="Times New Roman" w:hAnsi="Times New Roman"/>
          <w:sz w:val="24"/>
          <w:szCs w:val="24"/>
        </w:rPr>
        <w:t>:</w:t>
      </w:r>
    </w:p>
    <w:p w:rsidR="00950065" w:rsidRPr="00BC2E53" w:rsidRDefault="00950065" w:rsidP="00950065">
      <w:pPr>
        <w:pStyle w:val="PlainText"/>
        <w:ind w:left="720"/>
        <w:rPr>
          <w:rFonts w:ascii="Times New Roman" w:hAnsi="Times New Roman"/>
          <w:sz w:val="24"/>
          <w:szCs w:val="24"/>
        </w:rPr>
      </w:pPr>
      <w:r w:rsidRPr="00CF2CBA">
        <w:rPr>
          <w:rFonts w:ascii="Times New Roman" w:hAnsi="Times New Roman"/>
          <w:sz w:val="24"/>
          <w:szCs w:val="24"/>
        </w:rPr>
        <w:t>No public service company shall</w:t>
      </w:r>
      <w:r w:rsidRPr="00BC2E53">
        <w:rPr>
          <w:rFonts w:ascii="Times New Roman" w:hAnsi="Times New Roman"/>
          <w:sz w:val="24"/>
          <w:szCs w:val="24"/>
          <w:u w:val="single"/>
        </w:rPr>
        <w:t xml:space="preserve"> sell, lease, assign or otherwise </w:t>
      </w:r>
      <w:r w:rsidRPr="007E1DE4">
        <w:rPr>
          <w:rFonts w:ascii="Times New Roman" w:hAnsi="Times New Roman"/>
          <w:b/>
          <w:sz w:val="24"/>
          <w:szCs w:val="24"/>
          <w:u w:val="single"/>
        </w:rPr>
        <w:t>dispose</w:t>
      </w:r>
      <w:r w:rsidRPr="00BC2E53">
        <w:rPr>
          <w:rFonts w:ascii="Times New Roman" w:hAnsi="Times New Roman"/>
          <w:sz w:val="24"/>
          <w:szCs w:val="24"/>
          <w:u w:val="single"/>
        </w:rPr>
        <w:t xml:space="preserve"> of the whole or any part of its franchises, properties or facilities whatsoever</w:t>
      </w:r>
      <w:r w:rsidRPr="00CF2CBA">
        <w:rPr>
          <w:rFonts w:ascii="Times New Roman" w:hAnsi="Times New Roman"/>
          <w:sz w:val="24"/>
          <w:szCs w:val="24"/>
        </w:rPr>
        <w:t>, which are necessary or useful in the performance of its duties to the public</w:t>
      </w:r>
      <w:r w:rsidRPr="00BC2E53">
        <w:rPr>
          <w:rFonts w:ascii="Times New Roman" w:hAnsi="Times New Roman"/>
          <w:sz w:val="24"/>
          <w:szCs w:val="24"/>
        </w:rPr>
        <w:t xml:space="preserve">, and </w:t>
      </w:r>
      <w:r w:rsidRPr="00CF2CBA">
        <w:rPr>
          <w:rFonts w:ascii="Times New Roman" w:hAnsi="Times New Roman"/>
          <w:sz w:val="24"/>
          <w:szCs w:val="24"/>
        </w:rPr>
        <w:t>no public service company shall,</w:t>
      </w:r>
      <w:r w:rsidRPr="00BC2E53">
        <w:rPr>
          <w:rFonts w:ascii="Times New Roman" w:hAnsi="Times New Roman"/>
          <w:sz w:val="24"/>
          <w:szCs w:val="24"/>
          <w:u w:val="single"/>
        </w:rPr>
        <w:t xml:space="preserve"> by any means whatsoever, directly or indirectly, </w:t>
      </w:r>
      <w:r w:rsidRPr="007E1DE4">
        <w:rPr>
          <w:rFonts w:ascii="Times New Roman" w:hAnsi="Times New Roman"/>
          <w:b/>
          <w:sz w:val="24"/>
          <w:szCs w:val="24"/>
          <w:u w:val="single"/>
        </w:rPr>
        <w:t>merge</w:t>
      </w:r>
      <w:r w:rsidRPr="00BC2E53">
        <w:rPr>
          <w:rFonts w:ascii="Times New Roman" w:hAnsi="Times New Roman"/>
          <w:sz w:val="24"/>
          <w:szCs w:val="24"/>
          <w:u w:val="single"/>
        </w:rPr>
        <w:t xml:space="preserve"> or consolidate any of its franchises, properties or facilities with any other public service company</w:t>
      </w:r>
      <w:r w:rsidRPr="00BC2E53">
        <w:rPr>
          <w:rFonts w:ascii="Times New Roman" w:hAnsi="Times New Roman"/>
          <w:sz w:val="24"/>
          <w:szCs w:val="24"/>
        </w:rPr>
        <w:t xml:space="preserve">, without having secured from the commission an order authorizing it so to do: PROVIDED, That this section shall not apply to any sale, lease, assignment or </w:t>
      </w:r>
      <w:r w:rsidRPr="00BC2E53">
        <w:rPr>
          <w:rFonts w:ascii="Times New Roman" w:hAnsi="Times New Roman"/>
          <w:sz w:val="24"/>
          <w:szCs w:val="24"/>
        </w:rPr>
        <w:lastRenderedPageBreak/>
        <w:t>other disposal of such franchises, properties or facilities to a special purpose district as defined in RCW 36.96.010, city, county, or town.</w:t>
      </w:r>
      <w:r>
        <w:rPr>
          <w:rFonts w:ascii="Times New Roman" w:hAnsi="Times New Roman"/>
          <w:sz w:val="24"/>
          <w:szCs w:val="24"/>
        </w:rPr>
        <w:t xml:space="preserve">  [Emphasis added.]</w:t>
      </w:r>
    </w:p>
    <w:p w:rsidR="00950065" w:rsidRPr="00BC2E53" w:rsidRDefault="00950065" w:rsidP="00950065">
      <w:pPr>
        <w:pStyle w:val="PlainText"/>
        <w:rPr>
          <w:rFonts w:ascii="Times New Roman" w:hAnsi="Times New Roman"/>
          <w:sz w:val="24"/>
          <w:szCs w:val="24"/>
        </w:rPr>
      </w:pPr>
    </w:p>
    <w:p w:rsidR="00950065" w:rsidRDefault="00950065" w:rsidP="00950065">
      <w:pPr>
        <w:pStyle w:val="PlainText"/>
        <w:numPr>
          <w:ilvl w:val="0"/>
          <w:numId w:val="8"/>
        </w:numPr>
        <w:spacing w:line="480" w:lineRule="auto"/>
        <w:rPr>
          <w:rFonts w:ascii="Times New Roman" w:hAnsi="Times New Roman"/>
          <w:sz w:val="24"/>
          <w:szCs w:val="24"/>
        </w:rPr>
      </w:pPr>
      <w:r w:rsidRPr="00BC2E53">
        <w:rPr>
          <w:rFonts w:ascii="Times New Roman" w:hAnsi="Times New Roman"/>
          <w:sz w:val="24"/>
          <w:szCs w:val="24"/>
        </w:rPr>
        <w:t xml:space="preserve">In </w:t>
      </w:r>
      <w:r>
        <w:rPr>
          <w:rFonts w:ascii="Times New Roman" w:hAnsi="Times New Roman"/>
          <w:sz w:val="24"/>
          <w:szCs w:val="24"/>
        </w:rPr>
        <w:t>its orders in the PacifiCorp/Scottish Power</w:t>
      </w:r>
      <w:r>
        <w:rPr>
          <w:rStyle w:val="FootnoteReference"/>
          <w:rFonts w:ascii="Times New Roman" w:hAnsi="Times New Roman"/>
          <w:sz w:val="24"/>
          <w:szCs w:val="24"/>
        </w:rPr>
        <w:footnoteReference w:id="3"/>
      </w:r>
      <w:r>
        <w:rPr>
          <w:rFonts w:ascii="Times New Roman" w:hAnsi="Times New Roman"/>
          <w:sz w:val="24"/>
          <w:szCs w:val="24"/>
        </w:rPr>
        <w:t xml:space="preserve"> and GTE/Bell Atlantic</w:t>
      </w:r>
      <w:r>
        <w:rPr>
          <w:rStyle w:val="FootnoteReference"/>
          <w:rFonts w:ascii="Times New Roman" w:hAnsi="Times New Roman"/>
          <w:sz w:val="24"/>
          <w:szCs w:val="24"/>
        </w:rPr>
        <w:footnoteReference w:id="4"/>
      </w:r>
      <w:r>
        <w:rPr>
          <w:rFonts w:ascii="Times New Roman" w:hAnsi="Times New Roman"/>
          <w:sz w:val="24"/>
          <w:szCs w:val="24"/>
        </w:rPr>
        <w:t xml:space="preserve"> merger applications</w:t>
      </w:r>
      <w:r w:rsidRPr="00BC2E53">
        <w:rPr>
          <w:rFonts w:ascii="Times New Roman" w:hAnsi="Times New Roman"/>
          <w:sz w:val="24"/>
          <w:szCs w:val="24"/>
        </w:rPr>
        <w:t xml:space="preserve">, </w:t>
      </w:r>
      <w:r>
        <w:rPr>
          <w:rFonts w:ascii="Times New Roman" w:hAnsi="Times New Roman"/>
          <w:sz w:val="24"/>
          <w:szCs w:val="24"/>
        </w:rPr>
        <w:t>the Commission concluded that it had authority to review mergers that placed Washington public service companies under the control of new parent companies that previously had no public service company subsidiaries in Washington.  In those cases, the Commission relied on the “disposition clause” of RCW 81.12.020.  The reason the Commission relied on the disposition clause, and not the merger clause, is that the merger clause arguably applies only when two (or more) existing public service companies are merging (“directly or indirectly”).</w:t>
      </w:r>
      <w:r>
        <w:rPr>
          <w:rStyle w:val="FootnoteReference"/>
          <w:rFonts w:ascii="Times New Roman" w:hAnsi="Times New Roman"/>
          <w:sz w:val="24"/>
          <w:szCs w:val="24"/>
        </w:rPr>
        <w:footnoteReference w:id="5"/>
      </w: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Having found the “disposition clause” of RCW 81.12.020 applicable to the transfer of the Washington public service companies in those cases, the Commission reviewed the transactions to assure there would be no harm to the customers of the Washington public service companies that were to be transferred to new owners.</w:t>
      </w:r>
      <w:r>
        <w:rPr>
          <w:rStyle w:val="FootnoteReference"/>
          <w:rFonts w:ascii="Times New Roman" w:hAnsi="Times New Roman"/>
          <w:sz w:val="24"/>
          <w:szCs w:val="24"/>
        </w:rPr>
        <w:footnoteReference w:id="6"/>
      </w: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The Commission’s reasoning for “piercing the corporate veil” between the GTE parent company and its wholly-owned Washington public service company subsidiary</w:t>
      </w:r>
      <w:r>
        <w:rPr>
          <w:rStyle w:val="FootnoteReference"/>
          <w:rFonts w:ascii="Times New Roman" w:hAnsi="Times New Roman"/>
          <w:sz w:val="24"/>
          <w:szCs w:val="24"/>
        </w:rPr>
        <w:footnoteReference w:id="7"/>
      </w:r>
      <w:r>
        <w:rPr>
          <w:rFonts w:ascii="Times New Roman" w:hAnsi="Times New Roman"/>
          <w:sz w:val="24"/>
          <w:szCs w:val="24"/>
        </w:rPr>
        <w:t xml:space="preserve"> applies equally to the CenturyTel and Embarq companies.  The Applicants apparently concede that the transaction results in the transfer of the Embarq operating subsidiaries </w:t>
      </w:r>
      <w:r>
        <w:rPr>
          <w:rFonts w:ascii="Times New Roman" w:hAnsi="Times New Roman"/>
          <w:sz w:val="24"/>
          <w:szCs w:val="24"/>
        </w:rPr>
        <w:lastRenderedPageBreak/>
        <w:t>under this theory.  IBEW may also be correct that the Commission’s prior interpretation of the disposition clause would encompass the change in control of the CenturyTel subsidiaries from the existing CenturyTel parent to the new parent company that is to be jointly owned by the former CenturyTel and Embarq shareholders.</w:t>
      </w: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In Staff’s view, however, the Commission need not decide whether the disposition clause applies to the CenturyTel subsidiaries.  That is because t</w:t>
      </w:r>
      <w:r w:rsidRPr="00BC2E53">
        <w:rPr>
          <w:rFonts w:ascii="Times New Roman" w:hAnsi="Times New Roman"/>
          <w:sz w:val="24"/>
          <w:szCs w:val="24"/>
        </w:rPr>
        <w:t>he</w:t>
      </w:r>
      <w:r>
        <w:rPr>
          <w:rFonts w:ascii="Times New Roman" w:hAnsi="Times New Roman"/>
          <w:sz w:val="24"/>
          <w:szCs w:val="24"/>
        </w:rPr>
        <w:t xml:space="preserve"> proposal to bring together two families of Washington public service companies under a common parent clearly falls within the merger clause, with its broad “by any means whatsoever, directly or indirectly” language.  As such, potential harm to both Embarq and the CenturyTel’s public service companies in Washington is at issue.</w:t>
      </w:r>
      <w:r>
        <w:rPr>
          <w:rStyle w:val="FootnoteReference"/>
          <w:rFonts w:ascii="Times New Roman" w:hAnsi="Times New Roman"/>
          <w:sz w:val="24"/>
          <w:szCs w:val="24"/>
        </w:rPr>
        <w:footnoteReference w:id="8"/>
      </w: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Staff does not anticipate that the Applicants will dispute this point.  If they do dispute this point, Staff would ask that the question be reserved for the final briefs, or until there is some practical reason—such as a dispute over the proper scope of discovery—to address the issue.</w:t>
      </w:r>
    </w:p>
    <w:p w:rsidR="00950065" w:rsidRPr="00F5539F" w:rsidRDefault="00950065" w:rsidP="00950065">
      <w:pPr>
        <w:pStyle w:val="PlainText"/>
        <w:ind w:left="720" w:hanging="720"/>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t>Dismissal is not warranted if the Applicants agree to clarify the relief they request to include approval of the transaction with respect to the CenturyTel operating subsidiaries that are under the Commission’s jurisdiction.</w:t>
      </w:r>
    </w:p>
    <w:p w:rsidR="00950065" w:rsidRDefault="00950065" w:rsidP="00950065">
      <w:pPr>
        <w:pStyle w:val="PlainText"/>
        <w:rPr>
          <w:rFonts w:ascii="Times New Roman" w:hAnsi="Times New Roman"/>
          <w:sz w:val="24"/>
          <w:szCs w:val="24"/>
        </w:rPr>
      </w:pP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The Applicant’s failure to request approval of the transaction with respect to CenturyTel’s operating subsidiaries is not, by itself, grounds for dismissal.  In Washington, pleadings are to be construed liberally; if a complaint states facts entitling the plaintiff to some relief, it is immaterial by what name the action is called.</w:t>
      </w:r>
      <w:r>
        <w:rPr>
          <w:rStyle w:val="FootnoteReference"/>
          <w:rFonts w:ascii="Times New Roman" w:hAnsi="Times New Roman"/>
          <w:sz w:val="24"/>
          <w:szCs w:val="24"/>
        </w:rPr>
        <w:footnoteReference w:id="9"/>
      </w:r>
      <w:r>
        <w:rPr>
          <w:rFonts w:ascii="Times New Roman" w:hAnsi="Times New Roman"/>
          <w:sz w:val="24"/>
          <w:szCs w:val="24"/>
        </w:rPr>
        <w:t xml:space="preserve">  A plaintiff should be </w:t>
      </w:r>
      <w:r>
        <w:rPr>
          <w:rFonts w:ascii="Times New Roman" w:hAnsi="Times New Roman"/>
          <w:sz w:val="24"/>
          <w:szCs w:val="24"/>
        </w:rPr>
        <w:lastRenderedPageBreak/>
        <w:t>allowed to amend a deficient pleading rather than face dismissal.</w:t>
      </w:r>
      <w:r>
        <w:rPr>
          <w:rStyle w:val="FootnoteReference"/>
          <w:rFonts w:ascii="Times New Roman" w:hAnsi="Times New Roman"/>
          <w:sz w:val="24"/>
          <w:szCs w:val="24"/>
        </w:rPr>
        <w:footnoteReference w:id="10"/>
      </w:r>
      <w:r>
        <w:rPr>
          <w:rFonts w:ascii="Times New Roman" w:hAnsi="Times New Roman"/>
          <w:sz w:val="24"/>
          <w:szCs w:val="24"/>
        </w:rPr>
        <w:t xml:space="preserve">  Therefore, Staff agrees with IBEW that, as an alternative to dismissal, the Applicants should be allowed to amend their Joint Application to request approval for CenturyTel’s Washington operating subsidiaries to engage in the transaction.</w:t>
      </w:r>
    </w:p>
    <w:p w:rsidR="00950065" w:rsidRPr="00F5539F" w:rsidRDefault="00950065" w:rsidP="00950065">
      <w:pPr>
        <w:pStyle w:val="PlainText"/>
        <w:ind w:left="720" w:hanging="720"/>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t>Suspension of the procedural schedule is not warranted because IBEW has not demonstrated that it has been prejudiced.</w:t>
      </w:r>
    </w:p>
    <w:p w:rsidR="00950065" w:rsidRDefault="00950065" w:rsidP="00950065">
      <w:pPr>
        <w:pStyle w:val="PlainText"/>
        <w:rPr>
          <w:rFonts w:ascii="Times New Roman" w:hAnsi="Times New Roman"/>
          <w:sz w:val="24"/>
          <w:szCs w:val="24"/>
        </w:rPr>
      </w:pP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 xml:space="preserve">Staff does not agree with IBEW’s request to require the Applicants to provide additional direct testimony that addresses the impacts of the proposed transaction on CenturyTel Washington ILECs and customers, or to suspend the procedural schedule.  </w:t>
      </w:r>
    </w:p>
    <w:p w:rsidR="00950065" w:rsidRDefault="00950065" w:rsidP="00950065">
      <w:pPr>
        <w:pStyle w:val="PlainText"/>
        <w:numPr>
          <w:ilvl w:val="0"/>
          <w:numId w:val="8"/>
        </w:numPr>
        <w:spacing w:line="480" w:lineRule="auto"/>
        <w:rPr>
          <w:rFonts w:ascii="Times New Roman" w:hAnsi="Times New Roman"/>
          <w:sz w:val="24"/>
          <w:szCs w:val="24"/>
        </w:rPr>
      </w:pPr>
      <w:r w:rsidRPr="00BC2E53">
        <w:rPr>
          <w:rFonts w:ascii="Times New Roman" w:hAnsi="Times New Roman"/>
          <w:sz w:val="24"/>
          <w:szCs w:val="24"/>
        </w:rPr>
        <w:t>Embarq and CenturyTel</w:t>
      </w:r>
      <w:r>
        <w:rPr>
          <w:rFonts w:ascii="Times New Roman" w:hAnsi="Times New Roman"/>
          <w:sz w:val="24"/>
          <w:szCs w:val="24"/>
        </w:rPr>
        <w:t xml:space="preserve"> filed the Application jointly, and both companies are participating as parties in the case.  Neither company has asserted that the Commission lacks jurisdiction over the transaction.  The Application does not display any attempt to evade the question of impact on the CenturyTel operating companies through the use of the stated legal theory.  The applicants could easily amend the Application to request approval for the indirect merger of the CenturyTel and Embarq public service companies</w:t>
      </w:r>
      <w:r w:rsidRPr="00BC2E53">
        <w:rPr>
          <w:rFonts w:ascii="Times New Roman" w:hAnsi="Times New Roman"/>
          <w:sz w:val="24"/>
          <w:szCs w:val="24"/>
        </w:rPr>
        <w:t>.</w:t>
      </w:r>
      <w:r>
        <w:rPr>
          <w:rFonts w:ascii="Times New Roman" w:hAnsi="Times New Roman"/>
          <w:sz w:val="24"/>
          <w:szCs w:val="24"/>
        </w:rPr>
        <w:t xml:space="preserve">  Staff understands that the Applicants intend to send notice of the transaction, as required by Commission rule,</w:t>
      </w:r>
      <w:r>
        <w:rPr>
          <w:rStyle w:val="FootnoteReference"/>
          <w:rFonts w:ascii="Times New Roman" w:hAnsi="Times New Roman"/>
          <w:sz w:val="24"/>
          <w:szCs w:val="24"/>
        </w:rPr>
        <w:footnoteReference w:id="11"/>
      </w:r>
      <w:r>
        <w:rPr>
          <w:rFonts w:ascii="Times New Roman" w:hAnsi="Times New Roman"/>
          <w:sz w:val="24"/>
          <w:szCs w:val="24"/>
        </w:rPr>
        <w:t xml:space="preserve"> to the Washington customers of both the Embarq and the CenturyTel companies.</w:t>
      </w: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IBEW asserts that “the direct testimony filed by Joint Applicants fails to include information about the impact of the proposed transaction on CenturyTel WA ILECs, including potential impacts on rates, capitalization, finances, and/or the quality, safety, and reliability of service.”</w:t>
      </w:r>
      <w:r>
        <w:rPr>
          <w:rStyle w:val="FootnoteReference"/>
          <w:rFonts w:ascii="Times New Roman" w:hAnsi="Times New Roman"/>
          <w:sz w:val="24"/>
          <w:szCs w:val="24"/>
        </w:rPr>
        <w:footnoteReference w:id="12"/>
      </w:r>
      <w:r>
        <w:rPr>
          <w:rFonts w:ascii="Times New Roman" w:hAnsi="Times New Roman"/>
          <w:sz w:val="24"/>
          <w:szCs w:val="24"/>
        </w:rPr>
        <w:t xml:space="preserve">  Although Staff agrees that the Applicant’s direct testimony is very cursory, both Applicants have at least sponsored direct testimony by company </w:t>
      </w:r>
      <w:r>
        <w:rPr>
          <w:rFonts w:ascii="Times New Roman" w:hAnsi="Times New Roman"/>
          <w:sz w:val="24"/>
          <w:szCs w:val="24"/>
        </w:rPr>
        <w:lastRenderedPageBreak/>
        <w:t xml:space="preserve">representatives explaining why they believe the merger is in the public interest with respect to both companies’ Washington operating companies.  Staff does not believe the testimony </w:t>
      </w:r>
      <w:r w:rsidRPr="00BC2E53">
        <w:rPr>
          <w:rFonts w:ascii="Times New Roman" w:hAnsi="Times New Roman"/>
          <w:sz w:val="24"/>
          <w:szCs w:val="24"/>
        </w:rPr>
        <w:t xml:space="preserve">is deficient for failing to address impacts of the transaction on the CenturyTel entities in Washington.  </w:t>
      </w:r>
    </w:p>
    <w:p w:rsidR="00950065" w:rsidRPr="00BC2E53" w:rsidRDefault="007E1DE4" w:rsidP="00950065">
      <w:pPr>
        <w:pStyle w:val="PlainText"/>
        <w:spacing w:line="480" w:lineRule="auto"/>
        <w:rPr>
          <w:rFonts w:ascii="Times New Roman" w:hAnsi="Times New Roman"/>
          <w:sz w:val="24"/>
          <w:szCs w:val="24"/>
        </w:rPr>
      </w:pPr>
      <w:r>
        <w:rPr>
          <w:rFonts w:ascii="Times New Roman" w:hAnsi="Times New Roman"/>
          <w:sz w:val="24"/>
          <w:szCs w:val="24"/>
        </w:rPr>
        <w:tab/>
      </w:r>
      <w:r w:rsidR="00950065">
        <w:rPr>
          <w:rFonts w:ascii="Times New Roman" w:hAnsi="Times New Roman"/>
          <w:sz w:val="24"/>
          <w:szCs w:val="24"/>
        </w:rPr>
        <w:t xml:space="preserve">CenturyTel witness </w:t>
      </w:r>
      <w:r w:rsidR="00950065" w:rsidRPr="00BC2E53">
        <w:rPr>
          <w:rFonts w:ascii="Times New Roman" w:hAnsi="Times New Roman"/>
          <w:sz w:val="24"/>
          <w:szCs w:val="24"/>
        </w:rPr>
        <w:t>Clay Bailey</w:t>
      </w:r>
      <w:r w:rsidRPr="007E1DE4">
        <w:rPr>
          <w:rStyle w:val="FootnoteReference"/>
          <w:rFonts w:ascii="Times New Roman" w:hAnsi="Times New Roman"/>
          <w:sz w:val="24"/>
          <w:szCs w:val="24"/>
        </w:rPr>
        <w:footnoteReference w:id="13"/>
      </w:r>
      <w:r w:rsidR="00950065" w:rsidRPr="00BC2E53">
        <w:rPr>
          <w:rFonts w:ascii="Times New Roman" w:hAnsi="Times New Roman"/>
          <w:sz w:val="24"/>
          <w:szCs w:val="24"/>
        </w:rPr>
        <w:t xml:space="preserve"> s</w:t>
      </w:r>
      <w:r w:rsidR="00950065">
        <w:rPr>
          <w:rFonts w:ascii="Times New Roman" w:hAnsi="Times New Roman"/>
          <w:sz w:val="24"/>
          <w:szCs w:val="24"/>
        </w:rPr>
        <w:t>tates</w:t>
      </w:r>
      <w:r w:rsidR="00950065" w:rsidRPr="00BC2E53">
        <w:rPr>
          <w:rFonts w:ascii="Times New Roman" w:hAnsi="Times New Roman"/>
          <w:sz w:val="24"/>
          <w:szCs w:val="24"/>
        </w:rPr>
        <w:t>, for example, that:</w:t>
      </w:r>
    </w:p>
    <w:p w:rsidR="007E1DE4" w:rsidRPr="00FF3F40" w:rsidRDefault="007E1DE4" w:rsidP="007E1DE4">
      <w:pPr>
        <w:pStyle w:val="ListParagraph"/>
        <w:numPr>
          <w:ilvl w:val="0"/>
          <w:numId w:val="3"/>
        </w:numPr>
      </w:pPr>
      <w:r w:rsidRPr="00FF3F40">
        <w:t>the “combined company” will be stronger (p. 3), and the “transaction will create a post-Transaction CenturyTel with greater financial resources and access to capital to invest in networks, systems, and employees” (p. 5)</w:t>
      </w:r>
    </w:p>
    <w:p w:rsidR="007E1DE4" w:rsidRPr="00FF3F40" w:rsidRDefault="007E1DE4" w:rsidP="007E1DE4">
      <w:pPr>
        <w:pStyle w:val="ListParagraph"/>
        <w:numPr>
          <w:ilvl w:val="0"/>
          <w:numId w:val="3"/>
        </w:numPr>
      </w:pPr>
      <w:r w:rsidRPr="00FF3F40">
        <w:t>“post-Transaction CenturyTel is expected to receive investment grade rating” (p. 8)</w:t>
      </w:r>
    </w:p>
    <w:p w:rsidR="007E1DE4" w:rsidRPr="00FF3F40" w:rsidRDefault="007E1DE4" w:rsidP="007E1DE4">
      <w:pPr>
        <w:pStyle w:val="ListParagraph"/>
        <w:numPr>
          <w:ilvl w:val="0"/>
          <w:numId w:val="3"/>
        </w:numPr>
      </w:pPr>
      <w:r w:rsidRPr="00FF3F40">
        <w:t> “the post-Transaction CenturyTel including UTNW and the CenturyTel ILECs will have a combined pool of technical expertise from which to draw” (p. 9)</w:t>
      </w:r>
    </w:p>
    <w:p w:rsidR="007E1DE4" w:rsidRPr="00FF3F40" w:rsidRDefault="007E1DE4" w:rsidP="007E1DE4">
      <w:pPr>
        <w:pStyle w:val="ListParagraph"/>
        <w:numPr>
          <w:ilvl w:val="0"/>
          <w:numId w:val="3"/>
        </w:numPr>
      </w:pPr>
      <w:r w:rsidRPr="00FF3F40">
        <w:t xml:space="preserve">the “combined company” will have “improved economies of scope and scale” (p. 11) </w:t>
      </w:r>
    </w:p>
    <w:p w:rsidR="007E1DE4" w:rsidRPr="00FF3F40" w:rsidRDefault="007E1DE4" w:rsidP="007E1DE4">
      <w:pPr>
        <w:pStyle w:val="ListParagraph"/>
        <w:numPr>
          <w:ilvl w:val="0"/>
          <w:numId w:val="3"/>
        </w:numPr>
      </w:pPr>
      <w:r w:rsidRPr="00FF3F40">
        <w:t xml:space="preserve">“the two companies do not serve any of the same markets in Washington” (p. 12) </w:t>
      </w:r>
    </w:p>
    <w:p w:rsidR="007E1DE4" w:rsidRPr="00FF3F40" w:rsidRDefault="007E1DE4" w:rsidP="007E1DE4">
      <w:pPr>
        <w:pStyle w:val="ListParagraph"/>
        <w:numPr>
          <w:ilvl w:val="0"/>
          <w:numId w:val="3"/>
        </w:numPr>
      </w:pPr>
      <w:r w:rsidRPr="00FF3F40">
        <w:t>“increases to economies of scope and scale will also allow the combined company to have a stronger wholesale division”  (p. 13)</w:t>
      </w:r>
    </w:p>
    <w:p w:rsidR="007E1DE4" w:rsidRPr="00FF3F40" w:rsidRDefault="007E1DE4" w:rsidP="007E1DE4">
      <w:pPr>
        <w:pStyle w:val="ListParagraph"/>
        <w:numPr>
          <w:ilvl w:val="0"/>
          <w:numId w:val="3"/>
        </w:numPr>
      </w:pPr>
      <w:r w:rsidRPr="00FF3F40">
        <w:t>“the Transaction will occur at the holding company level and therefore will not itself have any impact on the fundamental operations of UTNW or the CenturyTel ILECs” (p. 13)</w:t>
      </w:r>
    </w:p>
    <w:p w:rsidR="007E1DE4" w:rsidRPr="00FF3F40" w:rsidRDefault="007E1DE4" w:rsidP="007E1DE4">
      <w:pPr>
        <w:pStyle w:val="ListParagraph"/>
        <w:numPr>
          <w:ilvl w:val="0"/>
          <w:numId w:val="3"/>
        </w:numPr>
      </w:pPr>
      <w:r w:rsidRPr="00FF3F40">
        <w:t xml:space="preserve">“the services provided by </w:t>
      </w:r>
      <w:proofErr w:type="spellStart"/>
      <w:r w:rsidRPr="00FF3F40">
        <w:t>Embarq</w:t>
      </w:r>
      <w:proofErr w:type="spellEnd"/>
      <w:r w:rsidRPr="00FF3F40">
        <w:t xml:space="preserve"> and CenturyTel, and the rates and services under which they are offered, will not change as a result of the transaction” (p. 14)</w:t>
      </w:r>
    </w:p>
    <w:p w:rsidR="00950065" w:rsidRPr="00BC2E53" w:rsidRDefault="00950065" w:rsidP="007E1DE4">
      <w:pPr>
        <w:pStyle w:val="ListParagraph"/>
        <w:ind w:hanging="720"/>
      </w:pPr>
    </w:p>
    <w:p w:rsidR="00950065" w:rsidRPr="00950065" w:rsidRDefault="00950065" w:rsidP="00950065">
      <w:pPr>
        <w:pStyle w:val="PlainText"/>
        <w:numPr>
          <w:ilvl w:val="0"/>
          <w:numId w:val="8"/>
        </w:numPr>
        <w:spacing w:line="480" w:lineRule="auto"/>
        <w:rPr>
          <w:rFonts w:ascii="Times New Roman" w:hAnsi="Times New Roman"/>
          <w:sz w:val="24"/>
          <w:szCs w:val="24"/>
        </w:rPr>
      </w:pPr>
      <w:r w:rsidRPr="00950065">
        <w:rPr>
          <w:rFonts w:ascii="Times New Roman" w:hAnsi="Times New Roman"/>
          <w:sz w:val="24"/>
          <w:szCs w:val="24"/>
        </w:rPr>
        <w:t xml:space="preserve">Even if one doubted the candor or analytical rigor of these statements, they clearly are intended to apply not just to the Embarq subsidiaries, but also to the CenturyTel subsidiaries in Washington for whom Mr. Bailey is offered as a speaking agent.  Mr. Bailey’s testimony does address the impact of the transaction on the CenturyTel subsidiaries.  As such, IBEW has a witness to whom it may address data requests and cross examination questions.  </w:t>
      </w:r>
      <w:r w:rsidRPr="00950065">
        <w:rPr>
          <w:rFonts w:ascii="Times New Roman" w:hAnsi="Times New Roman"/>
          <w:bCs/>
          <w:sz w:val="24"/>
          <w:szCs w:val="24"/>
        </w:rPr>
        <w:t xml:space="preserve">If the Applicants have resisted answering data requests that inquire into impacts on CenturyTel (for example, on the grounds that any such impacts are </w:t>
      </w:r>
      <w:r w:rsidRPr="00950065">
        <w:rPr>
          <w:rFonts w:ascii="Times New Roman" w:hAnsi="Times New Roman"/>
          <w:bCs/>
          <w:sz w:val="24"/>
          <w:szCs w:val="24"/>
        </w:rPr>
        <w:lastRenderedPageBreak/>
        <w:t>irrelevant), that is the place for IBEW to focus its efforts with motions to compel and for adjustment of the procedural schedule if necessary. </w:t>
      </w:r>
    </w:p>
    <w:p w:rsidR="00950065" w:rsidRDefault="00950065" w:rsidP="00950065">
      <w:pPr>
        <w:pStyle w:val="PlainText"/>
        <w:numPr>
          <w:ilvl w:val="0"/>
          <w:numId w:val="8"/>
        </w:numPr>
        <w:spacing w:line="480" w:lineRule="auto"/>
        <w:rPr>
          <w:rFonts w:ascii="Times New Roman" w:hAnsi="Times New Roman"/>
          <w:sz w:val="24"/>
          <w:szCs w:val="24"/>
        </w:rPr>
      </w:pPr>
      <w:r>
        <w:rPr>
          <w:rFonts w:ascii="Times New Roman" w:hAnsi="Times New Roman"/>
          <w:sz w:val="24"/>
          <w:szCs w:val="24"/>
        </w:rPr>
        <w:t>Thus, Staff does not believe that IBEW has demonstrated the need to require the applicants to file additional direct testimony or prejudice requiring suspension of the procedural schedule.</w:t>
      </w:r>
    </w:p>
    <w:p w:rsidR="00950065" w:rsidRPr="0089508F" w:rsidRDefault="00950065" w:rsidP="0056214E">
      <w:pPr>
        <w:pStyle w:val="PlainText"/>
        <w:keepNext/>
        <w:jc w:val="center"/>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CONCLUSION</w:t>
      </w:r>
    </w:p>
    <w:p w:rsidR="00950065" w:rsidRDefault="00950065" w:rsidP="00950065">
      <w:pPr>
        <w:pStyle w:val="PlainText"/>
        <w:rPr>
          <w:rFonts w:ascii="Times New Roman" w:hAnsi="Times New Roman"/>
          <w:sz w:val="24"/>
          <w:szCs w:val="24"/>
        </w:rPr>
      </w:pPr>
    </w:p>
    <w:p w:rsidR="0062060B" w:rsidRDefault="00950065" w:rsidP="00950065">
      <w:pPr>
        <w:pStyle w:val="ListParagraph"/>
        <w:numPr>
          <w:ilvl w:val="0"/>
          <w:numId w:val="8"/>
        </w:numPr>
        <w:spacing w:line="480" w:lineRule="auto"/>
      </w:pPr>
      <w:r>
        <w:t>For the foregoing reasons, the Commission should afford the Applicants an opportunity to amend their Application to request approval for the proposed merger transaction not only with respect to the Embarq operating subsidiaries in Washington, but also with respect to the CenturyTel operating subsidiaries in Washington.  The Commission need not require the Applicants to file additional direct testimony.  The Commission need not suspend the procedural schedule at this time.</w:t>
      </w:r>
    </w:p>
    <w:p w:rsidR="00F748D8" w:rsidRPr="0062060B" w:rsidRDefault="00F748D8" w:rsidP="0062060B">
      <w:pPr>
        <w:spacing w:line="480" w:lineRule="auto"/>
        <w:jc w:val="both"/>
        <w:rPr>
          <w:sz w:val="24"/>
        </w:rPr>
      </w:pPr>
      <w:r w:rsidRPr="0062060B">
        <w:rPr>
          <w:sz w:val="24"/>
        </w:rPr>
        <w:t xml:space="preserve"> </w:t>
      </w:r>
      <w:r w:rsidR="002177E5">
        <w:rPr>
          <w:sz w:val="24"/>
        </w:rPr>
        <w:tab/>
      </w:r>
      <w:proofErr w:type="gramStart"/>
      <w:r w:rsidRPr="0062060B">
        <w:rPr>
          <w:sz w:val="24"/>
        </w:rPr>
        <w:t xml:space="preserve">DATED this </w:t>
      </w:r>
      <w:r w:rsidR="0062060B">
        <w:rPr>
          <w:sz w:val="24"/>
        </w:rPr>
        <w:t>9</w:t>
      </w:r>
      <w:r w:rsidR="0062060B" w:rsidRPr="0062060B">
        <w:rPr>
          <w:sz w:val="24"/>
          <w:vertAlign w:val="superscript"/>
        </w:rPr>
        <w:t>th</w:t>
      </w:r>
      <w:r w:rsidR="0062060B">
        <w:rPr>
          <w:sz w:val="24"/>
        </w:rPr>
        <w:t xml:space="preserve"> </w:t>
      </w:r>
      <w:r w:rsidRPr="0062060B">
        <w:rPr>
          <w:sz w:val="24"/>
        </w:rPr>
        <w:t xml:space="preserve">day of </w:t>
      </w:r>
      <w:r w:rsidR="0062060B">
        <w:rPr>
          <w:sz w:val="24"/>
        </w:rPr>
        <w:t>February</w:t>
      </w:r>
      <w:r w:rsidRPr="0062060B">
        <w:rPr>
          <w:sz w:val="24"/>
        </w:rPr>
        <w:t>, 200</w:t>
      </w:r>
      <w:r w:rsidR="0062060B">
        <w:rPr>
          <w:sz w:val="24"/>
        </w:rPr>
        <w:t>9</w:t>
      </w:r>
      <w:r w:rsidRPr="0062060B">
        <w:rPr>
          <w:sz w:val="24"/>
        </w:rPr>
        <w:t>.</w:t>
      </w:r>
      <w:proofErr w:type="gramEnd"/>
    </w:p>
    <w:p w:rsidR="00F748D8" w:rsidRPr="0062060B" w:rsidRDefault="00F748D8" w:rsidP="00F748D8">
      <w:pPr>
        <w:ind w:left="720"/>
        <w:rPr>
          <w:sz w:val="24"/>
        </w:rPr>
      </w:pPr>
      <w:r w:rsidRPr="0062060B">
        <w:rPr>
          <w:sz w:val="24"/>
        </w:rPr>
        <w:tab/>
      </w:r>
      <w:r w:rsidRPr="0062060B">
        <w:rPr>
          <w:sz w:val="24"/>
        </w:rPr>
        <w:tab/>
      </w:r>
      <w:r w:rsidRPr="0062060B">
        <w:rPr>
          <w:sz w:val="24"/>
        </w:rPr>
        <w:tab/>
      </w:r>
      <w:r w:rsidRPr="0062060B">
        <w:rPr>
          <w:sz w:val="24"/>
        </w:rPr>
        <w:tab/>
      </w:r>
      <w:r w:rsidRPr="0062060B">
        <w:rPr>
          <w:sz w:val="24"/>
        </w:rPr>
        <w:tab/>
      </w:r>
      <w:r w:rsidRPr="0062060B">
        <w:rPr>
          <w:sz w:val="24"/>
        </w:rPr>
        <w:tab/>
        <w:t xml:space="preserve">Respectfully submitted, </w:t>
      </w:r>
    </w:p>
    <w:p w:rsidR="00F748D8" w:rsidRPr="0062060B" w:rsidRDefault="00F748D8" w:rsidP="00F748D8">
      <w:pPr>
        <w:pStyle w:val="BodyTextIndent2"/>
        <w:rPr>
          <w:rFonts w:ascii="Times New Roman" w:hAnsi="Times New Roman"/>
        </w:rPr>
      </w:pPr>
    </w:p>
    <w:p w:rsidR="00F748D8" w:rsidRPr="0062060B" w:rsidRDefault="00F748D8" w:rsidP="00F748D8">
      <w:pPr>
        <w:ind w:left="5040"/>
        <w:jc w:val="both"/>
        <w:rPr>
          <w:sz w:val="24"/>
        </w:rPr>
      </w:pPr>
      <w:r w:rsidRPr="0062060B">
        <w:rPr>
          <w:sz w:val="24"/>
        </w:rPr>
        <w:t>ROB</w:t>
      </w:r>
      <w:r w:rsidR="00BF3CD1" w:rsidRPr="0062060B">
        <w:rPr>
          <w:sz w:val="24"/>
        </w:rPr>
        <w:t>ERT M.</w:t>
      </w:r>
      <w:r w:rsidRPr="0062060B">
        <w:rPr>
          <w:sz w:val="24"/>
        </w:rPr>
        <w:t xml:space="preserve"> MCKENNA </w:t>
      </w:r>
    </w:p>
    <w:p w:rsidR="00F748D8" w:rsidRPr="0062060B" w:rsidRDefault="00F748D8" w:rsidP="00F748D8">
      <w:pPr>
        <w:ind w:firstLine="5040"/>
        <w:jc w:val="both"/>
        <w:rPr>
          <w:sz w:val="24"/>
        </w:rPr>
      </w:pPr>
      <w:r w:rsidRPr="0062060B">
        <w:rPr>
          <w:sz w:val="24"/>
        </w:rPr>
        <w:t>Attorney General</w:t>
      </w:r>
    </w:p>
    <w:p w:rsidR="00F748D8" w:rsidRPr="0062060B" w:rsidRDefault="00F748D8" w:rsidP="00F748D8">
      <w:pPr>
        <w:jc w:val="both"/>
        <w:rPr>
          <w:sz w:val="24"/>
        </w:rPr>
      </w:pPr>
    </w:p>
    <w:p w:rsidR="00F748D8" w:rsidRPr="0062060B" w:rsidRDefault="00F748D8" w:rsidP="00F748D8">
      <w:pPr>
        <w:jc w:val="both"/>
        <w:rPr>
          <w:sz w:val="24"/>
        </w:rPr>
      </w:pPr>
    </w:p>
    <w:p w:rsidR="005E07C2" w:rsidRPr="0062060B" w:rsidRDefault="005E07C2" w:rsidP="00F748D8">
      <w:pPr>
        <w:jc w:val="both"/>
        <w:rPr>
          <w:sz w:val="24"/>
        </w:rPr>
      </w:pPr>
    </w:p>
    <w:p w:rsidR="00F748D8" w:rsidRPr="0062060B" w:rsidRDefault="00F748D8" w:rsidP="00F748D8">
      <w:pPr>
        <w:ind w:left="1440" w:firstLine="3600"/>
        <w:jc w:val="both"/>
        <w:rPr>
          <w:sz w:val="24"/>
        </w:rPr>
      </w:pPr>
      <w:r w:rsidRPr="0062060B">
        <w:rPr>
          <w:sz w:val="24"/>
        </w:rPr>
        <w:t>______________________________</w:t>
      </w:r>
    </w:p>
    <w:p w:rsidR="00F748D8" w:rsidRPr="0062060B" w:rsidRDefault="0062060B" w:rsidP="00F748D8">
      <w:pPr>
        <w:ind w:firstLine="5040"/>
        <w:jc w:val="both"/>
        <w:rPr>
          <w:sz w:val="24"/>
        </w:rPr>
      </w:pPr>
      <w:r>
        <w:rPr>
          <w:sz w:val="24"/>
        </w:rPr>
        <w:t>JONATHAN C. THOMPSON</w:t>
      </w:r>
    </w:p>
    <w:p w:rsidR="00F748D8" w:rsidRPr="0062060B" w:rsidRDefault="00F748D8" w:rsidP="00F748D8">
      <w:pPr>
        <w:ind w:left="1440" w:firstLine="3600"/>
        <w:jc w:val="both"/>
        <w:rPr>
          <w:sz w:val="24"/>
        </w:rPr>
      </w:pPr>
      <w:r w:rsidRPr="0062060B">
        <w:rPr>
          <w:sz w:val="24"/>
        </w:rPr>
        <w:t>Assistant Attorney General</w:t>
      </w:r>
    </w:p>
    <w:p w:rsidR="00F748D8" w:rsidRPr="0062060B" w:rsidRDefault="00F748D8" w:rsidP="00F748D8">
      <w:pPr>
        <w:ind w:left="2160" w:firstLine="2880"/>
        <w:jc w:val="both"/>
        <w:rPr>
          <w:sz w:val="24"/>
        </w:rPr>
      </w:pPr>
      <w:r w:rsidRPr="0062060B">
        <w:rPr>
          <w:sz w:val="24"/>
        </w:rPr>
        <w:t>Counsel for Washington Utilities and</w:t>
      </w:r>
    </w:p>
    <w:p w:rsidR="00F748D8" w:rsidRPr="0062060B" w:rsidRDefault="004F69A5" w:rsidP="00F748D8">
      <w:pPr>
        <w:ind w:left="2880" w:firstLine="2160"/>
        <w:jc w:val="both"/>
        <w:rPr>
          <w:sz w:val="24"/>
        </w:rPr>
      </w:pPr>
      <w:r w:rsidRPr="0062060B">
        <w:rPr>
          <w:sz w:val="24"/>
        </w:rPr>
        <w:t>Transportation Commission</w:t>
      </w:r>
      <w:r w:rsidR="005E07C2" w:rsidRPr="0062060B">
        <w:rPr>
          <w:sz w:val="24"/>
        </w:rPr>
        <w:t xml:space="preserve"> Staff</w:t>
      </w:r>
    </w:p>
    <w:p w:rsidR="00F748D8" w:rsidRPr="0062060B" w:rsidRDefault="00F748D8">
      <w:pPr>
        <w:rPr>
          <w:sz w:val="24"/>
        </w:rPr>
      </w:pPr>
    </w:p>
    <w:sectPr w:rsidR="00F748D8" w:rsidRPr="0062060B" w:rsidSect="00F748D8">
      <w:footerReference w:type="default" r:id="rId7"/>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39" w:rsidRDefault="00AE6939">
      <w:r>
        <w:separator/>
      </w:r>
    </w:p>
  </w:endnote>
  <w:endnote w:type="continuationSeparator" w:id="1">
    <w:p w:rsidR="00AE6939" w:rsidRDefault="00AE6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E4" w:rsidRDefault="007E1DE4">
    <w:pPr>
      <w:pStyle w:val="Footer"/>
    </w:pPr>
  </w:p>
  <w:p w:rsidR="007E1DE4" w:rsidRDefault="007E1DE4">
    <w:pPr>
      <w:pStyle w:val="Footer"/>
    </w:pPr>
    <w:r>
      <w:t>COMMISSION STAFF’S RESPONSE</w:t>
    </w:r>
  </w:p>
  <w:p w:rsidR="007E1DE4" w:rsidRPr="00737B08" w:rsidRDefault="007E1DE4">
    <w:pPr>
      <w:pStyle w:val="Footer"/>
    </w:pPr>
    <w:r>
      <w:t>TO IBEW’S MOTION TO DISMISS</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7F5220">
      <w:rPr>
        <w:rStyle w:val="PageNumber"/>
        <w:noProof/>
      </w:rPr>
      <w:t>1</w:t>
    </w:r>
    <w:r w:rsidRPr="00737B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39" w:rsidRDefault="00AE6939">
      <w:r>
        <w:separator/>
      </w:r>
    </w:p>
  </w:footnote>
  <w:footnote w:type="continuationSeparator" w:id="1">
    <w:p w:rsidR="00AE6939" w:rsidRDefault="00AE6939">
      <w:r>
        <w:continuationSeparator/>
      </w:r>
    </w:p>
  </w:footnote>
  <w:footnote w:id="2">
    <w:p w:rsidR="007E1DE4" w:rsidRPr="00AF65A4" w:rsidRDefault="007E1DE4" w:rsidP="00950065">
      <w:pPr>
        <w:pStyle w:val="FootnoteText"/>
      </w:pPr>
      <w:r w:rsidRPr="00AF65A4">
        <w:rPr>
          <w:rStyle w:val="FootnoteReference"/>
        </w:rPr>
        <w:footnoteRef/>
      </w:r>
      <w:r w:rsidRPr="00AF65A4">
        <w:t xml:space="preserve"> </w:t>
      </w:r>
      <w:r>
        <w:t>Joint Application of Embarq Corporation and CenturyTel, Inc. for Approval of Transfer of Control of United Telephone Company of the Northwest d/b/a Embarq Communications, Inc., at 1 (first paragraph) and 12 (final paragraph).</w:t>
      </w:r>
    </w:p>
  </w:footnote>
  <w:footnote w:id="3">
    <w:p w:rsidR="007E1DE4" w:rsidRPr="009911EA" w:rsidRDefault="007E1DE4" w:rsidP="00950065">
      <w:pPr>
        <w:pStyle w:val="FootnoteText"/>
      </w:pPr>
      <w:r w:rsidRPr="009911EA">
        <w:rPr>
          <w:rStyle w:val="FootnoteReference"/>
        </w:rPr>
        <w:footnoteRef/>
      </w:r>
      <w:r w:rsidRPr="009911EA">
        <w:t xml:space="preserve"> Second Supplemental Order: Commission Decision and Order Regarding Jurisdiction</w:t>
      </w:r>
      <w:r>
        <w:t xml:space="preserve"> (“</w:t>
      </w:r>
      <w:r w:rsidRPr="00C82500">
        <w:rPr>
          <w:i/>
        </w:rPr>
        <w:t>Scottish Power Order</w:t>
      </w:r>
      <w:r>
        <w:t>”)</w:t>
      </w:r>
      <w:r w:rsidRPr="009911EA">
        <w:t xml:space="preserve">, </w:t>
      </w:r>
      <w:r w:rsidRPr="009911EA">
        <w:rPr>
          <w:i/>
        </w:rPr>
        <w:t>In the Matter of the Application of PacifiCorp and Scottish Power PLC</w:t>
      </w:r>
      <w:r w:rsidRPr="009911EA">
        <w:t>, Docket No. UE-981627 (March 1999).</w:t>
      </w:r>
    </w:p>
  </w:footnote>
  <w:footnote w:id="4">
    <w:p w:rsidR="007E1DE4" w:rsidRPr="009911EA" w:rsidRDefault="007E1DE4" w:rsidP="00950065">
      <w:pPr>
        <w:pStyle w:val="FootnoteText"/>
      </w:pPr>
      <w:r w:rsidRPr="009911EA">
        <w:rPr>
          <w:rStyle w:val="FootnoteReference"/>
        </w:rPr>
        <w:footnoteRef/>
      </w:r>
      <w:r w:rsidRPr="009911EA">
        <w:t xml:space="preserve"> Fourth Supplemental Order Approving and Adopting Settlement Agreement, Granting Application, Subject to Conditions</w:t>
      </w:r>
      <w:r>
        <w:t xml:space="preserve"> (“</w:t>
      </w:r>
      <w:r w:rsidRPr="00C82500">
        <w:rPr>
          <w:i/>
        </w:rPr>
        <w:t>Bell Atlantic Order</w:t>
      </w:r>
      <w:r>
        <w:t>”)</w:t>
      </w:r>
      <w:r w:rsidRPr="009911EA">
        <w:t xml:space="preserve">, </w:t>
      </w:r>
      <w:r w:rsidRPr="009911EA">
        <w:rPr>
          <w:i/>
        </w:rPr>
        <w:t>GTE Corporation and Bell Atlantic Corporation for an Order Disclaiming Jurisdiction or, in the Alternative, Approving the GTE Corporation—Bell Atlantic Corporation Merger,</w:t>
      </w:r>
      <w:r w:rsidRPr="009911EA">
        <w:t xml:space="preserve"> Docket No. UT-981367 (December 1999).</w:t>
      </w:r>
    </w:p>
  </w:footnote>
  <w:footnote w:id="5">
    <w:p w:rsidR="007E1DE4" w:rsidRPr="00C82500" w:rsidRDefault="007E1DE4" w:rsidP="00950065">
      <w:pPr>
        <w:pStyle w:val="FootnoteText"/>
      </w:pPr>
      <w:r w:rsidRPr="00C82500">
        <w:rPr>
          <w:rStyle w:val="FootnoteReference"/>
        </w:rPr>
        <w:footnoteRef/>
      </w:r>
      <w:r w:rsidRPr="00C82500">
        <w:t xml:space="preserve"> </w:t>
      </w:r>
      <w:r w:rsidRPr="00C82500">
        <w:rPr>
          <w:i/>
        </w:rPr>
        <w:t>Scottish Power Order</w:t>
      </w:r>
      <w:r w:rsidRPr="00C82500">
        <w:t xml:space="preserve"> at 5, 9; </w:t>
      </w:r>
      <w:r w:rsidRPr="00C82500">
        <w:rPr>
          <w:i/>
        </w:rPr>
        <w:t>Bell Atlantic Order</w:t>
      </w:r>
      <w:r w:rsidRPr="00C82500">
        <w:t xml:space="preserve"> at 16 (“We agree with Staff and Public Counsel that the focus of our inquiry should be on GTE Northwest, indisputably a public service company under RCW 80.04.010 and RCW 80.12.010.”)</w:t>
      </w:r>
      <w:r>
        <w:t>.</w:t>
      </w:r>
    </w:p>
  </w:footnote>
  <w:footnote w:id="6">
    <w:p w:rsidR="007E1DE4" w:rsidRPr="00157EDC" w:rsidRDefault="007E1DE4" w:rsidP="00950065">
      <w:pPr>
        <w:pStyle w:val="FootnoteText"/>
      </w:pPr>
      <w:r w:rsidRPr="00C82500">
        <w:rPr>
          <w:rStyle w:val="FootnoteReference"/>
        </w:rPr>
        <w:footnoteRef/>
      </w:r>
      <w:r w:rsidRPr="00C82500">
        <w:t xml:space="preserve"> Third Supplemental Order on Prehearing Conference, </w:t>
      </w:r>
      <w:r w:rsidRPr="00C82500">
        <w:rPr>
          <w:i/>
        </w:rPr>
        <w:t>In the Matter of the Application of PacifiCorp and Scottish Power PLC</w:t>
      </w:r>
      <w:r w:rsidRPr="00C82500">
        <w:t xml:space="preserve">, Docket No. </w:t>
      </w:r>
      <w:proofErr w:type="gramStart"/>
      <w:r w:rsidRPr="00C82500">
        <w:t>UE-981627 (April 1999) at 2-3</w:t>
      </w:r>
      <w:r>
        <w:t xml:space="preserve">; </w:t>
      </w:r>
      <w:r>
        <w:rPr>
          <w:i/>
        </w:rPr>
        <w:t>Bell Atlantic Order</w:t>
      </w:r>
      <w:r>
        <w:t xml:space="preserve"> at 25.</w:t>
      </w:r>
      <w:proofErr w:type="gramEnd"/>
    </w:p>
  </w:footnote>
  <w:footnote w:id="7">
    <w:p w:rsidR="007E1DE4" w:rsidRPr="003113F4" w:rsidRDefault="007E1DE4" w:rsidP="00950065">
      <w:pPr>
        <w:pStyle w:val="FootnoteText"/>
      </w:pPr>
      <w:r w:rsidRPr="003113F4">
        <w:rPr>
          <w:rStyle w:val="FootnoteReference"/>
        </w:rPr>
        <w:footnoteRef/>
      </w:r>
      <w:r w:rsidRPr="003113F4">
        <w:t xml:space="preserve"> </w:t>
      </w:r>
      <w:r w:rsidRPr="003113F4">
        <w:rPr>
          <w:i/>
        </w:rPr>
        <w:t>Bell Atlantic Order</w:t>
      </w:r>
      <w:r w:rsidRPr="003113F4">
        <w:t xml:space="preserve"> at 6, 7, 16-17.</w:t>
      </w:r>
    </w:p>
  </w:footnote>
  <w:footnote w:id="8">
    <w:p w:rsidR="007E1DE4" w:rsidRPr="003113F4" w:rsidRDefault="007E1DE4" w:rsidP="00950065">
      <w:pPr>
        <w:pStyle w:val="FootnoteText"/>
      </w:pPr>
      <w:r w:rsidRPr="003113F4">
        <w:rPr>
          <w:rStyle w:val="FootnoteReference"/>
        </w:rPr>
        <w:footnoteRef/>
      </w:r>
      <w:r w:rsidRPr="003113F4">
        <w:t xml:space="preserve"> </w:t>
      </w:r>
      <w:r w:rsidRPr="007E1DE4">
        <w:rPr>
          <w:i/>
        </w:rPr>
        <w:t>See</w:t>
      </w:r>
      <w:r w:rsidRPr="007E1DE4">
        <w:t xml:space="preserve"> Order No. 06, Order Regarding Text and Publication of Notice, </w:t>
      </w:r>
      <w:r w:rsidRPr="007E1DE4">
        <w:rPr>
          <w:i/>
        </w:rPr>
        <w:t>In the Matter of the Joint Application of Verizon Communications, Inc. for Approval of Agreement and Plan of Merger</w:t>
      </w:r>
      <w:r w:rsidRPr="007E1DE4">
        <w:t>, UT-050814 (November 2005) at 2 (“The affected entities, whose relationship to the merger renders them part and parcel of its consummation, include both Verizon and MCI subsidiary operating entities that are subject to regulation as public service companies.  Jurisdiction over the affected entities requires jurisdiction over the transaction to ensure that its effect on the public of the state of Washington is not adverse.”).</w:t>
      </w:r>
    </w:p>
  </w:footnote>
  <w:footnote w:id="9">
    <w:p w:rsidR="007E1DE4" w:rsidRPr="003113F4" w:rsidRDefault="007E1DE4" w:rsidP="00950065">
      <w:pPr>
        <w:pStyle w:val="FootnoteText"/>
      </w:pPr>
      <w:r w:rsidRPr="003113F4">
        <w:rPr>
          <w:rStyle w:val="FootnoteReference"/>
        </w:rPr>
        <w:footnoteRef/>
      </w:r>
      <w:proofErr w:type="gramStart"/>
      <w:r w:rsidRPr="003113F4">
        <w:rPr>
          <w:i/>
        </w:rPr>
        <w:t>Simpson v. State</w:t>
      </w:r>
      <w:r w:rsidRPr="003113F4">
        <w:t>, 26 Wash. App. 687, 615 P.2d 1297 (1980).</w:t>
      </w:r>
      <w:proofErr w:type="gramEnd"/>
    </w:p>
  </w:footnote>
  <w:footnote w:id="10">
    <w:p w:rsidR="007E1DE4" w:rsidRPr="003113F4" w:rsidRDefault="007E1DE4" w:rsidP="00950065">
      <w:pPr>
        <w:pStyle w:val="FootnoteText"/>
      </w:pPr>
      <w:r w:rsidRPr="003113F4">
        <w:rPr>
          <w:rStyle w:val="FootnoteReference"/>
        </w:rPr>
        <w:footnoteRef/>
      </w:r>
      <w:r w:rsidRPr="003113F4">
        <w:t xml:space="preserve"> </w:t>
      </w:r>
      <w:proofErr w:type="gramStart"/>
      <w:r w:rsidRPr="007E1DE4">
        <w:rPr>
          <w:i/>
        </w:rPr>
        <w:t>See State v. Adams,</w:t>
      </w:r>
      <w:r w:rsidRPr="007E1DE4">
        <w:t xml:space="preserve"> 107 Wn.2d 611 (1987).</w:t>
      </w:r>
      <w:proofErr w:type="gramEnd"/>
    </w:p>
  </w:footnote>
  <w:footnote w:id="11">
    <w:p w:rsidR="007E1DE4" w:rsidRPr="002E0129" w:rsidRDefault="007E1DE4" w:rsidP="00950065">
      <w:pPr>
        <w:pStyle w:val="FootnoteText"/>
      </w:pPr>
      <w:r w:rsidRPr="002E0129">
        <w:rPr>
          <w:rStyle w:val="FootnoteReference"/>
        </w:rPr>
        <w:footnoteRef/>
      </w:r>
      <w:r w:rsidRPr="002E0129">
        <w:t xml:space="preserve"> </w:t>
      </w:r>
      <w:proofErr w:type="gramStart"/>
      <w:r w:rsidRPr="002E0129">
        <w:t>WAC 480-143-210.</w:t>
      </w:r>
      <w:proofErr w:type="gramEnd"/>
      <w:r>
        <w:t xml:space="preserve">  </w:t>
      </w:r>
    </w:p>
  </w:footnote>
  <w:footnote w:id="12">
    <w:p w:rsidR="007E1DE4" w:rsidRPr="003113F4" w:rsidRDefault="007E1DE4" w:rsidP="00950065">
      <w:pPr>
        <w:pStyle w:val="FootnoteText"/>
      </w:pPr>
      <w:r w:rsidRPr="003113F4">
        <w:rPr>
          <w:rStyle w:val="FootnoteReference"/>
        </w:rPr>
        <w:footnoteRef/>
      </w:r>
      <w:r w:rsidRPr="003113F4">
        <w:t xml:space="preserve"> IBEW Motion, p. 1.</w:t>
      </w:r>
    </w:p>
  </w:footnote>
  <w:footnote w:id="13">
    <w:p w:rsidR="007E1DE4" w:rsidRPr="00F4450A" w:rsidRDefault="007E1DE4" w:rsidP="007E1DE4">
      <w:pPr>
        <w:pStyle w:val="FootnoteText"/>
      </w:pPr>
      <w:r w:rsidRPr="007E1DE4">
        <w:rPr>
          <w:rStyle w:val="FootnoteReference"/>
        </w:rPr>
        <w:footnoteRef/>
      </w:r>
      <w:r w:rsidRPr="007E1DE4">
        <w:t xml:space="preserve"> Exhibit No. </w:t>
      </w:r>
      <w:proofErr w:type="gramStart"/>
      <w:r w:rsidRPr="007E1DE4">
        <w:t>_____ (GCB-DT).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CDE"/>
    <w:multiLevelType w:val="hybridMultilevel"/>
    <w:tmpl w:val="BAE206F6"/>
    <w:lvl w:ilvl="0" w:tplc="7E4005A0">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A083A"/>
    <w:multiLevelType w:val="hybridMultilevel"/>
    <w:tmpl w:val="9FE820D8"/>
    <w:lvl w:ilvl="0" w:tplc="7E4005A0">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E5325E"/>
    <w:multiLevelType w:val="hybridMultilevel"/>
    <w:tmpl w:val="04B6FAB6"/>
    <w:lvl w:ilvl="0" w:tplc="A0485606">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3B6715"/>
    <w:multiLevelType w:val="hybridMultilevel"/>
    <w:tmpl w:val="604CD898"/>
    <w:lvl w:ilvl="0" w:tplc="B3601C9C">
      <w:start w:val="1"/>
      <w:numFmt w:val="decimal"/>
      <w:lvlText w:val="%1"/>
      <w:lvlJc w:val="left"/>
      <w:pPr>
        <w:tabs>
          <w:tab w:val="num" w:pos="720"/>
        </w:tabs>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194BA4"/>
    <w:multiLevelType w:val="hybridMultilevel"/>
    <w:tmpl w:val="3D266AF6"/>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7">
    <w:nsid w:val="57F8071A"/>
    <w:multiLevelType w:val="hybridMultilevel"/>
    <w:tmpl w:val="C004D00A"/>
    <w:lvl w:ilvl="0" w:tplc="7E4005A0">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C45132"/>
    <w:multiLevelType w:val="hybridMultilevel"/>
    <w:tmpl w:val="68C23296"/>
    <w:lvl w:ilvl="0" w:tplc="81DAFADA">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FF578F"/>
    <w:multiLevelType w:val="hybridMultilevel"/>
    <w:tmpl w:val="47FCE53A"/>
    <w:lvl w:ilvl="0" w:tplc="A0485606">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0"/>
  </w:num>
  <w:num w:numId="8">
    <w:abstractNumId w:val="5"/>
  </w:num>
  <w:num w:numId="9">
    <w:abstractNumId w:val="8"/>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748D8"/>
    <w:rsid w:val="00025DB8"/>
    <w:rsid w:val="000A7D98"/>
    <w:rsid w:val="001A3E51"/>
    <w:rsid w:val="001F4D26"/>
    <w:rsid w:val="002177E5"/>
    <w:rsid w:val="00255923"/>
    <w:rsid w:val="002C119A"/>
    <w:rsid w:val="00311C3F"/>
    <w:rsid w:val="003C5390"/>
    <w:rsid w:val="003E3B7E"/>
    <w:rsid w:val="003F1945"/>
    <w:rsid w:val="00420F5F"/>
    <w:rsid w:val="00436E5E"/>
    <w:rsid w:val="004A4F64"/>
    <w:rsid w:val="004C149E"/>
    <w:rsid w:val="004C3D65"/>
    <w:rsid w:val="004F69A5"/>
    <w:rsid w:val="00501FFC"/>
    <w:rsid w:val="0056214E"/>
    <w:rsid w:val="00595D41"/>
    <w:rsid w:val="00596D56"/>
    <w:rsid w:val="005E07C2"/>
    <w:rsid w:val="0062060B"/>
    <w:rsid w:val="00641F98"/>
    <w:rsid w:val="0065561B"/>
    <w:rsid w:val="00722F95"/>
    <w:rsid w:val="00737B08"/>
    <w:rsid w:val="0076699B"/>
    <w:rsid w:val="007C1BA6"/>
    <w:rsid w:val="007E1DE4"/>
    <w:rsid w:val="007F5220"/>
    <w:rsid w:val="00950065"/>
    <w:rsid w:val="009C2DB0"/>
    <w:rsid w:val="009D6057"/>
    <w:rsid w:val="00A80028"/>
    <w:rsid w:val="00AE6939"/>
    <w:rsid w:val="00B71C15"/>
    <w:rsid w:val="00B73973"/>
    <w:rsid w:val="00BF3CD1"/>
    <w:rsid w:val="00C360A4"/>
    <w:rsid w:val="00C5478B"/>
    <w:rsid w:val="00DA492F"/>
    <w:rsid w:val="00F16B95"/>
    <w:rsid w:val="00F748D8"/>
    <w:rsid w:val="00F77C60"/>
    <w:rsid w:val="00FF3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PlainText">
    <w:name w:val="Plain Text"/>
    <w:basedOn w:val="Normal"/>
    <w:link w:val="PlainTextChar"/>
    <w:uiPriority w:val="99"/>
    <w:unhideWhenUsed/>
    <w:rsid w:val="0062060B"/>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62060B"/>
    <w:rPr>
      <w:rFonts w:ascii="Consolas" w:eastAsia="Calibri" w:hAnsi="Consolas"/>
      <w:sz w:val="21"/>
      <w:szCs w:val="21"/>
    </w:rPr>
  </w:style>
  <w:style w:type="paragraph" w:styleId="ListParagraph">
    <w:name w:val="List Paragraph"/>
    <w:basedOn w:val="Normal"/>
    <w:uiPriority w:val="34"/>
    <w:qFormat/>
    <w:rsid w:val="0062060B"/>
    <w:pPr>
      <w:widowControl/>
      <w:autoSpaceDE/>
      <w:autoSpaceDN/>
      <w:adjustRightInd/>
      <w:ind w:left="720"/>
    </w:pPr>
    <w:rPr>
      <w:rFonts w:eastAsia="Calibri"/>
      <w:sz w:val="24"/>
    </w:rPr>
  </w:style>
  <w:style w:type="character" w:customStyle="1" w:styleId="FootnoteTextChar">
    <w:name w:val="Footnote Text Char"/>
    <w:basedOn w:val="DefaultParagraphFont"/>
    <w:link w:val="FootnoteText"/>
    <w:semiHidden/>
    <w:rsid w:val="009500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2009-02-09T08:00:00+00:00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1F817D-B423-4886-A21D-86FB15A18A2A}"/>
</file>

<file path=customXml/itemProps2.xml><?xml version="1.0" encoding="utf-8"?>
<ds:datastoreItem xmlns:ds="http://schemas.openxmlformats.org/officeDocument/2006/customXml" ds:itemID="{53913B91-F37F-49F7-A16F-6C65EB877E0A}"/>
</file>

<file path=customXml/itemProps3.xml><?xml version="1.0" encoding="utf-8"?>
<ds:datastoreItem xmlns:ds="http://schemas.openxmlformats.org/officeDocument/2006/customXml" ds:itemID="{265D9175-5141-49E5-B23F-0D2232411BBF}"/>
</file>

<file path=customXml/itemProps4.xml><?xml version="1.0" encoding="utf-8"?>
<ds:datastoreItem xmlns:ds="http://schemas.openxmlformats.org/officeDocument/2006/customXml" ds:itemID="{C3989F09-20F0-4E54-B887-89B795010341}"/>
</file>

<file path=docProps/app.xml><?xml version="1.0" encoding="utf-8"?>
<Properties xmlns="http://schemas.openxmlformats.org/officeDocument/2006/extended-properties" xmlns:vt="http://schemas.openxmlformats.org/officeDocument/2006/docPropsVTypes">
  <Template>Normal.dotm</Template>
  <TotalTime>1</TotalTime>
  <Pages>7</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Catherine Hudspeth, Forms and Records Analyst 2</cp:lastModifiedBy>
  <cp:revision>2</cp:revision>
  <dcterms:created xsi:type="dcterms:W3CDTF">2009-02-10T00:05:00Z</dcterms:created>
  <dcterms:modified xsi:type="dcterms:W3CDTF">2009-02-10T00:05:00Z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