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6F3" w:rsidRDefault="008126F3" w:rsidP="008126F3">
      <w:pPr>
        <w:pStyle w:val="NoSpacing"/>
        <w:jc w:val="center"/>
        <w:rPr>
          <w:sz w:val="14"/>
        </w:rPr>
      </w:pPr>
      <w:bookmarkStart w:id="0" w:name="_GoBack"/>
      <w:bookmarkEnd w:id="0"/>
      <w:r>
        <w:rPr>
          <w:noProof/>
        </w:rPr>
        <w:drawing>
          <wp:inline distT="0" distB="0" distL="0" distR="0" wp14:anchorId="71F3C0AC" wp14:editId="2F337DC6">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8126F3" w:rsidRDefault="008126F3" w:rsidP="008126F3">
      <w:pPr>
        <w:pStyle w:val="NoSpacing"/>
        <w:jc w:val="center"/>
        <w:rPr>
          <w:rFonts w:ascii="Arial" w:hAnsi="Arial"/>
          <w:b/>
          <w:color w:val="008000"/>
          <w:sz w:val="18"/>
        </w:rPr>
      </w:pPr>
    </w:p>
    <w:p w:rsidR="008126F3" w:rsidRDefault="008126F3" w:rsidP="008126F3">
      <w:pPr>
        <w:pStyle w:val="NoSpacing"/>
        <w:spacing w:after="80"/>
        <w:jc w:val="center"/>
        <w:rPr>
          <w:rFonts w:ascii="Arial" w:hAnsi="Arial"/>
          <w:b/>
          <w:color w:val="008000"/>
          <w:sz w:val="18"/>
        </w:rPr>
      </w:pPr>
      <w:r>
        <w:rPr>
          <w:rFonts w:ascii="Arial" w:hAnsi="Arial"/>
          <w:b/>
          <w:color w:val="008000"/>
          <w:sz w:val="18"/>
        </w:rPr>
        <w:t>STATE OF WASHINGTON</w:t>
      </w:r>
    </w:p>
    <w:p w:rsidR="008126F3" w:rsidRDefault="008126F3" w:rsidP="008126F3">
      <w:pPr>
        <w:pStyle w:val="NoSpacing"/>
        <w:spacing w:after="80"/>
        <w:jc w:val="center"/>
        <w:rPr>
          <w:rFonts w:ascii="Arial" w:hAnsi="Arial"/>
          <w:color w:val="008000"/>
          <w:sz w:val="28"/>
        </w:rPr>
      </w:pPr>
      <w:r>
        <w:rPr>
          <w:rFonts w:ascii="Arial" w:hAnsi="Arial"/>
          <w:color w:val="008000"/>
          <w:sz w:val="28"/>
        </w:rPr>
        <w:t>UTILITIES AND TRANSPORTATION COMMISSION</w:t>
      </w:r>
    </w:p>
    <w:p w:rsidR="008126F3" w:rsidRDefault="008126F3" w:rsidP="008126F3">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8126F3" w:rsidRDefault="008126F3" w:rsidP="008126F3">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984FE4" w:rsidRPr="00D807FF" w:rsidRDefault="00B470BF" w:rsidP="00D96986">
      <w:pPr>
        <w:spacing w:line="288" w:lineRule="auto"/>
        <w:jc w:val="center"/>
        <w:rPr>
          <w:sz w:val="25"/>
          <w:szCs w:val="25"/>
        </w:rPr>
      </w:pPr>
      <w:r>
        <w:rPr>
          <w:sz w:val="25"/>
          <w:szCs w:val="25"/>
        </w:rPr>
        <w:t xml:space="preserve">January </w:t>
      </w:r>
      <w:r w:rsidR="00CF35C6">
        <w:rPr>
          <w:sz w:val="25"/>
          <w:szCs w:val="25"/>
        </w:rPr>
        <w:t>6</w:t>
      </w:r>
      <w:r>
        <w:rPr>
          <w:sz w:val="25"/>
          <w:szCs w:val="25"/>
        </w:rPr>
        <w:t>, 2014</w:t>
      </w:r>
    </w:p>
    <w:p w:rsidR="005B71A4" w:rsidRDefault="005B71A4" w:rsidP="00D96986">
      <w:pPr>
        <w:spacing w:line="288" w:lineRule="auto"/>
        <w:rPr>
          <w:sz w:val="25"/>
          <w:szCs w:val="25"/>
        </w:rPr>
      </w:pPr>
    </w:p>
    <w:p w:rsidR="00B470BF" w:rsidRPr="00B470BF" w:rsidRDefault="00B470BF" w:rsidP="00B470BF">
      <w:pPr>
        <w:spacing w:line="288" w:lineRule="auto"/>
        <w:jc w:val="center"/>
        <w:rPr>
          <w:b/>
          <w:sz w:val="25"/>
          <w:szCs w:val="25"/>
        </w:rPr>
      </w:pPr>
      <w:r w:rsidRPr="00B470BF">
        <w:rPr>
          <w:b/>
          <w:sz w:val="25"/>
          <w:szCs w:val="25"/>
        </w:rPr>
        <w:t>ERRAT</w:t>
      </w:r>
      <w:r w:rsidR="005F0CBB">
        <w:rPr>
          <w:b/>
          <w:sz w:val="25"/>
          <w:szCs w:val="25"/>
        </w:rPr>
        <w:t>A</w:t>
      </w:r>
      <w:r w:rsidRPr="00B470BF">
        <w:rPr>
          <w:b/>
          <w:sz w:val="25"/>
          <w:szCs w:val="25"/>
        </w:rPr>
        <w:t xml:space="preserve"> CORRECTING COMPLIANCE LETTER</w:t>
      </w:r>
    </w:p>
    <w:p w:rsidR="00B470BF" w:rsidRPr="00D807FF" w:rsidRDefault="00B470BF" w:rsidP="00D96986">
      <w:pPr>
        <w:spacing w:line="288" w:lineRule="auto"/>
        <w:rPr>
          <w:sz w:val="25"/>
          <w:szCs w:val="25"/>
        </w:rPr>
      </w:pPr>
    </w:p>
    <w:p w:rsidR="008126F3" w:rsidRPr="009C7EE5" w:rsidRDefault="00984FE4" w:rsidP="00D96986">
      <w:pPr>
        <w:pStyle w:val="NoSpacing"/>
        <w:spacing w:line="288" w:lineRule="auto"/>
        <w:ind w:left="720" w:hanging="720"/>
        <w:rPr>
          <w:rFonts w:ascii="Times New Roman" w:hAnsi="Times New Roman" w:cs="Times New Roman"/>
          <w:sz w:val="25"/>
          <w:szCs w:val="25"/>
        </w:rPr>
      </w:pPr>
      <w:r w:rsidRPr="00D807FF">
        <w:rPr>
          <w:sz w:val="25"/>
          <w:szCs w:val="25"/>
        </w:rPr>
        <w:t>Re:</w:t>
      </w:r>
      <w:r w:rsidRPr="00D807FF">
        <w:rPr>
          <w:sz w:val="25"/>
          <w:szCs w:val="25"/>
        </w:rPr>
        <w:tab/>
      </w:r>
      <w:r w:rsidR="008126F3" w:rsidRPr="009C7EE5">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008126F3" w:rsidRPr="009C7EE5">
        <w:rPr>
          <w:rFonts w:ascii="Times New Roman" w:hAnsi="Times New Roman" w:cs="Times New Roman"/>
          <w:sz w:val="25"/>
          <w:szCs w:val="25"/>
        </w:rPr>
        <w:t xml:space="preserve">, Dockets UE-121697 and UG-121705 </w:t>
      </w:r>
      <w:r w:rsidR="008126F3" w:rsidRPr="009C7EE5">
        <w:rPr>
          <w:rFonts w:ascii="Times New Roman" w:hAnsi="Times New Roman" w:cs="Times New Roman"/>
          <w:i/>
          <w:sz w:val="25"/>
          <w:szCs w:val="25"/>
        </w:rPr>
        <w:t>(Consolidated)</w:t>
      </w:r>
    </w:p>
    <w:p w:rsidR="008126F3" w:rsidRPr="009C7EE5" w:rsidRDefault="008126F3" w:rsidP="00D96986">
      <w:pPr>
        <w:pStyle w:val="NoSpacing"/>
        <w:spacing w:line="288" w:lineRule="auto"/>
        <w:ind w:left="720" w:hanging="720"/>
        <w:rPr>
          <w:rFonts w:ascii="Times New Roman" w:hAnsi="Times New Roman" w:cs="Times New Roman"/>
          <w:sz w:val="25"/>
          <w:szCs w:val="25"/>
        </w:rPr>
      </w:pPr>
    </w:p>
    <w:p w:rsidR="008126F3" w:rsidRPr="009C7EE5" w:rsidRDefault="008126F3" w:rsidP="00D96986">
      <w:pPr>
        <w:pStyle w:val="NoSpacing"/>
        <w:spacing w:line="288" w:lineRule="auto"/>
        <w:ind w:left="720"/>
        <w:rPr>
          <w:rFonts w:ascii="Times New Roman" w:hAnsi="Times New Roman" w:cs="Times New Roman"/>
          <w:sz w:val="25"/>
          <w:szCs w:val="25"/>
        </w:rPr>
      </w:pPr>
      <w:r w:rsidRPr="009C7EE5">
        <w:rPr>
          <w:rFonts w:ascii="Times New Roman" w:hAnsi="Times New Roman" w:cs="Times New Roman"/>
          <w:i/>
          <w:sz w:val="25"/>
          <w:szCs w:val="25"/>
        </w:rPr>
        <w:t>Washington Utilities and Transportation Commission v. Puget Sound Energy, Inc.,</w:t>
      </w:r>
      <w:r w:rsidRPr="009C7EE5">
        <w:rPr>
          <w:rFonts w:ascii="Times New Roman" w:hAnsi="Times New Roman" w:cs="Times New Roman"/>
          <w:sz w:val="25"/>
          <w:szCs w:val="25"/>
        </w:rPr>
        <w:t xml:space="preserve"> Dockets UE-130137 and UG-130138 </w:t>
      </w:r>
      <w:r w:rsidRPr="009C7EE5">
        <w:rPr>
          <w:rFonts w:ascii="Times New Roman" w:hAnsi="Times New Roman" w:cs="Times New Roman"/>
          <w:i/>
          <w:sz w:val="25"/>
          <w:szCs w:val="25"/>
        </w:rPr>
        <w:t>(Consolidated)</w:t>
      </w:r>
    </w:p>
    <w:p w:rsidR="00984FE4" w:rsidRPr="00D807FF" w:rsidRDefault="00984FE4" w:rsidP="00D96986">
      <w:pPr>
        <w:spacing w:line="288" w:lineRule="auto"/>
        <w:rPr>
          <w:sz w:val="25"/>
          <w:szCs w:val="25"/>
        </w:rPr>
      </w:pPr>
    </w:p>
    <w:p w:rsidR="00984FE4" w:rsidRPr="00D807FF" w:rsidRDefault="00984FE4" w:rsidP="00D96986">
      <w:pPr>
        <w:spacing w:line="288" w:lineRule="auto"/>
        <w:rPr>
          <w:b/>
          <w:sz w:val="25"/>
          <w:szCs w:val="25"/>
        </w:rPr>
      </w:pPr>
      <w:r w:rsidRPr="00D807FF">
        <w:rPr>
          <w:sz w:val="25"/>
          <w:szCs w:val="25"/>
        </w:rPr>
        <w:t>TO ALL PARTIES:</w:t>
      </w:r>
      <w:r w:rsidRPr="00D807FF">
        <w:rPr>
          <w:b/>
          <w:sz w:val="25"/>
          <w:szCs w:val="25"/>
        </w:rPr>
        <w:tab/>
      </w:r>
    </w:p>
    <w:p w:rsidR="00984FE4" w:rsidRPr="00D807FF" w:rsidRDefault="00984FE4" w:rsidP="00D96986">
      <w:pPr>
        <w:spacing w:line="288" w:lineRule="auto"/>
        <w:rPr>
          <w:sz w:val="25"/>
          <w:szCs w:val="25"/>
        </w:rPr>
      </w:pPr>
    </w:p>
    <w:p w:rsidR="000C0C5D" w:rsidRDefault="00984FE4" w:rsidP="00D96986">
      <w:pPr>
        <w:spacing w:line="288" w:lineRule="auto"/>
        <w:rPr>
          <w:sz w:val="25"/>
          <w:szCs w:val="25"/>
        </w:rPr>
      </w:pPr>
      <w:r w:rsidRPr="00D807FF">
        <w:rPr>
          <w:sz w:val="25"/>
          <w:szCs w:val="25"/>
        </w:rPr>
        <w:t xml:space="preserve">The </w:t>
      </w:r>
      <w:r w:rsidR="00743DDE" w:rsidRPr="00D807FF">
        <w:rPr>
          <w:sz w:val="25"/>
          <w:szCs w:val="25"/>
        </w:rPr>
        <w:t>Washington Utilities and Transportation Commission (</w:t>
      </w:r>
      <w:r w:rsidRPr="00D807FF">
        <w:rPr>
          <w:sz w:val="25"/>
          <w:szCs w:val="25"/>
        </w:rPr>
        <w:t>Commission</w:t>
      </w:r>
      <w:r w:rsidR="00743DDE" w:rsidRPr="00D807FF">
        <w:rPr>
          <w:sz w:val="25"/>
          <w:szCs w:val="25"/>
        </w:rPr>
        <w:t>)</w:t>
      </w:r>
      <w:r w:rsidRPr="00D807FF">
        <w:rPr>
          <w:sz w:val="25"/>
          <w:szCs w:val="25"/>
        </w:rPr>
        <w:t xml:space="preserve"> </w:t>
      </w:r>
      <w:r w:rsidR="000C0C5D">
        <w:rPr>
          <w:sz w:val="25"/>
          <w:szCs w:val="25"/>
        </w:rPr>
        <w:t>on December 12, 2013</w:t>
      </w:r>
      <w:r w:rsidR="002D7A76">
        <w:rPr>
          <w:sz w:val="25"/>
          <w:szCs w:val="25"/>
        </w:rPr>
        <w:t>,</w:t>
      </w:r>
      <w:r w:rsidR="000C0C5D">
        <w:rPr>
          <w:sz w:val="25"/>
          <w:szCs w:val="25"/>
        </w:rPr>
        <w:t xml:space="preserve"> </w:t>
      </w:r>
      <w:r w:rsidRPr="00D807FF">
        <w:rPr>
          <w:sz w:val="25"/>
          <w:szCs w:val="25"/>
        </w:rPr>
        <w:t xml:space="preserve">entered Order </w:t>
      </w:r>
      <w:r w:rsidR="00F674A2">
        <w:rPr>
          <w:sz w:val="25"/>
          <w:szCs w:val="25"/>
        </w:rPr>
        <w:t>09</w:t>
      </w:r>
      <w:r w:rsidR="002D6763">
        <w:rPr>
          <w:sz w:val="25"/>
          <w:szCs w:val="25"/>
        </w:rPr>
        <w:t xml:space="preserve"> </w:t>
      </w:r>
      <w:r w:rsidR="00BD1983">
        <w:rPr>
          <w:sz w:val="25"/>
          <w:szCs w:val="25"/>
        </w:rPr>
        <w:t xml:space="preserve">in Dockets UE-121697 and UG-121705 and Order </w:t>
      </w:r>
      <w:r w:rsidR="00F674A2">
        <w:rPr>
          <w:sz w:val="25"/>
          <w:szCs w:val="25"/>
        </w:rPr>
        <w:t>08</w:t>
      </w:r>
      <w:r w:rsidR="00BD1983">
        <w:rPr>
          <w:sz w:val="25"/>
          <w:szCs w:val="25"/>
        </w:rPr>
        <w:t xml:space="preserve"> in Dockets UE-130137 and UG-130138</w:t>
      </w:r>
      <w:r w:rsidR="00BD56BB">
        <w:rPr>
          <w:sz w:val="25"/>
          <w:szCs w:val="25"/>
        </w:rPr>
        <w:t xml:space="preserve"> (Order </w:t>
      </w:r>
      <w:r w:rsidR="009711AD">
        <w:rPr>
          <w:sz w:val="25"/>
          <w:szCs w:val="25"/>
        </w:rPr>
        <w:t>09/08</w:t>
      </w:r>
      <w:r w:rsidR="00BD56BB">
        <w:rPr>
          <w:sz w:val="25"/>
          <w:szCs w:val="25"/>
        </w:rPr>
        <w:t>)</w:t>
      </w:r>
      <w:r w:rsidR="000C0C5D">
        <w:rPr>
          <w:sz w:val="25"/>
          <w:szCs w:val="25"/>
        </w:rPr>
        <w:t xml:space="preserve">.  </w:t>
      </w:r>
      <w:r w:rsidR="000C0C5D" w:rsidRPr="000C0C5D">
        <w:rPr>
          <w:sz w:val="25"/>
          <w:szCs w:val="25"/>
        </w:rPr>
        <w:t>Order</w:t>
      </w:r>
      <w:r w:rsidR="000C0C5D">
        <w:rPr>
          <w:sz w:val="25"/>
          <w:szCs w:val="25"/>
        </w:rPr>
        <w:t xml:space="preserve"> </w:t>
      </w:r>
      <w:r w:rsidR="009711AD">
        <w:rPr>
          <w:sz w:val="25"/>
          <w:szCs w:val="25"/>
        </w:rPr>
        <w:t>09/08</w:t>
      </w:r>
      <w:r w:rsidR="00DD4AA3">
        <w:rPr>
          <w:sz w:val="25"/>
          <w:szCs w:val="25"/>
        </w:rPr>
        <w:t xml:space="preserve"> </w:t>
      </w:r>
      <w:r w:rsidR="000C0C5D">
        <w:rPr>
          <w:sz w:val="25"/>
          <w:szCs w:val="25"/>
        </w:rPr>
        <w:t xml:space="preserve">granted in part and denied in part Petitions for Reconsideration </w:t>
      </w:r>
      <w:r w:rsidR="009414AC">
        <w:rPr>
          <w:sz w:val="25"/>
          <w:szCs w:val="25"/>
        </w:rPr>
        <w:t xml:space="preserve">of Order 07 in the same dockets </w:t>
      </w:r>
      <w:r w:rsidR="000C0C5D">
        <w:rPr>
          <w:sz w:val="25"/>
          <w:szCs w:val="25"/>
        </w:rPr>
        <w:t>from Kroger Co., NWIGU, and Nucor Steel Seattle, Inc.</w:t>
      </w:r>
    </w:p>
    <w:p w:rsidR="000C0C5D" w:rsidRDefault="000C0C5D" w:rsidP="00D96986">
      <w:pPr>
        <w:spacing w:line="288" w:lineRule="auto"/>
        <w:rPr>
          <w:sz w:val="25"/>
          <w:szCs w:val="25"/>
        </w:rPr>
      </w:pPr>
    </w:p>
    <w:p w:rsidR="00B75D2E" w:rsidRDefault="00E054BB" w:rsidP="00D96986">
      <w:pPr>
        <w:spacing w:line="288" w:lineRule="auto"/>
        <w:rPr>
          <w:sz w:val="25"/>
          <w:szCs w:val="25"/>
        </w:rPr>
      </w:pPr>
      <w:r>
        <w:rPr>
          <w:sz w:val="25"/>
          <w:szCs w:val="25"/>
        </w:rPr>
        <w:t xml:space="preserve">On </w:t>
      </w:r>
      <w:r w:rsidR="002D6763">
        <w:rPr>
          <w:sz w:val="25"/>
          <w:szCs w:val="25"/>
        </w:rPr>
        <w:t>December</w:t>
      </w:r>
      <w:r w:rsidR="000511F1">
        <w:rPr>
          <w:sz w:val="25"/>
          <w:szCs w:val="25"/>
        </w:rPr>
        <w:t xml:space="preserve"> </w:t>
      </w:r>
      <w:r w:rsidR="002D6763">
        <w:rPr>
          <w:sz w:val="25"/>
          <w:szCs w:val="25"/>
        </w:rPr>
        <w:t>18</w:t>
      </w:r>
      <w:r>
        <w:rPr>
          <w:sz w:val="25"/>
          <w:szCs w:val="25"/>
        </w:rPr>
        <w:t>, 201</w:t>
      </w:r>
      <w:r w:rsidR="000511F1">
        <w:rPr>
          <w:sz w:val="25"/>
          <w:szCs w:val="25"/>
        </w:rPr>
        <w:t>3</w:t>
      </w:r>
      <w:r>
        <w:rPr>
          <w:sz w:val="25"/>
          <w:szCs w:val="25"/>
        </w:rPr>
        <w:t xml:space="preserve">, </w:t>
      </w:r>
      <w:r w:rsidR="000511F1">
        <w:rPr>
          <w:sz w:val="25"/>
          <w:szCs w:val="25"/>
        </w:rPr>
        <w:t>PSE</w:t>
      </w:r>
      <w:r>
        <w:rPr>
          <w:sz w:val="25"/>
          <w:szCs w:val="25"/>
        </w:rPr>
        <w:t xml:space="preserve"> filed electric and natural gas tariff sheets</w:t>
      </w:r>
      <w:r w:rsidR="009978E3">
        <w:rPr>
          <w:sz w:val="25"/>
          <w:szCs w:val="25"/>
        </w:rPr>
        <w:t xml:space="preserve"> as specified in the O</w:t>
      </w:r>
      <w:r w:rsidR="008D7F63">
        <w:rPr>
          <w:sz w:val="25"/>
          <w:szCs w:val="25"/>
        </w:rPr>
        <w:t>rder</w:t>
      </w:r>
      <w:r>
        <w:rPr>
          <w:sz w:val="25"/>
          <w:szCs w:val="25"/>
        </w:rPr>
        <w:t xml:space="preserve">.  </w:t>
      </w:r>
    </w:p>
    <w:p w:rsidR="00B75D2E" w:rsidRDefault="00B75D2E" w:rsidP="00D96986">
      <w:pPr>
        <w:spacing w:line="288" w:lineRule="auto"/>
        <w:rPr>
          <w:sz w:val="25"/>
          <w:szCs w:val="25"/>
        </w:rPr>
      </w:pPr>
    </w:p>
    <w:p w:rsidR="005F0CBB" w:rsidRDefault="00B75D2E" w:rsidP="00D96986">
      <w:pPr>
        <w:spacing w:line="288" w:lineRule="auto"/>
        <w:rPr>
          <w:sz w:val="25"/>
          <w:szCs w:val="25"/>
        </w:rPr>
      </w:pPr>
      <w:r>
        <w:rPr>
          <w:sz w:val="25"/>
          <w:szCs w:val="25"/>
        </w:rPr>
        <w:t xml:space="preserve">On December 30, 2013, the Commission issued a compliance letter stating that </w:t>
      </w:r>
      <w:r w:rsidR="00B470BF">
        <w:rPr>
          <w:sz w:val="25"/>
          <w:szCs w:val="25"/>
        </w:rPr>
        <w:t>the tariff sheets</w:t>
      </w:r>
      <w:r w:rsidR="00CF35C6">
        <w:rPr>
          <w:sz w:val="25"/>
          <w:szCs w:val="25"/>
        </w:rPr>
        <w:t xml:space="preserve"> were in compliance w</w:t>
      </w:r>
      <w:r w:rsidR="008A5796" w:rsidRPr="00D807FF">
        <w:rPr>
          <w:sz w:val="25"/>
          <w:szCs w:val="25"/>
        </w:rPr>
        <w:t xml:space="preserve">ith the terms of </w:t>
      </w:r>
      <w:r w:rsidR="00471B67">
        <w:rPr>
          <w:sz w:val="25"/>
          <w:szCs w:val="25"/>
        </w:rPr>
        <w:t xml:space="preserve">the </w:t>
      </w:r>
      <w:r w:rsidR="008A5796" w:rsidRPr="00D807FF">
        <w:rPr>
          <w:sz w:val="25"/>
          <w:szCs w:val="25"/>
        </w:rPr>
        <w:t>Order.</w:t>
      </w:r>
      <w:r w:rsidR="00B470BF">
        <w:rPr>
          <w:sz w:val="25"/>
          <w:szCs w:val="25"/>
        </w:rPr>
        <w:t xml:space="preserve"> </w:t>
      </w:r>
      <w:r w:rsidR="00CF35C6">
        <w:rPr>
          <w:sz w:val="25"/>
          <w:szCs w:val="25"/>
        </w:rPr>
        <w:t xml:space="preserve"> </w:t>
      </w:r>
      <w:r w:rsidR="00B470BF">
        <w:rPr>
          <w:sz w:val="25"/>
          <w:szCs w:val="25"/>
        </w:rPr>
        <w:t xml:space="preserve">The Commission has subsequently become aware of </w:t>
      </w:r>
      <w:r w:rsidR="00CC17E5">
        <w:rPr>
          <w:sz w:val="25"/>
          <w:szCs w:val="25"/>
        </w:rPr>
        <w:t xml:space="preserve">two technical </w:t>
      </w:r>
      <w:r w:rsidR="00B470BF">
        <w:rPr>
          <w:sz w:val="25"/>
          <w:szCs w:val="25"/>
        </w:rPr>
        <w:t>error</w:t>
      </w:r>
      <w:r w:rsidR="005F0CBB">
        <w:rPr>
          <w:sz w:val="25"/>
          <w:szCs w:val="25"/>
        </w:rPr>
        <w:t>s</w:t>
      </w:r>
      <w:r w:rsidR="00B470BF">
        <w:rPr>
          <w:sz w:val="25"/>
          <w:szCs w:val="25"/>
        </w:rPr>
        <w:t xml:space="preserve"> in the compliance letter.  Th</w:t>
      </w:r>
      <w:r w:rsidR="005F0CBB">
        <w:rPr>
          <w:sz w:val="25"/>
          <w:szCs w:val="25"/>
        </w:rPr>
        <w:t xml:space="preserve">e Commission corrects the errors </w:t>
      </w:r>
      <w:r w:rsidR="00CC17E5">
        <w:rPr>
          <w:sz w:val="25"/>
          <w:szCs w:val="25"/>
        </w:rPr>
        <w:t>by this errata.</w:t>
      </w:r>
    </w:p>
    <w:p w:rsidR="005F0CBB" w:rsidRDefault="005F0CBB" w:rsidP="00D96986">
      <w:pPr>
        <w:spacing w:line="288" w:lineRule="auto"/>
        <w:rPr>
          <w:sz w:val="25"/>
          <w:szCs w:val="25"/>
        </w:rPr>
      </w:pPr>
    </w:p>
    <w:p w:rsidR="00B470BF" w:rsidRDefault="00B470BF" w:rsidP="00D96986">
      <w:pPr>
        <w:spacing w:line="288" w:lineRule="auto"/>
        <w:rPr>
          <w:sz w:val="25"/>
          <w:szCs w:val="25"/>
        </w:rPr>
      </w:pPr>
      <w:r>
        <w:rPr>
          <w:sz w:val="25"/>
          <w:szCs w:val="25"/>
        </w:rPr>
        <w:t>The attachment on page</w:t>
      </w:r>
      <w:r w:rsidR="00D55DD7">
        <w:rPr>
          <w:sz w:val="25"/>
          <w:szCs w:val="25"/>
        </w:rPr>
        <w:t>s</w:t>
      </w:r>
      <w:r>
        <w:rPr>
          <w:sz w:val="25"/>
          <w:szCs w:val="25"/>
        </w:rPr>
        <w:t xml:space="preserve"> 3 </w:t>
      </w:r>
      <w:r w:rsidR="00D55DD7">
        <w:rPr>
          <w:sz w:val="25"/>
          <w:szCs w:val="25"/>
        </w:rPr>
        <w:t xml:space="preserve">and 4 </w:t>
      </w:r>
      <w:r w:rsidR="005F0CBB">
        <w:rPr>
          <w:sz w:val="25"/>
          <w:szCs w:val="25"/>
        </w:rPr>
        <w:t>state</w:t>
      </w:r>
      <w:r w:rsidR="007D68D2">
        <w:rPr>
          <w:sz w:val="25"/>
          <w:szCs w:val="25"/>
        </w:rPr>
        <w:t>s</w:t>
      </w:r>
      <w:r w:rsidR="005F0CBB">
        <w:rPr>
          <w:sz w:val="25"/>
          <w:szCs w:val="25"/>
        </w:rPr>
        <w:t xml:space="preserve"> an incorrect</w:t>
      </w:r>
      <w:r>
        <w:rPr>
          <w:sz w:val="25"/>
          <w:szCs w:val="25"/>
        </w:rPr>
        <w:t xml:space="preserve"> advice number for electric service</w:t>
      </w:r>
      <w:r w:rsidR="005F0CBB">
        <w:rPr>
          <w:sz w:val="25"/>
          <w:szCs w:val="25"/>
        </w:rPr>
        <w:t xml:space="preserve"> and natural gas service.  The correct advice number for electric service is </w:t>
      </w:r>
      <w:r>
        <w:rPr>
          <w:sz w:val="25"/>
          <w:szCs w:val="25"/>
        </w:rPr>
        <w:t xml:space="preserve">Advice No. 2013-42, and </w:t>
      </w:r>
      <w:r w:rsidR="005F0CBB">
        <w:rPr>
          <w:sz w:val="25"/>
          <w:szCs w:val="25"/>
        </w:rPr>
        <w:t xml:space="preserve">the correct advice number for natural gas service is </w:t>
      </w:r>
      <w:r>
        <w:rPr>
          <w:sz w:val="25"/>
          <w:szCs w:val="25"/>
        </w:rPr>
        <w:t>Advice No. 2013-43.</w:t>
      </w:r>
    </w:p>
    <w:p w:rsidR="00B470BF" w:rsidRDefault="00B470BF" w:rsidP="00D96986">
      <w:pPr>
        <w:spacing w:line="288" w:lineRule="auto"/>
        <w:rPr>
          <w:sz w:val="25"/>
          <w:szCs w:val="25"/>
        </w:rPr>
      </w:pPr>
    </w:p>
    <w:p w:rsidR="00B470BF" w:rsidRDefault="00D02484" w:rsidP="00D96986">
      <w:pPr>
        <w:spacing w:line="288" w:lineRule="auto"/>
        <w:rPr>
          <w:sz w:val="25"/>
          <w:szCs w:val="25"/>
        </w:rPr>
      </w:pPr>
      <w:r>
        <w:rPr>
          <w:sz w:val="25"/>
          <w:szCs w:val="25"/>
        </w:rPr>
        <w:t>Further, t</w:t>
      </w:r>
      <w:r w:rsidR="00182A12">
        <w:rPr>
          <w:sz w:val="25"/>
          <w:szCs w:val="25"/>
        </w:rPr>
        <w:t xml:space="preserve">wo tariff sheets listed on page </w:t>
      </w:r>
      <w:r w:rsidR="00BF0E53">
        <w:rPr>
          <w:sz w:val="25"/>
          <w:szCs w:val="25"/>
        </w:rPr>
        <w:t>4</w:t>
      </w:r>
      <w:r w:rsidR="00182A12">
        <w:rPr>
          <w:sz w:val="25"/>
          <w:szCs w:val="25"/>
        </w:rPr>
        <w:t xml:space="preserve"> of the attachment </w:t>
      </w:r>
      <w:r w:rsidR="002D7A76">
        <w:rPr>
          <w:sz w:val="25"/>
          <w:szCs w:val="25"/>
        </w:rPr>
        <w:t xml:space="preserve">were inadvertently omitted </w:t>
      </w:r>
      <w:r>
        <w:rPr>
          <w:sz w:val="25"/>
          <w:szCs w:val="25"/>
        </w:rPr>
        <w:t xml:space="preserve">and one was listed incorrectly </w:t>
      </w:r>
      <w:r w:rsidR="002D7A76">
        <w:rPr>
          <w:sz w:val="25"/>
          <w:szCs w:val="25"/>
        </w:rPr>
        <w:t xml:space="preserve">as </w:t>
      </w:r>
      <w:r w:rsidR="00CC17E5">
        <w:rPr>
          <w:sz w:val="25"/>
          <w:szCs w:val="25"/>
        </w:rPr>
        <w:t>a “1</w:t>
      </w:r>
      <w:r w:rsidR="00CC17E5" w:rsidRPr="00176BE4">
        <w:rPr>
          <w:sz w:val="25"/>
          <w:szCs w:val="25"/>
          <w:vertAlign w:val="superscript"/>
        </w:rPr>
        <w:t>st</w:t>
      </w:r>
      <w:r w:rsidR="00CC17E5">
        <w:rPr>
          <w:sz w:val="25"/>
          <w:szCs w:val="25"/>
        </w:rPr>
        <w:t xml:space="preserve"> Revision” when, in fact, it is an “Original” tariff sheet.  The compliance letter is here corrected to read as follows</w:t>
      </w:r>
      <w:r w:rsidR="002D7A76">
        <w:rPr>
          <w:sz w:val="25"/>
          <w:szCs w:val="25"/>
        </w:rPr>
        <w:t>:</w:t>
      </w:r>
    </w:p>
    <w:p w:rsidR="002D7A76" w:rsidRDefault="002D7A76" w:rsidP="00D96986">
      <w:pPr>
        <w:spacing w:line="288" w:lineRule="auto"/>
        <w:rPr>
          <w:sz w:val="25"/>
          <w:szCs w:val="25"/>
        </w:rPr>
      </w:pPr>
    </w:p>
    <w:p w:rsidR="002D7A76" w:rsidRDefault="002D7A76" w:rsidP="00D96986">
      <w:pPr>
        <w:spacing w:line="288" w:lineRule="auto"/>
        <w:rPr>
          <w:b/>
          <w:sz w:val="25"/>
          <w:szCs w:val="25"/>
        </w:rPr>
      </w:pPr>
      <w:r w:rsidRPr="002D7A76">
        <w:rPr>
          <w:b/>
          <w:sz w:val="25"/>
          <w:szCs w:val="25"/>
        </w:rPr>
        <w:t>WN U-60, Tariff G, Electric Service (Advice No. 2013-42) Docket Nos. UE-121697 and UG-121705 (Consolidated):</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2D7A76" w:rsidTr="002D7A76">
        <w:tc>
          <w:tcPr>
            <w:tcW w:w="1710" w:type="dxa"/>
          </w:tcPr>
          <w:p w:rsidR="002D7A76" w:rsidRPr="00D02484" w:rsidRDefault="002D7A76" w:rsidP="002D7A76">
            <w:pPr>
              <w:pStyle w:val="plain"/>
              <w:rPr>
                <w:sz w:val="24"/>
                <w:szCs w:val="24"/>
                <w:u w:val="single"/>
              </w:rPr>
            </w:pPr>
            <w:r w:rsidRPr="00D02484">
              <w:rPr>
                <w:sz w:val="24"/>
                <w:szCs w:val="24"/>
                <w:u w:val="single"/>
              </w:rPr>
              <w:t>Original</w:t>
            </w:r>
          </w:p>
        </w:tc>
        <w:tc>
          <w:tcPr>
            <w:tcW w:w="2070" w:type="dxa"/>
          </w:tcPr>
          <w:p w:rsidR="002D7A76" w:rsidRPr="00D02484" w:rsidRDefault="002D7A76" w:rsidP="002D7A76">
            <w:pPr>
              <w:pStyle w:val="plain"/>
              <w:rPr>
                <w:sz w:val="24"/>
                <w:szCs w:val="24"/>
                <w:u w:val="single"/>
              </w:rPr>
            </w:pPr>
            <w:r w:rsidRPr="00D02484">
              <w:rPr>
                <w:sz w:val="24"/>
                <w:szCs w:val="24"/>
                <w:u w:val="single"/>
              </w:rPr>
              <w:t>Sheet No. 142-R</w:t>
            </w:r>
          </w:p>
        </w:tc>
        <w:tc>
          <w:tcPr>
            <w:tcW w:w="6030" w:type="dxa"/>
          </w:tcPr>
          <w:p w:rsidR="002D7A76" w:rsidRPr="00D02484" w:rsidRDefault="002D7A76" w:rsidP="002D7A76">
            <w:pPr>
              <w:pStyle w:val="Header"/>
              <w:tabs>
                <w:tab w:val="left" w:pos="1152"/>
                <w:tab w:val="left" w:pos="2304"/>
                <w:tab w:val="left" w:pos="3456"/>
                <w:tab w:val="left" w:pos="4608"/>
                <w:tab w:val="left" w:pos="5760"/>
                <w:tab w:val="left" w:pos="6912"/>
                <w:tab w:val="left" w:pos="8064"/>
                <w:tab w:val="left" w:pos="9216"/>
              </w:tabs>
              <w:rPr>
                <w:u w:val="single"/>
              </w:rPr>
            </w:pPr>
            <w:r w:rsidRPr="00D02484">
              <w:rPr>
                <w:u w:val="single"/>
              </w:rPr>
              <w:t>Revenue Decoupling Adjustment Mechanism (Continued)</w:t>
            </w:r>
          </w:p>
        </w:tc>
      </w:tr>
      <w:tr w:rsidR="002D7A76" w:rsidTr="002D7A76">
        <w:tc>
          <w:tcPr>
            <w:tcW w:w="1710" w:type="dxa"/>
          </w:tcPr>
          <w:p w:rsidR="002D7A76" w:rsidRPr="00D02484" w:rsidRDefault="002D7A76" w:rsidP="002D7A76">
            <w:pPr>
              <w:pStyle w:val="plain"/>
              <w:rPr>
                <w:sz w:val="24"/>
                <w:szCs w:val="24"/>
                <w:u w:val="single"/>
              </w:rPr>
            </w:pPr>
            <w:r w:rsidRPr="00D02484">
              <w:rPr>
                <w:sz w:val="24"/>
                <w:szCs w:val="24"/>
                <w:u w:val="single"/>
              </w:rPr>
              <w:t>Original</w:t>
            </w:r>
          </w:p>
        </w:tc>
        <w:tc>
          <w:tcPr>
            <w:tcW w:w="2070" w:type="dxa"/>
          </w:tcPr>
          <w:p w:rsidR="002D7A76" w:rsidRPr="00D02484" w:rsidRDefault="002D7A76" w:rsidP="002D7A76">
            <w:pPr>
              <w:pStyle w:val="plain"/>
              <w:rPr>
                <w:sz w:val="24"/>
                <w:szCs w:val="24"/>
                <w:u w:val="single"/>
              </w:rPr>
            </w:pPr>
            <w:r w:rsidRPr="00D02484">
              <w:rPr>
                <w:sz w:val="24"/>
                <w:szCs w:val="24"/>
                <w:u w:val="single"/>
              </w:rPr>
              <w:t>Sheet No. 142-S</w:t>
            </w:r>
          </w:p>
        </w:tc>
        <w:tc>
          <w:tcPr>
            <w:tcW w:w="6030" w:type="dxa"/>
          </w:tcPr>
          <w:p w:rsidR="002D7A76" w:rsidRPr="00D02484" w:rsidRDefault="002D7A76" w:rsidP="002D7A76">
            <w:pPr>
              <w:pStyle w:val="Header"/>
              <w:tabs>
                <w:tab w:val="left" w:pos="1152"/>
                <w:tab w:val="left" w:pos="2304"/>
                <w:tab w:val="left" w:pos="3456"/>
                <w:tab w:val="left" w:pos="4608"/>
                <w:tab w:val="left" w:pos="5760"/>
                <w:tab w:val="left" w:pos="6912"/>
                <w:tab w:val="left" w:pos="8064"/>
                <w:tab w:val="left" w:pos="9216"/>
              </w:tabs>
              <w:rPr>
                <w:u w:val="single"/>
              </w:rPr>
            </w:pPr>
            <w:r w:rsidRPr="00D02484">
              <w:rPr>
                <w:u w:val="single"/>
              </w:rPr>
              <w:t>Revenue Decoupling Adjustment Mechanism (Continued)</w:t>
            </w:r>
          </w:p>
        </w:tc>
      </w:tr>
    </w:tbl>
    <w:p w:rsidR="00D02484" w:rsidRDefault="00D02484" w:rsidP="00D96986">
      <w:pPr>
        <w:spacing w:line="288" w:lineRule="auto"/>
        <w:rPr>
          <w:sz w:val="25"/>
          <w:szCs w:val="25"/>
        </w:rPr>
      </w:pPr>
    </w:p>
    <w:p w:rsidR="00D02484" w:rsidRPr="00D02484" w:rsidRDefault="00D02484" w:rsidP="00D96986">
      <w:pPr>
        <w:spacing w:line="288" w:lineRule="auto"/>
        <w:rPr>
          <w:b/>
          <w:sz w:val="25"/>
          <w:szCs w:val="25"/>
        </w:rPr>
      </w:pPr>
      <w:r w:rsidRPr="00D02484">
        <w:rPr>
          <w:b/>
          <w:sz w:val="25"/>
          <w:szCs w:val="25"/>
        </w:rPr>
        <w:t>WN U-2, Natural Gas Service (Advice No. 2013-43):</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D02484" w:rsidTr="00D55DD7">
        <w:tc>
          <w:tcPr>
            <w:tcW w:w="1710" w:type="dxa"/>
          </w:tcPr>
          <w:p w:rsidR="00D02484" w:rsidRDefault="00D02484" w:rsidP="00D55DD7">
            <w:pPr>
              <w:pStyle w:val="plain"/>
              <w:rPr>
                <w:sz w:val="24"/>
                <w:szCs w:val="24"/>
              </w:rPr>
            </w:pPr>
            <w:r w:rsidRPr="00D02484">
              <w:rPr>
                <w:strike/>
                <w:sz w:val="24"/>
                <w:szCs w:val="24"/>
              </w:rPr>
              <w:t>1</w:t>
            </w:r>
            <w:r w:rsidRPr="00D02484">
              <w:rPr>
                <w:strike/>
                <w:sz w:val="24"/>
                <w:szCs w:val="24"/>
                <w:vertAlign w:val="superscript"/>
              </w:rPr>
              <w:t>st</w:t>
            </w:r>
            <w:r w:rsidRPr="00D02484">
              <w:rPr>
                <w:strike/>
                <w:sz w:val="24"/>
                <w:szCs w:val="24"/>
              </w:rPr>
              <w:t xml:space="preserve"> Revision</w:t>
            </w:r>
            <w:r>
              <w:rPr>
                <w:sz w:val="24"/>
                <w:szCs w:val="24"/>
              </w:rPr>
              <w:t xml:space="preserve"> </w:t>
            </w:r>
            <w:r w:rsidRPr="00D02484">
              <w:rPr>
                <w:sz w:val="24"/>
                <w:szCs w:val="24"/>
                <w:u w:val="single"/>
              </w:rPr>
              <w:t>Origina</w:t>
            </w:r>
            <w:r>
              <w:rPr>
                <w:sz w:val="24"/>
                <w:szCs w:val="24"/>
              </w:rPr>
              <w:t>l</w:t>
            </w:r>
          </w:p>
        </w:tc>
        <w:tc>
          <w:tcPr>
            <w:tcW w:w="2070" w:type="dxa"/>
          </w:tcPr>
          <w:p w:rsidR="00D02484" w:rsidRDefault="00D02484" w:rsidP="00D02484">
            <w:pPr>
              <w:pStyle w:val="plain"/>
              <w:rPr>
                <w:sz w:val="24"/>
                <w:szCs w:val="24"/>
              </w:rPr>
            </w:pPr>
            <w:r>
              <w:rPr>
                <w:sz w:val="24"/>
                <w:szCs w:val="24"/>
              </w:rPr>
              <w:t>Sheet No. 1142-H</w:t>
            </w:r>
          </w:p>
        </w:tc>
        <w:tc>
          <w:tcPr>
            <w:tcW w:w="6030" w:type="dxa"/>
          </w:tcPr>
          <w:p w:rsidR="00D02484" w:rsidRDefault="00D02484" w:rsidP="00D55DD7">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bl>
    <w:p w:rsidR="00D02484" w:rsidRDefault="00D02484" w:rsidP="00D96986">
      <w:pPr>
        <w:spacing w:line="288" w:lineRule="auto"/>
        <w:rPr>
          <w:sz w:val="25"/>
          <w:szCs w:val="25"/>
        </w:rPr>
      </w:pPr>
    </w:p>
    <w:p w:rsidR="00984FE4" w:rsidRPr="00D807FF" w:rsidRDefault="00C001C7" w:rsidP="00D96986">
      <w:pPr>
        <w:spacing w:line="288" w:lineRule="auto"/>
        <w:rPr>
          <w:sz w:val="25"/>
          <w:szCs w:val="25"/>
        </w:rPr>
      </w:pPr>
      <w:r w:rsidRPr="00D807FF">
        <w:rPr>
          <w:sz w:val="25"/>
          <w:szCs w:val="25"/>
        </w:rPr>
        <w:t>Sincerely,</w:t>
      </w:r>
    </w:p>
    <w:p w:rsidR="00C001C7" w:rsidRPr="00D807FF" w:rsidRDefault="00C001C7" w:rsidP="00D96986">
      <w:pPr>
        <w:spacing w:line="288" w:lineRule="auto"/>
        <w:rPr>
          <w:sz w:val="25"/>
          <w:szCs w:val="25"/>
        </w:rPr>
      </w:pPr>
    </w:p>
    <w:p w:rsidR="00743DDE" w:rsidRPr="00D807FF" w:rsidRDefault="00743DDE" w:rsidP="00D96986">
      <w:pPr>
        <w:spacing w:line="288" w:lineRule="auto"/>
        <w:rPr>
          <w:sz w:val="25"/>
          <w:szCs w:val="25"/>
        </w:rPr>
      </w:pPr>
    </w:p>
    <w:p w:rsidR="00C001C7" w:rsidRPr="00D807FF" w:rsidRDefault="00C001C7" w:rsidP="00D96986">
      <w:pPr>
        <w:spacing w:line="288" w:lineRule="auto"/>
        <w:rPr>
          <w:sz w:val="25"/>
          <w:szCs w:val="25"/>
        </w:rPr>
      </w:pPr>
    </w:p>
    <w:p w:rsidR="00C001C7" w:rsidRPr="00D807FF" w:rsidRDefault="008126F3" w:rsidP="00D96986">
      <w:pPr>
        <w:spacing w:line="288" w:lineRule="auto"/>
        <w:rPr>
          <w:sz w:val="25"/>
          <w:szCs w:val="25"/>
        </w:rPr>
      </w:pPr>
      <w:r>
        <w:rPr>
          <w:sz w:val="25"/>
          <w:szCs w:val="25"/>
        </w:rPr>
        <w:t>STEVEN V. KING</w:t>
      </w:r>
    </w:p>
    <w:p w:rsidR="00C001C7" w:rsidRPr="00D807FF" w:rsidRDefault="00C001C7" w:rsidP="00D96986">
      <w:pPr>
        <w:spacing w:line="288" w:lineRule="auto"/>
        <w:rPr>
          <w:sz w:val="25"/>
          <w:szCs w:val="25"/>
        </w:rPr>
      </w:pPr>
      <w:r w:rsidRPr="00D807FF">
        <w:rPr>
          <w:sz w:val="25"/>
          <w:szCs w:val="25"/>
        </w:rPr>
        <w:t xml:space="preserve">Executive </w:t>
      </w:r>
      <w:r w:rsidR="00743DDE" w:rsidRPr="00D807FF">
        <w:rPr>
          <w:sz w:val="25"/>
          <w:szCs w:val="25"/>
        </w:rPr>
        <w:t xml:space="preserve">Director and </w:t>
      </w:r>
      <w:r w:rsidRPr="00D807FF">
        <w:rPr>
          <w:sz w:val="25"/>
          <w:szCs w:val="25"/>
        </w:rPr>
        <w:t>Secretary</w:t>
      </w:r>
    </w:p>
    <w:p w:rsidR="00C001C7" w:rsidRPr="00D807FF" w:rsidRDefault="00C001C7" w:rsidP="00D96986">
      <w:pPr>
        <w:spacing w:line="288" w:lineRule="auto"/>
        <w:rPr>
          <w:sz w:val="25"/>
          <w:szCs w:val="25"/>
        </w:rPr>
      </w:pPr>
    </w:p>
    <w:sectPr w:rsidR="00C001C7" w:rsidRPr="00D807FF" w:rsidSect="00D96986">
      <w:headerReference w:type="default" r:id="rId11"/>
      <w:headerReference w:type="first" r:id="rId12"/>
      <w:pgSz w:w="12240" w:h="15840" w:code="1"/>
      <w:pgMar w:top="720" w:right="1440" w:bottom="1440" w:left="1800"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37E" w:rsidRDefault="003F637E" w:rsidP="00E2675D">
      <w:r>
        <w:separator/>
      </w:r>
    </w:p>
  </w:endnote>
  <w:endnote w:type="continuationSeparator" w:id="0">
    <w:p w:rsidR="003F637E" w:rsidRDefault="003F637E" w:rsidP="00E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37E" w:rsidRDefault="003F637E" w:rsidP="00E2675D">
      <w:r>
        <w:separator/>
      </w:r>
    </w:p>
  </w:footnote>
  <w:footnote w:type="continuationSeparator" w:id="0">
    <w:p w:rsidR="003F637E" w:rsidRDefault="003F637E" w:rsidP="00E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D7" w:rsidRPr="008126F3" w:rsidRDefault="00D55DD7" w:rsidP="008126F3">
    <w:pPr>
      <w:pStyle w:val="Header"/>
      <w:tabs>
        <w:tab w:val="clear" w:pos="4680"/>
        <w:tab w:val="clear" w:pos="9360"/>
        <w:tab w:val="right" w:pos="8820"/>
      </w:tabs>
      <w:rPr>
        <w:b/>
        <w:sz w:val="20"/>
        <w:szCs w:val="20"/>
      </w:rPr>
    </w:pPr>
    <w:r w:rsidRPr="008126F3">
      <w:rPr>
        <w:b/>
        <w:sz w:val="20"/>
        <w:szCs w:val="20"/>
      </w:rPr>
      <w:t xml:space="preserve">DOCKETS UE-121697 and UG-121705 </w:t>
    </w:r>
    <w:r w:rsidRPr="008126F3">
      <w:rPr>
        <w:b/>
        <w:i/>
        <w:sz w:val="20"/>
        <w:szCs w:val="20"/>
      </w:rPr>
      <w:t>(Consolidated)</w:t>
    </w:r>
    <w:r w:rsidRPr="008126F3">
      <w:rPr>
        <w:b/>
        <w:i/>
        <w:sz w:val="20"/>
        <w:szCs w:val="20"/>
      </w:rPr>
      <w:tab/>
    </w:r>
    <w:r w:rsidRPr="008126F3">
      <w:rPr>
        <w:b/>
        <w:sz w:val="20"/>
        <w:szCs w:val="20"/>
      </w:rPr>
      <w:t xml:space="preserve">PAGE </w:t>
    </w:r>
    <w:r w:rsidRPr="008126F3">
      <w:rPr>
        <w:b/>
        <w:sz w:val="20"/>
        <w:szCs w:val="20"/>
      </w:rPr>
      <w:fldChar w:fldCharType="begin"/>
    </w:r>
    <w:r w:rsidRPr="008126F3">
      <w:rPr>
        <w:b/>
        <w:sz w:val="20"/>
        <w:szCs w:val="20"/>
      </w:rPr>
      <w:instrText xml:space="preserve"> PAGE   \* MERGEFORMAT </w:instrText>
    </w:r>
    <w:r w:rsidRPr="008126F3">
      <w:rPr>
        <w:b/>
        <w:sz w:val="20"/>
        <w:szCs w:val="20"/>
      </w:rPr>
      <w:fldChar w:fldCharType="separate"/>
    </w:r>
    <w:r w:rsidR="00CF6B32">
      <w:rPr>
        <w:b/>
        <w:noProof/>
        <w:sz w:val="20"/>
        <w:szCs w:val="20"/>
      </w:rPr>
      <w:t>2</w:t>
    </w:r>
    <w:r w:rsidRPr="008126F3">
      <w:rPr>
        <w:b/>
        <w:noProof/>
        <w:sz w:val="20"/>
        <w:szCs w:val="20"/>
      </w:rPr>
      <w:fldChar w:fldCharType="end"/>
    </w:r>
  </w:p>
  <w:p w:rsidR="00D55DD7" w:rsidRPr="008126F3" w:rsidRDefault="00D55DD7" w:rsidP="00C66ACC">
    <w:pPr>
      <w:pStyle w:val="Header"/>
      <w:rPr>
        <w:b/>
        <w:i/>
        <w:sz w:val="20"/>
        <w:szCs w:val="20"/>
      </w:rPr>
    </w:pPr>
    <w:r w:rsidRPr="008126F3">
      <w:rPr>
        <w:b/>
        <w:sz w:val="20"/>
        <w:szCs w:val="20"/>
      </w:rPr>
      <w:t xml:space="preserve">DOCKETS UE-130137 and UG-130138 </w:t>
    </w:r>
    <w:r w:rsidRPr="008126F3">
      <w:rPr>
        <w:b/>
        <w:i/>
        <w:sz w:val="20"/>
        <w:szCs w:val="20"/>
      </w:rPr>
      <w:t>(Consolidated)</w:t>
    </w:r>
  </w:p>
  <w:p w:rsidR="00D55DD7" w:rsidRPr="00C66ACC" w:rsidRDefault="00D55DD7" w:rsidP="00C66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D7" w:rsidRPr="00077669" w:rsidRDefault="00D55DD7" w:rsidP="000D3C9B">
    <w:pPr>
      <w:pStyle w:val="Header"/>
      <w:tabs>
        <w:tab w:val="clear" w:pos="4680"/>
        <w:tab w:val="clear" w:pos="9360"/>
        <w:tab w:val="right" w:pos="8730"/>
      </w:tabs>
      <w:rPr>
        <w:b/>
        <w:sz w:val="20"/>
        <w:szCs w:val="20"/>
      </w:rPr>
    </w:pPr>
    <w:r>
      <w:tab/>
    </w:r>
    <w:r w:rsidR="00077669" w:rsidRPr="00077669">
      <w:rPr>
        <w:b/>
        <w:sz w:val="20"/>
        <w:szCs w:val="20"/>
      </w:rPr>
      <w:t>[Service Date January 6,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00"/>
    <w:rsid w:val="00000B00"/>
    <w:rsid w:val="00043699"/>
    <w:rsid w:val="000511F1"/>
    <w:rsid w:val="00077669"/>
    <w:rsid w:val="00092415"/>
    <w:rsid w:val="000B2225"/>
    <w:rsid w:val="000C0C5D"/>
    <w:rsid w:val="000D3515"/>
    <w:rsid w:val="000D3C9B"/>
    <w:rsid w:val="000F5435"/>
    <w:rsid w:val="001475C3"/>
    <w:rsid w:val="00153F31"/>
    <w:rsid w:val="00170D00"/>
    <w:rsid w:val="00176BE4"/>
    <w:rsid w:val="0018019C"/>
    <w:rsid w:val="00182A12"/>
    <w:rsid w:val="001A0005"/>
    <w:rsid w:val="001B2CA9"/>
    <w:rsid w:val="001C0F5E"/>
    <w:rsid w:val="001C7B16"/>
    <w:rsid w:val="001D70D8"/>
    <w:rsid w:val="001E739E"/>
    <w:rsid w:val="00231350"/>
    <w:rsid w:val="002403D2"/>
    <w:rsid w:val="00242D23"/>
    <w:rsid w:val="00244042"/>
    <w:rsid w:val="00244E6F"/>
    <w:rsid w:val="002512F9"/>
    <w:rsid w:val="00270FAF"/>
    <w:rsid w:val="002D6763"/>
    <w:rsid w:val="002D7A76"/>
    <w:rsid w:val="00320645"/>
    <w:rsid w:val="003206EB"/>
    <w:rsid w:val="00322830"/>
    <w:rsid w:val="00333497"/>
    <w:rsid w:val="003B3116"/>
    <w:rsid w:val="003C232A"/>
    <w:rsid w:val="003C5F77"/>
    <w:rsid w:val="003E7856"/>
    <w:rsid w:val="003F637E"/>
    <w:rsid w:val="004011CD"/>
    <w:rsid w:val="004164EF"/>
    <w:rsid w:val="004512B6"/>
    <w:rsid w:val="004648E9"/>
    <w:rsid w:val="00471B67"/>
    <w:rsid w:val="0048172D"/>
    <w:rsid w:val="00493D65"/>
    <w:rsid w:val="00497C7E"/>
    <w:rsid w:val="004A6B58"/>
    <w:rsid w:val="004B2782"/>
    <w:rsid w:val="004D784D"/>
    <w:rsid w:val="0050670E"/>
    <w:rsid w:val="0055304B"/>
    <w:rsid w:val="00593CE4"/>
    <w:rsid w:val="005B71A4"/>
    <w:rsid w:val="005C57F2"/>
    <w:rsid w:val="005D28BB"/>
    <w:rsid w:val="005F0CBB"/>
    <w:rsid w:val="00615D0E"/>
    <w:rsid w:val="00646DDF"/>
    <w:rsid w:val="00650AD2"/>
    <w:rsid w:val="006F567C"/>
    <w:rsid w:val="00701C69"/>
    <w:rsid w:val="00731369"/>
    <w:rsid w:val="00743DDE"/>
    <w:rsid w:val="00744114"/>
    <w:rsid w:val="00752A5C"/>
    <w:rsid w:val="007532C7"/>
    <w:rsid w:val="00792BC9"/>
    <w:rsid w:val="007D68D2"/>
    <w:rsid w:val="007F48E3"/>
    <w:rsid w:val="00810EBD"/>
    <w:rsid w:val="008126F3"/>
    <w:rsid w:val="00826875"/>
    <w:rsid w:val="00832B95"/>
    <w:rsid w:val="00881883"/>
    <w:rsid w:val="008A0C15"/>
    <w:rsid w:val="008A18B8"/>
    <w:rsid w:val="008A35EA"/>
    <w:rsid w:val="008A5796"/>
    <w:rsid w:val="008B7E4C"/>
    <w:rsid w:val="008C5F2C"/>
    <w:rsid w:val="008D7F63"/>
    <w:rsid w:val="00903E77"/>
    <w:rsid w:val="009267B3"/>
    <w:rsid w:val="009276E9"/>
    <w:rsid w:val="00931500"/>
    <w:rsid w:val="009414AC"/>
    <w:rsid w:val="00943CE2"/>
    <w:rsid w:val="0095670C"/>
    <w:rsid w:val="009658B3"/>
    <w:rsid w:val="009711AD"/>
    <w:rsid w:val="00973B48"/>
    <w:rsid w:val="00981E37"/>
    <w:rsid w:val="00984FE4"/>
    <w:rsid w:val="009978E3"/>
    <w:rsid w:val="009D0510"/>
    <w:rsid w:val="00A065CA"/>
    <w:rsid w:val="00A403A6"/>
    <w:rsid w:val="00A435FC"/>
    <w:rsid w:val="00A5134D"/>
    <w:rsid w:val="00AA2492"/>
    <w:rsid w:val="00AA7135"/>
    <w:rsid w:val="00AA76DF"/>
    <w:rsid w:val="00AF7DBE"/>
    <w:rsid w:val="00B470BF"/>
    <w:rsid w:val="00B6376F"/>
    <w:rsid w:val="00B75D2E"/>
    <w:rsid w:val="00B822CC"/>
    <w:rsid w:val="00B84DA8"/>
    <w:rsid w:val="00B94632"/>
    <w:rsid w:val="00BC272C"/>
    <w:rsid w:val="00BC4C85"/>
    <w:rsid w:val="00BD1983"/>
    <w:rsid w:val="00BD56BB"/>
    <w:rsid w:val="00BE3D3C"/>
    <w:rsid w:val="00BF0E53"/>
    <w:rsid w:val="00BF100A"/>
    <w:rsid w:val="00BF1587"/>
    <w:rsid w:val="00BF2977"/>
    <w:rsid w:val="00BF46B5"/>
    <w:rsid w:val="00C001C7"/>
    <w:rsid w:val="00C033F0"/>
    <w:rsid w:val="00C179B6"/>
    <w:rsid w:val="00C66ACC"/>
    <w:rsid w:val="00C84385"/>
    <w:rsid w:val="00CA46B2"/>
    <w:rsid w:val="00CA51DD"/>
    <w:rsid w:val="00CC0E88"/>
    <w:rsid w:val="00CC17E5"/>
    <w:rsid w:val="00CD5E71"/>
    <w:rsid w:val="00CF35C6"/>
    <w:rsid w:val="00CF6B32"/>
    <w:rsid w:val="00CF7B60"/>
    <w:rsid w:val="00D02484"/>
    <w:rsid w:val="00D42945"/>
    <w:rsid w:val="00D55DD7"/>
    <w:rsid w:val="00D74F70"/>
    <w:rsid w:val="00D807FF"/>
    <w:rsid w:val="00D96986"/>
    <w:rsid w:val="00DB2BDD"/>
    <w:rsid w:val="00DC0B2A"/>
    <w:rsid w:val="00DD4AA3"/>
    <w:rsid w:val="00DD7A4B"/>
    <w:rsid w:val="00E00545"/>
    <w:rsid w:val="00E054BB"/>
    <w:rsid w:val="00E13CE1"/>
    <w:rsid w:val="00E2675D"/>
    <w:rsid w:val="00E353E4"/>
    <w:rsid w:val="00E40931"/>
    <w:rsid w:val="00E462A8"/>
    <w:rsid w:val="00E97EC5"/>
    <w:rsid w:val="00EA0931"/>
    <w:rsid w:val="00EA59E3"/>
    <w:rsid w:val="00F01AFA"/>
    <w:rsid w:val="00F03E6D"/>
    <w:rsid w:val="00F11FE2"/>
    <w:rsid w:val="00F27E02"/>
    <w:rsid w:val="00F674A2"/>
    <w:rsid w:val="00F73AEB"/>
    <w:rsid w:val="00F801A8"/>
    <w:rsid w:val="00FA3AC5"/>
    <w:rsid w:val="00FB6EE0"/>
    <w:rsid w:val="00FB7234"/>
    <w:rsid w:val="00FC5D15"/>
    <w:rsid w:val="00FE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511F1"/>
    <w:pPr>
      <w:keepNext/>
      <w:jc w:val="right"/>
      <w:outlineLvl w:val="0"/>
    </w:pPr>
    <w:rPr>
      <w:b/>
      <w:szCs w:val="20"/>
    </w:rPr>
  </w:style>
  <w:style w:type="paragraph" w:styleId="Heading2">
    <w:name w:val="heading 2"/>
    <w:basedOn w:val="Normal"/>
    <w:next w:val="Normal"/>
    <w:link w:val="Heading2Char"/>
    <w:semiHidden/>
    <w:unhideWhenUsed/>
    <w:qFormat/>
    <w:rsid w:val="00C84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customStyle="1" w:styleId="Heading1Char">
    <w:name w:val="Heading 1 Char"/>
    <w:basedOn w:val="DefaultParagraphFont"/>
    <w:link w:val="Heading1"/>
    <w:rsid w:val="000511F1"/>
    <w:rPr>
      <w:b/>
      <w:sz w:val="24"/>
    </w:rPr>
  </w:style>
  <w:style w:type="paragraph" w:styleId="BodyText">
    <w:name w:val="Body Text"/>
    <w:basedOn w:val="Normal"/>
    <w:link w:val="BodyTextChar"/>
    <w:rsid w:val="000511F1"/>
    <w:rPr>
      <w:sz w:val="22"/>
      <w:szCs w:val="20"/>
    </w:rPr>
  </w:style>
  <w:style w:type="character" w:customStyle="1" w:styleId="BodyTextChar">
    <w:name w:val="Body Text Char"/>
    <w:basedOn w:val="DefaultParagraphFont"/>
    <w:link w:val="BodyText"/>
    <w:rsid w:val="000511F1"/>
    <w:rPr>
      <w:sz w:val="22"/>
    </w:rPr>
  </w:style>
  <w:style w:type="paragraph" w:customStyle="1" w:styleId="plain">
    <w:name w:val="plain"/>
    <w:basedOn w:val="Normal"/>
    <w:rsid w:val="000511F1"/>
    <w:pPr>
      <w:spacing w:line="240" w:lineRule="atLeast"/>
    </w:pPr>
    <w:rPr>
      <w:sz w:val="26"/>
      <w:szCs w:val="20"/>
    </w:rPr>
  </w:style>
  <w:style w:type="character" w:customStyle="1" w:styleId="Heading2Char">
    <w:name w:val="Heading 2 Char"/>
    <w:basedOn w:val="DefaultParagraphFont"/>
    <w:link w:val="Heading2"/>
    <w:semiHidden/>
    <w:rsid w:val="00C843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84385"/>
    <w:pPr>
      <w:spacing w:after="120"/>
    </w:pPr>
    <w:rPr>
      <w:sz w:val="16"/>
      <w:szCs w:val="16"/>
    </w:rPr>
  </w:style>
  <w:style w:type="character" w:customStyle="1" w:styleId="BodyText3Char">
    <w:name w:val="Body Text 3 Char"/>
    <w:basedOn w:val="DefaultParagraphFont"/>
    <w:link w:val="BodyText3"/>
    <w:rsid w:val="00C84385"/>
    <w:rPr>
      <w:sz w:val="16"/>
      <w:szCs w:val="16"/>
    </w:rPr>
  </w:style>
  <w:style w:type="paragraph" w:styleId="NoSpacing">
    <w:name w:val="No Spacing"/>
    <w:uiPriority w:val="1"/>
    <w:qFormat/>
    <w:rsid w:val="008126F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8DD0351-5F95-4A8C-ACC5-39856AE46EFC}"/>
</file>

<file path=customXml/itemProps2.xml><?xml version="1.0" encoding="utf-8"?>
<ds:datastoreItem xmlns:ds="http://schemas.openxmlformats.org/officeDocument/2006/customXml" ds:itemID="{7E808082-ADD4-475F-B87A-EA0E0724ADC0}"/>
</file>

<file path=customXml/itemProps3.xml><?xml version="1.0" encoding="utf-8"?>
<ds:datastoreItem xmlns:ds="http://schemas.openxmlformats.org/officeDocument/2006/customXml" ds:itemID="{E5CB620D-1DC9-4B15-961C-493D3356796A}"/>
</file>

<file path=customXml/itemProps4.xml><?xml version="1.0" encoding="utf-8"?>
<ds:datastoreItem xmlns:ds="http://schemas.openxmlformats.org/officeDocument/2006/customXml" ds:itemID="{11EB6B04-9252-4681-B1B0-581254539ADB}"/>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2015-01-16T19:10:00Z</dcterms:created>
  <dcterms:modified xsi:type="dcterms:W3CDTF">2015-01-16T19:10:00Z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