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5A" w:rsidRDefault="0092796A" w:rsidP="00D448F7">
      <w:pPr>
        <w:ind w:firstLine="5040"/>
        <w:rPr>
          <w:b/>
          <w:bCs/>
          <w:lang w:val="fr-FR"/>
        </w:rPr>
      </w:pPr>
      <w:bookmarkStart w:id="0" w:name="_GoBack"/>
      <w:bookmarkEnd w:id="0"/>
      <w:proofErr w:type="spellStart"/>
      <w:r>
        <w:rPr>
          <w:b/>
          <w:bCs/>
          <w:lang w:val="fr-FR"/>
        </w:rPr>
        <w:t>Exhibit</w:t>
      </w:r>
      <w:proofErr w:type="spellEnd"/>
      <w:r>
        <w:rPr>
          <w:b/>
          <w:bCs/>
          <w:lang w:val="fr-FR"/>
        </w:rPr>
        <w:t xml:space="preserve"> </w:t>
      </w:r>
      <w:r w:rsidR="00EC535A">
        <w:rPr>
          <w:b/>
          <w:bCs/>
          <w:lang w:val="fr-FR"/>
        </w:rPr>
        <w:t>___</w:t>
      </w:r>
      <w:r w:rsidR="004B656C">
        <w:rPr>
          <w:b/>
          <w:bCs/>
          <w:lang w:val="fr-FR"/>
        </w:rPr>
        <w:t>T</w:t>
      </w:r>
      <w:r w:rsidR="00CD191E">
        <w:rPr>
          <w:b/>
          <w:bCs/>
          <w:lang w:val="fr-FR"/>
        </w:rPr>
        <w:t xml:space="preserve"> (</w:t>
      </w:r>
      <w:proofErr w:type="spellStart"/>
      <w:r w:rsidR="00CD191E">
        <w:rPr>
          <w:b/>
          <w:bCs/>
          <w:lang w:val="fr-FR"/>
        </w:rPr>
        <w:t>RK</w:t>
      </w:r>
      <w:r w:rsidR="00EC535A">
        <w:rPr>
          <w:b/>
          <w:bCs/>
          <w:lang w:val="fr-FR"/>
        </w:rPr>
        <w:t>-1T</w:t>
      </w:r>
      <w:proofErr w:type="spellEnd"/>
      <w:r w:rsidR="00EC535A">
        <w:rPr>
          <w:b/>
          <w:bCs/>
          <w:lang w:val="fr-FR"/>
        </w:rPr>
        <w:t>)</w:t>
      </w:r>
    </w:p>
    <w:p w:rsidR="00EC535A" w:rsidRDefault="00EC535A" w:rsidP="00D448F7">
      <w:pPr>
        <w:ind w:firstLine="5040"/>
        <w:rPr>
          <w:b/>
          <w:bCs/>
        </w:rPr>
      </w:pPr>
      <w:r>
        <w:rPr>
          <w:b/>
          <w:bCs/>
        </w:rPr>
        <w:t>Docket</w:t>
      </w:r>
      <w:r w:rsidR="00CD191E">
        <w:rPr>
          <w:b/>
          <w:bCs/>
        </w:rPr>
        <w:t>s UE-</w:t>
      </w:r>
      <w:r w:rsidR="00A7284E">
        <w:rPr>
          <w:b/>
          <w:bCs/>
        </w:rPr>
        <w:t>111048</w:t>
      </w:r>
      <w:r w:rsidR="00D448F7">
        <w:rPr>
          <w:b/>
          <w:bCs/>
        </w:rPr>
        <w:t>/</w:t>
      </w:r>
      <w:r w:rsidR="00CD191E">
        <w:rPr>
          <w:b/>
          <w:bCs/>
        </w:rPr>
        <w:t>UG-</w:t>
      </w:r>
      <w:r w:rsidR="00A7284E">
        <w:rPr>
          <w:b/>
          <w:bCs/>
        </w:rPr>
        <w:t>111049</w:t>
      </w:r>
      <w:r>
        <w:rPr>
          <w:b/>
          <w:bCs/>
        </w:rPr>
        <w:t xml:space="preserve"> </w:t>
      </w:r>
    </w:p>
    <w:p w:rsidR="00EC535A" w:rsidRDefault="00EC535A" w:rsidP="00D448F7">
      <w:pPr>
        <w:ind w:firstLine="5040"/>
        <w:rPr>
          <w:b/>
          <w:bCs/>
        </w:rPr>
      </w:pPr>
      <w:r>
        <w:rPr>
          <w:b/>
          <w:bCs/>
        </w:rPr>
        <w:t xml:space="preserve">Witness: </w:t>
      </w:r>
      <w:r w:rsidR="00CD191E">
        <w:rPr>
          <w:b/>
          <w:bCs/>
        </w:rPr>
        <w:t xml:space="preserve"> Roger Kouchi</w:t>
      </w:r>
    </w:p>
    <w:p w:rsidR="00EC535A" w:rsidRDefault="00EC535A">
      <w:pPr>
        <w:rPr>
          <w:b/>
          <w:bCs/>
        </w:rPr>
      </w:pPr>
    </w:p>
    <w:p w:rsidR="00EC535A" w:rsidRDefault="00EC535A">
      <w:pPr>
        <w:rPr>
          <w:b/>
          <w:bCs/>
        </w:rPr>
      </w:pPr>
    </w:p>
    <w:p w:rsidR="00EC535A" w:rsidRDefault="00EC535A">
      <w:pPr>
        <w:rPr>
          <w:b/>
          <w:bCs/>
        </w:rPr>
      </w:pPr>
    </w:p>
    <w:p w:rsidR="00EC535A" w:rsidRDefault="00EC535A">
      <w:pPr>
        <w:rPr>
          <w:b/>
          <w:bCs/>
        </w:rPr>
      </w:pPr>
    </w:p>
    <w:p w:rsidR="00EC535A" w:rsidRDefault="00EC535A">
      <w:pPr>
        <w:rPr>
          <w:b/>
          <w:bCs/>
        </w:rPr>
      </w:pPr>
    </w:p>
    <w:p w:rsidR="00EC535A" w:rsidRDefault="00EC535A">
      <w:pPr>
        <w:jc w:val="both"/>
      </w:pPr>
    </w:p>
    <w:p w:rsidR="00CD191E" w:rsidRPr="00CD191E" w:rsidRDefault="00CD191E" w:rsidP="00CD191E">
      <w:pPr>
        <w:tabs>
          <w:tab w:val="center" w:pos="4680"/>
        </w:tabs>
        <w:ind w:right="-108" w:hanging="180"/>
        <w:jc w:val="both"/>
        <w:rPr>
          <w:b/>
        </w:rPr>
      </w:pPr>
      <w:r w:rsidRPr="00CD191E">
        <w:rPr>
          <w:b/>
        </w:rPr>
        <w:t>BEFORE THE WASHINGTON UTILITIES AND TRANSPORTATION COMMISSION</w:t>
      </w:r>
    </w:p>
    <w:p w:rsidR="00CD191E" w:rsidRPr="00CD191E" w:rsidRDefault="00CD191E" w:rsidP="00CD191E">
      <w:pPr>
        <w:jc w:val="both"/>
        <w:rPr>
          <w:b/>
        </w:rPr>
      </w:pPr>
    </w:p>
    <w:p w:rsidR="00CD191E" w:rsidRPr="00CD191E" w:rsidRDefault="00CD191E" w:rsidP="00CD191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CD191E" w:rsidRPr="00CD191E" w:rsidTr="00CD191E">
        <w:tc>
          <w:tcPr>
            <w:tcW w:w="4590" w:type="dxa"/>
            <w:tcBorders>
              <w:top w:val="single" w:sz="6" w:space="0" w:color="FFFFFF"/>
              <w:left w:val="single" w:sz="6" w:space="0" w:color="FFFFFF"/>
              <w:bottom w:val="single" w:sz="6" w:space="0" w:color="FFFFFF"/>
              <w:right w:val="single" w:sz="6" w:space="0" w:color="FFFFFF"/>
            </w:tcBorders>
          </w:tcPr>
          <w:p w:rsidR="00CD191E" w:rsidRPr="00CD191E" w:rsidRDefault="00CD191E" w:rsidP="00CD191E">
            <w:pPr>
              <w:rPr>
                <w:b/>
              </w:rPr>
            </w:pPr>
            <w:r w:rsidRPr="00CD191E">
              <w:rPr>
                <w:b/>
              </w:rPr>
              <w:t xml:space="preserve">WASHINGTON UTILITIES AND TRANSPORTATION COMMISSION, </w:t>
            </w:r>
          </w:p>
          <w:p w:rsidR="00CD191E" w:rsidRPr="00CD191E" w:rsidRDefault="00CD191E" w:rsidP="00CD191E">
            <w:pPr>
              <w:rPr>
                <w:b/>
              </w:rPr>
            </w:pPr>
          </w:p>
          <w:p w:rsidR="00CD191E" w:rsidRPr="00CD191E" w:rsidRDefault="00CD191E" w:rsidP="00CD191E">
            <w:pPr>
              <w:rPr>
                <w:b/>
              </w:rPr>
            </w:pPr>
            <w:r w:rsidRPr="00CD191E">
              <w:rPr>
                <w:b/>
              </w:rPr>
              <w:tab/>
            </w:r>
            <w:r w:rsidRPr="00CD191E">
              <w:rPr>
                <w:b/>
              </w:rPr>
              <w:tab/>
              <w:t>Complainant,</w:t>
            </w:r>
          </w:p>
          <w:p w:rsidR="00CD191E" w:rsidRPr="00CD191E" w:rsidRDefault="00CD191E" w:rsidP="00CD191E">
            <w:pPr>
              <w:rPr>
                <w:b/>
              </w:rPr>
            </w:pPr>
          </w:p>
          <w:p w:rsidR="00CD191E" w:rsidRPr="00CD191E" w:rsidRDefault="00CD191E" w:rsidP="00CD191E">
            <w:pPr>
              <w:rPr>
                <w:b/>
              </w:rPr>
            </w:pPr>
            <w:r w:rsidRPr="00CD191E">
              <w:rPr>
                <w:b/>
              </w:rPr>
              <w:t>v.</w:t>
            </w:r>
          </w:p>
          <w:p w:rsidR="00CD191E" w:rsidRPr="00CD191E" w:rsidRDefault="00CD191E" w:rsidP="00CD191E">
            <w:pPr>
              <w:rPr>
                <w:b/>
              </w:rPr>
            </w:pPr>
          </w:p>
          <w:p w:rsidR="00CD191E" w:rsidRPr="00CD191E" w:rsidRDefault="00CD191E" w:rsidP="00CD191E">
            <w:pPr>
              <w:rPr>
                <w:b/>
              </w:rPr>
            </w:pPr>
            <w:r w:rsidRPr="00CD191E">
              <w:rPr>
                <w:b/>
              </w:rPr>
              <w:t xml:space="preserve">PUGET SOUND ENERGY, INC., </w:t>
            </w:r>
          </w:p>
          <w:p w:rsidR="00CD191E" w:rsidRPr="00CD191E" w:rsidRDefault="00CD191E" w:rsidP="00CD191E">
            <w:pPr>
              <w:rPr>
                <w:b/>
              </w:rPr>
            </w:pPr>
          </w:p>
          <w:p w:rsidR="00CD191E" w:rsidRPr="00CD191E" w:rsidRDefault="00CD191E" w:rsidP="00CD191E">
            <w:pPr>
              <w:spacing w:after="19"/>
              <w:rPr>
                <w:b/>
              </w:rPr>
            </w:pPr>
            <w:r>
              <w:rPr>
                <w:b/>
              </w:rPr>
              <w:tab/>
            </w:r>
            <w:r>
              <w:rPr>
                <w:b/>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CD191E" w:rsidRPr="00CD191E" w:rsidRDefault="00CD191E" w:rsidP="00CD191E">
            <w:pPr>
              <w:ind w:firstLine="720"/>
              <w:rPr>
                <w:b/>
              </w:rPr>
            </w:pPr>
            <w:r w:rsidRPr="00CD191E">
              <w:rPr>
                <w:b/>
              </w:rPr>
              <w:t>DOCKET UE-</w:t>
            </w:r>
            <w:r w:rsidR="00A7284E">
              <w:rPr>
                <w:b/>
              </w:rPr>
              <w:t>111048</w:t>
            </w:r>
          </w:p>
          <w:p w:rsidR="00CD191E" w:rsidRPr="00CD191E" w:rsidRDefault="00CD191E" w:rsidP="00CD191E">
            <w:pPr>
              <w:ind w:firstLine="720"/>
              <w:rPr>
                <w:b/>
              </w:rPr>
            </w:pPr>
            <w:r w:rsidRPr="00CD191E">
              <w:rPr>
                <w:b/>
              </w:rPr>
              <w:t>DOCKET UG-</w:t>
            </w:r>
            <w:r w:rsidR="00A7284E">
              <w:rPr>
                <w:b/>
              </w:rPr>
              <w:t>111049</w:t>
            </w:r>
          </w:p>
          <w:p w:rsidR="00CD191E" w:rsidRPr="00CD191E" w:rsidRDefault="00CD191E" w:rsidP="00CD191E">
            <w:pPr>
              <w:ind w:firstLine="720"/>
              <w:rPr>
                <w:b/>
                <w:i/>
              </w:rPr>
            </w:pPr>
            <w:r w:rsidRPr="00CD191E">
              <w:rPr>
                <w:b/>
              </w:rPr>
              <w:t>(</w:t>
            </w:r>
            <w:r w:rsidRPr="00CD191E">
              <w:rPr>
                <w:b/>
                <w:i/>
              </w:rPr>
              <w:t>Consolidated)</w:t>
            </w:r>
          </w:p>
          <w:p w:rsidR="00CD191E" w:rsidRPr="00CD191E" w:rsidRDefault="00CD191E" w:rsidP="00CD191E">
            <w:pPr>
              <w:ind w:firstLine="720"/>
              <w:rPr>
                <w:b/>
                <w:i/>
              </w:rPr>
            </w:pPr>
          </w:p>
          <w:p w:rsidR="00CD191E" w:rsidRPr="00CD191E" w:rsidRDefault="00CD191E" w:rsidP="00CD191E">
            <w:pPr>
              <w:rPr>
                <w:b/>
              </w:rPr>
            </w:pPr>
          </w:p>
          <w:p w:rsidR="00CD191E" w:rsidRPr="00CD191E" w:rsidRDefault="00CD191E" w:rsidP="00CD191E">
            <w:pPr>
              <w:ind w:left="720"/>
              <w:rPr>
                <w:b/>
              </w:rPr>
            </w:pPr>
          </w:p>
          <w:p w:rsidR="00CD191E" w:rsidRPr="00CD191E" w:rsidRDefault="00CD191E" w:rsidP="00CD191E">
            <w:pPr>
              <w:spacing w:after="19"/>
              <w:ind w:left="720"/>
              <w:rPr>
                <w:b/>
              </w:rPr>
            </w:pPr>
          </w:p>
        </w:tc>
      </w:tr>
      <w:tr w:rsidR="00CD191E" w:rsidRPr="00CD191E" w:rsidTr="00CD191E">
        <w:tc>
          <w:tcPr>
            <w:tcW w:w="4590" w:type="dxa"/>
            <w:tcBorders>
              <w:top w:val="single" w:sz="6" w:space="0" w:color="FFFFFF"/>
              <w:left w:val="single" w:sz="6" w:space="0" w:color="FFFFFF"/>
              <w:bottom w:val="single" w:sz="7" w:space="0" w:color="000000"/>
              <w:right w:val="single" w:sz="6" w:space="0" w:color="FFFFFF"/>
            </w:tcBorders>
          </w:tcPr>
          <w:p w:rsidR="00CD191E" w:rsidRPr="00CD191E" w:rsidRDefault="00CD191E" w:rsidP="00CD191E">
            <w:pPr>
              <w:rPr>
                <w:b/>
              </w:rPr>
            </w:pPr>
          </w:p>
        </w:tc>
        <w:tc>
          <w:tcPr>
            <w:tcW w:w="4590" w:type="dxa"/>
            <w:tcBorders>
              <w:top w:val="single" w:sz="6" w:space="0" w:color="FFFFFF"/>
              <w:left w:val="single" w:sz="7" w:space="0" w:color="000000"/>
              <w:bottom w:val="single" w:sz="6" w:space="0" w:color="FFFFFF"/>
              <w:right w:val="single" w:sz="6" w:space="0" w:color="FFFFFF"/>
            </w:tcBorders>
          </w:tcPr>
          <w:p w:rsidR="00CD191E" w:rsidRPr="00CD191E" w:rsidRDefault="00CD191E" w:rsidP="00CD191E">
            <w:pPr>
              <w:rPr>
                <w:b/>
              </w:rPr>
            </w:pPr>
          </w:p>
        </w:tc>
      </w:tr>
    </w:tbl>
    <w:p w:rsidR="00CD191E" w:rsidRPr="00CD191E" w:rsidRDefault="00CD191E" w:rsidP="00CD191E">
      <w:pPr>
        <w:rPr>
          <w:b/>
        </w:rPr>
      </w:pPr>
    </w:p>
    <w:p w:rsidR="00EC535A" w:rsidRDefault="00EC535A">
      <w:pPr>
        <w:rPr>
          <w:b/>
          <w:bCs/>
        </w:rPr>
      </w:pPr>
    </w:p>
    <w:p w:rsidR="00EC535A" w:rsidRDefault="00EC535A">
      <w:pPr>
        <w:rPr>
          <w:b/>
          <w:bCs/>
        </w:rPr>
      </w:pPr>
    </w:p>
    <w:p w:rsidR="00EC535A" w:rsidRDefault="00EC535A">
      <w:pPr>
        <w:rPr>
          <w:b/>
          <w:bCs/>
        </w:rPr>
      </w:pPr>
    </w:p>
    <w:p w:rsidR="00EC535A" w:rsidRDefault="00EC535A" w:rsidP="004B656C">
      <w:pPr>
        <w:tabs>
          <w:tab w:val="center" w:pos="4680"/>
        </w:tabs>
        <w:jc w:val="center"/>
        <w:rPr>
          <w:b/>
          <w:bCs/>
        </w:rPr>
      </w:pPr>
      <w:r>
        <w:rPr>
          <w:b/>
          <w:bCs/>
        </w:rPr>
        <w:t>TESTIMONY OF</w:t>
      </w:r>
    </w:p>
    <w:p w:rsidR="00EC535A" w:rsidRDefault="00EC535A" w:rsidP="004B656C">
      <w:pPr>
        <w:jc w:val="center"/>
        <w:rPr>
          <w:b/>
          <w:bCs/>
        </w:rPr>
      </w:pPr>
    </w:p>
    <w:p w:rsidR="00EC535A" w:rsidRDefault="00CD191E" w:rsidP="004B656C">
      <w:pPr>
        <w:tabs>
          <w:tab w:val="center" w:pos="4680"/>
        </w:tabs>
        <w:jc w:val="center"/>
        <w:rPr>
          <w:b/>
          <w:bCs/>
        </w:rPr>
      </w:pPr>
      <w:r>
        <w:rPr>
          <w:b/>
          <w:bCs/>
        </w:rPr>
        <w:t>ROGER KOUCHI</w:t>
      </w:r>
    </w:p>
    <w:p w:rsidR="00EC535A" w:rsidRDefault="00EC535A" w:rsidP="004B656C">
      <w:pPr>
        <w:tabs>
          <w:tab w:val="center" w:pos="4680"/>
        </w:tabs>
        <w:jc w:val="center"/>
        <w:rPr>
          <w:b/>
          <w:bCs/>
        </w:rPr>
      </w:pPr>
    </w:p>
    <w:p w:rsidR="00EC535A" w:rsidRDefault="00EC535A" w:rsidP="004B656C">
      <w:pPr>
        <w:tabs>
          <w:tab w:val="center" w:pos="4680"/>
        </w:tabs>
        <w:jc w:val="center"/>
        <w:rPr>
          <w:b/>
          <w:bCs/>
        </w:rPr>
      </w:pPr>
      <w:r>
        <w:rPr>
          <w:b/>
          <w:bCs/>
        </w:rPr>
        <w:t>STAFF OF</w:t>
      </w:r>
    </w:p>
    <w:p w:rsidR="00EC535A" w:rsidRDefault="00EC535A" w:rsidP="004B656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EC535A" w:rsidRDefault="00EC535A" w:rsidP="004B656C">
      <w:pPr>
        <w:tabs>
          <w:tab w:val="center" w:pos="4680"/>
        </w:tabs>
        <w:jc w:val="center"/>
        <w:rPr>
          <w:b/>
          <w:bCs/>
        </w:rPr>
      </w:pPr>
      <w:r>
        <w:rPr>
          <w:b/>
          <w:bCs/>
        </w:rPr>
        <w:t>TRANSPORTATION COMMISSION</w:t>
      </w:r>
    </w:p>
    <w:p w:rsidR="00EC535A" w:rsidRDefault="00EC535A" w:rsidP="004B656C">
      <w:pPr>
        <w:jc w:val="center"/>
        <w:rPr>
          <w:b/>
          <w:bCs/>
        </w:rPr>
      </w:pPr>
    </w:p>
    <w:p w:rsidR="00782DBC" w:rsidRPr="000E01EF" w:rsidRDefault="00843B21" w:rsidP="006055D6">
      <w:pPr>
        <w:jc w:val="center"/>
        <w:rPr>
          <w:b/>
          <w:bCs/>
          <w:i/>
        </w:rPr>
      </w:pPr>
      <w:r w:rsidRPr="000E01EF">
        <w:rPr>
          <w:b/>
          <w:bCs/>
          <w:i/>
        </w:rPr>
        <w:t>Service Quality Index No. 9: Disconnection Ratio</w:t>
      </w:r>
    </w:p>
    <w:p w:rsidR="00782DBC" w:rsidRPr="000E01EF" w:rsidRDefault="00843B21" w:rsidP="006055D6">
      <w:pPr>
        <w:jc w:val="center"/>
        <w:rPr>
          <w:b/>
          <w:bCs/>
          <w:i/>
        </w:rPr>
      </w:pPr>
      <w:r w:rsidRPr="000E01EF">
        <w:rPr>
          <w:b/>
          <w:bCs/>
          <w:i/>
        </w:rPr>
        <w:t>Billing and Meter Performance</w:t>
      </w:r>
    </w:p>
    <w:p w:rsidR="00EC535A" w:rsidRPr="000E01EF" w:rsidRDefault="00EC535A">
      <w:pPr>
        <w:rPr>
          <w:b/>
          <w:bCs/>
          <w:i/>
        </w:rPr>
      </w:pPr>
    </w:p>
    <w:p w:rsidR="00EC535A" w:rsidRDefault="00EC535A">
      <w:pPr>
        <w:rPr>
          <w:b/>
          <w:bCs/>
        </w:rPr>
      </w:pPr>
    </w:p>
    <w:p w:rsidR="00EC535A" w:rsidRDefault="00EC535A">
      <w:pPr>
        <w:rPr>
          <w:b/>
          <w:bCs/>
        </w:rPr>
      </w:pPr>
    </w:p>
    <w:p w:rsidR="004B656C" w:rsidRDefault="00843B21" w:rsidP="00A7284E">
      <w:pPr>
        <w:tabs>
          <w:tab w:val="center" w:pos="4680"/>
        </w:tabs>
        <w:jc w:val="center"/>
        <w:rPr>
          <w:b/>
          <w:bCs/>
        </w:rPr>
      </w:pPr>
      <w:r>
        <w:rPr>
          <w:b/>
          <w:bCs/>
        </w:rPr>
        <w:t>December 7</w:t>
      </w:r>
      <w:r w:rsidR="00A7284E">
        <w:rPr>
          <w:b/>
          <w:bCs/>
        </w:rPr>
        <w:t>, 2011</w:t>
      </w:r>
    </w:p>
    <w:p w:rsidR="004B656C" w:rsidRDefault="004B656C">
      <w:pPr>
        <w:tabs>
          <w:tab w:val="center" w:pos="4680"/>
        </w:tabs>
      </w:pPr>
    </w:p>
    <w:p w:rsidR="00D448F7" w:rsidRDefault="00D448F7">
      <w:pPr>
        <w:tabs>
          <w:tab w:val="center" w:pos="4680"/>
        </w:tabs>
      </w:pPr>
    </w:p>
    <w:p w:rsidR="00D448F7" w:rsidRDefault="00D448F7">
      <w:pPr>
        <w:tabs>
          <w:tab w:val="center" w:pos="4680"/>
        </w:tabs>
        <w:sectPr w:rsidR="00D448F7" w:rsidSect="004B656C">
          <w:footerReference w:type="default" r:id="rId9"/>
          <w:headerReference w:type="first" r:id="rId10"/>
          <w:pgSz w:w="12240" w:h="15840" w:code="1"/>
          <w:pgMar w:top="1440" w:right="1440" w:bottom="1440" w:left="1872" w:header="720" w:footer="720" w:gutter="0"/>
          <w:cols w:space="720"/>
          <w:titlePg/>
          <w:docGrid w:linePitch="360"/>
        </w:sectPr>
      </w:pPr>
    </w:p>
    <w:p w:rsidR="00D448F7" w:rsidRDefault="00D448F7" w:rsidP="00D448F7">
      <w:pPr>
        <w:pStyle w:val="NoSpacing"/>
        <w:spacing w:line="480" w:lineRule="auto"/>
        <w:jc w:val="center"/>
        <w:rPr>
          <w:b/>
        </w:rPr>
      </w:pPr>
      <w:r>
        <w:rPr>
          <w:b/>
        </w:rPr>
        <w:lastRenderedPageBreak/>
        <w:t>TABLE OF CONTENTS</w:t>
      </w:r>
    </w:p>
    <w:p w:rsidR="00D448F7" w:rsidRDefault="00D448F7" w:rsidP="00D448F7">
      <w:pPr>
        <w:pStyle w:val="NoSpacing"/>
        <w:tabs>
          <w:tab w:val="left" w:pos="720"/>
          <w:tab w:val="left" w:pos="1440"/>
          <w:tab w:val="left" w:pos="2160"/>
          <w:tab w:val="right" w:leader="dot" w:pos="8910"/>
        </w:tabs>
      </w:pPr>
      <w:r>
        <w:t>I.</w:t>
      </w:r>
      <w:r>
        <w:tab/>
        <w:t xml:space="preserve">INTRODUCTION </w:t>
      </w:r>
      <w:r>
        <w:tab/>
        <w:t>1</w:t>
      </w:r>
    </w:p>
    <w:p w:rsidR="00D448F7" w:rsidRDefault="00D448F7" w:rsidP="00D448F7">
      <w:pPr>
        <w:pStyle w:val="NoSpacing"/>
        <w:tabs>
          <w:tab w:val="left" w:pos="720"/>
          <w:tab w:val="left" w:pos="1440"/>
          <w:tab w:val="left" w:pos="2160"/>
          <w:tab w:val="right" w:leader="dot" w:pos="8910"/>
        </w:tabs>
      </w:pPr>
    </w:p>
    <w:p w:rsidR="00D448F7" w:rsidRDefault="003F750B" w:rsidP="00D448F7">
      <w:pPr>
        <w:pStyle w:val="NoSpacing"/>
        <w:tabs>
          <w:tab w:val="left" w:pos="720"/>
          <w:tab w:val="left" w:pos="1440"/>
          <w:tab w:val="left" w:pos="2160"/>
          <w:tab w:val="right" w:leader="dot" w:pos="8910"/>
        </w:tabs>
      </w:pPr>
      <w:r>
        <w:t>II.</w:t>
      </w:r>
      <w:r>
        <w:tab/>
        <w:t>PUR</w:t>
      </w:r>
      <w:r w:rsidR="00682288">
        <w:t xml:space="preserve">POSE AND SUMMARY OF TESTIMONY </w:t>
      </w:r>
      <w:r w:rsidR="00682288">
        <w:tab/>
        <w:t>2</w:t>
      </w:r>
    </w:p>
    <w:p w:rsidR="003F750B" w:rsidRDefault="003F750B" w:rsidP="00D448F7">
      <w:pPr>
        <w:pStyle w:val="NoSpacing"/>
        <w:tabs>
          <w:tab w:val="left" w:pos="720"/>
          <w:tab w:val="left" w:pos="1440"/>
          <w:tab w:val="left" w:pos="2160"/>
          <w:tab w:val="right" w:leader="dot" w:pos="8910"/>
        </w:tabs>
      </w:pPr>
    </w:p>
    <w:p w:rsidR="00BC48FB" w:rsidRDefault="00BC48FB" w:rsidP="00BC48FB">
      <w:pPr>
        <w:pStyle w:val="NoSpacing"/>
      </w:pPr>
      <w:r>
        <w:t>III.</w:t>
      </w:r>
      <w:r>
        <w:tab/>
      </w:r>
      <w:r w:rsidRPr="00BC48FB">
        <w:t>ELIMINATION OF SERVICE QUALITY INDEX NO. 9:</w:t>
      </w:r>
      <w:r>
        <w:t xml:space="preserve"> </w:t>
      </w:r>
    </w:p>
    <w:p w:rsidR="00BC48FB" w:rsidRDefault="00BC48FB" w:rsidP="00BC48FB">
      <w:pPr>
        <w:pStyle w:val="NoSpacing"/>
        <w:tabs>
          <w:tab w:val="left" w:pos="720"/>
          <w:tab w:val="left" w:pos="1440"/>
          <w:tab w:val="left" w:pos="2160"/>
          <w:tab w:val="left" w:pos="2880"/>
          <w:tab w:val="right" w:leader="dot" w:pos="8910"/>
        </w:tabs>
        <w:ind w:left="720"/>
      </w:pPr>
      <w:r w:rsidRPr="00BC48FB">
        <w:t>DISCONNECTION RATIO</w:t>
      </w:r>
      <w:r w:rsidR="00682288">
        <w:t xml:space="preserve"> </w:t>
      </w:r>
      <w:r w:rsidR="00682288">
        <w:tab/>
        <w:t>5</w:t>
      </w:r>
    </w:p>
    <w:p w:rsidR="00BC48FB" w:rsidRDefault="00BC48FB" w:rsidP="00BC48FB">
      <w:pPr>
        <w:pStyle w:val="NoSpacing"/>
        <w:tabs>
          <w:tab w:val="left" w:pos="720"/>
          <w:tab w:val="left" w:pos="1440"/>
          <w:tab w:val="left" w:pos="2160"/>
          <w:tab w:val="left" w:pos="2880"/>
          <w:tab w:val="right" w:leader="dot" w:pos="8910"/>
        </w:tabs>
      </w:pPr>
    </w:p>
    <w:p w:rsidR="00BC48FB" w:rsidRPr="00C15CD2" w:rsidRDefault="00C15CD2" w:rsidP="00BC48FB">
      <w:pPr>
        <w:pStyle w:val="NoSpacing"/>
        <w:tabs>
          <w:tab w:val="left" w:pos="720"/>
          <w:tab w:val="left" w:pos="1440"/>
          <w:tab w:val="left" w:pos="2160"/>
          <w:tab w:val="left" w:pos="2880"/>
          <w:tab w:val="right" w:leader="dot" w:pos="8910"/>
        </w:tabs>
      </w:pPr>
      <w:r>
        <w:t>IV.</w:t>
      </w:r>
      <w:r w:rsidRPr="00C15CD2">
        <w:tab/>
        <w:t>METER AND BILLING PERFORMANCE</w:t>
      </w:r>
      <w:r w:rsidR="00682288">
        <w:t xml:space="preserve"> </w:t>
      </w:r>
      <w:r w:rsidR="00682288">
        <w:tab/>
        <w:t>10</w:t>
      </w:r>
    </w:p>
    <w:p w:rsidR="00BC48FB" w:rsidRDefault="00BC48FB" w:rsidP="00D448F7">
      <w:pPr>
        <w:pStyle w:val="NoSpacing"/>
        <w:tabs>
          <w:tab w:val="left" w:pos="720"/>
          <w:tab w:val="left" w:pos="1440"/>
          <w:tab w:val="left" w:pos="2160"/>
          <w:tab w:val="right" w:leader="dot" w:pos="8910"/>
        </w:tabs>
      </w:pPr>
    </w:p>
    <w:p w:rsidR="003F750B" w:rsidRDefault="003F750B" w:rsidP="00D448F7">
      <w:pPr>
        <w:pStyle w:val="NoSpacing"/>
        <w:tabs>
          <w:tab w:val="left" w:pos="720"/>
          <w:tab w:val="left" w:pos="1440"/>
          <w:tab w:val="left" w:pos="2160"/>
          <w:tab w:val="right" w:leader="dot" w:pos="8910"/>
        </w:tabs>
      </w:pPr>
    </w:p>
    <w:p w:rsidR="007E4117" w:rsidRDefault="007E4117" w:rsidP="00D448F7">
      <w:pPr>
        <w:pStyle w:val="NoSpacing"/>
        <w:tabs>
          <w:tab w:val="left" w:pos="720"/>
          <w:tab w:val="left" w:pos="1440"/>
          <w:tab w:val="left" w:pos="2160"/>
          <w:tab w:val="right" w:leader="dot" w:pos="8910"/>
        </w:tabs>
      </w:pPr>
    </w:p>
    <w:p w:rsidR="00D448F7" w:rsidRDefault="00A531FA" w:rsidP="007E4117">
      <w:pPr>
        <w:pStyle w:val="NoSpacing"/>
        <w:jc w:val="center"/>
      </w:pPr>
      <w:r>
        <w:rPr>
          <w:b/>
        </w:rPr>
        <w:t xml:space="preserve">LIST OF </w:t>
      </w:r>
      <w:r w:rsidR="00D448F7">
        <w:rPr>
          <w:b/>
        </w:rPr>
        <w:t>EXHIBITS</w:t>
      </w:r>
    </w:p>
    <w:p w:rsidR="00D448F7" w:rsidRDefault="00D448F7" w:rsidP="007E4117">
      <w:pPr>
        <w:pStyle w:val="NoSpacing"/>
      </w:pPr>
    </w:p>
    <w:p w:rsidR="00D448F7" w:rsidRDefault="00D448F7" w:rsidP="007E4117">
      <w:pPr>
        <w:pStyle w:val="NoSpacing"/>
      </w:pPr>
      <w:r>
        <w:t>Exhibit No. ____ (RK-2),</w:t>
      </w:r>
      <w:r w:rsidRPr="00FC10C7">
        <w:t xml:space="preserve"> </w:t>
      </w:r>
      <w:r>
        <w:t>Section 2 (UTC Complaint Ratio – SQI-2) of 2010 Annual Puget Sound Energy SQI and Electric Service Reliability Report filed on March 31, 2011</w:t>
      </w:r>
    </w:p>
    <w:p w:rsidR="00D448F7" w:rsidRDefault="00D448F7" w:rsidP="007E4117">
      <w:pPr>
        <w:pStyle w:val="NoSpacing"/>
      </w:pPr>
    </w:p>
    <w:p w:rsidR="00D448F7" w:rsidRDefault="00D448F7" w:rsidP="007E4117">
      <w:pPr>
        <w:pStyle w:val="NoSpacing"/>
      </w:pPr>
      <w:r>
        <w:t>Exhibit No ____ (RK-3), PSE Electric/Gas Disconnect and Disputed Bill Complaints</w:t>
      </w:r>
    </w:p>
    <w:p w:rsidR="00D448F7" w:rsidRDefault="00D448F7" w:rsidP="007E4117">
      <w:pPr>
        <w:pStyle w:val="NoSpacing"/>
      </w:pPr>
    </w:p>
    <w:p w:rsidR="00D448F7" w:rsidRDefault="00D448F7" w:rsidP="007E4117">
      <w:pPr>
        <w:pStyle w:val="NoSpacing"/>
      </w:pPr>
      <w:r>
        <w:t xml:space="preserve">Exhibit No. ___ (RK-4), </w:t>
      </w:r>
      <w:r w:rsidRPr="00775549">
        <w:rPr>
          <w:i/>
        </w:rPr>
        <w:t>WUTC v. Puget Sound Energy, Inc</w:t>
      </w:r>
      <w:r w:rsidR="007F5A2D">
        <w:t>. Dockets</w:t>
      </w:r>
      <w:r>
        <w:t xml:space="preserve"> UE-072300 and UG-072301, Order 12, Appendix D</w:t>
      </w:r>
    </w:p>
    <w:p w:rsidR="00D448F7" w:rsidRDefault="00D448F7" w:rsidP="007E4117">
      <w:pPr>
        <w:pStyle w:val="NoSpacing"/>
      </w:pPr>
    </w:p>
    <w:p w:rsidR="00D448F7" w:rsidRDefault="00D448F7" w:rsidP="007E4117">
      <w:pPr>
        <w:pStyle w:val="NoSpacing"/>
      </w:pPr>
      <w:r>
        <w:t>Exhibit No. ___ (RK-5), UTC Compliance Progress Report, July 2010</w:t>
      </w:r>
    </w:p>
    <w:p w:rsidR="00D448F7" w:rsidRDefault="00D448F7" w:rsidP="007E4117">
      <w:pPr>
        <w:pStyle w:val="NoSpacing"/>
      </w:pPr>
    </w:p>
    <w:p w:rsidR="00D448F7" w:rsidRDefault="00D448F7" w:rsidP="007E4117">
      <w:pPr>
        <w:pStyle w:val="NoSpacing"/>
      </w:pPr>
      <w:r>
        <w:t>Exhibit No. ___ (RK-6), Retroactive Billing Complaint Ratios per 1000 meters</w:t>
      </w:r>
    </w:p>
    <w:p w:rsidR="00D448F7" w:rsidRDefault="00D448F7" w:rsidP="007E4117">
      <w:pPr>
        <w:pStyle w:val="NoSpacing"/>
      </w:pPr>
    </w:p>
    <w:p w:rsidR="00D448F7" w:rsidRDefault="00D448F7" w:rsidP="007E4117">
      <w:pPr>
        <w:pStyle w:val="NoSpacing"/>
      </w:pPr>
      <w:r>
        <w:t>Exhibit No. ___ (RK-7),</w:t>
      </w:r>
      <w:r w:rsidRPr="00FC10C7">
        <w:t xml:space="preserve"> </w:t>
      </w:r>
      <w:r>
        <w:t xml:space="preserve">Summarized data from PSE’s response to </w:t>
      </w:r>
      <w:r w:rsidR="00B05D67">
        <w:t>S</w:t>
      </w:r>
      <w:r>
        <w:t>taff D</w:t>
      </w:r>
      <w:r w:rsidR="00B05D67">
        <w:t xml:space="preserve">ata </w:t>
      </w:r>
      <w:r>
        <w:t>R</w:t>
      </w:r>
      <w:r w:rsidR="00B05D67">
        <w:t>equest</w:t>
      </w:r>
      <w:r>
        <w:t xml:space="preserve"> 72</w:t>
      </w:r>
    </w:p>
    <w:p w:rsidR="00D448F7" w:rsidRDefault="00D448F7" w:rsidP="007E4117">
      <w:pPr>
        <w:pStyle w:val="NoSpacing"/>
      </w:pPr>
    </w:p>
    <w:p w:rsidR="00D448F7" w:rsidRDefault="00D448F7" w:rsidP="007E4117">
      <w:pPr>
        <w:pStyle w:val="NoSpacing"/>
      </w:pPr>
      <w:r>
        <w:t>Exhibit No. ___ (RK-8), PSE Response to Staff Data Request 89</w:t>
      </w:r>
    </w:p>
    <w:p w:rsidR="00D448F7" w:rsidRDefault="00D448F7" w:rsidP="007E4117">
      <w:pPr>
        <w:pStyle w:val="NoSpacing"/>
      </w:pPr>
    </w:p>
    <w:p w:rsidR="00D448F7" w:rsidRDefault="00D448F7" w:rsidP="007E4117">
      <w:pPr>
        <w:pStyle w:val="NoSpacing"/>
        <w:spacing w:line="480" w:lineRule="auto"/>
        <w:rPr>
          <w:b/>
        </w:rPr>
      </w:pPr>
      <w:r>
        <w:t>Exhibit No. ___ (RK-9), PSE Response to Staff Data Request 88</w:t>
      </w:r>
    </w:p>
    <w:p w:rsidR="00D448F7" w:rsidRPr="00D448F7" w:rsidRDefault="00D448F7" w:rsidP="00D448F7">
      <w:pPr>
        <w:pStyle w:val="NoSpacing"/>
        <w:spacing w:line="480" w:lineRule="auto"/>
      </w:pPr>
    </w:p>
    <w:p w:rsidR="00D448F7" w:rsidRDefault="00D448F7" w:rsidP="00D448F7">
      <w:pPr>
        <w:pStyle w:val="NoSpacing"/>
        <w:spacing w:line="480" w:lineRule="auto"/>
        <w:rPr>
          <w:b/>
        </w:rPr>
      </w:pPr>
    </w:p>
    <w:p w:rsidR="00D448F7" w:rsidRDefault="00D448F7" w:rsidP="00D448F7">
      <w:pPr>
        <w:pStyle w:val="NoSpacing"/>
        <w:spacing w:line="480" w:lineRule="auto"/>
        <w:rPr>
          <w:b/>
        </w:rPr>
        <w:sectPr w:rsidR="00D448F7" w:rsidSect="002E486D">
          <w:footerReference w:type="default" r:id="rId11"/>
          <w:pgSz w:w="12240" w:h="15840" w:code="1"/>
          <w:pgMar w:top="1440" w:right="1440" w:bottom="1440" w:left="1872" w:header="720" w:footer="720" w:gutter="0"/>
          <w:pgNumType w:fmt="lowerRoman" w:start="1"/>
          <w:cols w:space="720"/>
          <w:docGrid w:linePitch="360"/>
        </w:sectPr>
      </w:pPr>
    </w:p>
    <w:p w:rsidR="00CD191E" w:rsidRPr="00C66D9B" w:rsidRDefault="00CD191E" w:rsidP="002B7C98">
      <w:pPr>
        <w:pStyle w:val="NoSpacing"/>
        <w:numPr>
          <w:ilvl w:val="0"/>
          <w:numId w:val="5"/>
        </w:numPr>
        <w:spacing w:line="480" w:lineRule="auto"/>
        <w:jc w:val="center"/>
        <w:rPr>
          <w:b/>
        </w:rPr>
      </w:pPr>
      <w:r w:rsidRPr="00C66D9B">
        <w:rPr>
          <w:b/>
        </w:rPr>
        <w:lastRenderedPageBreak/>
        <w:t>INTRODUCTION</w:t>
      </w:r>
    </w:p>
    <w:p w:rsidR="00CD191E" w:rsidRDefault="00CD191E" w:rsidP="002B7C98">
      <w:pPr>
        <w:pStyle w:val="NoSpacing"/>
        <w:spacing w:line="480" w:lineRule="auto"/>
      </w:pPr>
    </w:p>
    <w:p w:rsidR="00CD191E" w:rsidRDefault="00CD191E" w:rsidP="002B7C98">
      <w:pPr>
        <w:pStyle w:val="NoSpacing"/>
        <w:spacing w:line="480" w:lineRule="auto"/>
      </w:pPr>
      <w:r>
        <w:rPr>
          <w:b/>
        </w:rPr>
        <w:t>Q.</w:t>
      </w:r>
      <w:r>
        <w:rPr>
          <w:b/>
        </w:rPr>
        <w:tab/>
      </w:r>
      <w:r w:rsidR="006164C8">
        <w:rPr>
          <w:b/>
        </w:rPr>
        <w:t>Please</w:t>
      </w:r>
      <w:r>
        <w:rPr>
          <w:b/>
        </w:rPr>
        <w:t xml:space="preserve"> state your name and business address?</w:t>
      </w:r>
    </w:p>
    <w:p w:rsidR="00CD191E" w:rsidRDefault="00CD191E" w:rsidP="002B7C98">
      <w:pPr>
        <w:pStyle w:val="NoSpacing"/>
        <w:spacing w:line="480" w:lineRule="auto"/>
        <w:ind w:left="720" w:hanging="720"/>
      </w:pPr>
      <w:r>
        <w:t>A.</w:t>
      </w:r>
      <w:r>
        <w:tab/>
        <w:t xml:space="preserve">My name is Roger Kouchi.  My business address is </w:t>
      </w:r>
      <w:r w:rsidR="006164C8">
        <w:t xml:space="preserve">the Richard Hemstad Building, </w:t>
      </w:r>
      <w:r>
        <w:t xml:space="preserve">1300 S. Evergreen Park Dr. S.W., P.O. Box 47250, Olympia, Washington 98504-7250.  My e-mail address is </w:t>
      </w:r>
      <w:hyperlink r:id="rId12" w:history="1">
        <w:r w:rsidRPr="00EB5782">
          <w:rPr>
            <w:rStyle w:val="Hyperlink"/>
            <w:u w:val="none"/>
          </w:rPr>
          <w:t>rkouchi@utc.wa.gov</w:t>
        </w:r>
      </w:hyperlink>
      <w:r w:rsidRPr="00EB5782">
        <w:t>.</w:t>
      </w:r>
    </w:p>
    <w:p w:rsidR="00CD191E" w:rsidRDefault="00CD191E" w:rsidP="002B7C98">
      <w:pPr>
        <w:pStyle w:val="NoSpacing"/>
        <w:spacing w:line="480" w:lineRule="auto"/>
      </w:pPr>
    </w:p>
    <w:p w:rsidR="00CD191E" w:rsidRDefault="00CD191E" w:rsidP="002B7C98">
      <w:pPr>
        <w:pStyle w:val="NoSpacing"/>
        <w:spacing w:line="480" w:lineRule="auto"/>
      </w:pPr>
      <w:r>
        <w:rPr>
          <w:b/>
        </w:rPr>
        <w:t>Q.</w:t>
      </w:r>
      <w:r>
        <w:rPr>
          <w:b/>
        </w:rPr>
        <w:tab/>
        <w:t>By whom are you employed and in what capacity?</w:t>
      </w:r>
    </w:p>
    <w:p w:rsidR="00CD191E" w:rsidRDefault="00CD191E" w:rsidP="002B7C98">
      <w:pPr>
        <w:pStyle w:val="NoSpacing"/>
        <w:spacing w:line="480" w:lineRule="auto"/>
        <w:ind w:left="720" w:hanging="720"/>
      </w:pPr>
      <w:r>
        <w:t>A.</w:t>
      </w:r>
      <w:r>
        <w:tab/>
        <w:t xml:space="preserve">I am employed by the Washington Utilities and Transportation Commission </w:t>
      </w:r>
      <w:r w:rsidR="00EB5782">
        <w:t xml:space="preserve">(“Commission”) </w:t>
      </w:r>
      <w:r>
        <w:t>as a Regulatory Analyst.</w:t>
      </w:r>
    </w:p>
    <w:p w:rsidR="00CD191E" w:rsidRDefault="00CD191E" w:rsidP="002B7C98">
      <w:pPr>
        <w:pStyle w:val="NoSpacing"/>
        <w:spacing w:line="480" w:lineRule="auto"/>
      </w:pPr>
    </w:p>
    <w:p w:rsidR="00CD191E" w:rsidRDefault="00CD191E" w:rsidP="002B7C98">
      <w:pPr>
        <w:pStyle w:val="NoSpacing"/>
        <w:spacing w:line="480" w:lineRule="auto"/>
      </w:pPr>
      <w:r>
        <w:rPr>
          <w:b/>
        </w:rPr>
        <w:t>Q.</w:t>
      </w:r>
      <w:r>
        <w:rPr>
          <w:b/>
        </w:rPr>
        <w:tab/>
        <w:t>How long have you been with this agency?</w:t>
      </w:r>
    </w:p>
    <w:p w:rsidR="00CD191E" w:rsidRDefault="00CD191E" w:rsidP="002B7C98">
      <w:pPr>
        <w:pStyle w:val="NoSpacing"/>
        <w:spacing w:line="480" w:lineRule="auto"/>
      </w:pPr>
      <w:r>
        <w:t xml:space="preserve">A. </w:t>
      </w:r>
      <w:r>
        <w:tab/>
        <w:t xml:space="preserve">I have been with the </w:t>
      </w:r>
      <w:r w:rsidR="006164C8">
        <w:t>C</w:t>
      </w:r>
      <w:r>
        <w:t>ommission since March 199</w:t>
      </w:r>
      <w:r w:rsidR="00435343">
        <w:t>2</w:t>
      </w:r>
      <w:r>
        <w:t>.</w:t>
      </w:r>
    </w:p>
    <w:p w:rsidR="00CD191E" w:rsidRDefault="00CD191E" w:rsidP="002B7C98">
      <w:pPr>
        <w:pStyle w:val="NoSpacing"/>
        <w:spacing w:line="480" w:lineRule="auto"/>
      </w:pPr>
    </w:p>
    <w:p w:rsidR="00CD191E" w:rsidRDefault="00CD191E" w:rsidP="002B7C98">
      <w:pPr>
        <w:pStyle w:val="NoSpacing"/>
        <w:spacing w:line="480" w:lineRule="auto"/>
      </w:pPr>
      <w:r>
        <w:rPr>
          <w:b/>
        </w:rPr>
        <w:t>Q.</w:t>
      </w:r>
      <w:r>
        <w:rPr>
          <w:b/>
        </w:rPr>
        <w:tab/>
        <w:t>What are your educational and professional qualifications?</w:t>
      </w:r>
    </w:p>
    <w:p w:rsidR="007414E0" w:rsidRDefault="00CD191E" w:rsidP="006164C8">
      <w:pPr>
        <w:pStyle w:val="NoSpacing"/>
        <w:spacing w:line="480" w:lineRule="auto"/>
        <w:ind w:left="720" w:hanging="720"/>
      </w:pPr>
      <w:r>
        <w:t>A.</w:t>
      </w:r>
      <w:r>
        <w:tab/>
        <w:t xml:space="preserve">I received Bachelor of Science Degrees in Electrical </w:t>
      </w:r>
      <w:r w:rsidR="00567B14">
        <w:t>and</w:t>
      </w:r>
      <w:r>
        <w:t xml:space="preserve"> Industrial Engineering from the University of Washington </w:t>
      </w:r>
      <w:r w:rsidR="00567B14">
        <w:t>in 19</w:t>
      </w:r>
      <w:r w:rsidR="00AC4C38">
        <w:t>68</w:t>
      </w:r>
      <w:r w:rsidR="00567B14">
        <w:t xml:space="preserve"> </w:t>
      </w:r>
      <w:r>
        <w:t xml:space="preserve">and a Master of Science </w:t>
      </w:r>
      <w:r w:rsidR="0089125D">
        <w:t>D</w:t>
      </w:r>
      <w:r>
        <w:t>egree in Systems Management from the University of Southern California</w:t>
      </w:r>
      <w:r w:rsidR="00567B14">
        <w:t xml:space="preserve"> in 19</w:t>
      </w:r>
      <w:r w:rsidR="00AC4C38">
        <w:t>76.</w:t>
      </w:r>
      <w:r>
        <w:tab/>
      </w:r>
    </w:p>
    <w:p w:rsidR="006E387A" w:rsidRDefault="00CD191E" w:rsidP="008827A8">
      <w:pPr>
        <w:pStyle w:val="NoSpacing"/>
        <w:spacing w:line="480" w:lineRule="auto"/>
        <w:ind w:left="720" w:firstLine="720"/>
      </w:pPr>
      <w:r>
        <w:t xml:space="preserve">My duties </w:t>
      </w:r>
      <w:r w:rsidR="006164C8">
        <w:t xml:space="preserve">at the Commission </w:t>
      </w:r>
      <w:r>
        <w:t xml:space="preserve">include </w:t>
      </w:r>
      <w:r w:rsidR="00A7284E">
        <w:t>analy</w:t>
      </w:r>
      <w:r w:rsidR="00843B21">
        <w:t xml:space="preserve">zing </w:t>
      </w:r>
      <w:r w:rsidR="004D32CF">
        <w:t>informal</w:t>
      </w:r>
      <w:r>
        <w:t xml:space="preserve"> </w:t>
      </w:r>
      <w:r w:rsidR="00567B14">
        <w:t>cust</w:t>
      </w:r>
      <w:r w:rsidR="006164C8">
        <w:t xml:space="preserve">omer </w:t>
      </w:r>
      <w:r>
        <w:t xml:space="preserve">complaints concerning </w:t>
      </w:r>
      <w:r w:rsidR="006164C8">
        <w:t xml:space="preserve">the </w:t>
      </w:r>
      <w:r>
        <w:t>rates or service</w:t>
      </w:r>
      <w:r w:rsidR="006164C8">
        <w:t>s</w:t>
      </w:r>
      <w:r>
        <w:t xml:space="preserve"> of all regulated</w:t>
      </w:r>
      <w:r w:rsidR="00A7284E">
        <w:t xml:space="preserve"> energy </w:t>
      </w:r>
      <w:r>
        <w:t>utilities</w:t>
      </w:r>
      <w:r w:rsidR="00A7284E">
        <w:t xml:space="preserve"> and household goods carriers</w:t>
      </w:r>
      <w:r w:rsidR="007414E0">
        <w:t xml:space="preserve">; </w:t>
      </w:r>
      <w:r w:rsidR="00051AFA">
        <w:t xml:space="preserve">acting as the </w:t>
      </w:r>
      <w:r w:rsidR="007414E0">
        <w:t xml:space="preserve">public involvement coordinator for energy rate cases; </w:t>
      </w:r>
      <w:r w:rsidR="00425099">
        <w:t>and serv</w:t>
      </w:r>
      <w:r w:rsidR="00051AFA">
        <w:t>ing</w:t>
      </w:r>
      <w:r w:rsidR="00425099">
        <w:t xml:space="preserve"> as lead or team member on energy</w:t>
      </w:r>
      <w:r w:rsidR="00051AFA">
        <w:t xml:space="preserve"> </w:t>
      </w:r>
      <w:r w:rsidR="00425099">
        <w:t>filings with consumer issues</w:t>
      </w:r>
      <w:r>
        <w:t xml:space="preserve">. </w:t>
      </w:r>
      <w:r w:rsidR="006164C8">
        <w:t xml:space="preserve"> </w:t>
      </w:r>
      <w:r w:rsidR="00DC62FB">
        <w:t xml:space="preserve">I was the lead in Docket UE-100338 (PSE Petition for SQI Penalty </w:t>
      </w:r>
      <w:r w:rsidR="00DC62FB">
        <w:lastRenderedPageBreak/>
        <w:t xml:space="preserve">Mitigation). </w:t>
      </w:r>
      <w:r w:rsidR="0089125D">
        <w:t xml:space="preserve"> </w:t>
      </w:r>
      <w:r>
        <w:t>I have been involved in several consumer rul</w:t>
      </w:r>
      <w:r w:rsidR="00843B21">
        <w:t>emakings</w:t>
      </w:r>
      <w:r>
        <w:t xml:space="preserve"> for the electric and gas industries (Docke</w:t>
      </w:r>
      <w:r w:rsidR="006164C8">
        <w:t>t</w:t>
      </w:r>
      <w:r>
        <w:t>s UE-940084</w:t>
      </w:r>
      <w:r w:rsidR="00A7284E">
        <w:t>,</w:t>
      </w:r>
      <w:r>
        <w:t xml:space="preserve"> UG-940085</w:t>
      </w:r>
      <w:r w:rsidR="00A7284E">
        <w:t xml:space="preserve"> and U-100523</w:t>
      </w:r>
      <w:r>
        <w:t xml:space="preserve">). </w:t>
      </w:r>
      <w:r w:rsidR="006164C8">
        <w:t xml:space="preserve"> </w:t>
      </w:r>
      <w:r>
        <w:t xml:space="preserve">I participated in the electric reliability rulemaking (Docket UE-991168) and </w:t>
      </w:r>
      <w:r w:rsidR="006164C8">
        <w:t xml:space="preserve">the Staff review of </w:t>
      </w:r>
      <w:r>
        <w:t xml:space="preserve">annual electric reliability reports submitted </w:t>
      </w:r>
      <w:r w:rsidR="00051AFA">
        <w:t xml:space="preserve">by </w:t>
      </w:r>
      <w:r>
        <w:t xml:space="preserve">regulated companies. </w:t>
      </w:r>
      <w:r w:rsidR="006164C8">
        <w:t xml:space="preserve"> </w:t>
      </w:r>
      <w:r>
        <w:t>I have previously testified in Docket</w:t>
      </w:r>
      <w:r w:rsidR="006164C8">
        <w:t xml:space="preserve"> </w:t>
      </w:r>
      <w:r>
        <w:t xml:space="preserve">UT-950200 </w:t>
      </w:r>
      <w:r w:rsidR="006164C8">
        <w:t xml:space="preserve">involving </w:t>
      </w:r>
      <w:r w:rsidR="00054F80">
        <w:t>U S WEST Communications, Inc.’s request for</w:t>
      </w:r>
      <w:r w:rsidR="00AC4C38">
        <w:t xml:space="preserve"> late payment fees</w:t>
      </w:r>
      <w:r w:rsidR="00054F80">
        <w:t xml:space="preserve"> </w:t>
      </w:r>
      <w:r>
        <w:t xml:space="preserve">and have presented a number of items </w:t>
      </w:r>
      <w:r w:rsidR="006164C8">
        <w:t xml:space="preserve">at </w:t>
      </w:r>
      <w:r>
        <w:t xml:space="preserve">open </w:t>
      </w:r>
      <w:r w:rsidR="006164C8">
        <w:t xml:space="preserve">public </w:t>
      </w:r>
      <w:r>
        <w:t>meetings.</w:t>
      </w:r>
      <w:r w:rsidR="00A7284E">
        <w:t xml:space="preserve"> </w:t>
      </w:r>
      <w:r w:rsidR="00843B21">
        <w:t xml:space="preserve"> </w:t>
      </w:r>
      <w:r w:rsidR="00A7284E">
        <w:t>I have also testified in Docket</w:t>
      </w:r>
      <w:r w:rsidR="00051AFA">
        <w:t>s</w:t>
      </w:r>
      <w:r w:rsidR="00A7284E">
        <w:t xml:space="preserve"> UE-072300 and UG-072301 regarding </w:t>
      </w:r>
      <w:r w:rsidR="00843B21">
        <w:t>S</w:t>
      </w:r>
      <w:r w:rsidR="00A7284E">
        <w:t xml:space="preserve">ervice </w:t>
      </w:r>
      <w:r w:rsidR="00843B21">
        <w:t>Q</w:t>
      </w:r>
      <w:r w:rsidR="00A7284E">
        <w:t xml:space="preserve">uality </w:t>
      </w:r>
      <w:r w:rsidR="00843B21">
        <w:t>I</w:t>
      </w:r>
      <w:r w:rsidR="00A7284E">
        <w:t>ndex</w:t>
      </w:r>
      <w:r w:rsidR="007E5D86">
        <w:t xml:space="preserve"> (</w:t>
      </w:r>
      <w:r w:rsidR="00843B21">
        <w:t>“</w:t>
      </w:r>
      <w:r w:rsidR="007E5D86">
        <w:t>SQI</w:t>
      </w:r>
      <w:r w:rsidR="00843B21">
        <w:t>”</w:t>
      </w:r>
      <w:r w:rsidR="007E5D86">
        <w:t>)</w:t>
      </w:r>
      <w:r w:rsidR="00A7284E">
        <w:t xml:space="preserve"> </w:t>
      </w:r>
      <w:r w:rsidR="00843B21">
        <w:t xml:space="preserve">program </w:t>
      </w:r>
      <w:r w:rsidR="00A7284E">
        <w:t>modifications</w:t>
      </w:r>
      <w:r w:rsidR="00051AFA">
        <w:t xml:space="preserve"> for Puget Sound Energy, Inc. (</w:t>
      </w:r>
      <w:r w:rsidR="0089125D">
        <w:t>“</w:t>
      </w:r>
      <w:r w:rsidR="00051AFA">
        <w:t>PSE” or the “Company”)</w:t>
      </w:r>
      <w:r w:rsidR="00A7284E">
        <w:t>.</w:t>
      </w:r>
    </w:p>
    <w:p w:rsidR="00CD191E" w:rsidRDefault="00CD191E" w:rsidP="00CC332E">
      <w:pPr>
        <w:pStyle w:val="NoSpacing"/>
        <w:spacing w:line="480" w:lineRule="auto"/>
      </w:pPr>
    </w:p>
    <w:p w:rsidR="00CD191E" w:rsidRPr="00C66D9B" w:rsidRDefault="00CD191E" w:rsidP="00CC332E">
      <w:pPr>
        <w:pStyle w:val="NoSpacing"/>
        <w:numPr>
          <w:ilvl w:val="0"/>
          <w:numId w:val="5"/>
        </w:numPr>
        <w:spacing w:line="480" w:lineRule="auto"/>
        <w:jc w:val="center"/>
        <w:rPr>
          <w:b/>
        </w:rPr>
      </w:pPr>
      <w:r w:rsidRPr="00C66D9B">
        <w:rPr>
          <w:b/>
        </w:rPr>
        <w:t>PURPOSE AND SUMMARY OF TESTIMONY</w:t>
      </w:r>
    </w:p>
    <w:p w:rsidR="00CD191E" w:rsidRDefault="00CD191E" w:rsidP="00CC332E">
      <w:pPr>
        <w:pStyle w:val="NoSpacing"/>
        <w:spacing w:line="480" w:lineRule="auto"/>
      </w:pPr>
    </w:p>
    <w:p w:rsidR="00CD191E" w:rsidRPr="00FE7B93" w:rsidRDefault="00CD191E" w:rsidP="002B7C98">
      <w:pPr>
        <w:pStyle w:val="NoSpacing"/>
        <w:spacing w:line="480" w:lineRule="auto"/>
        <w:ind w:left="720" w:hanging="720"/>
        <w:rPr>
          <w:b/>
        </w:rPr>
      </w:pPr>
      <w:r>
        <w:rPr>
          <w:b/>
        </w:rPr>
        <w:t>Q.</w:t>
      </w:r>
      <w:r>
        <w:rPr>
          <w:b/>
        </w:rPr>
        <w:tab/>
        <w:t>What is the purpose of your testimony?</w:t>
      </w:r>
    </w:p>
    <w:p w:rsidR="009554F0" w:rsidRDefault="00CD191E" w:rsidP="00C74D07">
      <w:pPr>
        <w:pStyle w:val="NoSpacing"/>
        <w:spacing w:line="480" w:lineRule="auto"/>
        <w:ind w:left="720" w:hanging="720"/>
      </w:pPr>
      <w:r>
        <w:t>A.</w:t>
      </w:r>
      <w:r>
        <w:rPr>
          <w:b/>
        </w:rPr>
        <w:tab/>
      </w:r>
      <w:r>
        <w:t xml:space="preserve">The purpose of my testimony is </w:t>
      </w:r>
      <w:r w:rsidR="00AA0105">
        <w:t>two-fold</w:t>
      </w:r>
      <w:r w:rsidR="009554F0">
        <w:t>.  First,</w:t>
      </w:r>
      <w:r w:rsidR="00AA0105">
        <w:t xml:space="preserve"> </w:t>
      </w:r>
      <w:r w:rsidR="00051AFA">
        <w:t xml:space="preserve">I respond to </w:t>
      </w:r>
      <w:r w:rsidR="0089125D">
        <w:t>PSE</w:t>
      </w:r>
      <w:r w:rsidR="00051AFA">
        <w:t>’s request to eliminate</w:t>
      </w:r>
      <w:r w:rsidR="007E5D86">
        <w:t xml:space="preserve"> SQI- 9</w:t>
      </w:r>
      <w:r w:rsidR="00843B21">
        <w:t>:</w:t>
      </w:r>
      <w:r w:rsidR="00051AFA">
        <w:t xml:space="preserve"> Disconnection Ratio</w:t>
      </w:r>
      <w:r w:rsidR="00C750AB">
        <w:t xml:space="preserve"> (“SQI-9”)</w:t>
      </w:r>
      <w:r w:rsidR="009554F0">
        <w:t xml:space="preserve">.  </w:t>
      </w:r>
    </w:p>
    <w:p w:rsidR="00E5047B" w:rsidRDefault="009554F0" w:rsidP="00C66D9B">
      <w:pPr>
        <w:pStyle w:val="NoSpacing"/>
        <w:spacing w:line="480" w:lineRule="auto"/>
        <w:ind w:left="720" w:firstLine="720"/>
      </w:pPr>
      <w:r>
        <w:t xml:space="preserve">Second, </w:t>
      </w:r>
      <w:r w:rsidR="00843B21">
        <w:t>I recommend</w:t>
      </w:r>
      <w:r w:rsidR="00051AFA">
        <w:t xml:space="preserve"> modifications </w:t>
      </w:r>
      <w:r w:rsidR="00843B21">
        <w:t xml:space="preserve">to the Company’s </w:t>
      </w:r>
      <w:r w:rsidR="00E5047B">
        <w:t xml:space="preserve">Meter and Billing Performance </w:t>
      </w:r>
      <w:r>
        <w:t xml:space="preserve">Plan </w:t>
      </w:r>
      <w:r w:rsidR="00E5047B">
        <w:t>approved by the Commission on October 8, 2008 in Docke</w:t>
      </w:r>
      <w:r w:rsidR="00C750AB">
        <w:t>ts</w:t>
      </w:r>
      <w:r w:rsidR="00E5047B">
        <w:t xml:space="preserve"> UE-072300 and UG-072301 (Order 12</w:t>
      </w:r>
      <w:r w:rsidR="00890D77">
        <w:t>, Appendix D</w:t>
      </w:r>
      <w:r w:rsidR="00E5047B">
        <w:t>)</w:t>
      </w:r>
      <w:r w:rsidR="00890D77">
        <w:t xml:space="preserve"> (“2007 Rate Case”)</w:t>
      </w:r>
      <w:r w:rsidR="00E5047B">
        <w:t xml:space="preserve">.  </w:t>
      </w:r>
    </w:p>
    <w:p w:rsidR="00782DBC" w:rsidRDefault="00782DBC" w:rsidP="006055D6">
      <w:pPr>
        <w:pStyle w:val="NoSpacing"/>
        <w:spacing w:line="480" w:lineRule="auto"/>
      </w:pPr>
    </w:p>
    <w:p w:rsidR="00782DBC" w:rsidRPr="006055D6" w:rsidRDefault="003303B5" w:rsidP="006055D6">
      <w:pPr>
        <w:pStyle w:val="NoSpacing"/>
        <w:spacing w:line="480" w:lineRule="auto"/>
        <w:ind w:left="720" w:hanging="720"/>
        <w:rPr>
          <w:b/>
        </w:rPr>
      </w:pPr>
      <w:r w:rsidRPr="006055D6">
        <w:rPr>
          <w:b/>
        </w:rPr>
        <w:t>Q.</w:t>
      </w:r>
      <w:r w:rsidRPr="006055D6">
        <w:rPr>
          <w:b/>
        </w:rPr>
        <w:tab/>
        <w:t>Please summarize your recommendation regarding the Company’s proposal to eliminate</w:t>
      </w:r>
      <w:r w:rsidR="00890D77">
        <w:rPr>
          <w:b/>
        </w:rPr>
        <w:t xml:space="preserve"> SQI-9</w:t>
      </w:r>
      <w:r w:rsidRPr="006055D6">
        <w:rPr>
          <w:b/>
        </w:rPr>
        <w:t>.</w:t>
      </w:r>
    </w:p>
    <w:p w:rsidR="00782DBC" w:rsidRDefault="00E5047B" w:rsidP="006055D6">
      <w:pPr>
        <w:pStyle w:val="NoSpacing"/>
        <w:spacing w:line="480" w:lineRule="auto"/>
        <w:ind w:left="720" w:hanging="720"/>
      </w:pPr>
      <w:r>
        <w:lastRenderedPageBreak/>
        <w:t>A.</w:t>
      </w:r>
      <w:r>
        <w:tab/>
      </w:r>
      <w:r w:rsidR="00782DBC">
        <w:t>SQI-9</w:t>
      </w:r>
      <w:r w:rsidR="00C750AB">
        <w:t xml:space="preserve"> </w:t>
      </w:r>
      <w:r w:rsidR="00782DBC">
        <w:t xml:space="preserve">interferes with public policies underlying existing Commission rules to the detriment of the general body of ratepayers.  Therefore, </w:t>
      </w:r>
      <w:r w:rsidR="00843B21">
        <w:t>I support the Company’s proposal to eliminate SQI- 9</w:t>
      </w:r>
      <w:r w:rsidR="009554F0">
        <w:t xml:space="preserve"> and recommend that the Commission grant the request</w:t>
      </w:r>
      <w:r w:rsidR="00843B21">
        <w:t>.</w:t>
      </w:r>
      <w:r w:rsidR="00782DBC">
        <w:t xml:space="preserve">  </w:t>
      </w:r>
    </w:p>
    <w:p w:rsidR="00782DBC" w:rsidRDefault="00782DBC" w:rsidP="006055D6">
      <w:pPr>
        <w:pStyle w:val="NoSpacing"/>
        <w:spacing w:line="480" w:lineRule="auto"/>
        <w:ind w:left="720" w:hanging="720"/>
      </w:pPr>
    </w:p>
    <w:p w:rsidR="00782DBC" w:rsidRPr="006055D6" w:rsidRDefault="003303B5" w:rsidP="006055D6">
      <w:pPr>
        <w:pStyle w:val="NoSpacing"/>
        <w:spacing w:line="480" w:lineRule="auto"/>
        <w:ind w:left="720" w:hanging="720"/>
        <w:rPr>
          <w:b/>
        </w:rPr>
      </w:pPr>
      <w:r w:rsidRPr="006055D6">
        <w:rPr>
          <w:b/>
        </w:rPr>
        <w:t>Q.</w:t>
      </w:r>
      <w:r w:rsidRPr="006055D6">
        <w:rPr>
          <w:b/>
        </w:rPr>
        <w:tab/>
        <w:t xml:space="preserve">Please summarize </w:t>
      </w:r>
      <w:r w:rsidR="00890D77">
        <w:rPr>
          <w:b/>
        </w:rPr>
        <w:t xml:space="preserve">the context of your recommendation to </w:t>
      </w:r>
      <w:r w:rsidRPr="006055D6">
        <w:rPr>
          <w:b/>
        </w:rPr>
        <w:t>modi</w:t>
      </w:r>
      <w:r w:rsidR="00890D77">
        <w:rPr>
          <w:b/>
        </w:rPr>
        <w:t xml:space="preserve">fy </w:t>
      </w:r>
      <w:r w:rsidRPr="006055D6">
        <w:rPr>
          <w:b/>
        </w:rPr>
        <w:t xml:space="preserve">the Meter and Billing Performance </w:t>
      </w:r>
      <w:r w:rsidR="009554F0">
        <w:rPr>
          <w:b/>
        </w:rPr>
        <w:t>Plan</w:t>
      </w:r>
      <w:r w:rsidR="00E5047B">
        <w:rPr>
          <w:b/>
        </w:rPr>
        <w:t>.</w:t>
      </w:r>
      <w:r w:rsidRPr="006055D6">
        <w:rPr>
          <w:b/>
        </w:rPr>
        <w:t xml:space="preserve"> </w:t>
      </w:r>
    </w:p>
    <w:p w:rsidR="00782DBC" w:rsidRDefault="00E5047B" w:rsidP="006055D6">
      <w:pPr>
        <w:pStyle w:val="NoSpacing"/>
        <w:spacing w:line="480" w:lineRule="auto"/>
        <w:ind w:left="720" w:hanging="720"/>
      </w:pPr>
      <w:r>
        <w:t>A.</w:t>
      </w:r>
      <w:r>
        <w:tab/>
      </w:r>
      <w:r w:rsidR="00890D77">
        <w:t>In the 2007 R</w:t>
      </w:r>
      <w:r>
        <w:t xml:space="preserve">ate </w:t>
      </w:r>
      <w:r w:rsidR="00890D77">
        <w:t>C</w:t>
      </w:r>
      <w:r>
        <w:t>ase,</w:t>
      </w:r>
      <w:r w:rsidR="006055D6">
        <w:t xml:space="preserve"> </w:t>
      </w:r>
      <w:r w:rsidR="00322041">
        <w:t>S</w:t>
      </w:r>
      <w:r w:rsidR="00CB161A">
        <w:t xml:space="preserve">taff </w:t>
      </w:r>
      <w:r>
        <w:t xml:space="preserve">identified </w:t>
      </w:r>
      <w:r w:rsidR="00CB161A">
        <w:t xml:space="preserve">ongoing problems </w:t>
      </w:r>
      <w:r>
        <w:t xml:space="preserve">with </w:t>
      </w:r>
      <w:r w:rsidR="00451261">
        <w:t>back</w:t>
      </w:r>
      <w:r w:rsidR="00782DBC">
        <w:t>-</w:t>
      </w:r>
      <w:r w:rsidR="00451261">
        <w:t xml:space="preserve">billing of </w:t>
      </w:r>
      <w:r>
        <w:t xml:space="preserve">electric and natural gas </w:t>
      </w:r>
      <w:r w:rsidR="00CB161A">
        <w:t xml:space="preserve">customers </w:t>
      </w:r>
      <w:r>
        <w:t xml:space="preserve">as a result </w:t>
      </w:r>
      <w:r w:rsidR="006925FB">
        <w:t>of wide</w:t>
      </w:r>
      <w:r w:rsidR="00CB161A">
        <w:t xml:space="preserve">-spread </w:t>
      </w:r>
      <w:r>
        <w:t>i</w:t>
      </w:r>
      <w:r w:rsidR="002C0216">
        <w:t>naccurate</w:t>
      </w:r>
      <w:r>
        <w:t xml:space="preserve"> metering of energy usage</w:t>
      </w:r>
      <w:r w:rsidR="00CB161A">
        <w:t xml:space="preserve"> by PSE</w:t>
      </w:r>
      <w:r>
        <w:t xml:space="preserve">.  </w:t>
      </w:r>
      <w:r w:rsidR="00843B21">
        <w:t xml:space="preserve">The Commission </w:t>
      </w:r>
      <w:r w:rsidR="00322041">
        <w:t xml:space="preserve">approved a settlement agreement that </w:t>
      </w:r>
      <w:r w:rsidR="00843B21">
        <w:t>established</w:t>
      </w:r>
      <w:r w:rsidR="00322041">
        <w:t xml:space="preserve"> </w:t>
      </w:r>
      <w:r w:rsidR="002705F5">
        <w:t xml:space="preserve">Meter and Billing Performance </w:t>
      </w:r>
      <w:r>
        <w:t>stand</w:t>
      </w:r>
      <w:r w:rsidR="00AA0105">
        <w:t xml:space="preserve">ards </w:t>
      </w:r>
      <w:r w:rsidR="00322041">
        <w:t>designed to make</w:t>
      </w:r>
      <w:r w:rsidR="00843B21">
        <w:t xml:space="preserve"> </w:t>
      </w:r>
      <w:r w:rsidR="00AA0105">
        <w:t xml:space="preserve">PSE </w:t>
      </w:r>
      <w:r w:rsidR="00322041">
        <w:t xml:space="preserve">more promptly </w:t>
      </w:r>
      <w:r w:rsidR="00451261">
        <w:t>identify</w:t>
      </w:r>
      <w:r w:rsidR="00AA0105">
        <w:t xml:space="preserve"> and c</w:t>
      </w:r>
      <w:r w:rsidR="00322041">
        <w:t>orrect</w:t>
      </w:r>
      <w:r w:rsidR="00AA0105">
        <w:t xml:space="preserve"> </w:t>
      </w:r>
      <w:r w:rsidR="00322041">
        <w:t xml:space="preserve">the </w:t>
      </w:r>
      <w:r w:rsidR="00AA0105">
        <w:t>meter problems</w:t>
      </w:r>
      <w:r w:rsidR="00843B21">
        <w:t xml:space="preserve"> </w:t>
      </w:r>
      <w:r w:rsidR="00CB161A">
        <w:t xml:space="preserve">that were </w:t>
      </w:r>
      <w:r w:rsidR="00322041">
        <w:t>causing</w:t>
      </w:r>
      <w:r w:rsidR="00CB161A">
        <w:t xml:space="preserve"> the </w:t>
      </w:r>
      <w:r w:rsidR="00322041">
        <w:t>C</w:t>
      </w:r>
      <w:r w:rsidR="00CB161A">
        <w:t xml:space="preserve">ompany’s </w:t>
      </w:r>
      <w:r w:rsidR="00AA0105">
        <w:t>bill</w:t>
      </w:r>
      <w:r w:rsidR="00CB161A">
        <w:t xml:space="preserve">ing </w:t>
      </w:r>
      <w:r w:rsidR="006925FB">
        <w:t>problems</w:t>
      </w:r>
      <w:r w:rsidR="00322041">
        <w:t>.  The Meter and Billing Performance standards were as follows</w:t>
      </w:r>
      <w:r w:rsidR="00451261">
        <w:t>:</w:t>
      </w:r>
    </w:p>
    <w:p w:rsidR="00A02E7D" w:rsidRDefault="00A02E7D" w:rsidP="00A02E7D">
      <w:pPr>
        <w:pStyle w:val="NoSpacing"/>
        <w:numPr>
          <w:ilvl w:val="0"/>
          <w:numId w:val="12"/>
        </w:numPr>
        <w:spacing w:line="480" w:lineRule="auto"/>
      </w:pPr>
      <w:r>
        <w:t xml:space="preserve">Gas meters: </w:t>
      </w:r>
      <w:r w:rsidR="0089125D">
        <w:t xml:space="preserve">correct </w:t>
      </w:r>
      <w:r>
        <w:t>100 percent within four months of identification; 75 percent of identified gas meter problems will be corrected within two months.</w:t>
      </w:r>
    </w:p>
    <w:p w:rsidR="006E387A" w:rsidRDefault="00A02E7D" w:rsidP="001C0FF7">
      <w:pPr>
        <w:pStyle w:val="NoSpacing"/>
        <w:numPr>
          <w:ilvl w:val="0"/>
          <w:numId w:val="12"/>
        </w:numPr>
        <w:spacing w:line="480" w:lineRule="auto"/>
      </w:pPr>
      <w:r>
        <w:t xml:space="preserve">Electric meters: </w:t>
      </w:r>
      <w:r w:rsidR="004312A0">
        <w:t xml:space="preserve">correct </w:t>
      </w:r>
      <w:r>
        <w:t xml:space="preserve">100 percent within two months of identification; 50 percent </w:t>
      </w:r>
      <w:r w:rsidR="00C750AB">
        <w:t>of identified electric</w:t>
      </w:r>
      <w:r w:rsidR="0089125D">
        <w:t xml:space="preserve"> meter problems </w:t>
      </w:r>
      <w:r>
        <w:t>will be corrected within one month.</w:t>
      </w:r>
    </w:p>
    <w:p w:rsidR="006E387A" w:rsidRDefault="00051295" w:rsidP="008827A8">
      <w:pPr>
        <w:pStyle w:val="NoSpacing"/>
        <w:spacing w:line="480" w:lineRule="auto"/>
        <w:ind w:left="720" w:firstLine="720"/>
      </w:pPr>
      <w:r>
        <w:t>Staff expected th</w:t>
      </w:r>
      <w:r w:rsidR="00782DBC">
        <w:t>at</w:t>
      </w:r>
      <w:r w:rsidR="00CB161A">
        <w:t xml:space="preserve"> if </w:t>
      </w:r>
      <w:r w:rsidR="00322041">
        <w:t xml:space="preserve">PSE </w:t>
      </w:r>
      <w:r w:rsidR="00CB161A">
        <w:t>met these standards,</w:t>
      </w:r>
      <w:r w:rsidR="00782DBC">
        <w:t xml:space="preserve"> the </w:t>
      </w:r>
      <w:r w:rsidR="00CA7335">
        <w:t xml:space="preserve">number of electric </w:t>
      </w:r>
      <w:r w:rsidR="0089125D">
        <w:t xml:space="preserve">back </w:t>
      </w:r>
      <w:r w:rsidR="00CA7335">
        <w:t>bills exceeding four months</w:t>
      </w:r>
      <w:r w:rsidR="00782DBC">
        <w:t xml:space="preserve"> </w:t>
      </w:r>
      <w:r w:rsidR="00CA7335">
        <w:t xml:space="preserve">and the number of gas </w:t>
      </w:r>
      <w:r w:rsidR="0089125D">
        <w:t xml:space="preserve">back </w:t>
      </w:r>
      <w:r w:rsidR="00CA7335">
        <w:t>bills exceeding six months</w:t>
      </w:r>
      <w:r>
        <w:t xml:space="preserve"> would decline over time</w:t>
      </w:r>
      <w:r w:rsidR="00CA7335">
        <w:t>.</w:t>
      </w:r>
      <w:r>
        <w:t xml:space="preserve">  However, t</w:t>
      </w:r>
      <w:r w:rsidR="00A02E7D">
        <w:t xml:space="preserve">wo years of </w:t>
      </w:r>
      <w:r>
        <w:t xml:space="preserve">data from </w:t>
      </w:r>
      <w:r w:rsidR="00A02E7D">
        <w:t xml:space="preserve">PSE </w:t>
      </w:r>
      <w:r w:rsidR="00782DBC">
        <w:t>r</w:t>
      </w:r>
      <w:r w:rsidR="00A02E7D">
        <w:t xml:space="preserve">eports shows the </w:t>
      </w:r>
      <w:r w:rsidR="00CA7335">
        <w:t xml:space="preserve">number of electric </w:t>
      </w:r>
      <w:r w:rsidR="0089125D">
        <w:t xml:space="preserve">back </w:t>
      </w:r>
      <w:r w:rsidR="00CA7335">
        <w:t>bills greater than four months has remained between 15</w:t>
      </w:r>
      <w:r w:rsidR="0089125D">
        <w:t>-</w:t>
      </w:r>
      <w:r w:rsidR="00CA7335">
        <w:t>19 percent of the total back bill</w:t>
      </w:r>
      <w:r w:rsidR="00435343">
        <w:t>s</w:t>
      </w:r>
      <w:r w:rsidR="00CA7335">
        <w:t xml:space="preserve"> and the number of gas </w:t>
      </w:r>
      <w:r w:rsidR="0089125D">
        <w:t xml:space="preserve">back </w:t>
      </w:r>
      <w:r w:rsidR="00CA7335">
        <w:t xml:space="preserve">bills greater than six months </w:t>
      </w:r>
      <w:r w:rsidR="0089125D">
        <w:t xml:space="preserve">has also </w:t>
      </w:r>
      <w:r w:rsidR="00CA7335">
        <w:t>remained between</w:t>
      </w:r>
      <w:r w:rsidR="000C5C13">
        <w:t xml:space="preserve"> 15</w:t>
      </w:r>
      <w:r w:rsidR="0089125D">
        <w:t>-</w:t>
      </w:r>
      <w:r w:rsidR="000C5C13">
        <w:t>19 percent of the total back bills</w:t>
      </w:r>
      <w:r w:rsidR="00A02E7D">
        <w:t xml:space="preserve">. </w:t>
      </w:r>
      <w:r>
        <w:t xml:space="preserve"> </w:t>
      </w:r>
      <w:r w:rsidR="009554F0">
        <w:t>T</w:t>
      </w:r>
      <w:r w:rsidR="000C5C13">
        <w:t xml:space="preserve">his is </w:t>
      </w:r>
      <w:r w:rsidR="0089125D">
        <w:t xml:space="preserve">not </w:t>
      </w:r>
      <w:r w:rsidR="000C5C13">
        <w:lastRenderedPageBreak/>
        <w:t xml:space="preserve">acceptable. </w:t>
      </w:r>
      <w:r w:rsidR="0089125D">
        <w:t xml:space="preserve"> </w:t>
      </w:r>
      <w:r w:rsidR="002705F5">
        <w:t xml:space="preserve">Therefore, I recommend modifications to the </w:t>
      </w:r>
      <w:r w:rsidR="002705F5" w:rsidRPr="003303B5">
        <w:t>Meter and Bi</w:t>
      </w:r>
      <w:r w:rsidR="002705F5">
        <w:t>lling Performance standards to reduce the number and duration of back-bills.</w:t>
      </w:r>
    </w:p>
    <w:p w:rsidR="00782DBC" w:rsidRDefault="00782DBC" w:rsidP="006055D6">
      <w:pPr>
        <w:pStyle w:val="NoSpacing"/>
        <w:spacing w:line="480" w:lineRule="auto"/>
      </w:pPr>
    </w:p>
    <w:p w:rsidR="00782DBC" w:rsidRDefault="002705F5" w:rsidP="006055D6">
      <w:pPr>
        <w:pStyle w:val="NoSpacing"/>
        <w:spacing w:line="480" w:lineRule="auto"/>
        <w:ind w:left="720" w:hanging="720"/>
        <w:rPr>
          <w:b/>
        </w:rPr>
      </w:pPr>
      <w:r>
        <w:rPr>
          <w:b/>
        </w:rPr>
        <w:t>Q.</w:t>
      </w:r>
      <w:r>
        <w:rPr>
          <w:b/>
        </w:rPr>
        <w:tab/>
        <w:t>Please summarize your recommended modifications</w:t>
      </w:r>
      <w:r w:rsidR="003303B5" w:rsidRPr="006055D6">
        <w:rPr>
          <w:b/>
        </w:rPr>
        <w:t>.</w:t>
      </w:r>
    </w:p>
    <w:p w:rsidR="00782DBC" w:rsidRDefault="00890D77" w:rsidP="006055D6">
      <w:pPr>
        <w:pStyle w:val="NoSpacing"/>
        <w:spacing w:line="480" w:lineRule="auto"/>
        <w:ind w:left="720" w:hanging="720"/>
      </w:pPr>
      <w:r>
        <w:t>A.</w:t>
      </w:r>
      <w:r>
        <w:tab/>
      </w:r>
      <w:r w:rsidR="00051295">
        <w:t xml:space="preserve">I recommend the following modifications to the </w:t>
      </w:r>
      <w:r w:rsidR="003303B5" w:rsidRPr="006055D6">
        <w:t>Meter and Billing Performance program</w:t>
      </w:r>
      <w:r>
        <w:t xml:space="preserve"> that was adopted in the 2007 Rate Case</w:t>
      </w:r>
      <w:r w:rsidR="00051295">
        <w:t>:</w:t>
      </w:r>
    </w:p>
    <w:p w:rsidR="00782DBC" w:rsidRDefault="00890D77" w:rsidP="006055D6">
      <w:pPr>
        <w:pStyle w:val="NoSpacing"/>
        <w:numPr>
          <w:ilvl w:val="0"/>
          <w:numId w:val="19"/>
        </w:numPr>
        <w:spacing w:line="480" w:lineRule="auto"/>
      </w:pPr>
      <w:r>
        <w:t>G</w:t>
      </w:r>
      <w:r w:rsidR="00051295">
        <w:t xml:space="preserve">as meters: 100 percent </w:t>
      </w:r>
      <w:r w:rsidR="0066643E">
        <w:t xml:space="preserve">of all </w:t>
      </w:r>
      <w:r w:rsidR="0018571D">
        <w:t>stopped meters</w:t>
      </w:r>
      <w:r w:rsidR="0066643E">
        <w:t xml:space="preserve"> and unassigned</w:t>
      </w:r>
      <w:r w:rsidR="00C56B78">
        <w:t xml:space="preserve"> usage</w:t>
      </w:r>
      <w:r w:rsidR="0066643E">
        <w:t xml:space="preserve"> meters must be </w:t>
      </w:r>
      <w:r w:rsidR="00051295">
        <w:t>identified and corrected within six months</w:t>
      </w:r>
      <w:r w:rsidR="000A716B">
        <w:t xml:space="preserve"> </w:t>
      </w:r>
      <w:r w:rsidR="00D84216">
        <w:t>from</w:t>
      </w:r>
      <w:r w:rsidR="000A716B">
        <w:t xml:space="preserve"> the </w:t>
      </w:r>
      <w:r w:rsidR="00D84216">
        <w:t xml:space="preserve">initial </w:t>
      </w:r>
      <w:r w:rsidR="003C3407">
        <w:t>occurrence</w:t>
      </w:r>
      <w:r w:rsidR="00D84216">
        <w:t xml:space="preserve"> of the </w:t>
      </w:r>
      <w:r w:rsidR="000A716B">
        <w:t>problem</w:t>
      </w:r>
      <w:r w:rsidR="004A3608">
        <w:t>:</w:t>
      </w:r>
      <w:r w:rsidR="00E62614">
        <w:rPr>
          <w:rStyle w:val="FootnoteReference"/>
        </w:rPr>
        <w:footnoteReference w:id="1"/>
      </w:r>
      <w:r w:rsidR="00051295">
        <w:t xml:space="preserve"> 75 percent of identified gas meter problems </w:t>
      </w:r>
      <w:r w:rsidR="00435343">
        <w:t>must</w:t>
      </w:r>
      <w:r w:rsidR="00051295">
        <w:t xml:space="preserve"> be corrected within two months</w:t>
      </w:r>
      <w:r w:rsidR="006D2FA4">
        <w:t xml:space="preserve"> from the initial </w:t>
      </w:r>
      <w:r w:rsidR="003C3407">
        <w:t>occurrence</w:t>
      </w:r>
      <w:r w:rsidR="006D2FA4">
        <w:t xml:space="preserve"> of the problem</w:t>
      </w:r>
      <w:r w:rsidR="00051295">
        <w:t>.</w:t>
      </w:r>
    </w:p>
    <w:p w:rsidR="00782DBC" w:rsidRDefault="00051295" w:rsidP="006055D6">
      <w:pPr>
        <w:pStyle w:val="NoSpacing"/>
        <w:numPr>
          <w:ilvl w:val="0"/>
          <w:numId w:val="19"/>
        </w:numPr>
        <w:spacing w:line="480" w:lineRule="auto"/>
      </w:pPr>
      <w:r>
        <w:t>Electric meters: 100 percent</w:t>
      </w:r>
      <w:r w:rsidR="0066643E">
        <w:t xml:space="preserve"> of all </w:t>
      </w:r>
      <w:r w:rsidR="0018571D">
        <w:t>stopped meters</w:t>
      </w:r>
      <w:r w:rsidR="0066643E">
        <w:t xml:space="preserve"> and unassigned </w:t>
      </w:r>
      <w:r w:rsidR="00C56B78">
        <w:t xml:space="preserve">usage </w:t>
      </w:r>
      <w:r w:rsidR="0066643E">
        <w:t>meters must be</w:t>
      </w:r>
      <w:r>
        <w:t xml:space="preserve"> identified and corrected within four </w:t>
      </w:r>
      <w:r w:rsidR="003C3407">
        <w:t>months from</w:t>
      </w:r>
      <w:r w:rsidR="00B54E36">
        <w:t xml:space="preserve"> the </w:t>
      </w:r>
      <w:r w:rsidR="00D84216">
        <w:t xml:space="preserve">initial </w:t>
      </w:r>
      <w:r w:rsidR="003C3407">
        <w:t>occurrence</w:t>
      </w:r>
      <w:r w:rsidR="00D84216">
        <w:t xml:space="preserve"> of the </w:t>
      </w:r>
      <w:r w:rsidR="003C3407">
        <w:t>problem;</w:t>
      </w:r>
      <w:r>
        <w:t xml:space="preserve"> 50 percent </w:t>
      </w:r>
      <w:r w:rsidR="00C750AB">
        <w:t xml:space="preserve">of identified electric meter problems </w:t>
      </w:r>
      <w:r w:rsidR="00435343">
        <w:t>must</w:t>
      </w:r>
      <w:r>
        <w:t xml:space="preserve"> be corrected within one month</w:t>
      </w:r>
      <w:r w:rsidR="006D2FA4">
        <w:t xml:space="preserve"> from the initial </w:t>
      </w:r>
      <w:r w:rsidR="003C3407">
        <w:t>occurrence</w:t>
      </w:r>
      <w:r w:rsidR="006D2FA4">
        <w:t xml:space="preserve"> of the problem</w:t>
      </w:r>
      <w:r>
        <w:t>.</w:t>
      </w:r>
    </w:p>
    <w:p w:rsidR="000A53E3" w:rsidRDefault="00397D69" w:rsidP="006D2FA4">
      <w:pPr>
        <w:pStyle w:val="NoSpacing"/>
        <w:spacing w:line="480" w:lineRule="auto"/>
        <w:ind w:left="720"/>
      </w:pPr>
      <w:r>
        <w:t>I will define a</w:t>
      </w:r>
      <w:r w:rsidR="0018571D">
        <w:t xml:space="preserve"> </w:t>
      </w:r>
      <w:r w:rsidR="006D2FA4">
        <w:t>“</w:t>
      </w:r>
      <w:r w:rsidR="0018571D">
        <w:t>stopped meter</w:t>
      </w:r>
      <w:r w:rsidR="006D2FA4">
        <w:t>”</w:t>
      </w:r>
      <w:r w:rsidR="0018571D">
        <w:t xml:space="preserve"> </w:t>
      </w:r>
      <w:r>
        <w:t xml:space="preserve">and an </w:t>
      </w:r>
      <w:r w:rsidR="006D2FA4">
        <w:t>“</w:t>
      </w:r>
      <w:r w:rsidR="0018571D">
        <w:t>unassigned meter</w:t>
      </w:r>
      <w:r w:rsidR="006D2FA4">
        <w:t>”</w:t>
      </w:r>
      <w:r w:rsidR="0018571D">
        <w:t xml:space="preserve"> </w:t>
      </w:r>
      <w:r>
        <w:t>later in my testimony</w:t>
      </w:r>
      <w:r w:rsidR="0018571D">
        <w:t>.</w:t>
      </w:r>
    </w:p>
    <w:p w:rsidR="00782DBC" w:rsidRDefault="00782DBC" w:rsidP="006055D6">
      <w:pPr>
        <w:pStyle w:val="NoSpacing"/>
        <w:spacing w:line="480" w:lineRule="auto"/>
      </w:pPr>
    </w:p>
    <w:p w:rsidR="002B271E" w:rsidRDefault="002B271E" w:rsidP="00775549">
      <w:pPr>
        <w:pStyle w:val="NoSpacing"/>
        <w:spacing w:line="480" w:lineRule="auto"/>
      </w:pPr>
      <w:r>
        <w:rPr>
          <w:b/>
        </w:rPr>
        <w:t xml:space="preserve">Q. </w:t>
      </w:r>
      <w:r>
        <w:rPr>
          <w:b/>
        </w:rPr>
        <w:tab/>
        <w:t xml:space="preserve">Are you sponsoring any exhibits in </w:t>
      </w:r>
      <w:r w:rsidR="006D2FA4">
        <w:rPr>
          <w:b/>
        </w:rPr>
        <w:t>support of your testimony</w:t>
      </w:r>
      <w:r>
        <w:rPr>
          <w:b/>
        </w:rPr>
        <w:t>?</w:t>
      </w:r>
    </w:p>
    <w:p w:rsidR="002B271E" w:rsidRDefault="002B271E" w:rsidP="007D57CD">
      <w:pPr>
        <w:pStyle w:val="NoSpacing"/>
        <w:spacing w:line="480" w:lineRule="auto"/>
      </w:pPr>
      <w:r>
        <w:t>A.</w:t>
      </w:r>
      <w:r>
        <w:tab/>
        <w:t xml:space="preserve">Yes, I </w:t>
      </w:r>
      <w:r w:rsidR="00CC332E">
        <w:t>sponsor the following exhibits:</w:t>
      </w:r>
    </w:p>
    <w:p w:rsidR="006E387A" w:rsidRDefault="002B271E" w:rsidP="008827A8">
      <w:pPr>
        <w:pStyle w:val="NoSpacing"/>
        <w:ind w:left="720"/>
      </w:pPr>
      <w:r>
        <w:t>Exhibit No. ___</w:t>
      </w:r>
      <w:r w:rsidR="003C3407">
        <w:t>_ (</w:t>
      </w:r>
      <w:r>
        <w:t>RK-2)</w:t>
      </w:r>
      <w:r w:rsidR="00C750AB">
        <w:t>,</w:t>
      </w:r>
      <w:r w:rsidR="00FC10C7" w:rsidRPr="00FC10C7">
        <w:t xml:space="preserve"> </w:t>
      </w:r>
      <w:r w:rsidR="00FC10C7">
        <w:t>Section 2 (UTC Complaint Ratio – SQI-2) of 2010 Annual Puget Sound Energy SQI and Electric Service Reliability Report filed on March 31, 2011</w:t>
      </w:r>
    </w:p>
    <w:p w:rsidR="006E387A" w:rsidRDefault="006E387A" w:rsidP="008827A8">
      <w:pPr>
        <w:pStyle w:val="NoSpacing"/>
        <w:ind w:left="720"/>
      </w:pPr>
    </w:p>
    <w:p w:rsidR="00435343" w:rsidRDefault="002B271E" w:rsidP="002B271E">
      <w:pPr>
        <w:pStyle w:val="NoSpacing"/>
        <w:ind w:left="720"/>
      </w:pPr>
      <w:r>
        <w:lastRenderedPageBreak/>
        <w:t>Exhibit No ____ (RK-3)</w:t>
      </w:r>
      <w:r w:rsidR="00C750AB">
        <w:t>,</w:t>
      </w:r>
      <w:r w:rsidR="00FC10C7">
        <w:t xml:space="preserve"> PSE Electric/Gas Disconnect and Disputed Bill Complaints</w:t>
      </w:r>
    </w:p>
    <w:p w:rsidR="00435343" w:rsidRDefault="00435343" w:rsidP="002B271E">
      <w:pPr>
        <w:pStyle w:val="NoSpacing"/>
        <w:ind w:left="720"/>
      </w:pPr>
    </w:p>
    <w:p w:rsidR="002B271E" w:rsidRDefault="002B271E" w:rsidP="002B271E">
      <w:pPr>
        <w:pStyle w:val="NoSpacing"/>
        <w:ind w:left="720"/>
      </w:pPr>
      <w:r>
        <w:t>Exhibit No. ___ (RK-</w:t>
      </w:r>
      <w:r w:rsidR="00C56B78">
        <w:t>4</w:t>
      </w:r>
      <w:r>
        <w:t>)</w:t>
      </w:r>
      <w:r w:rsidR="00C750AB">
        <w:t>,</w:t>
      </w:r>
      <w:r>
        <w:t xml:space="preserve"> </w:t>
      </w:r>
      <w:r w:rsidRPr="00775549">
        <w:rPr>
          <w:i/>
        </w:rPr>
        <w:t>WUTC v. Puget Sound Energy, Inc</w:t>
      </w:r>
      <w:r w:rsidR="007F5A2D">
        <w:t>. Dockets</w:t>
      </w:r>
      <w:r>
        <w:t xml:space="preserve"> UE-072300 and UG-072301, Order 12, </w:t>
      </w:r>
      <w:r w:rsidR="00EB5782">
        <w:t>Appendix D</w:t>
      </w:r>
    </w:p>
    <w:p w:rsidR="002B271E" w:rsidRDefault="002B271E" w:rsidP="002B271E">
      <w:pPr>
        <w:pStyle w:val="NoSpacing"/>
        <w:ind w:left="720"/>
      </w:pPr>
    </w:p>
    <w:p w:rsidR="002B271E" w:rsidRDefault="002B271E" w:rsidP="002B271E">
      <w:pPr>
        <w:pStyle w:val="NoSpacing"/>
        <w:ind w:left="720"/>
      </w:pPr>
      <w:r>
        <w:t>Exhibit No. ___ (RK-</w:t>
      </w:r>
      <w:r w:rsidR="00C56B78">
        <w:t>5</w:t>
      </w:r>
      <w:r>
        <w:t>)</w:t>
      </w:r>
      <w:r w:rsidR="00C750AB">
        <w:t>,</w:t>
      </w:r>
      <w:r>
        <w:t xml:space="preserve"> </w:t>
      </w:r>
      <w:r w:rsidR="00FC10C7">
        <w:t>UTC Compliance Progress Report, July 2010</w:t>
      </w:r>
    </w:p>
    <w:p w:rsidR="002B271E" w:rsidRDefault="002B271E" w:rsidP="002B271E">
      <w:pPr>
        <w:pStyle w:val="NoSpacing"/>
        <w:ind w:left="720"/>
      </w:pPr>
    </w:p>
    <w:p w:rsidR="00FC10C7" w:rsidRDefault="002B271E" w:rsidP="00FC10C7">
      <w:pPr>
        <w:pStyle w:val="NoSpacing"/>
        <w:ind w:left="720"/>
      </w:pPr>
      <w:r>
        <w:t>Exhibit No. ___ (RK-</w:t>
      </w:r>
      <w:r w:rsidR="009A6F9B">
        <w:t>6</w:t>
      </w:r>
      <w:r w:rsidR="00FC10C7">
        <w:t>)</w:t>
      </w:r>
      <w:r w:rsidR="00C750AB">
        <w:t>,</w:t>
      </w:r>
      <w:r w:rsidR="00FC10C7">
        <w:t xml:space="preserve"> </w:t>
      </w:r>
      <w:r w:rsidR="00C56B78">
        <w:t>Retroactive Billing Complaint Ratios per 1000 meters</w:t>
      </w:r>
    </w:p>
    <w:p w:rsidR="002B271E" w:rsidRDefault="002B271E" w:rsidP="002B271E">
      <w:pPr>
        <w:pStyle w:val="NoSpacing"/>
        <w:ind w:left="720"/>
      </w:pPr>
    </w:p>
    <w:p w:rsidR="00FC10C7" w:rsidRDefault="002B271E" w:rsidP="00FC10C7">
      <w:pPr>
        <w:pStyle w:val="NoSpacing"/>
        <w:ind w:left="720"/>
      </w:pPr>
      <w:r>
        <w:t>Exhibit No. ___ (RK-</w:t>
      </w:r>
      <w:r w:rsidR="009A6F9B">
        <w:t>7</w:t>
      </w:r>
      <w:r w:rsidR="00C56B78">
        <w:t>)</w:t>
      </w:r>
      <w:r w:rsidR="00C750AB">
        <w:t>,</w:t>
      </w:r>
      <w:r w:rsidR="00FC10C7" w:rsidRPr="00FC10C7">
        <w:t xml:space="preserve"> </w:t>
      </w:r>
      <w:r w:rsidR="00FC10C7">
        <w:t>Summarized data from PSE’s response to staff DR 072</w:t>
      </w:r>
    </w:p>
    <w:p w:rsidR="002B271E" w:rsidRDefault="002B271E" w:rsidP="002B271E">
      <w:pPr>
        <w:pStyle w:val="NoSpacing"/>
        <w:ind w:left="720"/>
      </w:pPr>
    </w:p>
    <w:p w:rsidR="002B271E" w:rsidRDefault="002B271E" w:rsidP="002B271E">
      <w:pPr>
        <w:pStyle w:val="NoSpacing"/>
        <w:ind w:left="720"/>
      </w:pPr>
      <w:r>
        <w:t>Exhibit No. ___ (RK-</w:t>
      </w:r>
      <w:r w:rsidR="009A6F9B">
        <w:t>8</w:t>
      </w:r>
      <w:r>
        <w:t>)</w:t>
      </w:r>
      <w:r w:rsidR="00C750AB">
        <w:t>,</w:t>
      </w:r>
      <w:r>
        <w:t xml:space="preserve"> PSE Response to </w:t>
      </w:r>
      <w:r w:rsidR="00C750AB">
        <w:t>S</w:t>
      </w:r>
      <w:r>
        <w:t>taff D</w:t>
      </w:r>
      <w:r w:rsidR="00C750AB">
        <w:t xml:space="preserve">ata </w:t>
      </w:r>
      <w:r>
        <w:t>R</w:t>
      </w:r>
      <w:r w:rsidR="00C750AB">
        <w:t xml:space="preserve">equest </w:t>
      </w:r>
      <w:r>
        <w:t>89</w:t>
      </w:r>
    </w:p>
    <w:p w:rsidR="002B271E" w:rsidRDefault="002B271E" w:rsidP="002B271E">
      <w:pPr>
        <w:pStyle w:val="NoSpacing"/>
        <w:ind w:left="720"/>
      </w:pPr>
    </w:p>
    <w:p w:rsidR="002B271E" w:rsidRDefault="002B271E" w:rsidP="007D57CD">
      <w:pPr>
        <w:pStyle w:val="NoSpacing"/>
        <w:spacing w:line="480" w:lineRule="auto"/>
        <w:ind w:firstLine="720"/>
        <w:rPr>
          <w:b/>
        </w:rPr>
      </w:pPr>
      <w:r>
        <w:t>Exhibit No. ___ (RK-</w:t>
      </w:r>
      <w:r w:rsidR="009A6F9B">
        <w:t>9</w:t>
      </w:r>
      <w:r>
        <w:t>)</w:t>
      </w:r>
      <w:r w:rsidR="00C750AB">
        <w:t>,</w:t>
      </w:r>
      <w:r>
        <w:t xml:space="preserve"> PSE Response to </w:t>
      </w:r>
      <w:r w:rsidR="00C750AB">
        <w:t>S</w:t>
      </w:r>
      <w:r>
        <w:t>taff D</w:t>
      </w:r>
      <w:r w:rsidR="00C750AB">
        <w:t xml:space="preserve">ata </w:t>
      </w:r>
      <w:r>
        <w:t>R</w:t>
      </w:r>
      <w:r w:rsidR="00C750AB">
        <w:t xml:space="preserve">equest </w:t>
      </w:r>
      <w:r>
        <w:t>88</w:t>
      </w:r>
    </w:p>
    <w:p w:rsidR="00782DBC" w:rsidRDefault="00782DBC" w:rsidP="006055D6">
      <w:pPr>
        <w:pStyle w:val="NoSpacing"/>
        <w:spacing w:line="480" w:lineRule="auto"/>
      </w:pPr>
    </w:p>
    <w:p w:rsidR="000A53E3" w:rsidRPr="00C66D9B" w:rsidRDefault="00207F47" w:rsidP="00BC48FB">
      <w:pPr>
        <w:pStyle w:val="NoSpacing"/>
        <w:numPr>
          <w:ilvl w:val="0"/>
          <w:numId w:val="5"/>
        </w:numPr>
        <w:jc w:val="center"/>
        <w:rPr>
          <w:b/>
        </w:rPr>
      </w:pPr>
      <w:r w:rsidRPr="00C66D9B">
        <w:rPr>
          <w:b/>
        </w:rPr>
        <w:t>ELIMINATION OF SERVICE QUALITY INDEX NO. 9:</w:t>
      </w:r>
    </w:p>
    <w:p w:rsidR="00207F47" w:rsidRPr="00C66D9B" w:rsidRDefault="00207F47" w:rsidP="00BC48FB">
      <w:pPr>
        <w:pStyle w:val="NoSpacing"/>
        <w:ind w:left="720"/>
        <w:jc w:val="center"/>
        <w:rPr>
          <w:b/>
        </w:rPr>
      </w:pPr>
      <w:r w:rsidRPr="00C66D9B">
        <w:rPr>
          <w:b/>
        </w:rPr>
        <w:t>DISCONNECTION RATIO</w:t>
      </w:r>
    </w:p>
    <w:p w:rsidR="00CD191E" w:rsidRDefault="00CD191E" w:rsidP="002B7C98">
      <w:pPr>
        <w:pStyle w:val="NoSpacing"/>
        <w:spacing w:line="480" w:lineRule="auto"/>
        <w:ind w:left="720" w:hanging="720"/>
      </w:pPr>
    </w:p>
    <w:p w:rsidR="00497F00" w:rsidRPr="006055D6" w:rsidRDefault="003303B5" w:rsidP="002B7C98">
      <w:pPr>
        <w:pStyle w:val="NoSpacing"/>
        <w:spacing w:line="480" w:lineRule="auto"/>
        <w:ind w:left="720" w:hanging="720"/>
        <w:rPr>
          <w:b/>
        </w:rPr>
      </w:pPr>
      <w:r w:rsidRPr="006055D6">
        <w:rPr>
          <w:b/>
        </w:rPr>
        <w:t>Q.</w:t>
      </w:r>
      <w:r w:rsidRPr="006055D6">
        <w:rPr>
          <w:b/>
        </w:rPr>
        <w:tab/>
        <w:t>What is SQI-9: Disconnection Ratio?</w:t>
      </w:r>
    </w:p>
    <w:p w:rsidR="00497F00" w:rsidRDefault="00497F00" w:rsidP="002B7C98">
      <w:pPr>
        <w:pStyle w:val="NoSpacing"/>
        <w:spacing w:line="480" w:lineRule="auto"/>
        <w:ind w:left="720" w:hanging="720"/>
      </w:pPr>
      <w:r>
        <w:t>A.</w:t>
      </w:r>
      <w:r>
        <w:tab/>
      </w:r>
      <w:r w:rsidR="00C750AB">
        <w:t xml:space="preserve">SQI-9 </w:t>
      </w:r>
      <w:r w:rsidR="00A8377A">
        <w:t>established a cap for the number of disconnections per 1,000 customers for nonpayment of amounts due when the Commission’s disconnection policy would permit service curtailment.</w:t>
      </w:r>
      <w:r w:rsidR="006D2FA4">
        <w:t xml:space="preserve">  The SQI-9 </w:t>
      </w:r>
      <w:r w:rsidR="004311FB">
        <w:t xml:space="preserve">ratio </w:t>
      </w:r>
      <w:r w:rsidR="000C4961">
        <w:t xml:space="preserve">was </w:t>
      </w:r>
      <w:r w:rsidR="004A3608">
        <w:t>set originally at .030</w:t>
      </w:r>
      <w:r w:rsidR="00397D69">
        <w:t>,</w:t>
      </w:r>
      <w:r w:rsidR="004A3608">
        <w:t xml:space="preserve"> </w:t>
      </w:r>
      <w:r w:rsidR="006D2FA4">
        <w:t xml:space="preserve">meaning that </w:t>
      </w:r>
      <w:r w:rsidR="000C4961">
        <w:t xml:space="preserve">automatic penalties would take effect if the </w:t>
      </w:r>
      <w:r w:rsidR="004A3608">
        <w:t>C</w:t>
      </w:r>
      <w:r w:rsidR="000C4961">
        <w:t>ompany exceeded 3</w:t>
      </w:r>
      <w:r w:rsidR="004A3608">
        <w:t>0</w:t>
      </w:r>
      <w:r w:rsidR="000C4961">
        <w:t xml:space="preserve"> disconnections per 1,000 customers.</w:t>
      </w:r>
      <w:r w:rsidR="004A3608" w:rsidRPr="004A3608">
        <w:t xml:space="preserve"> </w:t>
      </w:r>
      <w:r w:rsidR="004A3608">
        <w:t xml:space="preserve">  Later, in 2009, the Commission approved a PSE application to increase the annual benchmark from .030 to .038, thereby, allowing </w:t>
      </w:r>
      <w:r w:rsidR="00397D69">
        <w:t>38</w:t>
      </w:r>
      <w:r w:rsidR="004A3608">
        <w:t xml:space="preserve"> disconnections per 1,000 customers when Commission rules permit.</w:t>
      </w:r>
      <w:r w:rsidR="004A3608">
        <w:rPr>
          <w:rStyle w:val="FootnoteReference"/>
        </w:rPr>
        <w:footnoteReference w:id="2"/>
      </w:r>
      <w:r w:rsidR="004A3608">
        <w:t xml:space="preserve">  </w:t>
      </w:r>
    </w:p>
    <w:p w:rsidR="00497F00" w:rsidRDefault="00497F00" w:rsidP="002B7C98">
      <w:pPr>
        <w:pStyle w:val="NoSpacing"/>
        <w:spacing w:line="480" w:lineRule="auto"/>
        <w:ind w:left="720" w:hanging="720"/>
        <w:rPr>
          <w:b/>
        </w:rPr>
      </w:pPr>
    </w:p>
    <w:p w:rsidR="008E0AAF" w:rsidRDefault="00CD191E" w:rsidP="002B7C98">
      <w:pPr>
        <w:pStyle w:val="NoSpacing"/>
        <w:spacing w:line="480" w:lineRule="auto"/>
        <w:ind w:left="720" w:hanging="720"/>
        <w:rPr>
          <w:b/>
        </w:rPr>
      </w:pPr>
      <w:r>
        <w:rPr>
          <w:b/>
        </w:rPr>
        <w:t>Q.</w:t>
      </w:r>
      <w:r>
        <w:rPr>
          <w:b/>
        </w:rPr>
        <w:tab/>
      </w:r>
      <w:r w:rsidR="008E0AAF">
        <w:rPr>
          <w:b/>
        </w:rPr>
        <w:t>What is the current status of SQI-9?</w:t>
      </w:r>
    </w:p>
    <w:p w:rsidR="00CD191E" w:rsidRDefault="00CD191E" w:rsidP="00FB0B87">
      <w:pPr>
        <w:pStyle w:val="NoSpacing"/>
        <w:spacing w:line="480" w:lineRule="auto"/>
        <w:ind w:left="720" w:hanging="720"/>
      </w:pPr>
      <w:r>
        <w:t>A.</w:t>
      </w:r>
      <w:r>
        <w:tab/>
      </w:r>
      <w:r w:rsidR="008E0AAF">
        <w:t xml:space="preserve">On June 15, 2010, PSE filed an application to </w:t>
      </w:r>
      <w:r w:rsidR="002705F5">
        <w:t>e</w:t>
      </w:r>
      <w:r w:rsidR="008E0AAF">
        <w:t>liminat</w:t>
      </w:r>
      <w:r w:rsidR="002705F5">
        <w:t>e</w:t>
      </w:r>
      <w:r w:rsidR="008E0AAF">
        <w:t xml:space="preserve"> SQI-9</w:t>
      </w:r>
      <w:r w:rsidR="00397D69">
        <w:t xml:space="preserve"> altogether</w:t>
      </w:r>
      <w:r w:rsidR="000A716B">
        <w:t xml:space="preserve">, which </w:t>
      </w:r>
      <w:r w:rsidR="006D2FA4">
        <w:t>S</w:t>
      </w:r>
      <w:r w:rsidR="000A716B">
        <w:t>taff supported</w:t>
      </w:r>
      <w:r w:rsidR="008E0AAF">
        <w:t>.</w:t>
      </w:r>
      <w:r w:rsidR="00FB0B87">
        <w:t xml:space="preserve"> </w:t>
      </w:r>
      <w:r w:rsidR="00890D77">
        <w:t xml:space="preserve"> </w:t>
      </w:r>
      <w:r w:rsidR="00FB0B87">
        <w:t>On August 10, 2010, the Commission granted PSE’s application</w:t>
      </w:r>
      <w:r w:rsidR="00C750AB">
        <w:t xml:space="preserve"> </w:t>
      </w:r>
      <w:r w:rsidR="00FB0B87">
        <w:t xml:space="preserve">on </w:t>
      </w:r>
      <w:r w:rsidR="00FB0B87">
        <w:lastRenderedPageBreak/>
        <w:t>an interim basis</w:t>
      </w:r>
      <w:r w:rsidR="00890D77">
        <w:t>.  The Commission stated</w:t>
      </w:r>
      <w:r w:rsidR="00FB0B87">
        <w:t xml:space="preserve"> that permanent elimination of the benchmark </w:t>
      </w:r>
      <w:r w:rsidR="00451261">
        <w:t>w</w:t>
      </w:r>
      <w:r w:rsidR="00890D77">
        <w:t xml:space="preserve">ould </w:t>
      </w:r>
      <w:r w:rsidR="00FB0B87">
        <w:t>be considered in PSE’s next general rate proceeding</w:t>
      </w:r>
      <w:r w:rsidR="00890D77">
        <w:t>, which is this case</w:t>
      </w:r>
      <w:r w:rsidR="00FB0B87">
        <w:t>.</w:t>
      </w:r>
      <w:r w:rsidR="00397D69">
        <w:rPr>
          <w:rStyle w:val="FootnoteReference"/>
        </w:rPr>
        <w:footnoteReference w:id="3"/>
      </w:r>
      <w:r>
        <w:t xml:space="preserve"> </w:t>
      </w:r>
    </w:p>
    <w:p w:rsidR="00151C0C" w:rsidRDefault="00151C0C" w:rsidP="00FB0B87">
      <w:pPr>
        <w:pStyle w:val="NoSpacing"/>
        <w:spacing w:line="480" w:lineRule="auto"/>
        <w:ind w:left="720" w:hanging="720"/>
      </w:pPr>
    </w:p>
    <w:p w:rsidR="00FB0B87" w:rsidRDefault="00FB0B87" w:rsidP="00FB0B87">
      <w:pPr>
        <w:pStyle w:val="NoSpacing"/>
        <w:spacing w:line="480" w:lineRule="auto"/>
        <w:ind w:left="720" w:hanging="720"/>
        <w:rPr>
          <w:b/>
        </w:rPr>
      </w:pPr>
      <w:r>
        <w:rPr>
          <w:b/>
        </w:rPr>
        <w:t>Q.</w:t>
      </w:r>
      <w:r>
        <w:rPr>
          <w:b/>
        </w:rPr>
        <w:tab/>
      </w:r>
      <w:r w:rsidR="002E3EA7">
        <w:rPr>
          <w:b/>
        </w:rPr>
        <w:t>Do you agree</w:t>
      </w:r>
      <w:r w:rsidR="001F4A2C">
        <w:rPr>
          <w:b/>
        </w:rPr>
        <w:t xml:space="preserve"> </w:t>
      </w:r>
      <w:r w:rsidR="00CB0BBE">
        <w:rPr>
          <w:b/>
        </w:rPr>
        <w:t xml:space="preserve">with </w:t>
      </w:r>
      <w:r w:rsidR="001F4A2C">
        <w:rPr>
          <w:b/>
        </w:rPr>
        <w:t>the elimination of SQI-9?</w:t>
      </w:r>
    </w:p>
    <w:p w:rsidR="001F4A2C" w:rsidRDefault="00CB0BBE" w:rsidP="00FB0B87">
      <w:pPr>
        <w:pStyle w:val="NoSpacing"/>
        <w:spacing w:line="480" w:lineRule="auto"/>
        <w:ind w:left="720" w:hanging="720"/>
      </w:pPr>
      <w:r>
        <w:t>A.</w:t>
      </w:r>
      <w:r>
        <w:tab/>
        <w:t xml:space="preserve">Yes. </w:t>
      </w:r>
      <w:r w:rsidR="00890D77">
        <w:t xml:space="preserve"> </w:t>
      </w:r>
      <w:r>
        <w:t xml:space="preserve">The SQI </w:t>
      </w:r>
      <w:r w:rsidR="00451261">
        <w:t>program</w:t>
      </w:r>
      <w:r w:rsidR="00397D69">
        <w:t>,</w:t>
      </w:r>
      <w:r w:rsidR="00451261">
        <w:t xml:space="preserve"> </w:t>
      </w:r>
      <w:r w:rsidR="00C750AB">
        <w:t>in its entirety</w:t>
      </w:r>
      <w:r w:rsidR="00397D69">
        <w:t>,</w:t>
      </w:r>
      <w:r w:rsidR="00C750AB">
        <w:t xml:space="preserve"> </w:t>
      </w:r>
      <w:r>
        <w:t xml:space="preserve">was established </w:t>
      </w:r>
      <w:r w:rsidR="00397D69">
        <w:t xml:space="preserve">originally </w:t>
      </w:r>
      <w:r>
        <w:t>to ensure that customer service did not decline following the merger of Puget Sound Power &amp; Light Company and Washington Natural Gas.</w:t>
      </w:r>
      <w:r w:rsidR="00C750AB">
        <w:rPr>
          <w:rStyle w:val="FootnoteReference"/>
        </w:rPr>
        <w:footnoteReference w:id="4"/>
      </w:r>
      <w:r>
        <w:t xml:space="preserve"> </w:t>
      </w:r>
      <w:r w:rsidR="00451261">
        <w:t xml:space="preserve"> </w:t>
      </w:r>
      <w:r>
        <w:t xml:space="preserve">There is inconclusive evidence that continuation of SQI-9 will </w:t>
      </w:r>
      <w:r w:rsidR="00451261">
        <w:t>assist in</w:t>
      </w:r>
      <w:r>
        <w:t xml:space="preserve"> m</w:t>
      </w:r>
      <w:r w:rsidR="007D5432">
        <w:t>eeting that goal</w:t>
      </w:r>
      <w:r>
        <w:t xml:space="preserve">. </w:t>
      </w:r>
      <w:r w:rsidR="00451261">
        <w:t xml:space="preserve"> </w:t>
      </w:r>
      <w:r>
        <w:t>In fact, the direct opposite may be the case.</w:t>
      </w:r>
    </w:p>
    <w:p w:rsidR="00EF36A3" w:rsidRDefault="00EF36A3" w:rsidP="00FB0B87">
      <w:pPr>
        <w:pStyle w:val="NoSpacing"/>
        <w:spacing w:line="480" w:lineRule="auto"/>
        <w:ind w:left="720" w:hanging="720"/>
      </w:pPr>
    </w:p>
    <w:p w:rsidR="00EF36A3" w:rsidRDefault="00EF36A3" w:rsidP="00FB0B87">
      <w:pPr>
        <w:pStyle w:val="NoSpacing"/>
        <w:spacing w:line="480" w:lineRule="auto"/>
        <w:ind w:left="720" w:hanging="720"/>
        <w:rPr>
          <w:b/>
        </w:rPr>
      </w:pPr>
      <w:r>
        <w:rPr>
          <w:b/>
        </w:rPr>
        <w:t>Q.</w:t>
      </w:r>
      <w:r>
        <w:rPr>
          <w:b/>
        </w:rPr>
        <w:tab/>
      </w:r>
      <w:r w:rsidR="00451261">
        <w:rPr>
          <w:b/>
        </w:rPr>
        <w:t xml:space="preserve">Please elaborate </w:t>
      </w:r>
      <w:r w:rsidR="00497F00">
        <w:rPr>
          <w:b/>
        </w:rPr>
        <w:t xml:space="preserve">on why </w:t>
      </w:r>
      <w:r w:rsidR="00451261">
        <w:rPr>
          <w:b/>
        </w:rPr>
        <w:t>the Company’s request to permanently eliminate</w:t>
      </w:r>
      <w:r>
        <w:rPr>
          <w:b/>
        </w:rPr>
        <w:t xml:space="preserve"> SQI-9</w:t>
      </w:r>
      <w:r w:rsidR="00497F00">
        <w:rPr>
          <w:b/>
        </w:rPr>
        <w:t xml:space="preserve"> should be approved</w:t>
      </w:r>
      <w:r>
        <w:rPr>
          <w:b/>
        </w:rPr>
        <w:t>?</w:t>
      </w:r>
    </w:p>
    <w:p w:rsidR="00343337" w:rsidRDefault="00EF36A3" w:rsidP="00FB0B87">
      <w:pPr>
        <w:pStyle w:val="NoSpacing"/>
        <w:spacing w:line="480" w:lineRule="auto"/>
        <w:ind w:left="720" w:hanging="720"/>
      </w:pPr>
      <w:r>
        <w:t>A.</w:t>
      </w:r>
      <w:r>
        <w:tab/>
        <w:t xml:space="preserve">There are several reasons to </w:t>
      </w:r>
      <w:r w:rsidR="00343337">
        <w:t xml:space="preserve">grant PSE’s request to </w:t>
      </w:r>
      <w:r w:rsidR="00497F00">
        <w:t xml:space="preserve">permanently </w:t>
      </w:r>
      <w:r w:rsidR="00343337">
        <w:t xml:space="preserve">eliminate </w:t>
      </w:r>
    </w:p>
    <w:p w:rsidR="006E387A" w:rsidRDefault="00343337" w:rsidP="001C0FF7">
      <w:pPr>
        <w:pStyle w:val="NoSpacing"/>
        <w:spacing w:line="480" w:lineRule="auto"/>
        <w:ind w:left="720"/>
      </w:pPr>
      <w:r>
        <w:t>SQI-9</w:t>
      </w:r>
      <w:r w:rsidR="00C750AB">
        <w:t>.  First, e</w:t>
      </w:r>
      <w:r>
        <w:t>liminating SQI-9 will not harm customers because other Commission rules already offer meaningful customer protections</w:t>
      </w:r>
      <w:r w:rsidR="00497F00">
        <w:t>:</w:t>
      </w:r>
      <w:r>
        <w:t xml:space="preserve"> </w:t>
      </w:r>
    </w:p>
    <w:p w:rsidR="006E387A" w:rsidRDefault="00343337" w:rsidP="008827A8">
      <w:pPr>
        <w:pStyle w:val="NoSpacing"/>
        <w:numPr>
          <w:ilvl w:val="0"/>
          <w:numId w:val="20"/>
        </w:numPr>
        <w:spacing w:line="480" w:lineRule="auto"/>
      </w:pPr>
      <w:r>
        <w:t>Customers have the right to receive a bill stating the amount owed and the date payment is expected.</w:t>
      </w:r>
      <w:r>
        <w:rPr>
          <w:rStyle w:val="FootnoteReference"/>
        </w:rPr>
        <w:footnoteReference w:id="5"/>
      </w:r>
    </w:p>
    <w:p w:rsidR="006E387A" w:rsidRDefault="00343337" w:rsidP="008827A8">
      <w:pPr>
        <w:pStyle w:val="NoSpacing"/>
        <w:numPr>
          <w:ilvl w:val="0"/>
          <w:numId w:val="20"/>
        </w:numPr>
        <w:spacing w:line="480" w:lineRule="auto"/>
      </w:pPr>
      <w:r>
        <w:t>Customers have the right to have billing service and service disputes investigated by PSE and Staff, and customers may not be disconnected while these investigation</w:t>
      </w:r>
      <w:r w:rsidR="00497F00">
        <w:t>s</w:t>
      </w:r>
      <w:r>
        <w:t xml:space="preserve"> are pending.</w:t>
      </w:r>
      <w:r>
        <w:rPr>
          <w:rStyle w:val="FootnoteReference"/>
        </w:rPr>
        <w:footnoteReference w:id="6"/>
      </w:r>
    </w:p>
    <w:p w:rsidR="006E387A" w:rsidRDefault="00343337" w:rsidP="008827A8">
      <w:pPr>
        <w:pStyle w:val="NoSpacing"/>
        <w:numPr>
          <w:ilvl w:val="0"/>
          <w:numId w:val="20"/>
        </w:numPr>
        <w:spacing w:line="480" w:lineRule="auto"/>
      </w:pPr>
      <w:r>
        <w:lastRenderedPageBreak/>
        <w:t>Customers have the right to advance, written notice of PSE’s intent to disconnect service for non-payment of bills.</w:t>
      </w:r>
      <w:r>
        <w:rPr>
          <w:rStyle w:val="FootnoteReference"/>
        </w:rPr>
        <w:footnoteReference w:id="7"/>
      </w:r>
      <w:r w:rsidR="008331CE">
        <w:t xml:space="preserve"> </w:t>
      </w:r>
    </w:p>
    <w:p w:rsidR="006E387A" w:rsidRDefault="009204ED" w:rsidP="008827A8">
      <w:pPr>
        <w:pStyle w:val="NoSpacing"/>
        <w:numPr>
          <w:ilvl w:val="0"/>
          <w:numId w:val="20"/>
        </w:numPr>
        <w:spacing w:line="480" w:lineRule="auto"/>
      </w:pPr>
      <w:r>
        <w:t>Customers have the right to</w:t>
      </w:r>
      <w:r w:rsidR="008331CE">
        <w:t xml:space="preserve"> re-establish service </w:t>
      </w:r>
      <w:r w:rsidR="002705F5">
        <w:t xml:space="preserve">by </w:t>
      </w:r>
      <w:r w:rsidR="008331CE">
        <w:t xml:space="preserve">paying a reconnection charge and one-half of a deposit. </w:t>
      </w:r>
      <w:r>
        <w:t xml:space="preserve"> </w:t>
      </w:r>
      <w:r w:rsidR="008331CE">
        <w:t>PSE may not require payment of the outstanding “prior obligation” before reconnecting service, but may seek collection through other means.</w:t>
      </w:r>
      <w:r w:rsidR="008331CE">
        <w:rPr>
          <w:rStyle w:val="FootnoteReference"/>
        </w:rPr>
        <w:footnoteReference w:id="8"/>
      </w:r>
    </w:p>
    <w:p w:rsidR="006E387A" w:rsidRDefault="009204ED" w:rsidP="008827A8">
      <w:pPr>
        <w:pStyle w:val="NoSpacing"/>
        <w:spacing w:line="480" w:lineRule="auto"/>
        <w:ind w:left="720" w:firstLine="720"/>
      </w:pPr>
      <w:r>
        <w:t xml:space="preserve">Second, </w:t>
      </w:r>
      <w:r w:rsidR="008331CE">
        <w:t xml:space="preserve">SQI–9 prevents the Commission’s </w:t>
      </w:r>
      <w:r w:rsidR="00497F00">
        <w:t xml:space="preserve">existing </w:t>
      </w:r>
      <w:r w:rsidR="00FD39D3">
        <w:t>refusal of service</w:t>
      </w:r>
      <w:r w:rsidR="008331CE">
        <w:t xml:space="preserve"> rule from working as intended to the detriment of all ratepayers. </w:t>
      </w:r>
      <w:r>
        <w:t xml:space="preserve"> </w:t>
      </w:r>
      <w:r w:rsidR="008331CE">
        <w:t xml:space="preserve">The underlying premise of the existing credit rules is that PSE should move promptly to disconnect any customer who cannot or will not pay for service because this is the best way to protect all ratepayers from the burden of higher levels of uncollectible revenues. </w:t>
      </w:r>
      <w:r>
        <w:t xml:space="preserve"> </w:t>
      </w:r>
      <w:r w:rsidR="008331CE">
        <w:t xml:space="preserve">The rules prescribe specific steps PSE must follow before it can disconnect a customer. </w:t>
      </w:r>
      <w:r w:rsidR="002705F5">
        <w:t xml:space="preserve"> </w:t>
      </w:r>
      <w:r w:rsidR="008331CE">
        <w:t>The rules also recognize that energy service is essential to the public health and welfare by providing a specific mechanism for disconnected customers to resume service without first having to repay their prior obligation.</w:t>
      </w:r>
      <w:r w:rsidR="00497F00" w:rsidRPr="00497F00">
        <w:t xml:space="preserve"> </w:t>
      </w:r>
      <w:r w:rsidR="004311FB">
        <w:t xml:space="preserve"> </w:t>
      </w:r>
      <w:r w:rsidR="00497F00">
        <w:t>Maintaining SQI-9 interferes with the proper application of these existing customer protections.</w:t>
      </w:r>
    </w:p>
    <w:p w:rsidR="006E387A" w:rsidRDefault="009204ED" w:rsidP="008827A8">
      <w:pPr>
        <w:pStyle w:val="NoSpacing"/>
        <w:spacing w:line="480" w:lineRule="auto"/>
        <w:ind w:left="720" w:firstLine="720"/>
      </w:pPr>
      <w:r>
        <w:t xml:space="preserve">Third, </w:t>
      </w:r>
      <w:r w:rsidR="008331CE">
        <w:t>SQI-9 may result in the inequitable treatment of customers</w:t>
      </w:r>
      <w:r w:rsidR="002705F5">
        <w:t xml:space="preserve"> because it </w:t>
      </w:r>
      <w:r w:rsidR="008331CE">
        <w:t>limits the number of customers that can be disconnected for nonpayment, even if application of the Commission</w:t>
      </w:r>
      <w:r w:rsidR="002705F5">
        <w:t xml:space="preserve"> </w:t>
      </w:r>
      <w:r w:rsidR="008331CE">
        <w:t xml:space="preserve">rules would otherwise allow PSE to disconnect a larger number of customers. </w:t>
      </w:r>
      <w:r w:rsidR="002705F5">
        <w:t xml:space="preserve"> </w:t>
      </w:r>
      <w:r w:rsidR="008331CE">
        <w:t xml:space="preserve">As a result, the Company </w:t>
      </w:r>
      <w:r w:rsidR="00497F00">
        <w:t xml:space="preserve">must </w:t>
      </w:r>
      <w:r w:rsidR="008331CE">
        <w:t xml:space="preserve">select those customers to disconnect from a larger pool of customers eligible for disconnection. </w:t>
      </w:r>
      <w:r w:rsidR="00497F00">
        <w:t xml:space="preserve"> </w:t>
      </w:r>
      <w:r w:rsidR="008331CE">
        <w:t xml:space="preserve">This results in inequitable and unfair treatment of customers, unwittingly at </w:t>
      </w:r>
      <w:r w:rsidR="00915A3A">
        <w:t xml:space="preserve">the discretion of PSE </w:t>
      </w:r>
      <w:r w:rsidR="00915A3A">
        <w:lastRenderedPageBreak/>
        <w:t xml:space="preserve">and at the expense of all other customers who are burdened with higher </w:t>
      </w:r>
      <w:r w:rsidR="00C66D9B">
        <w:t xml:space="preserve">rates to recover the </w:t>
      </w:r>
      <w:r w:rsidR="00915A3A">
        <w:t>uncollectible revenues.</w:t>
      </w:r>
    </w:p>
    <w:p w:rsidR="006E387A" w:rsidRDefault="009204ED" w:rsidP="008827A8">
      <w:pPr>
        <w:pStyle w:val="NoSpacing"/>
        <w:spacing w:line="480" w:lineRule="auto"/>
        <w:ind w:left="720" w:firstLine="720"/>
      </w:pPr>
      <w:r>
        <w:t>Finally, t</w:t>
      </w:r>
      <w:r w:rsidR="00361DD7">
        <w:t>he Commission has already recognized the</w:t>
      </w:r>
      <w:r w:rsidR="00220CAF">
        <w:t>se</w:t>
      </w:r>
      <w:r w:rsidR="00361DD7">
        <w:t xml:space="preserve"> unintended and </w:t>
      </w:r>
      <w:r w:rsidR="002F53F3">
        <w:t xml:space="preserve">        </w:t>
      </w:r>
      <w:r w:rsidR="00361DD7">
        <w:t xml:space="preserve">adverse consequences of SQI-9 when it approved PSE </w:t>
      </w:r>
      <w:r w:rsidR="00397D69">
        <w:t xml:space="preserve">prior </w:t>
      </w:r>
      <w:r w:rsidR="00361DD7">
        <w:t xml:space="preserve">application to </w:t>
      </w:r>
      <w:r w:rsidR="00B54E36">
        <w:t xml:space="preserve">increase </w:t>
      </w:r>
      <w:r w:rsidR="00361DD7">
        <w:t>the annual benchmark</w:t>
      </w:r>
      <w:r w:rsidR="00FD39D3">
        <w:t xml:space="preserve"> from </w:t>
      </w:r>
      <w:r w:rsidR="003564B9">
        <w:t>.03</w:t>
      </w:r>
      <w:r w:rsidR="009A6F9B">
        <w:t>0</w:t>
      </w:r>
      <w:r w:rsidR="00FD39D3">
        <w:t xml:space="preserve"> to </w:t>
      </w:r>
      <w:r w:rsidR="003564B9">
        <w:t>.038</w:t>
      </w:r>
      <w:r w:rsidR="00FD39D3">
        <w:t xml:space="preserve"> in 20</w:t>
      </w:r>
      <w:r w:rsidR="003564B9">
        <w:t>09</w:t>
      </w:r>
      <w:r w:rsidR="00361DD7">
        <w:t>, thereby, allowing more disconnections when Commission rules permit.</w:t>
      </w:r>
      <w:r w:rsidR="00220CAF">
        <w:t xml:space="preserve">  </w:t>
      </w:r>
      <w:r w:rsidR="00140AC4">
        <w:t>The same rationale supports the full elimination of SQI-9.</w:t>
      </w:r>
    </w:p>
    <w:p w:rsidR="0043740A" w:rsidRPr="006055D6" w:rsidRDefault="0043740A" w:rsidP="0043740A">
      <w:pPr>
        <w:pStyle w:val="NoSpacing"/>
        <w:spacing w:line="480" w:lineRule="auto"/>
        <w:ind w:left="1800"/>
      </w:pPr>
    </w:p>
    <w:p w:rsidR="00915A3A" w:rsidRDefault="00915A3A" w:rsidP="00266B61">
      <w:pPr>
        <w:pStyle w:val="NoSpacing"/>
        <w:spacing w:line="480" w:lineRule="auto"/>
        <w:ind w:left="720" w:hanging="720"/>
        <w:rPr>
          <w:b/>
        </w:rPr>
      </w:pPr>
      <w:r>
        <w:rPr>
          <w:b/>
        </w:rPr>
        <w:t>Q.</w:t>
      </w:r>
      <w:r>
        <w:rPr>
          <w:b/>
        </w:rPr>
        <w:tab/>
      </w:r>
      <w:r w:rsidR="003303B5" w:rsidRPr="006055D6">
        <w:rPr>
          <w:b/>
        </w:rPr>
        <w:t>Are you aware of any negative trends in PSE</w:t>
      </w:r>
      <w:r w:rsidR="00497F00">
        <w:rPr>
          <w:b/>
        </w:rPr>
        <w:t>’s</w:t>
      </w:r>
      <w:r w:rsidR="003303B5" w:rsidRPr="006055D6">
        <w:rPr>
          <w:b/>
        </w:rPr>
        <w:t xml:space="preserve"> disconnection complaints, disconnection ratios</w:t>
      </w:r>
      <w:r w:rsidR="004311FB">
        <w:rPr>
          <w:b/>
        </w:rPr>
        <w:t>,</w:t>
      </w:r>
      <w:r w:rsidR="003303B5" w:rsidRPr="006055D6">
        <w:rPr>
          <w:b/>
        </w:rPr>
        <w:t xml:space="preserve"> or consumer complaints in general due to the temporary elimination of SQI-9 in August 2010?</w:t>
      </w:r>
    </w:p>
    <w:p w:rsidR="0043740A" w:rsidRDefault="0043740A" w:rsidP="00266B61">
      <w:pPr>
        <w:pStyle w:val="NoSpacing"/>
        <w:spacing w:line="480" w:lineRule="auto"/>
        <w:ind w:left="720" w:hanging="720"/>
      </w:pPr>
      <w:r>
        <w:t>A.</w:t>
      </w:r>
      <w:r>
        <w:tab/>
      </w:r>
      <w:r w:rsidR="00266B61">
        <w:t xml:space="preserve">No. </w:t>
      </w:r>
      <w:r w:rsidR="009204ED">
        <w:t xml:space="preserve"> Exhibit No.__ (RK-2)</w:t>
      </w:r>
      <w:r w:rsidR="007D5432">
        <w:t xml:space="preserve"> is the 2010 Annual Puget Sound Energy SQI and Electric Service Reliability Report filed with the Commission on March 31, 2011.  P</w:t>
      </w:r>
      <w:r w:rsidR="00652F5A">
        <w:t xml:space="preserve">age </w:t>
      </w:r>
      <w:r w:rsidR="007D5432">
        <w:t>3</w:t>
      </w:r>
      <w:r w:rsidR="009204ED">
        <w:t xml:space="preserve"> shows</w:t>
      </w:r>
      <w:r>
        <w:t xml:space="preserve"> a 32 percent increase in the number of disconnections for nonpayment from </w:t>
      </w:r>
      <w:r w:rsidR="00375DBD">
        <w:t xml:space="preserve">53,500 in </w:t>
      </w:r>
      <w:r>
        <w:t xml:space="preserve">2009 </w:t>
      </w:r>
      <w:r w:rsidR="00375DBD">
        <w:t>(2.97 percent</w:t>
      </w:r>
      <w:r w:rsidR="00D72324">
        <w:t xml:space="preserve"> of the total customer base</w:t>
      </w:r>
      <w:r w:rsidR="00375DBD">
        <w:t xml:space="preserve">) </w:t>
      </w:r>
      <w:r>
        <w:t xml:space="preserve">to </w:t>
      </w:r>
      <w:r w:rsidR="00375DBD">
        <w:t xml:space="preserve">70,500 in </w:t>
      </w:r>
      <w:r>
        <w:t>2010</w:t>
      </w:r>
      <w:r w:rsidR="00375DBD">
        <w:t xml:space="preserve"> (3.92 percent</w:t>
      </w:r>
      <w:r w:rsidR="00D72324">
        <w:t xml:space="preserve"> of the total customer base</w:t>
      </w:r>
      <w:r w:rsidR="00375DBD">
        <w:t>)</w:t>
      </w:r>
      <w:r w:rsidR="009204ED">
        <w:t xml:space="preserve">.  </w:t>
      </w:r>
      <w:r w:rsidR="004311FB">
        <w:t>However, t</w:t>
      </w:r>
      <w:r>
        <w:t xml:space="preserve">he number of disconnect complaints increased by </w:t>
      </w:r>
      <w:r w:rsidR="004311FB">
        <w:t xml:space="preserve">only </w:t>
      </w:r>
      <w:r>
        <w:t xml:space="preserve">4.8 percent </w:t>
      </w:r>
      <w:r w:rsidR="00641435">
        <w:t xml:space="preserve">during this period </w:t>
      </w:r>
      <w:r>
        <w:t>from 167 in 2009 to 175 in 2010</w:t>
      </w:r>
      <w:r w:rsidR="009204ED">
        <w:t>, as shown on Exhibit No. __</w:t>
      </w:r>
      <w:r>
        <w:t xml:space="preserve"> (RK-</w:t>
      </w:r>
      <w:r w:rsidR="00F2371A">
        <w:t>3</w:t>
      </w:r>
      <w:r>
        <w:t xml:space="preserve">). </w:t>
      </w:r>
      <w:r w:rsidR="004311FB">
        <w:t xml:space="preserve"> </w:t>
      </w:r>
      <w:r>
        <w:t xml:space="preserve">This suggests that </w:t>
      </w:r>
      <w:r w:rsidR="007005AF">
        <w:t xml:space="preserve">the interim </w:t>
      </w:r>
      <w:r>
        <w:t xml:space="preserve">elimination of SQI-9 </w:t>
      </w:r>
      <w:r w:rsidR="004311FB">
        <w:t xml:space="preserve">has not had </w:t>
      </w:r>
      <w:r>
        <w:t xml:space="preserve">a significant impact on customer complaints </w:t>
      </w:r>
      <w:r w:rsidR="004311FB">
        <w:t>and that a similar result will occur for 2011</w:t>
      </w:r>
      <w:r>
        <w:t xml:space="preserve">.  </w:t>
      </w:r>
    </w:p>
    <w:p w:rsidR="00375DBD" w:rsidRDefault="00375DBD" w:rsidP="00266B61">
      <w:pPr>
        <w:pStyle w:val="NoSpacing"/>
        <w:spacing w:line="480" w:lineRule="auto"/>
        <w:ind w:left="720" w:hanging="720"/>
      </w:pPr>
    </w:p>
    <w:p w:rsidR="0015186D" w:rsidRPr="0015186D" w:rsidRDefault="0015186D" w:rsidP="004311FB">
      <w:pPr>
        <w:pStyle w:val="NoSpacing"/>
        <w:spacing w:line="480" w:lineRule="auto"/>
        <w:ind w:left="720" w:hanging="720"/>
        <w:rPr>
          <w:b/>
        </w:rPr>
      </w:pPr>
      <w:r>
        <w:rPr>
          <w:b/>
        </w:rPr>
        <w:t>Q.</w:t>
      </w:r>
      <w:r>
        <w:rPr>
          <w:b/>
        </w:rPr>
        <w:tab/>
        <w:t xml:space="preserve">Does the fact that the </w:t>
      </w:r>
      <w:r w:rsidRPr="00435343">
        <w:rPr>
          <w:b/>
        </w:rPr>
        <w:t xml:space="preserve">number of </w:t>
      </w:r>
      <w:r w:rsidR="009204ED">
        <w:rPr>
          <w:b/>
        </w:rPr>
        <w:t xml:space="preserve">PSE </w:t>
      </w:r>
      <w:r w:rsidRPr="00435343">
        <w:rPr>
          <w:b/>
        </w:rPr>
        <w:t>disconnects increased suggest that SQI-9 does not interfere with disconnecting eligible customers?</w:t>
      </w:r>
      <w:r>
        <w:t xml:space="preserve">  </w:t>
      </w:r>
    </w:p>
    <w:p w:rsidR="0015186D" w:rsidRPr="0015186D" w:rsidRDefault="0015186D" w:rsidP="0015186D">
      <w:pPr>
        <w:pStyle w:val="NoSpacing"/>
        <w:spacing w:line="480" w:lineRule="auto"/>
        <w:ind w:left="720" w:hanging="720"/>
        <w:rPr>
          <w:b/>
        </w:rPr>
      </w:pPr>
      <w:r>
        <w:lastRenderedPageBreak/>
        <w:t>A.</w:t>
      </w:r>
      <w:r>
        <w:tab/>
        <w:t xml:space="preserve">No. </w:t>
      </w:r>
      <w:r w:rsidR="004311FB">
        <w:t xml:space="preserve"> </w:t>
      </w:r>
      <w:r>
        <w:t xml:space="preserve">It suggests just the opposite. </w:t>
      </w:r>
      <w:r w:rsidR="009204ED">
        <w:t xml:space="preserve"> </w:t>
      </w:r>
      <w:r>
        <w:t xml:space="preserve">SQI-9 precluded PSE from disconnecting </w:t>
      </w:r>
      <w:r w:rsidR="00641435">
        <w:t xml:space="preserve">all </w:t>
      </w:r>
      <w:r>
        <w:t>nonpaying customers</w:t>
      </w:r>
      <w:r w:rsidR="00641435">
        <w:t xml:space="preserve"> that met its criteria for disconnection</w:t>
      </w:r>
      <w:r>
        <w:t xml:space="preserve">. </w:t>
      </w:r>
      <w:r w:rsidR="004311FB">
        <w:t xml:space="preserve"> </w:t>
      </w:r>
      <w:r>
        <w:t xml:space="preserve">It was only after the Commission approved </w:t>
      </w:r>
      <w:r w:rsidR="007005AF">
        <w:t xml:space="preserve">temporarily </w:t>
      </w:r>
      <w:r>
        <w:t xml:space="preserve">the elimination of SQI-9 that PSE was able to increase its disconnection rate without </w:t>
      </w:r>
      <w:r w:rsidR="007005AF">
        <w:t xml:space="preserve">triggering </w:t>
      </w:r>
      <w:r>
        <w:t>penalties under SQI-9.</w:t>
      </w:r>
    </w:p>
    <w:p w:rsidR="0015186D" w:rsidRDefault="0015186D" w:rsidP="008331CE">
      <w:pPr>
        <w:pStyle w:val="NoSpacing"/>
        <w:spacing w:line="480" w:lineRule="auto"/>
      </w:pPr>
    </w:p>
    <w:p w:rsidR="0059483E" w:rsidRPr="006055D6" w:rsidRDefault="0059483E" w:rsidP="00E54F7C">
      <w:pPr>
        <w:pStyle w:val="NoSpacing"/>
        <w:spacing w:line="480" w:lineRule="auto"/>
        <w:ind w:left="720" w:hanging="720"/>
        <w:rPr>
          <w:b/>
        </w:rPr>
      </w:pPr>
      <w:r w:rsidRPr="00B75E28">
        <w:rPr>
          <w:b/>
        </w:rPr>
        <w:t>Q.</w:t>
      </w:r>
      <w:r w:rsidR="003303B5" w:rsidRPr="006055D6">
        <w:rPr>
          <w:b/>
        </w:rPr>
        <w:tab/>
        <w:t xml:space="preserve">Are there </w:t>
      </w:r>
      <w:r w:rsidR="007005AF">
        <w:rPr>
          <w:b/>
        </w:rPr>
        <w:t xml:space="preserve">other </w:t>
      </w:r>
      <w:r w:rsidR="003303B5" w:rsidRPr="006055D6">
        <w:rPr>
          <w:b/>
        </w:rPr>
        <w:t xml:space="preserve">factors </w:t>
      </w:r>
      <w:r w:rsidR="00361DD7">
        <w:rPr>
          <w:b/>
        </w:rPr>
        <w:t>that</w:t>
      </w:r>
      <w:r w:rsidR="007005AF">
        <w:rPr>
          <w:b/>
        </w:rPr>
        <w:t xml:space="preserve"> should</w:t>
      </w:r>
      <w:r w:rsidR="003303B5" w:rsidRPr="006055D6">
        <w:rPr>
          <w:b/>
        </w:rPr>
        <w:t xml:space="preserve"> encourage PSE to be sensitive to customer complaints regarding disconnection for nonpayment</w:t>
      </w:r>
      <w:r w:rsidR="00EB5782">
        <w:rPr>
          <w:b/>
        </w:rPr>
        <w:t xml:space="preserve"> if SQI-9 is eliminated and complaints increase as a result</w:t>
      </w:r>
      <w:r w:rsidR="003303B5" w:rsidRPr="006055D6">
        <w:rPr>
          <w:b/>
        </w:rPr>
        <w:t>?</w:t>
      </w:r>
    </w:p>
    <w:p w:rsidR="00E54F7C" w:rsidRPr="00E54F7C" w:rsidRDefault="00E54F7C" w:rsidP="00E54F7C">
      <w:pPr>
        <w:pStyle w:val="NoSpacing"/>
        <w:spacing w:line="480" w:lineRule="auto"/>
        <w:ind w:left="720" w:hanging="720"/>
      </w:pPr>
      <w:r>
        <w:t>A.</w:t>
      </w:r>
      <w:r>
        <w:tab/>
        <w:t>Yes.</w:t>
      </w:r>
      <w:r w:rsidR="00EB6CB1">
        <w:t xml:space="preserve"> </w:t>
      </w:r>
      <w:r w:rsidR="00361DD7">
        <w:t xml:space="preserve"> </w:t>
      </w:r>
      <w:r w:rsidR="00EB6CB1">
        <w:t xml:space="preserve">Table 4 on </w:t>
      </w:r>
      <w:r w:rsidR="002705F5">
        <w:t>p</w:t>
      </w:r>
      <w:r w:rsidR="00EB6CB1">
        <w:t xml:space="preserve">age </w:t>
      </w:r>
      <w:r w:rsidR="007D5432">
        <w:t>5</w:t>
      </w:r>
      <w:r w:rsidR="00EB6CB1">
        <w:t xml:space="preserve"> of Exhibit No. ____ (RK-</w:t>
      </w:r>
      <w:r w:rsidR="00374F2A">
        <w:t>2</w:t>
      </w:r>
      <w:r w:rsidR="00EB6CB1">
        <w:t xml:space="preserve">) shows PSE’s complaint ratio from 2006 to 2010. </w:t>
      </w:r>
      <w:r w:rsidR="00361DD7">
        <w:t xml:space="preserve"> </w:t>
      </w:r>
      <w:r w:rsidR="00EB6CB1">
        <w:t xml:space="preserve">It </w:t>
      </w:r>
      <w:r w:rsidR="005D5C29">
        <w:t>averaged 0.28</w:t>
      </w:r>
      <w:r w:rsidR="00EB6CB1">
        <w:t xml:space="preserve"> complaints per 1,000 customers</w:t>
      </w:r>
      <w:r w:rsidR="005D5C29">
        <w:t xml:space="preserve"> during the past five years</w:t>
      </w:r>
      <w:r w:rsidR="00EB6CB1">
        <w:t xml:space="preserve">. </w:t>
      </w:r>
      <w:r w:rsidR="004311FB">
        <w:t xml:space="preserve"> </w:t>
      </w:r>
      <w:r w:rsidR="00EB6CB1">
        <w:t xml:space="preserve">This includes all complaints filed with the </w:t>
      </w:r>
      <w:r w:rsidR="00361DD7">
        <w:t>Commission</w:t>
      </w:r>
      <w:r w:rsidR="00EB6CB1">
        <w:t xml:space="preserve">. </w:t>
      </w:r>
      <w:r w:rsidR="004311FB">
        <w:t xml:space="preserve"> </w:t>
      </w:r>
      <w:r w:rsidR="00DD6C46">
        <w:t xml:space="preserve">The SQI-2 benchmark is </w:t>
      </w:r>
      <w:r w:rsidR="00641435">
        <w:t xml:space="preserve">no more than </w:t>
      </w:r>
      <w:r w:rsidR="00DD6C46">
        <w:t xml:space="preserve">0.40 complaints per 1,000 customers. </w:t>
      </w:r>
      <w:r w:rsidR="004311FB">
        <w:t xml:space="preserve"> </w:t>
      </w:r>
      <w:r w:rsidR="00DD6C46">
        <w:t xml:space="preserve">The </w:t>
      </w:r>
      <w:r w:rsidR="00361DD7">
        <w:t>C</w:t>
      </w:r>
      <w:r w:rsidR="00DD6C46">
        <w:t>ompany is not allowed to exceed this benchmark</w:t>
      </w:r>
      <w:r w:rsidR="004311FB">
        <w:t xml:space="preserve"> without </w:t>
      </w:r>
      <w:r w:rsidR="007D5432">
        <w:t xml:space="preserve">a </w:t>
      </w:r>
      <w:r w:rsidR="004311FB">
        <w:t>penalty</w:t>
      </w:r>
      <w:r w:rsidR="00DD6C46">
        <w:t>.</w:t>
      </w:r>
    </w:p>
    <w:p w:rsidR="00CD191E" w:rsidRDefault="00CD191E" w:rsidP="0020442A">
      <w:pPr>
        <w:pStyle w:val="NoSpacing"/>
        <w:spacing w:line="480" w:lineRule="auto"/>
      </w:pPr>
    </w:p>
    <w:p w:rsidR="006E387A" w:rsidRDefault="00373E2B" w:rsidP="008827A8">
      <w:pPr>
        <w:pStyle w:val="NoSpacing"/>
        <w:spacing w:line="480" w:lineRule="auto"/>
        <w:ind w:left="720" w:hanging="720"/>
        <w:rPr>
          <w:b/>
        </w:rPr>
      </w:pPr>
      <w:r>
        <w:rPr>
          <w:b/>
        </w:rPr>
        <w:t>Q.</w:t>
      </w:r>
      <w:r>
        <w:rPr>
          <w:b/>
        </w:rPr>
        <w:tab/>
      </w:r>
      <w:r w:rsidR="003303B5" w:rsidRPr="006055D6">
        <w:rPr>
          <w:b/>
        </w:rPr>
        <w:t xml:space="preserve">Please summarize </w:t>
      </w:r>
      <w:r w:rsidR="00140AC4">
        <w:rPr>
          <w:b/>
        </w:rPr>
        <w:t xml:space="preserve">the reasons for </w:t>
      </w:r>
      <w:r w:rsidR="003303B5" w:rsidRPr="006055D6">
        <w:rPr>
          <w:b/>
        </w:rPr>
        <w:t xml:space="preserve">your </w:t>
      </w:r>
      <w:r w:rsidR="00140AC4">
        <w:rPr>
          <w:b/>
        </w:rPr>
        <w:t xml:space="preserve">support </w:t>
      </w:r>
      <w:r w:rsidR="004311FB">
        <w:rPr>
          <w:b/>
        </w:rPr>
        <w:t xml:space="preserve">of </w:t>
      </w:r>
      <w:r w:rsidR="003303B5" w:rsidRPr="006055D6">
        <w:rPr>
          <w:b/>
        </w:rPr>
        <w:t>PSE’s request to eliminate SQI-</w:t>
      </w:r>
      <w:r w:rsidR="00140AC4">
        <w:rPr>
          <w:b/>
        </w:rPr>
        <w:t>9.</w:t>
      </w:r>
    </w:p>
    <w:p w:rsidR="00674521" w:rsidRDefault="00140AC4" w:rsidP="00BC48FB">
      <w:pPr>
        <w:pStyle w:val="NoSpacing"/>
        <w:spacing w:line="480" w:lineRule="auto"/>
        <w:ind w:left="720" w:hanging="720"/>
      </w:pPr>
      <w:r>
        <w:t>A.</w:t>
      </w:r>
      <w:r>
        <w:tab/>
      </w:r>
      <w:r w:rsidR="001F367A">
        <w:t>Existing rules already offer thorough and meaningful protections for customers</w:t>
      </w:r>
      <w:r>
        <w:t xml:space="preserve"> </w:t>
      </w:r>
      <w:r w:rsidR="001F367A">
        <w:t xml:space="preserve">facing disconnection. </w:t>
      </w:r>
      <w:r w:rsidR="004311FB">
        <w:t xml:space="preserve"> </w:t>
      </w:r>
      <w:r w:rsidR="001F367A">
        <w:t xml:space="preserve">Allowing the Company to eliminate SQI-9 will have no </w:t>
      </w:r>
      <w:r w:rsidR="004D32CF">
        <w:t>effect</w:t>
      </w:r>
      <w:r w:rsidR="001F367A">
        <w:t xml:space="preserve"> on those existing protections. </w:t>
      </w:r>
      <w:r w:rsidR="002705F5">
        <w:t xml:space="preserve"> </w:t>
      </w:r>
      <w:r w:rsidR="001F367A">
        <w:t xml:space="preserve">Rather than limiting </w:t>
      </w:r>
      <w:r w:rsidR="007005AF">
        <w:t>PSE’</w:t>
      </w:r>
      <w:r w:rsidR="001F367A">
        <w:t>s ability to disconnect customers for non-</w:t>
      </w:r>
      <w:r w:rsidR="00CB161A">
        <w:t>payment;</w:t>
      </w:r>
      <w:r w:rsidR="001F367A">
        <w:t xml:space="preserve"> the rules prescribe specific steps PSE must follow before it can disconnect a customer. </w:t>
      </w:r>
      <w:r w:rsidR="00361DD7">
        <w:t xml:space="preserve"> </w:t>
      </w:r>
      <w:r w:rsidR="001F367A">
        <w:t xml:space="preserve">The rules also recognize that energy service is essential to the public health and welfare by providing a specific mechanism for disconnected customers to resume service without the burden of first having to repay </w:t>
      </w:r>
      <w:r w:rsidR="001F367A">
        <w:lastRenderedPageBreak/>
        <w:t>their prior obligation.</w:t>
      </w:r>
      <w:r w:rsidR="00434DDA">
        <w:t xml:space="preserve">  </w:t>
      </w:r>
      <w:r w:rsidR="001F367A">
        <w:t xml:space="preserve">These important public policies will not be implemented if PSE is unable to promptly disconnect all customers that fall in arrears. </w:t>
      </w:r>
      <w:r w:rsidR="00361DD7">
        <w:t xml:space="preserve"> </w:t>
      </w:r>
    </w:p>
    <w:p w:rsidR="00CD191E" w:rsidRDefault="00CD191E" w:rsidP="005F1CE8">
      <w:pPr>
        <w:pStyle w:val="NoSpacing"/>
        <w:spacing w:line="480" w:lineRule="auto"/>
        <w:jc w:val="center"/>
        <w:rPr>
          <w:b/>
        </w:rPr>
      </w:pPr>
    </w:p>
    <w:p w:rsidR="00674521" w:rsidRPr="007005AF" w:rsidRDefault="00E94AE9" w:rsidP="005F1CE8">
      <w:pPr>
        <w:pStyle w:val="NoSpacing"/>
        <w:keepNext/>
        <w:spacing w:line="480" w:lineRule="auto"/>
        <w:jc w:val="center"/>
      </w:pPr>
      <w:r w:rsidRPr="001F2F1C">
        <w:rPr>
          <w:b/>
        </w:rPr>
        <w:t>IV</w:t>
      </w:r>
      <w:r w:rsidR="007D5432" w:rsidRPr="001F2F1C">
        <w:rPr>
          <w:b/>
        </w:rPr>
        <w:t>.</w:t>
      </w:r>
      <w:r w:rsidR="007D5432" w:rsidRPr="001F2F1C">
        <w:tab/>
      </w:r>
      <w:r w:rsidR="0030715A" w:rsidRPr="001F2F1C">
        <w:rPr>
          <w:b/>
        </w:rPr>
        <w:t>METER AND BILLING PERFORMANCE</w:t>
      </w:r>
    </w:p>
    <w:p w:rsidR="0030715A" w:rsidRDefault="0030715A" w:rsidP="005F1CE8">
      <w:pPr>
        <w:pStyle w:val="NoSpacing"/>
        <w:keepNext/>
        <w:spacing w:line="480" w:lineRule="auto"/>
        <w:ind w:left="360"/>
      </w:pPr>
    </w:p>
    <w:p w:rsidR="00CD191E" w:rsidRDefault="00CD191E" w:rsidP="002B7C98">
      <w:pPr>
        <w:pStyle w:val="NoSpacing"/>
        <w:keepNext/>
        <w:spacing w:line="480" w:lineRule="auto"/>
        <w:ind w:left="720" w:hanging="720"/>
      </w:pPr>
      <w:r>
        <w:rPr>
          <w:b/>
        </w:rPr>
        <w:t>Q.</w:t>
      </w:r>
      <w:r>
        <w:rPr>
          <w:b/>
        </w:rPr>
        <w:tab/>
        <w:t xml:space="preserve">Please provide a brief background of PSE’s </w:t>
      </w:r>
      <w:r w:rsidR="00837BFE">
        <w:rPr>
          <w:b/>
        </w:rPr>
        <w:t>meter and billing performance</w:t>
      </w:r>
      <w:r>
        <w:rPr>
          <w:b/>
        </w:rPr>
        <w:t>.</w:t>
      </w:r>
    </w:p>
    <w:p w:rsidR="005B4B7C" w:rsidRDefault="00CD191E" w:rsidP="002B7C98">
      <w:pPr>
        <w:pStyle w:val="NoSpacing"/>
        <w:spacing w:line="480" w:lineRule="auto"/>
        <w:ind w:left="720" w:hanging="720"/>
      </w:pPr>
      <w:r>
        <w:t>A.</w:t>
      </w:r>
      <w:r>
        <w:tab/>
      </w:r>
      <w:r w:rsidR="005B4B7C">
        <w:t>A key aspect of PSE’s meter problems relates to its use of Automatic Meter Reading (</w:t>
      </w:r>
      <w:r w:rsidR="00E007D5">
        <w:t>“</w:t>
      </w:r>
      <w:r w:rsidR="005B4B7C">
        <w:t>AMR</w:t>
      </w:r>
      <w:r w:rsidR="00E007D5">
        <w:t>”</w:t>
      </w:r>
      <w:r w:rsidR="005B4B7C">
        <w:t xml:space="preserve">) technology. </w:t>
      </w:r>
      <w:r w:rsidR="00E007D5">
        <w:t xml:space="preserve"> </w:t>
      </w:r>
      <w:r w:rsidR="005B4B7C">
        <w:t>PSE began piloting the use of this technology in the late 1990’s</w:t>
      </w:r>
      <w:r w:rsidR="00A21A1A">
        <w:t>.  S</w:t>
      </w:r>
      <w:r w:rsidR="005B4B7C">
        <w:t xml:space="preserve">ince </w:t>
      </w:r>
      <w:r w:rsidR="00CB161A">
        <w:t>2006</w:t>
      </w:r>
      <w:r w:rsidR="005B4B7C">
        <w:t xml:space="preserve"> nearly all of PSE’s meters</w:t>
      </w:r>
      <w:r w:rsidR="005F1CE8">
        <w:t xml:space="preserve"> have been read automatically. </w:t>
      </w:r>
    </w:p>
    <w:p w:rsidR="003A227E" w:rsidRDefault="001640F8" w:rsidP="000C4961">
      <w:pPr>
        <w:pStyle w:val="NoSpacing"/>
        <w:spacing w:line="480" w:lineRule="auto"/>
        <w:ind w:left="720" w:firstLine="720"/>
      </w:pPr>
      <w:r>
        <w:t xml:space="preserve">On December 3, 2007, the Company filed </w:t>
      </w:r>
      <w:r w:rsidR="00434DDA">
        <w:t>the 2007 Rate Case</w:t>
      </w:r>
      <w:r>
        <w:t xml:space="preserve">. </w:t>
      </w:r>
      <w:r w:rsidR="000B7D37">
        <w:t xml:space="preserve"> </w:t>
      </w:r>
      <w:r>
        <w:t>Staff and Public Counsel raised concerns in their response cases regarding the Company’s metering and billing practices</w:t>
      </w:r>
      <w:r w:rsidR="00434DDA">
        <w:t xml:space="preserve">, which </w:t>
      </w:r>
      <w:r w:rsidR="00A21A1A">
        <w:t xml:space="preserve">resulted </w:t>
      </w:r>
      <w:r w:rsidR="00DE0C2C">
        <w:t xml:space="preserve">in </w:t>
      </w:r>
      <w:r w:rsidR="00434DDA">
        <w:t>an excessive number and duration of back-bills for electric and natural gas service</w:t>
      </w:r>
      <w:r w:rsidR="00A21A1A">
        <w:t xml:space="preserve"> customers</w:t>
      </w:r>
      <w:r>
        <w:t xml:space="preserve">. </w:t>
      </w:r>
      <w:r w:rsidR="000B7D37">
        <w:t xml:space="preserve"> </w:t>
      </w:r>
      <w:r>
        <w:t xml:space="preserve">Staff recommended disallowances to </w:t>
      </w:r>
      <w:r w:rsidR="00E007D5">
        <w:t xml:space="preserve">both </w:t>
      </w:r>
      <w:r>
        <w:t>electric and gas revenue requirements and to cash working capital reflecting Staff’s concern regarding unbilled revenue</w:t>
      </w:r>
      <w:r w:rsidR="00434DDA">
        <w:t xml:space="preserve"> (</w:t>
      </w:r>
      <w:r w:rsidR="00434DDA" w:rsidRPr="006055D6">
        <w:rPr>
          <w:i/>
        </w:rPr>
        <w:t>i.e.,</w:t>
      </w:r>
      <w:r w:rsidR="00434DDA">
        <w:t xml:space="preserve"> revenue the Company should have received had it properly billed all customers under the effective tariff rates)</w:t>
      </w:r>
      <w:r>
        <w:t>.</w:t>
      </w:r>
      <w:r w:rsidR="000B7D37">
        <w:rPr>
          <w:rStyle w:val="FootnoteReference"/>
        </w:rPr>
        <w:footnoteReference w:id="9"/>
      </w:r>
      <w:r>
        <w:t xml:space="preserve"> </w:t>
      </w:r>
    </w:p>
    <w:p w:rsidR="001C22DE" w:rsidRDefault="00E007D5" w:rsidP="001C0FF7">
      <w:pPr>
        <w:pStyle w:val="NoSpacing"/>
        <w:spacing w:line="480" w:lineRule="auto"/>
        <w:ind w:left="720" w:firstLine="720"/>
      </w:pPr>
      <w:r>
        <w:t>Prior to hearing, t</w:t>
      </w:r>
      <w:r w:rsidR="003A227E">
        <w:t>he</w:t>
      </w:r>
      <w:r w:rsidR="00BC0B08">
        <w:t xml:space="preserve"> Company, Staff, Public Counsel</w:t>
      </w:r>
      <w:r w:rsidR="00434DDA">
        <w:t xml:space="preserve"> </w:t>
      </w:r>
      <w:r w:rsidR="00BC0B08">
        <w:t>and The Energy Projec</w:t>
      </w:r>
      <w:r w:rsidR="00434DDA">
        <w:t xml:space="preserve">t </w:t>
      </w:r>
      <w:r w:rsidR="003A227E">
        <w:t>reached agreement on terms that establish</w:t>
      </w:r>
      <w:r w:rsidR="000B7D37">
        <w:t>ed</w:t>
      </w:r>
      <w:r w:rsidR="003A227E">
        <w:t xml:space="preserve"> an electric and natural gas </w:t>
      </w:r>
      <w:r w:rsidR="00434DDA">
        <w:t>B</w:t>
      </w:r>
      <w:r w:rsidR="003A227E">
        <w:t xml:space="preserve">illing and </w:t>
      </w:r>
      <w:r w:rsidR="00434DDA">
        <w:t>M</w:t>
      </w:r>
      <w:r w:rsidR="003A227E">
        <w:t xml:space="preserve">eter </w:t>
      </w:r>
      <w:r w:rsidR="00434DDA">
        <w:t>P</w:t>
      </w:r>
      <w:r w:rsidR="003A227E">
        <w:t xml:space="preserve">erformance </w:t>
      </w:r>
      <w:r w:rsidR="00434DDA">
        <w:t>P</w:t>
      </w:r>
      <w:r w:rsidR="003A227E">
        <w:t>lan, set</w:t>
      </w:r>
      <w:r>
        <w:t>ting</w:t>
      </w:r>
      <w:r w:rsidR="003A227E">
        <w:t xml:space="preserve"> forth standards to measure </w:t>
      </w:r>
      <w:r w:rsidR="00A21A1A">
        <w:t xml:space="preserve">and correct </w:t>
      </w:r>
      <w:r w:rsidR="003A227E">
        <w:t>potential problems in PSE’s metering system</w:t>
      </w:r>
      <w:r w:rsidR="00434DDA">
        <w:t xml:space="preserve"> that result in incorrect billings</w:t>
      </w:r>
      <w:r w:rsidR="000B7D37">
        <w:t>.  The goal was to</w:t>
      </w:r>
      <w:r w:rsidR="003A227E">
        <w:t xml:space="preserve"> improv</w:t>
      </w:r>
      <w:r w:rsidR="000B7D37">
        <w:t xml:space="preserve">e </w:t>
      </w:r>
      <w:r w:rsidR="003A227E">
        <w:t>PSE’s ability to issue accurate and timely bills to its customers</w:t>
      </w:r>
      <w:r w:rsidR="00BC0B08">
        <w:t xml:space="preserve"> </w:t>
      </w:r>
      <w:r w:rsidR="0039320E">
        <w:t xml:space="preserve">in order to </w:t>
      </w:r>
      <w:r w:rsidR="0039320E">
        <w:lastRenderedPageBreak/>
        <w:t xml:space="preserve">decrease the </w:t>
      </w:r>
      <w:r w:rsidR="00434DDA">
        <w:t xml:space="preserve">number and </w:t>
      </w:r>
      <w:r w:rsidR="00121A57">
        <w:t xml:space="preserve">duration of </w:t>
      </w:r>
      <w:r w:rsidR="00BC0B08">
        <w:t>back</w:t>
      </w:r>
      <w:r w:rsidR="0039320E">
        <w:t>-</w:t>
      </w:r>
      <w:r w:rsidR="00BC0B08">
        <w:t>bills</w:t>
      </w:r>
      <w:r w:rsidR="003A227E">
        <w:t>.</w:t>
      </w:r>
      <w:r w:rsidR="000B7D37">
        <w:t xml:space="preserve">  The Commission approved the settlement agreement,</w:t>
      </w:r>
      <w:r w:rsidR="00DC3E15">
        <w:rPr>
          <w:rStyle w:val="FootnoteReference"/>
        </w:rPr>
        <w:footnoteReference w:id="10"/>
      </w:r>
      <w:r w:rsidR="000B7D37">
        <w:t xml:space="preserve"> which I have included </w:t>
      </w:r>
      <w:r w:rsidR="00A21A1A">
        <w:t xml:space="preserve">in </w:t>
      </w:r>
      <w:r w:rsidR="000B7D37">
        <w:t>Exhibit No. __ (RK-</w:t>
      </w:r>
      <w:r w:rsidR="008A7513">
        <w:t>4</w:t>
      </w:r>
      <w:r w:rsidR="000B7D37">
        <w:t>).</w:t>
      </w:r>
    </w:p>
    <w:p w:rsidR="001C22DE" w:rsidRDefault="00F82651" w:rsidP="00C3276A">
      <w:pPr>
        <w:pStyle w:val="NoSpacing"/>
        <w:spacing w:line="480" w:lineRule="auto"/>
        <w:ind w:left="720" w:firstLine="720"/>
      </w:pPr>
      <w:r>
        <w:t xml:space="preserve">The </w:t>
      </w:r>
      <w:r w:rsidR="00A21A1A">
        <w:t xml:space="preserve">Billing and Meter Performance Plan </w:t>
      </w:r>
      <w:r>
        <w:t>require</w:t>
      </w:r>
      <w:r w:rsidR="00A21A1A">
        <w:t>s</w:t>
      </w:r>
      <w:r>
        <w:t xml:space="preserve"> PSE to correct </w:t>
      </w:r>
      <w:r w:rsidR="00AD41DA">
        <w:t>meter problems within the following timeframes:</w:t>
      </w:r>
    </w:p>
    <w:p w:rsidR="00AD41DA" w:rsidRDefault="00AD41DA" w:rsidP="00BF71C0">
      <w:pPr>
        <w:pStyle w:val="NoSpacing"/>
        <w:numPr>
          <w:ilvl w:val="0"/>
          <w:numId w:val="15"/>
        </w:numPr>
        <w:spacing w:line="480" w:lineRule="auto"/>
        <w:ind w:left="1440"/>
      </w:pPr>
      <w:r>
        <w:t>Natural gas meters: 100 percent within four months of identification; 75 percent of identified gas meter problems will be corrected within two months.</w:t>
      </w:r>
    </w:p>
    <w:p w:rsidR="00AD41DA" w:rsidRDefault="00AD41DA" w:rsidP="00BF71C0">
      <w:pPr>
        <w:pStyle w:val="NoSpacing"/>
        <w:numPr>
          <w:ilvl w:val="0"/>
          <w:numId w:val="15"/>
        </w:numPr>
        <w:spacing w:line="480" w:lineRule="auto"/>
        <w:ind w:left="1440"/>
      </w:pPr>
      <w:r>
        <w:t xml:space="preserve">Electric meters: 100 percent within two months of identification; 50 percent </w:t>
      </w:r>
      <w:r w:rsidR="00DF6FC1">
        <w:t xml:space="preserve">of identified electric meter problems </w:t>
      </w:r>
      <w:r>
        <w:t>will be corrected within one month.</w:t>
      </w:r>
    </w:p>
    <w:p w:rsidR="00CD191E" w:rsidRDefault="00A21A1A" w:rsidP="000C4961">
      <w:pPr>
        <w:pStyle w:val="NoSpacing"/>
        <w:spacing w:line="480" w:lineRule="auto"/>
        <w:ind w:left="720"/>
      </w:pPr>
      <w:r>
        <w:t>The Company was also required to file quarterly reports of its performance under these standards.</w:t>
      </w:r>
    </w:p>
    <w:p w:rsidR="00A21A1A" w:rsidRDefault="00A21A1A" w:rsidP="000C4961">
      <w:pPr>
        <w:pStyle w:val="NoSpacing"/>
        <w:spacing w:line="480" w:lineRule="auto"/>
        <w:ind w:left="720"/>
      </w:pPr>
    </w:p>
    <w:p w:rsidR="00CF129F" w:rsidRDefault="00CF129F" w:rsidP="002B7C98">
      <w:pPr>
        <w:pStyle w:val="NoSpacing"/>
        <w:spacing w:line="480" w:lineRule="auto"/>
        <w:ind w:left="720" w:hanging="720"/>
      </w:pPr>
      <w:r>
        <w:rPr>
          <w:b/>
        </w:rPr>
        <w:t>Q.</w:t>
      </w:r>
      <w:r>
        <w:rPr>
          <w:b/>
        </w:rPr>
        <w:tab/>
        <w:t>What are the leading causes of the meter and billing problems?</w:t>
      </w:r>
    </w:p>
    <w:p w:rsidR="00CF129F" w:rsidRDefault="00CF129F" w:rsidP="002B7C98">
      <w:pPr>
        <w:pStyle w:val="NoSpacing"/>
        <w:spacing w:line="480" w:lineRule="auto"/>
        <w:ind w:left="720" w:hanging="720"/>
      </w:pPr>
      <w:r>
        <w:t>A.</w:t>
      </w:r>
      <w:r>
        <w:tab/>
        <w:t xml:space="preserve">The three </w:t>
      </w:r>
      <w:r w:rsidR="000B659C">
        <w:t xml:space="preserve">types </w:t>
      </w:r>
      <w:r>
        <w:t xml:space="preserve">of meter problems causing </w:t>
      </w:r>
      <w:r w:rsidR="000B659C">
        <w:t xml:space="preserve">the </w:t>
      </w:r>
      <w:r>
        <w:t xml:space="preserve">retroactive billing issues are: </w:t>
      </w:r>
      <w:r w:rsidR="00A21A1A">
        <w:t xml:space="preserve"> </w:t>
      </w:r>
      <w:r>
        <w:t>(1) stopped meters</w:t>
      </w:r>
      <w:r w:rsidR="00DF6FC1">
        <w:t>;</w:t>
      </w:r>
      <w:r>
        <w:t xml:space="preserve"> (2) unassigned usage meters</w:t>
      </w:r>
      <w:r w:rsidR="00DF6FC1">
        <w:t>;</w:t>
      </w:r>
      <w:r>
        <w:t xml:space="preserve"> and (3) lost/delayed meters.</w:t>
      </w:r>
      <w:r w:rsidR="00B33271">
        <w:t xml:space="preserve"> </w:t>
      </w:r>
      <w:r w:rsidR="00DF6FC1">
        <w:t xml:space="preserve"> </w:t>
      </w:r>
      <w:r w:rsidR="00A21A1A">
        <w:t>In 2010, s</w:t>
      </w:r>
      <w:r w:rsidR="00B33271">
        <w:t xml:space="preserve">topped meters </w:t>
      </w:r>
      <w:r w:rsidR="009A6F9B">
        <w:t xml:space="preserve">accounted for 90.5 percent </w:t>
      </w:r>
      <w:r w:rsidR="00A21A1A">
        <w:t xml:space="preserve">of retroactive bills </w:t>
      </w:r>
      <w:r w:rsidR="00B33271">
        <w:t>and unassigned usage meters account</w:t>
      </w:r>
      <w:r w:rsidR="009A6F9B">
        <w:t>ed</w:t>
      </w:r>
      <w:r w:rsidR="00B33271">
        <w:t xml:space="preserve"> for </w:t>
      </w:r>
      <w:r w:rsidR="009A6F9B">
        <w:t>7.8 percent</w:t>
      </w:r>
      <w:r w:rsidR="00A21A1A">
        <w:t xml:space="preserve"> </w:t>
      </w:r>
      <w:r w:rsidR="00B33271">
        <w:t xml:space="preserve">of </w:t>
      </w:r>
      <w:r w:rsidR="00A21A1A">
        <w:t>retroactive bills.</w:t>
      </w:r>
      <w:r w:rsidR="009A6F9B">
        <w:rPr>
          <w:rStyle w:val="FootnoteReference"/>
        </w:rPr>
        <w:footnoteReference w:id="11"/>
      </w:r>
    </w:p>
    <w:p w:rsidR="00B33271" w:rsidRDefault="00B33271" w:rsidP="002B7C98">
      <w:pPr>
        <w:pStyle w:val="NoSpacing"/>
        <w:spacing w:line="480" w:lineRule="auto"/>
        <w:ind w:left="720" w:hanging="720"/>
      </w:pPr>
    </w:p>
    <w:p w:rsidR="00B33271" w:rsidRDefault="00B33271" w:rsidP="002B7C98">
      <w:pPr>
        <w:pStyle w:val="NoSpacing"/>
        <w:spacing w:line="480" w:lineRule="auto"/>
        <w:ind w:left="720" w:hanging="720"/>
        <w:rPr>
          <w:b/>
        </w:rPr>
      </w:pPr>
      <w:r>
        <w:rPr>
          <w:b/>
        </w:rPr>
        <w:t>Q.</w:t>
      </w:r>
      <w:r>
        <w:rPr>
          <w:b/>
        </w:rPr>
        <w:tab/>
        <w:t xml:space="preserve">What </w:t>
      </w:r>
      <w:r w:rsidR="007005AF">
        <w:rPr>
          <w:b/>
        </w:rPr>
        <w:t>is a</w:t>
      </w:r>
      <w:r>
        <w:rPr>
          <w:b/>
        </w:rPr>
        <w:t xml:space="preserve"> stopped meter?</w:t>
      </w:r>
    </w:p>
    <w:p w:rsidR="00A95369" w:rsidRDefault="00B33271" w:rsidP="002B7C98">
      <w:pPr>
        <w:pStyle w:val="NoSpacing"/>
        <w:spacing w:line="480" w:lineRule="auto"/>
        <w:ind w:left="720" w:hanging="720"/>
      </w:pPr>
      <w:r>
        <w:t xml:space="preserve">A. </w:t>
      </w:r>
      <w:r>
        <w:tab/>
        <w:t xml:space="preserve">A stopped meter occurs when a meter or </w:t>
      </w:r>
      <w:r w:rsidR="004105CC">
        <w:t xml:space="preserve">the </w:t>
      </w:r>
      <w:r>
        <w:t xml:space="preserve">module </w:t>
      </w:r>
      <w:r w:rsidR="004105CC">
        <w:t xml:space="preserve">that transmits usage data to the </w:t>
      </w:r>
      <w:r w:rsidR="00A21A1A">
        <w:t>C</w:t>
      </w:r>
      <w:r w:rsidR="004105CC">
        <w:t xml:space="preserve">ompany </w:t>
      </w:r>
      <w:r>
        <w:t xml:space="preserve">does not report any energy usage even though energy is being consumed. </w:t>
      </w:r>
      <w:r w:rsidR="00DF6FC1">
        <w:t xml:space="preserve"> </w:t>
      </w:r>
      <w:r w:rsidR="00A21A1A">
        <w:t>T</w:t>
      </w:r>
      <w:r>
        <w:t xml:space="preserve">here are two main causes why a meter stops registering energy usage: </w:t>
      </w:r>
      <w:r w:rsidR="007005AF">
        <w:t xml:space="preserve"> </w:t>
      </w:r>
      <w:r>
        <w:t>(1) a meter failure</w:t>
      </w:r>
      <w:r w:rsidR="00DF6FC1">
        <w:t>;</w:t>
      </w:r>
      <w:r>
        <w:t xml:space="preserve"> and (2) an AMR module failure. </w:t>
      </w:r>
      <w:r w:rsidR="00DF6FC1">
        <w:t xml:space="preserve"> </w:t>
      </w:r>
      <w:r>
        <w:t xml:space="preserve">A gas meter failure commonly results from </w:t>
      </w:r>
      <w:r>
        <w:lastRenderedPageBreak/>
        <w:t xml:space="preserve">friction between the module drive and the internal axle gear causing internal components to break, which causes the meter to either read slow or stop completely. </w:t>
      </w:r>
      <w:r w:rsidR="00DF6FC1">
        <w:t xml:space="preserve"> </w:t>
      </w:r>
      <w:r>
        <w:t>An electric meter failure is most commonly the result of friction, aging, or contamination build-up in the bearing or meter dial.</w:t>
      </w:r>
    </w:p>
    <w:p w:rsidR="00B33271" w:rsidRDefault="00B33271" w:rsidP="002B7C98">
      <w:pPr>
        <w:pStyle w:val="NoSpacing"/>
        <w:spacing w:line="480" w:lineRule="auto"/>
        <w:ind w:left="720" w:hanging="720"/>
      </w:pPr>
      <w:r>
        <w:tab/>
      </w:r>
      <w:r w:rsidR="00DF6FC1">
        <w:tab/>
      </w:r>
      <w:r w:rsidR="00A21A1A">
        <w:t>A</w:t>
      </w:r>
      <w:r>
        <w:t>n AMR module failure is indicated when the module transmit</w:t>
      </w:r>
      <w:r w:rsidR="00DF6FC1">
        <w:t>s</w:t>
      </w:r>
      <w:r>
        <w:t xml:space="preserve"> the same </w:t>
      </w:r>
      <w:r w:rsidR="004105CC">
        <w:t xml:space="preserve">usage data </w:t>
      </w:r>
      <w:r>
        <w:t xml:space="preserve">repeatedly, or simply stops sending any </w:t>
      </w:r>
      <w:r w:rsidR="004105CC">
        <w:t>usage data</w:t>
      </w:r>
      <w:r>
        <w:t xml:space="preserve">. </w:t>
      </w:r>
      <w:r w:rsidR="00DF6FC1">
        <w:t xml:space="preserve"> </w:t>
      </w:r>
      <w:r>
        <w:t>Examples of AMR module failures include malfunctioning circuit boards and mechanical failures, which cause the module to not record and transmit the proper consumption.</w:t>
      </w:r>
    </w:p>
    <w:p w:rsidR="00B33271" w:rsidRDefault="00B33271" w:rsidP="002B7C98">
      <w:pPr>
        <w:pStyle w:val="NoSpacing"/>
        <w:spacing w:line="480" w:lineRule="auto"/>
        <w:ind w:left="720" w:hanging="720"/>
      </w:pPr>
    </w:p>
    <w:p w:rsidR="00B33271" w:rsidRDefault="00B33271" w:rsidP="002B7C98">
      <w:pPr>
        <w:pStyle w:val="NoSpacing"/>
        <w:spacing w:line="480" w:lineRule="auto"/>
        <w:ind w:left="720" w:hanging="720"/>
        <w:rPr>
          <w:b/>
        </w:rPr>
      </w:pPr>
      <w:r>
        <w:rPr>
          <w:b/>
        </w:rPr>
        <w:t>Q.</w:t>
      </w:r>
      <w:r>
        <w:rPr>
          <w:b/>
        </w:rPr>
        <w:tab/>
        <w:t xml:space="preserve">What </w:t>
      </w:r>
      <w:r w:rsidR="007005AF">
        <w:rPr>
          <w:b/>
        </w:rPr>
        <w:t xml:space="preserve">is an </w:t>
      </w:r>
      <w:r>
        <w:rPr>
          <w:b/>
        </w:rPr>
        <w:t>unassigned usage meter?</w:t>
      </w:r>
    </w:p>
    <w:p w:rsidR="00B33271" w:rsidRPr="00B33271" w:rsidRDefault="00B33271" w:rsidP="002B7C98">
      <w:pPr>
        <w:pStyle w:val="NoSpacing"/>
        <w:spacing w:line="480" w:lineRule="auto"/>
        <w:ind w:left="720" w:hanging="720"/>
      </w:pPr>
      <w:r>
        <w:t>A.</w:t>
      </w:r>
      <w:r>
        <w:tab/>
      </w:r>
      <w:r w:rsidR="007005AF">
        <w:t>An u</w:t>
      </w:r>
      <w:r>
        <w:t>nassigned usage meter</w:t>
      </w:r>
      <w:r w:rsidR="007005AF">
        <w:t xml:space="preserve"> is a meter</w:t>
      </w:r>
      <w:r>
        <w:t xml:space="preserve"> that correctly record</w:t>
      </w:r>
      <w:r w:rsidR="007005AF">
        <w:t>s</w:t>
      </w:r>
      <w:r>
        <w:t xml:space="preserve"> and transmit</w:t>
      </w:r>
      <w:r w:rsidR="007005AF">
        <w:t>s</w:t>
      </w:r>
      <w:r>
        <w:t xml:space="preserve"> energy usage</w:t>
      </w:r>
      <w:r w:rsidR="00126EA0">
        <w:t>,</w:t>
      </w:r>
      <w:r>
        <w:t xml:space="preserve"> but do</w:t>
      </w:r>
      <w:r w:rsidR="007005AF">
        <w:t>es</w:t>
      </w:r>
      <w:r>
        <w:t xml:space="preserve"> not have a customer assigned to the account. </w:t>
      </w:r>
      <w:r w:rsidR="00DF6FC1">
        <w:t xml:space="preserve"> T</w:t>
      </w:r>
      <w:r>
        <w:t>his most commonly occurs with residential or commercial rental properties, for example when a tenant has moved into an apartment and has not notified the Company of current account information.</w:t>
      </w:r>
    </w:p>
    <w:p w:rsidR="00CF129F" w:rsidRDefault="00CF129F" w:rsidP="002B7C98">
      <w:pPr>
        <w:pStyle w:val="NoSpacing"/>
        <w:spacing w:line="480" w:lineRule="auto"/>
        <w:ind w:left="720" w:hanging="720"/>
      </w:pPr>
    </w:p>
    <w:p w:rsidR="00983B17" w:rsidRDefault="00983B17" w:rsidP="00983B17">
      <w:pPr>
        <w:pStyle w:val="NoSpacing"/>
        <w:spacing w:line="480" w:lineRule="auto"/>
        <w:ind w:left="720" w:hanging="720"/>
        <w:rPr>
          <w:b/>
        </w:rPr>
      </w:pPr>
      <w:r>
        <w:rPr>
          <w:b/>
        </w:rPr>
        <w:t>Q.</w:t>
      </w:r>
      <w:r>
        <w:rPr>
          <w:b/>
        </w:rPr>
        <w:tab/>
        <w:t>Has PSE compli</w:t>
      </w:r>
      <w:r w:rsidR="007005AF">
        <w:rPr>
          <w:b/>
        </w:rPr>
        <w:t>ed</w:t>
      </w:r>
      <w:r>
        <w:rPr>
          <w:b/>
        </w:rPr>
        <w:t xml:space="preserve"> with the</w:t>
      </w:r>
      <w:r w:rsidR="00DF6FC1">
        <w:rPr>
          <w:b/>
        </w:rPr>
        <w:t xml:space="preserve"> existing </w:t>
      </w:r>
      <w:r w:rsidR="006705CD" w:rsidRPr="008827A8">
        <w:rPr>
          <w:b/>
        </w:rPr>
        <w:t>Billing and Meter Performance Plan</w:t>
      </w:r>
      <w:r w:rsidR="006705CD">
        <w:t xml:space="preserve"> </w:t>
      </w:r>
      <w:r>
        <w:rPr>
          <w:b/>
        </w:rPr>
        <w:t>standards?</w:t>
      </w:r>
    </w:p>
    <w:p w:rsidR="00782415" w:rsidRDefault="00983B17" w:rsidP="002B7C98">
      <w:pPr>
        <w:pStyle w:val="NoSpacing"/>
        <w:spacing w:line="480" w:lineRule="auto"/>
        <w:ind w:left="720" w:hanging="720"/>
        <w:rPr>
          <w:b/>
        </w:rPr>
      </w:pPr>
      <w:r>
        <w:t>A.</w:t>
      </w:r>
      <w:r>
        <w:tab/>
        <w:t xml:space="preserve">Yes.  There is an on-going Staff investigation to </w:t>
      </w:r>
      <w:r w:rsidR="004105CC">
        <w:t>monitor</w:t>
      </w:r>
      <w:r>
        <w:t xml:space="preserve"> PSE</w:t>
      </w:r>
      <w:r w:rsidR="004105CC">
        <w:t xml:space="preserve">’s performance </w:t>
      </w:r>
      <w:r w:rsidR="007005AF">
        <w:t>under</w:t>
      </w:r>
      <w:r w:rsidR="004105CC">
        <w:t xml:space="preserve"> </w:t>
      </w:r>
      <w:r>
        <w:t>the</w:t>
      </w:r>
      <w:r w:rsidR="00434DDA">
        <w:t>se standards.</w:t>
      </w:r>
      <w:r>
        <w:t xml:space="preserve"> </w:t>
      </w:r>
      <w:r w:rsidR="00455E9D">
        <w:t xml:space="preserve"> </w:t>
      </w:r>
      <w:r>
        <w:t>Staff completed an initial compliance progress report in July 2010</w:t>
      </w:r>
      <w:r w:rsidR="00455E9D">
        <w:t xml:space="preserve">, which I have included in </w:t>
      </w:r>
      <w:r>
        <w:t>Exhibit No.__ (RK-</w:t>
      </w:r>
      <w:r w:rsidR="008A7513">
        <w:t>5</w:t>
      </w:r>
      <w:r w:rsidR="00455E9D">
        <w:t>).</w:t>
      </w:r>
      <w:r w:rsidR="007005AF">
        <w:t xml:space="preserve">  Staff found PSE technically in compliance with the requirements of the Billing and Meter Performance Plan.</w:t>
      </w:r>
    </w:p>
    <w:p w:rsidR="00F87653" w:rsidRDefault="00F87653" w:rsidP="002B7C98">
      <w:pPr>
        <w:pStyle w:val="NoSpacing"/>
        <w:spacing w:line="480" w:lineRule="auto"/>
        <w:ind w:left="720" w:hanging="720"/>
      </w:pPr>
    </w:p>
    <w:p w:rsidR="00B7709F" w:rsidRDefault="00F74195" w:rsidP="002B7C98">
      <w:pPr>
        <w:pStyle w:val="NoSpacing"/>
        <w:spacing w:line="480" w:lineRule="auto"/>
        <w:ind w:left="720" w:hanging="720"/>
        <w:rPr>
          <w:b/>
        </w:rPr>
      </w:pPr>
      <w:r>
        <w:rPr>
          <w:b/>
        </w:rPr>
        <w:lastRenderedPageBreak/>
        <w:t>Q</w:t>
      </w:r>
      <w:r w:rsidR="00CD191E">
        <w:rPr>
          <w:b/>
        </w:rPr>
        <w:t>.</w:t>
      </w:r>
      <w:r w:rsidR="00CD191E">
        <w:rPr>
          <w:b/>
        </w:rPr>
        <w:tab/>
      </w:r>
      <w:r w:rsidR="00455E9D">
        <w:rPr>
          <w:b/>
        </w:rPr>
        <w:t>If PSE has complied with the standards</w:t>
      </w:r>
      <w:r w:rsidR="00BC0B08">
        <w:rPr>
          <w:b/>
        </w:rPr>
        <w:t>, what’s the problem</w:t>
      </w:r>
      <w:r w:rsidR="00B7709F">
        <w:rPr>
          <w:b/>
        </w:rPr>
        <w:t>?</w:t>
      </w:r>
    </w:p>
    <w:p w:rsidR="00CE40A3" w:rsidRDefault="00CD191E" w:rsidP="00CE40A3">
      <w:pPr>
        <w:pStyle w:val="NoSpacing"/>
        <w:spacing w:line="480" w:lineRule="auto"/>
        <w:ind w:left="720" w:hanging="720"/>
      </w:pPr>
      <w:r>
        <w:t>A.</w:t>
      </w:r>
      <w:r>
        <w:tab/>
      </w:r>
      <w:r w:rsidR="00CE40A3">
        <w:t>There are two problems.  First, since 2006, PSE’s retroactive billing complaints have been the highest</w:t>
      </w:r>
      <w:r w:rsidR="00806623">
        <w:t xml:space="preserve"> of </w:t>
      </w:r>
      <w:r w:rsidR="00126EA0">
        <w:t xml:space="preserve">all </w:t>
      </w:r>
      <w:r w:rsidR="002C2B06">
        <w:t>C</w:t>
      </w:r>
      <w:r w:rsidR="00806623">
        <w:t>ommission</w:t>
      </w:r>
      <w:r w:rsidR="004105CC">
        <w:t>-</w:t>
      </w:r>
      <w:r w:rsidR="00806623">
        <w:t xml:space="preserve">regulated </w:t>
      </w:r>
      <w:r w:rsidR="004105CC">
        <w:t xml:space="preserve">energy </w:t>
      </w:r>
      <w:r w:rsidR="00806623">
        <w:t>companies</w:t>
      </w:r>
      <w:r w:rsidR="00DC3E15">
        <w:t xml:space="preserve">, as shown on </w:t>
      </w:r>
      <w:r w:rsidR="00CE40A3">
        <w:t>Exhibit No.__ (RK-</w:t>
      </w:r>
      <w:r w:rsidR="009A6F9B">
        <w:t>6</w:t>
      </w:r>
      <w:r w:rsidR="00CE40A3">
        <w:t>)</w:t>
      </w:r>
      <w:r w:rsidR="00ED14CE">
        <w:t>.</w:t>
      </w:r>
      <w:r w:rsidR="00CE40A3">
        <w:t xml:space="preserve">  </w:t>
      </w:r>
    </w:p>
    <w:p w:rsidR="006705CD" w:rsidRDefault="00CE40A3" w:rsidP="008827A8">
      <w:pPr>
        <w:pStyle w:val="NoSpacing"/>
        <w:spacing w:line="480" w:lineRule="auto"/>
        <w:ind w:left="720" w:firstLine="720"/>
      </w:pPr>
      <w:r>
        <w:t>Second, e</w:t>
      </w:r>
      <w:r w:rsidR="006705CD">
        <w:t>ven though PSE implemented a number of process improvements</w:t>
      </w:r>
      <w:r w:rsidR="00674521">
        <w:t xml:space="preserve">, which I discuss later in this testimony, </w:t>
      </w:r>
      <w:r w:rsidR="006705CD">
        <w:t xml:space="preserve">the Company continues to </w:t>
      </w:r>
      <w:r w:rsidR="009B3D20">
        <w:t xml:space="preserve">issue too many </w:t>
      </w:r>
      <w:r w:rsidR="006705CD">
        <w:t>retroactive bills that exceed six months in duration.  In just the first half of 2011, PSE issued retroactive bills totaling over $4 million</w:t>
      </w:r>
      <w:r w:rsidR="00126EA0">
        <w:t xml:space="preserve"> ($3.2 million for gas and $800,000 for electric)</w:t>
      </w:r>
      <w:r w:rsidR="006705CD">
        <w:t xml:space="preserve">, as shown </w:t>
      </w:r>
      <w:r w:rsidR="00DC3E15">
        <w:t>o</w:t>
      </w:r>
      <w:r w:rsidR="006705CD">
        <w:t xml:space="preserve">n </w:t>
      </w:r>
      <w:r w:rsidR="00DC3E15">
        <w:t xml:space="preserve">the top half of </w:t>
      </w:r>
      <w:r w:rsidR="006705CD">
        <w:t>Exhibit No. _</w:t>
      </w:r>
      <w:r w:rsidR="003C3407">
        <w:t>_ (</w:t>
      </w:r>
      <w:r w:rsidR="006705CD">
        <w:t>RK-</w:t>
      </w:r>
      <w:r w:rsidR="00D0045F">
        <w:t>7</w:t>
      </w:r>
      <w:r w:rsidR="006705CD">
        <w:t xml:space="preserve">).  The largest retroactive bill was </w:t>
      </w:r>
      <w:r w:rsidR="00F87653">
        <w:t xml:space="preserve">for a gas customer in the amount of </w:t>
      </w:r>
      <w:r w:rsidR="006705CD">
        <w:t xml:space="preserve">$65,067. </w:t>
      </w:r>
    </w:p>
    <w:p w:rsidR="006705CD" w:rsidRDefault="006705CD" w:rsidP="006705CD">
      <w:pPr>
        <w:pStyle w:val="NoSpacing"/>
        <w:spacing w:line="480" w:lineRule="auto"/>
        <w:ind w:left="720" w:hanging="720"/>
      </w:pPr>
      <w:r>
        <w:tab/>
      </w:r>
      <w:r>
        <w:tab/>
        <w:t>There were 260 electric and 1,054 gas retroactive bills (</w:t>
      </w:r>
      <w:r w:rsidR="000E1E4C">
        <w:t>stopped meters</w:t>
      </w:r>
      <w:r>
        <w:t xml:space="preserve"> and unassigned </w:t>
      </w:r>
      <w:r w:rsidR="00674521">
        <w:t xml:space="preserve">usage </w:t>
      </w:r>
      <w:r w:rsidR="000E1E4C">
        <w:t>meters</w:t>
      </w:r>
      <w:r>
        <w:t>) during the first half of 2011 that exceed six months in duration, as shown in Exhibit No.__ (RK-</w:t>
      </w:r>
      <w:r w:rsidR="00D0045F">
        <w:t>8</w:t>
      </w:r>
      <w:r>
        <w:t xml:space="preserve">).  In fact, </w:t>
      </w:r>
      <w:r w:rsidR="00674521">
        <w:t xml:space="preserve">during this same time period </w:t>
      </w:r>
      <w:r>
        <w:t>there were 79 electric and 371 gas retroactive bills that exceed 12 months in duration</w:t>
      </w:r>
      <w:r w:rsidR="00126EA0">
        <w:t>, as shown in</w:t>
      </w:r>
      <w:r>
        <w:t xml:space="preserve"> </w:t>
      </w:r>
      <w:r w:rsidR="00F87653">
        <w:t xml:space="preserve">Exhibit No. __ (RK-7).  </w:t>
      </w:r>
      <w:r>
        <w:t>Of these, 2</w:t>
      </w:r>
      <w:r w:rsidR="00F87653">
        <w:t>1</w:t>
      </w:r>
      <w:r>
        <w:t xml:space="preserve"> electric and </w:t>
      </w:r>
      <w:r w:rsidR="00F87653">
        <w:t>51</w:t>
      </w:r>
      <w:r>
        <w:t xml:space="preserve"> gas retroactive </w:t>
      </w:r>
      <w:r w:rsidR="002C2B06">
        <w:t xml:space="preserve">bills </w:t>
      </w:r>
      <w:r>
        <w:t xml:space="preserve">exceed 30 months in duration.  The longest retroactive bill in the first half of 2011 </w:t>
      </w:r>
      <w:r w:rsidR="002C2B06">
        <w:t>i</w:t>
      </w:r>
      <w:r>
        <w:t xml:space="preserve">s 37.1 months. </w:t>
      </w:r>
    </w:p>
    <w:p w:rsidR="00CD191E" w:rsidRDefault="00674521" w:rsidP="008827A8">
      <w:pPr>
        <w:pStyle w:val="NoSpacing"/>
        <w:spacing w:line="480" w:lineRule="auto"/>
        <w:ind w:left="720" w:firstLine="720"/>
      </w:pPr>
      <w:r>
        <w:t>T</w:t>
      </w:r>
      <w:r w:rsidR="006705CD">
        <w:t xml:space="preserve">his is </w:t>
      </w:r>
      <w:r w:rsidR="00C66D9B">
        <w:t>un</w:t>
      </w:r>
      <w:r w:rsidR="006705CD">
        <w:t xml:space="preserve">acceptable.  Consumers have the right to timely and accurate bills each month. </w:t>
      </w:r>
      <w:r w:rsidR="00113EA1">
        <w:t xml:space="preserve">  </w:t>
      </w:r>
      <w:r w:rsidR="00387F51">
        <w:t xml:space="preserve">Exhibit </w:t>
      </w:r>
      <w:r w:rsidR="00113EA1">
        <w:t>No. _</w:t>
      </w:r>
      <w:r>
        <w:t xml:space="preserve">_ (RK-7) </w:t>
      </w:r>
      <w:r w:rsidR="00387F51">
        <w:t xml:space="preserve">shows there were 473 retroactive electric bills exceeding four months in duration and 991 retroactive gas bills exceeding six months in duration in the first half of 2011. </w:t>
      </w:r>
      <w:r w:rsidR="006705CD">
        <w:t xml:space="preserve"> </w:t>
      </w:r>
      <w:r w:rsidR="00455E9D">
        <w:t>It appears that o</w:t>
      </w:r>
      <w:r w:rsidR="00BC0B08">
        <w:t xml:space="preserve">ur </w:t>
      </w:r>
      <w:r w:rsidR="009B3D20">
        <w:t xml:space="preserve">expectation that the </w:t>
      </w:r>
      <w:r w:rsidR="002C2B06">
        <w:t>M</w:t>
      </w:r>
      <w:r w:rsidR="009B3D20">
        <w:t xml:space="preserve">eter and </w:t>
      </w:r>
      <w:r w:rsidR="002C2B06">
        <w:t>B</w:t>
      </w:r>
      <w:r w:rsidR="009B3D20">
        <w:t xml:space="preserve">illing </w:t>
      </w:r>
      <w:r w:rsidR="002C2B06">
        <w:t>P</w:t>
      </w:r>
      <w:r w:rsidR="009B3D20">
        <w:t xml:space="preserve">erformance </w:t>
      </w:r>
      <w:r w:rsidR="002C2B06">
        <w:t>P</w:t>
      </w:r>
      <w:r w:rsidR="009B3D20">
        <w:t xml:space="preserve">lan would </w:t>
      </w:r>
      <w:r w:rsidR="00BC0B08">
        <w:t>decrease</w:t>
      </w:r>
      <w:r>
        <w:t xml:space="preserve"> </w:t>
      </w:r>
      <w:r w:rsidR="0039320E">
        <w:t>the</w:t>
      </w:r>
      <w:r w:rsidR="00434DDA">
        <w:t xml:space="preserve"> </w:t>
      </w:r>
      <w:r w:rsidR="00121A57">
        <w:t xml:space="preserve">duration of </w:t>
      </w:r>
      <w:r w:rsidR="00BC0B08">
        <w:t>back</w:t>
      </w:r>
      <w:r w:rsidR="002F53F3">
        <w:t xml:space="preserve"> </w:t>
      </w:r>
      <w:r w:rsidR="00BC0B08">
        <w:t>bills</w:t>
      </w:r>
      <w:r w:rsidR="00DC397E">
        <w:t xml:space="preserve"> to a </w:t>
      </w:r>
      <w:r w:rsidR="00DC397E">
        <w:lastRenderedPageBreak/>
        <w:t>reasonable level</w:t>
      </w:r>
      <w:r w:rsidR="00BC0B08">
        <w:t xml:space="preserve"> </w:t>
      </w:r>
      <w:r w:rsidR="00455E9D">
        <w:t xml:space="preserve">is not </w:t>
      </w:r>
      <w:r w:rsidR="00BC0B08">
        <w:t>be</w:t>
      </w:r>
      <w:r w:rsidR="00455E9D">
        <w:t>ing</w:t>
      </w:r>
      <w:r w:rsidR="00BC0B08">
        <w:t xml:space="preserve"> </w:t>
      </w:r>
      <w:r w:rsidR="009B3D20">
        <w:t xml:space="preserve">met </w:t>
      </w:r>
      <w:r w:rsidR="00CE40A3">
        <w:t>and, therefore, those standards should be re</w:t>
      </w:r>
      <w:r w:rsidR="002C2B06">
        <w:t>-</w:t>
      </w:r>
      <w:r w:rsidR="00CE40A3">
        <w:t>examined</w:t>
      </w:r>
      <w:r w:rsidR="00BC0B08">
        <w:t>.</w:t>
      </w:r>
      <w:r w:rsidR="00DF6FC1" w:rsidRPr="00DF6FC1">
        <w:t xml:space="preserve"> </w:t>
      </w:r>
    </w:p>
    <w:p w:rsidR="00674521" w:rsidRDefault="00674521" w:rsidP="00C74D07">
      <w:pPr>
        <w:pStyle w:val="NoSpacing"/>
        <w:spacing w:line="480" w:lineRule="auto"/>
      </w:pPr>
    </w:p>
    <w:p w:rsidR="00674521" w:rsidRPr="00C74D07" w:rsidRDefault="00674521" w:rsidP="00C74D07">
      <w:pPr>
        <w:pStyle w:val="NoSpacing"/>
        <w:spacing w:line="480" w:lineRule="auto"/>
        <w:ind w:left="720" w:hanging="720"/>
        <w:rPr>
          <w:b/>
        </w:rPr>
      </w:pPr>
      <w:r w:rsidRPr="00C74D07">
        <w:rPr>
          <w:b/>
        </w:rPr>
        <w:t>Q.</w:t>
      </w:r>
      <w:r w:rsidRPr="00C74D07">
        <w:rPr>
          <w:b/>
        </w:rPr>
        <w:tab/>
        <w:t>Has the Company also recognized in general the problem of retroactive billing as a result of metering inaccuracies</w:t>
      </w:r>
      <w:r>
        <w:rPr>
          <w:b/>
        </w:rPr>
        <w:t>?</w:t>
      </w:r>
    </w:p>
    <w:p w:rsidR="00170B7C" w:rsidRDefault="00674521" w:rsidP="00C74D07">
      <w:pPr>
        <w:pStyle w:val="NoSpacing"/>
        <w:spacing w:line="480" w:lineRule="auto"/>
        <w:ind w:left="720" w:hanging="720"/>
      </w:pPr>
      <w:r>
        <w:t>A.</w:t>
      </w:r>
      <w:r>
        <w:tab/>
        <w:t xml:space="preserve">Yes.  </w:t>
      </w:r>
      <w:r w:rsidR="00170B7C">
        <w:t xml:space="preserve">The Company has </w:t>
      </w:r>
      <w:r w:rsidR="00CE40A3">
        <w:t xml:space="preserve">also </w:t>
      </w:r>
      <w:r w:rsidR="00170B7C">
        <w:t xml:space="preserve">acknowledged its metering and retroactive billing problems. </w:t>
      </w:r>
      <w:r w:rsidR="002C2B06">
        <w:t xml:space="preserve"> </w:t>
      </w:r>
      <w:r w:rsidR="00170B7C">
        <w:t xml:space="preserve">PSE </w:t>
      </w:r>
      <w:r w:rsidR="00126EA0">
        <w:t xml:space="preserve">has </w:t>
      </w:r>
      <w:r w:rsidR="00170B7C">
        <w:t xml:space="preserve">stated that it recognizes that even small numbers of retroactive bills </w:t>
      </w:r>
      <w:r w:rsidR="00113EA1">
        <w:t>are</w:t>
      </w:r>
      <w:r w:rsidR="00170B7C">
        <w:t xml:space="preserve"> problematic.</w:t>
      </w:r>
      <w:r w:rsidR="006A7F36">
        <w:rPr>
          <w:rStyle w:val="FootnoteReference"/>
        </w:rPr>
        <w:footnoteReference w:id="12"/>
      </w:r>
    </w:p>
    <w:p w:rsidR="006705CD" w:rsidRPr="008827A8" w:rsidRDefault="006705CD" w:rsidP="001C0FF7">
      <w:pPr>
        <w:pStyle w:val="NoSpacing"/>
        <w:spacing w:line="480" w:lineRule="auto"/>
        <w:rPr>
          <w:b/>
        </w:rPr>
      </w:pPr>
    </w:p>
    <w:p w:rsidR="00D23F76" w:rsidRPr="00CE40A3" w:rsidRDefault="00D23F76" w:rsidP="002B7C98">
      <w:pPr>
        <w:pStyle w:val="NoSpacing"/>
        <w:spacing w:line="480" w:lineRule="auto"/>
        <w:ind w:left="720" w:hanging="720"/>
        <w:rPr>
          <w:b/>
        </w:rPr>
      </w:pPr>
      <w:r>
        <w:rPr>
          <w:b/>
        </w:rPr>
        <w:t>Q.</w:t>
      </w:r>
      <w:r>
        <w:rPr>
          <w:b/>
        </w:rPr>
        <w:tab/>
      </w:r>
      <w:r w:rsidR="00CE40A3" w:rsidRPr="00CE40A3">
        <w:rPr>
          <w:b/>
        </w:rPr>
        <w:t xml:space="preserve">What do you believe is the reason why the existing </w:t>
      </w:r>
      <w:r w:rsidR="00CE40A3" w:rsidRPr="008827A8">
        <w:rPr>
          <w:b/>
        </w:rPr>
        <w:t xml:space="preserve">Billing and Meter Performance Plan has not worked to reduce </w:t>
      </w:r>
      <w:r w:rsidR="004C376D" w:rsidRPr="008827A8">
        <w:rPr>
          <w:b/>
        </w:rPr>
        <w:t xml:space="preserve">adequately </w:t>
      </w:r>
      <w:r w:rsidR="00CE40A3" w:rsidRPr="008827A8">
        <w:rPr>
          <w:b/>
        </w:rPr>
        <w:t>the duration of back bills?</w:t>
      </w:r>
      <w:r w:rsidR="00CE40A3" w:rsidRPr="00CE40A3">
        <w:rPr>
          <w:b/>
        </w:rPr>
        <w:t xml:space="preserve">  </w:t>
      </w:r>
    </w:p>
    <w:p w:rsidR="008B2515" w:rsidRDefault="00D23F76" w:rsidP="002B7C98">
      <w:pPr>
        <w:pStyle w:val="NoSpacing"/>
        <w:spacing w:line="480" w:lineRule="auto"/>
        <w:ind w:left="720" w:hanging="720"/>
      </w:pPr>
      <w:r>
        <w:t>A.</w:t>
      </w:r>
      <w:r>
        <w:tab/>
      </w:r>
      <w:r w:rsidR="001C142A">
        <w:t>Under the</w:t>
      </w:r>
      <w:r w:rsidR="001C142A" w:rsidRPr="001C142A">
        <w:t xml:space="preserve"> </w:t>
      </w:r>
      <w:r w:rsidR="001C142A">
        <w:t>Billing and Meter Performance Plan</w:t>
      </w:r>
      <w:r w:rsidR="00914ED0">
        <w:t xml:space="preserve">, </w:t>
      </w:r>
      <w:r w:rsidR="001C142A">
        <w:t>S</w:t>
      </w:r>
      <w:r w:rsidR="00CA2AEE">
        <w:t xml:space="preserve">taff expected the Company </w:t>
      </w:r>
      <w:r w:rsidR="00914ED0">
        <w:t>to</w:t>
      </w:r>
      <w:r w:rsidR="00CA2AEE">
        <w:t xml:space="preserve"> correct 100 percent of the electric meter problems within two months and 100 percent of the gas meter problems within four months. </w:t>
      </w:r>
      <w:r w:rsidR="001C142A">
        <w:t xml:space="preserve"> </w:t>
      </w:r>
      <w:r w:rsidR="00914ED0">
        <w:t xml:space="preserve">This </w:t>
      </w:r>
      <w:r w:rsidR="001C142A">
        <w:t>has not happened</w:t>
      </w:r>
      <w:r w:rsidR="00914ED0">
        <w:t xml:space="preserve"> because </w:t>
      </w:r>
      <w:r w:rsidR="006E387A">
        <w:t xml:space="preserve">the current standards require </w:t>
      </w:r>
      <w:r w:rsidR="009B3D20">
        <w:t xml:space="preserve">PSE to act within a certain </w:t>
      </w:r>
      <w:r w:rsidR="004C376D">
        <w:t xml:space="preserve">time </w:t>
      </w:r>
      <w:r w:rsidR="009B3D20">
        <w:t xml:space="preserve">period once it has “identified” </w:t>
      </w:r>
      <w:r w:rsidR="008462E6">
        <w:t>a</w:t>
      </w:r>
      <w:r w:rsidR="006E387A">
        <w:t xml:space="preserve"> meter problem.   Since there is no time requirement during which PSE must identify the meter problem, the</w:t>
      </w:r>
      <w:r w:rsidR="00AC6C2A">
        <w:t xml:space="preserve"> number of back-bills issued for more than six-months has remained</w:t>
      </w:r>
      <w:r w:rsidR="006E387A">
        <w:t xml:space="preserve"> unreasonably</w:t>
      </w:r>
      <w:r w:rsidR="00AC6C2A">
        <w:t xml:space="preserve"> high</w:t>
      </w:r>
      <w:r w:rsidR="001C0FF7">
        <w:t>.</w:t>
      </w:r>
    </w:p>
    <w:p w:rsidR="00CA2AEE" w:rsidRDefault="00CA2AEE" w:rsidP="002B7C98">
      <w:pPr>
        <w:pStyle w:val="NoSpacing"/>
        <w:spacing w:line="480" w:lineRule="auto"/>
        <w:ind w:left="720" w:hanging="720"/>
      </w:pPr>
    </w:p>
    <w:p w:rsidR="00782415" w:rsidRDefault="00585F82" w:rsidP="00A274F4">
      <w:pPr>
        <w:pStyle w:val="NoSpacing"/>
        <w:keepNext/>
        <w:spacing w:line="480" w:lineRule="auto"/>
        <w:ind w:left="720" w:hanging="720"/>
        <w:rPr>
          <w:b/>
        </w:rPr>
      </w:pPr>
      <w:r>
        <w:rPr>
          <w:b/>
        </w:rPr>
        <w:lastRenderedPageBreak/>
        <w:t xml:space="preserve">Q. </w:t>
      </w:r>
      <w:r>
        <w:rPr>
          <w:b/>
        </w:rPr>
        <w:tab/>
        <w:t>What do you recommend</w:t>
      </w:r>
      <w:r w:rsidR="00B96596">
        <w:rPr>
          <w:b/>
        </w:rPr>
        <w:t>?</w:t>
      </w:r>
    </w:p>
    <w:p w:rsidR="00674521" w:rsidRDefault="005F1CE8" w:rsidP="00C3276A">
      <w:pPr>
        <w:pStyle w:val="NoSpacing"/>
        <w:spacing w:line="480" w:lineRule="auto"/>
        <w:ind w:left="720" w:hanging="720"/>
      </w:pPr>
      <w:r>
        <w:t>A.</w:t>
      </w:r>
      <w:r>
        <w:tab/>
      </w:r>
      <w:r w:rsidR="006E387A">
        <w:t xml:space="preserve">I believe </w:t>
      </w:r>
      <w:r w:rsidR="00674521">
        <w:t xml:space="preserve">it is reasonable for </w:t>
      </w:r>
      <w:r w:rsidR="006E387A">
        <w:t xml:space="preserve">the Company to identify all </w:t>
      </w:r>
      <w:r w:rsidR="00674521">
        <w:t xml:space="preserve">gas and electric </w:t>
      </w:r>
      <w:r w:rsidR="00AE2E94">
        <w:t>stopped meters</w:t>
      </w:r>
      <w:r w:rsidR="008462E6">
        <w:t xml:space="preserve"> and</w:t>
      </w:r>
      <w:r w:rsidR="00113EA1">
        <w:t xml:space="preserve"> </w:t>
      </w:r>
      <w:r w:rsidR="006E387A">
        <w:t>unassigned usage meter problems within two months.  Therefore, I recommend that</w:t>
      </w:r>
      <w:r w:rsidR="008462E6">
        <w:t xml:space="preserve"> </w:t>
      </w:r>
      <w:r w:rsidR="006E387A">
        <w:t xml:space="preserve">two months </w:t>
      </w:r>
      <w:r w:rsidR="008462E6">
        <w:t>be added to the existing standards</w:t>
      </w:r>
      <w:r w:rsidR="00DC7B20">
        <w:t>,</w:t>
      </w:r>
      <w:r w:rsidR="008462E6">
        <w:t xml:space="preserve"> </w:t>
      </w:r>
      <w:r w:rsidR="00DC7B20">
        <w:t xml:space="preserve">but that those longer time frames encompass </w:t>
      </w:r>
      <w:r w:rsidR="00674521">
        <w:t xml:space="preserve">both </w:t>
      </w:r>
      <w:r w:rsidR="00DC7B20">
        <w:t xml:space="preserve">meter problem </w:t>
      </w:r>
      <w:r w:rsidR="00DC7B20" w:rsidRPr="00C74D07">
        <w:rPr>
          <w:i/>
        </w:rPr>
        <w:t xml:space="preserve">identification </w:t>
      </w:r>
      <w:r w:rsidR="00DC7B20">
        <w:t xml:space="preserve">and </w:t>
      </w:r>
      <w:r w:rsidR="00DC7B20" w:rsidRPr="00C74D07">
        <w:rPr>
          <w:i/>
        </w:rPr>
        <w:t>correction</w:t>
      </w:r>
      <w:r w:rsidR="00DC7B20">
        <w:t xml:space="preserve"> so that </w:t>
      </w:r>
      <w:r w:rsidR="006E387A" w:rsidRPr="001C0FF7">
        <w:rPr>
          <w:i/>
        </w:rPr>
        <w:t xml:space="preserve">all </w:t>
      </w:r>
      <w:r w:rsidR="00AE2E94">
        <w:t>stopped meter</w:t>
      </w:r>
      <w:r w:rsidR="006E387A">
        <w:t xml:space="preserve"> and </w:t>
      </w:r>
      <w:r w:rsidR="00DC7B20" w:rsidRPr="001C0FF7">
        <w:rPr>
          <w:i/>
        </w:rPr>
        <w:t>all</w:t>
      </w:r>
      <w:r w:rsidR="00DC7B20">
        <w:t xml:space="preserve"> </w:t>
      </w:r>
      <w:r w:rsidR="006E387A">
        <w:t xml:space="preserve">unassigned usage meter billing problems </w:t>
      </w:r>
      <w:r w:rsidR="00DC7B20">
        <w:t xml:space="preserve">will be resolved </w:t>
      </w:r>
      <w:r w:rsidR="006E387A">
        <w:t xml:space="preserve">within 4 months for electric meters and 6 months for gas meters.  </w:t>
      </w:r>
      <w:r w:rsidR="008462E6">
        <w:t>The specific standards I recommend are as follows:</w:t>
      </w:r>
    </w:p>
    <w:p w:rsidR="008462E6" w:rsidRDefault="008462E6" w:rsidP="005F1CE8">
      <w:pPr>
        <w:pStyle w:val="NoSpacing"/>
        <w:numPr>
          <w:ilvl w:val="0"/>
          <w:numId w:val="17"/>
        </w:numPr>
        <w:spacing w:line="480" w:lineRule="auto"/>
        <w:ind w:left="1440"/>
      </w:pPr>
      <w:r>
        <w:t xml:space="preserve">Natural gas meters: Identify and correct 100 percent of all </w:t>
      </w:r>
      <w:r w:rsidR="00AE2E94">
        <w:t>stopped meter</w:t>
      </w:r>
      <w:r>
        <w:t xml:space="preserve"> and unassigned usage meter problems within six months</w:t>
      </w:r>
      <w:r w:rsidR="00D72324">
        <w:t xml:space="preserve"> from the initial occurrence of the problem</w:t>
      </w:r>
      <w:r>
        <w:t xml:space="preserve">; 75 percent of gas meter problems must be </w:t>
      </w:r>
      <w:r w:rsidR="00215195">
        <w:t xml:space="preserve">identified and </w:t>
      </w:r>
      <w:r>
        <w:t>corrected within two months.</w:t>
      </w:r>
    </w:p>
    <w:p w:rsidR="008462E6" w:rsidRDefault="008462E6" w:rsidP="005F1CE8">
      <w:pPr>
        <w:pStyle w:val="NoSpacing"/>
        <w:numPr>
          <w:ilvl w:val="0"/>
          <w:numId w:val="17"/>
        </w:numPr>
        <w:spacing w:line="480" w:lineRule="auto"/>
        <w:ind w:left="1440"/>
      </w:pPr>
      <w:r>
        <w:t xml:space="preserve">Electric meters: Identify and correct 100 percent of all </w:t>
      </w:r>
      <w:r w:rsidR="00AE2E94">
        <w:t>stopped meter</w:t>
      </w:r>
      <w:r>
        <w:t xml:space="preserve"> and unassigned usage meter problems within four months</w:t>
      </w:r>
      <w:r w:rsidR="00D72324">
        <w:t xml:space="preserve"> from the initial occurrence of the problem</w:t>
      </w:r>
      <w:r>
        <w:t xml:space="preserve">; 50 percent </w:t>
      </w:r>
      <w:r w:rsidR="00215195">
        <w:t xml:space="preserve">of </w:t>
      </w:r>
      <w:r>
        <w:t xml:space="preserve">electric meter problems must be </w:t>
      </w:r>
      <w:r w:rsidR="00215195">
        <w:t xml:space="preserve">identified and </w:t>
      </w:r>
      <w:r>
        <w:t>corrected within one month.</w:t>
      </w:r>
    </w:p>
    <w:p w:rsidR="008462E6" w:rsidRDefault="008462E6" w:rsidP="001C0FF7">
      <w:pPr>
        <w:pStyle w:val="NoSpacing"/>
        <w:spacing w:line="480" w:lineRule="auto"/>
        <w:ind w:left="720"/>
      </w:pPr>
      <w:r>
        <w:t xml:space="preserve">Since these standards specify a time frame during which a meter problem must be identified </w:t>
      </w:r>
      <w:r w:rsidRPr="001C0FF7">
        <w:rPr>
          <w:i/>
        </w:rPr>
        <w:t>and</w:t>
      </w:r>
      <w:r>
        <w:t xml:space="preserve"> corrected, the duration of back bills </w:t>
      </w:r>
      <w:r w:rsidR="00317B2D">
        <w:t>should</w:t>
      </w:r>
      <w:r>
        <w:t xml:space="preserve"> be reduced over time to the benefit of ratepayers and the Company.</w:t>
      </w:r>
    </w:p>
    <w:p w:rsidR="008462E6" w:rsidRDefault="008462E6" w:rsidP="00EF213F">
      <w:pPr>
        <w:pStyle w:val="NoSpacing"/>
        <w:spacing w:line="480" w:lineRule="auto"/>
      </w:pPr>
    </w:p>
    <w:p w:rsidR="00EF213F" w:rsidRDefault="00EF213F" w:rsidP="00EF213F">
      <w:pPr>
        <w:pStyle w:val="NoSpacing"/>
        <w:spacing w:line="480" w:lineRule="auto"/>
      </w:pPr>
      <w:r>
        <w:rPr>
          <w:b/>
        </w:rPr>
        <w:t>Q.</w:t>
      </w:r>
      <w:r>
        <w:rPr>
          <w:b/>
        </w:rPr>
        <w:tab/>
        <w:t>Should there be automatic penalties for failure to meet the new standards?</w:t>
      </w:r>
    </w:p>
    <w:p w:rsidR="00EF213F" w:rsidRPr="00EF213F" w:rsidRDefault="00EF213F" w:rsidP="00A36C11">
      <w:pPr>
        <w:pStyle w:val="NoSpacing"/>
        <w:spacing w:line="480" w:lineRule="auto"/>
        <w:ind w:left="720" w:hanging="720"/>
      </w:pPr>
      <w:r>
        <w:t>A.</w:t>
      </w:r>
      <w:r>
        <w:tab/>
      </w:r>
      <w:r w:rsidR="00E27883">
        <w:t>Not at this time</w:t>
      </w:r>
      <w:r w:rsidR="00A36C11">
        <w:t xml:space="preserve">. </w:t>
      </w:r>
      <w:r w:rsidR="008462E6">
        <w:t xml:space="preserve"> </w:t>
      </w:r>
      <w:r w:rsidR="00A36C11">
        <w:t xml:space="preserve">PSE indicated in its response to </w:t>
      </w:r>
      <w:r w:rsidR="00E27883">
        <w:t>S</w:t>
      </w:r>
      <w:r w:rsidR="00A36C11">
        <w:t>taff</w:t>
      </w:r>
      <w:r w:rsidR="00E27883">
        <w:t xml:space="preserve"> Data Request No. </w:t>
      </w:r>
      <w:r w:rsidR="00A36C11">
        <w:t>88</w:t>
      </w:r>
      <w:r w:rsidR="00E27883">
        <w:t>, included in Exhibit No. __(RK-</w:t>
      </w:r>
      <w:r w:rsidR="00D0045F">
        <w:t>9</w:t>
      </w:r>
      <w:r w:rsidR="00E27883">
        <w:t>)</w:t>
      </w:r>
      <w:r w:rsidR="00317B2D">
        <w:t>,</w:t>
      </w:r>
      <w:r w:rsidR="00A36C11">
        <w:t xml:space="preserve"> that it has made some improvements </w:t>
      </w:r>
      <w:r w:rsidR="00E27883">
        <w:t>by</w:t>
      </w:r>
      <w:r w:rsidR="00A36C11">
        <w:t xml:space="preserve"> us</w:t>
      </w:r>
      <w:r w:rsidR="00E27883">
        <w:t>ing</w:t>
      </w:r>
      <w:r w:rsidR="00A36C11">
        <w:t xml:space="preserve"> </w:t>
      </w:r>
      <w:proofErr w:type="spellStart"/>
      <w:r w:rsidR="00A36C11">
        <w:lastRenderedPageBreak/>
        <w:t>DataRaker</w:t>
      </w:r>
      <w:proofErr w:type="spellEnd"/>
      <w:r w:rsidR="00A36C11">
        <w:t xml:space="preserve"> Analysis tool</w:t>
      </w:r>
      <w:r w:rsidR="00E27883">
        <w:t xml:space="preserve"> and </w:t>
      </w:r>
      <w:r w:rsidR="00A36C11">
        <w:t>proactive reviews of irregular use customer meters)</w:t>
      </w:r>
      <w:r w:rsidR="006C28DF">
        <w:t>; by</w:t>
      </w:r>
      <w:r w:rsidR="00A36C11">
        <w:t xml:space="preserve"> investigating potential process changes looking at first-in, first-out workload methodology</w:t>
      </w:r>
      <w:r w:rsidR="00E27883">
        <w:t xml:space="preserve"> and </w:t>
      </w:r>
      <w:r w:rsidR="00A36C11">
        <w:t>automation of office reviews</w:t>
      </w:r>
      <w:r w:rsidR="00E27883">
        <w:t>;</w:t>
      </w:r>
      <w:r w:rsidR="00A36C11">
        <w:t xml:space="preserve"> and </w:t>
      </w:r>
      <w:r w:rsidR="006C28DF">
        <w:t xml:space="preserve">by </w:t>
      </w:r>
      <w:r w:rsidR="00A36C11">
        <w:t xml:space="preserve">considering a pilot to field test a newly designed meter module. </w:t>
      </w:r>
      <w:r w:rsidR="00E27883">
        <w:t xml:space="preserve"> I recommend that Staff monitor PSE’s progress in meeting the new standards</w:t>
      </w:r>
      <w:r w:rsidR="00126EA0">
        <w:t>, if they are approved by the Commission</w:t>
      </w:r>
      <w:r w:rsidR="00E27883">
        <w:t>.  Staff would then report the results of its</w:t>
      </w:r>
      <w:r w:rsidR="002B271E">
        <w:t xml:space="preserve"> review in the next rate proceeding and recommend </w:t>
      </w:r>
      <w:r w:rsidR="00126EA0">
        <w:t xml:space="preserve">further modifications for </w:t>
      </w:r>
      <w:r w:rsidR="002B271E">
        <w:t>penalties or other appropriate enforcement action at that time.</w:t>
      </w:r>
    </w:p>
    <w:p w:rsidR="00EF213F" w:rsidRDefault="00EF213F" w:rsidP="009437A8">
      <w:pPr>
        <w:pStyle w:val="NoSpacing"/>
        <w:spacing w:line="480" w:lineRule="auto"/>
        <w:ind w:left="720" w:hanging="720"/>
        <w:rPr>
          <w:b/>
        </w:rPr>
      </w:pPr>
    </w:p>
    <w:p w:rsidR="009437A8" w:rsidRDefault="009437A8" w:rsidP="009437A8">
      <w:pPr>
        <w:pStyle w:val="NoSpacing"/>
        <w:spacing w:line="480" w:lineRule="auto"/>
        <w:ind w:left="720" w:hanging="720"/>
      </w:pPr>
      <w:r>
        <w:rPr>
          <w:b/>
        </w:rPr>
        <w:t xml:space="preserve">Q.  </w:t>
      </w:r>
      <w:r>
        <w:rPr>
          <w:b/>
        </w:rPr>
        <w:tab/>
        <w:t>Is there</w:t>
      </w:r>
      <w:r w:rsidR="00EF213F">
        <w:rPr>
          <w:b/>
        </w:rPr>
        <w:t xml:space="preserve"> anything you wish to add regarding PSE’s meter and billing performance</w:t>
      </w:r>
      <w:r>
        <w:rPr>
          <w:b/>
        </w:rPr>
        <w:t>?</w:t>
      </w:r>
    </w:p>
    <w:p w:rsidR="00215195" w:rsidRDefault="00EF213F" w:rsidP="00C3276A">
      <w:pPr>
        <w:pStyle w:val="NoSpacing"/>
        <w:spacing w:line="480" w:lineRule="auto"/>
        <w:ind w:left="720" w:hanging="720"/>
      </w:pPr>
      <w:r>
        <w:t xml:space="preserve">A.  </w:t>
      </w:r>
      <w:r>
        <w:tab/>
        <w:t xml:space="preserve">Yes. </w:t>
      </w:r>
      <w:r w:rsidR="002B271E">
        <w:t xml:space="preserve"> </w:t>
      </w:r>
      <w:r>
        <w:t>The current quarterly report format is somewhat cumbersome</w:t>
      </w:r>
      <w:r w:rsidR="00946158" w:rsidRPr="00946158">
        <w:t xml:space="preserve"> </w:t>
      </w:r>
      <w:r w:rsidR="00946158">
        <w:t>and could use some improvement to allow better monitoring.</w:t>
      </w:r>
      <w:r w:rsidR="00317B2D">
        <w:t xml:space="preserve"> </w:t>
      </w:r>
      <w:r>
        <w:t xml:space="preserve"> </w:t>
      </w:r>
      <w:r w:rsidR="00317B2D">
        <w:t xml:space="preserve">Thus, whether or not my recommended modifications are adopted by the Commission, </w:t>
      </w:r>
      <w:r>
        <w:t xml:space="preserve">I recommend that PSE be required </w:t>
      </w:r>
      <w:r w:rsidR="006925FB">
        <w:t xml:space="preserve">to </w:t>
      </w:r>
      <w:r>
        <w:t>restructur</w:t>
      </w:r>
      <w:r w:rsidR="006925FB">
        <w:t>e</w:t>
      </w:r>
      <w:r>
        <w:t xml:space="preserve"> the information provided</w:t>
      </w:r>
      <w:r w:rsidR="00946158">
        <w:t xml:space="preserve">.  </w:t>
      </w:r>
      <w:r w:rsidR="00317B2D">
        <w:t xml:space="preserve">In particular, PSE </w:t>
      </w:r>
      <w:r w:rsidR="00946158">
        <w:t xml:space="preserve">should </w:t>
      </w:r>
      <w:r w:rsidR="006925FB">
        <w:t>add</w:t>
      </w:r>
      <w:r w:rsidR="00215195">
        <w:t xml:space="preserve"> the following data to </w:t>
      </w:r>
      <w:r w:rsidR="006925FB">
        <w:t>each</w:t>
      </w:r>
      <w:r w:rsidR="00215195">
        <w:t xml:space="preserve"> quarterly </w:t>
      </w:r>
      <w:r w:rsidR="006925FB">
        <w:t>report</w:t>
      </w:r>
      <w:r w:rsidR="00215195">
        <w:t>:</w:t>
      </w:r>
    </w:p>
    <w:p w:rsidR="00215195" w:rsidRDefault="006925FB" w:rsidP="005F1CE8">
      <w:pPr>
        <w:pStyle w:val="NoSpacing"/>
        <w:numPr>
          <w:ilvl w:val="0"/>
          <w:numId w:val="21"/>
        </w:numPr>
        <w:spacing w:line="480" w:lineRule="auto"/>
        <w:ind w:left="1440"/>
      </w:pPr>
      <w:r>
        <w:t>T</w:t>
      </w:r>
      <w:r w:rsidR="00215195">
        <w:t xml:space="preserve">he number of  back-bills issued </w:t>
      </w:r>
      <w:r w:rsidR="00B54E36">
        <w:t xml:space="preserve">each month </w:t>
      </w:r>
      <w:r w:rsidR="00215195">
        <w:t>for each type of meter problem (stopped and unassigned</w:t>
      </w:r>
      <w:r w:rsidR="00946158">
        <w:t xml:space="preserve"> usage</w:t>
      </w:r>
      <w:r w:rsidR="00215195">
        <w:t>)</w:t>
      </w:r>
      <w:r>
        <w:t>;</w:t>
      </w:r>
      <w:r w:rsidR="00215195">
        <w:t xml:space="preserve"> </w:t>
      </w:r>
    </w:p>
    <w:p w:rsidR="006925FB" w:rsidRDefault="006925FB" w:rsidP="005F1CE8">
      <w:pPr>
        <w:pStyle w:val="NoSpacing"/>
        <w:numPr>
          <w:ilvl w:val="0"/>
          <w:numId w:val="21"/>
        </w:numPr>
        <w:spacing w:line="480" w:lineRule="auto"/>
        <w:ind w:left="1440"/>
      </w:pPr>
      <w:r>
        <w:t>T</w:t>
      </w:r>
      <w:r w:rsidR="00215195">
        <w:t>he average length of back-bills issued</w:t>
      </w:r>
      <w:r>
        <w:t xml:space="preserve"> </w:t>
      </w:r>
      <w:r w:rsidR="00B54E36">
        <w:t xml:space="preserve">each month </w:t>
      </w:r>
      <w:r>
        <w:t xml:space="preserve">for each type of meter problem; </w:t>
      </w:r>
    </w:p>
    <w:p w:rsidR="00D72324" w:rsidRDefault="006925FB" w:rsidP="005F1CE8">
      <w:pPr>
        <w:pStyle w:val="NoSpacing"/>
        <w:numPr>
          <w:ilvl w:val="0"/>
          <w:numId w:val="21"/>
        </w:numPr>
        <w:spacing w:line="480" w:lineRule="auto"/>
        <w:ind w:left="1440"/>
      </w:pPr>
      <w:r>
        <w:t>The shortest and longest</w:t>
      </w:r>
      <w:r w:rsidR="00215195">
        <w:t xml:space="preserve"> </w:t>
      </w:r>
      <w:r>
        <w:t xml:space="preserve">back-bill, in weeks, issued </w:t>
      </w:r>
      <w:r w:rsidR="00B54E36">
        <w:t xml:space="preserve">each month </w:t>
      </w:r>
      <w:r>
        <w:t>for each type of meter problem</w:t>
      </w:r>
      <w:r w:rsidR="00D72324">
        <w:t>; and</w:t>
      </w:r>
    </w:p>
    <w:p w:rsidR="006925FB" w:rsidRDefault="00D72324" w:rsidP="005F1CE8">
      <w:pPr>
        <w:pStyle w:val="NoSpacing"/>
        <w:numPr>
          <w:ilvl w:val="0"/>
          <w:numId w:val="21"/>
        </w:numPr>
        <w:spacing w:line="480" w:lineRule="auto"/>
        <w:ind w:left="1440"/>
      </w:pPr>
      <w:r>
        <w:lastRenderedPageBreak/>
        <w:t>The duration of each back</w:t>
      </w:r>
      <w:r w:rsidR="00271795">
        <w:t>-</w:t>
      </w:r>
      <w:r>
        <w:t xml:space="preserve">bill issued for stopped and unassigned </w:t>
      </w:r>
      <w:r w:rsidR="00946158">
        <w:t xml:space="preserve">usage </w:t>
      </w:r>
      <w:r>
        <w:t>meters with an explanation why the duration exceeded the performance standard.</w:t>
      </w:r>
      <w:r w:rsidR="006925FB">
        <w:t xml:space="preserve"> </w:t>
      </w:r>
    </w:p>
    <w:p w:rsidR="00CD191E" w:rsidRDefault="006925FB" w:rsidP="00271795">
      <w:pPr>
        <w:pStyle w:val="NoSpacing"/>
        <w:spacing w:line="480" w:lineRule="auto"/>
        <w:ind w:left="720"/>
      </w:pPr>
      <w:r>
        <w:t xml:space="preserve">These data will allow </w:t>
      </w:r>
      <w:r w:rsidR="00946158">
        <w:t>S</w:t>
      </w:r>
      <w:r>
        <w:t xml:space="preserve">taff to </w:t>
      </w:r>
      <w:r w:rsidR="00EF213F">
        <w:t xml:space="preserve">monitor PSE’s progress </w:t>
      </w:r>
      <w:r w:rsidR="00946158">
        <w:t>i</w:t>
      </w:r>
      <w:r w:rsidR="00EF213F">
        <w:t xml:space="preserve">n </w:t>
      </w:r>
      <w:r w:rsidR="003C3407">
        <w:t>reducing the</w:t>
      </w:r>
      <w:r w:rsidR="00EF213F">
        <w:t xml:space="preserve"> </w:t>
      </w:r>
      <w:r w:rsidR="00DC7B20">
        <w:t xml:space="preserve">duration </w:t>
      </w:r>
      <w:r w:rsidR="00EF213F">
        <w:t>of retroactive bills to consumers.</w:t>
      </w:r>
      <w:r w:rsidR="002B271E">
        <w:t xml:space="preserve">  </w:t>
      </w:r>
      <w:r w:rsidR="00946158">
        <w:t xml:space="preserve">Staff commits to working with the Company to design the report in a manner that is not burdensome, but </w:t>
      </w:r>
      <w:r w:rsidR="00126EA0">
        <w:t>provides</w:t>
      </w:r>
      <w:r w:rsidR="00946158">
        <w:t xml:space="preserve"> the necessary information for proper monitoring.</w:t>
      </w:r>
    </w:p>
    <w:p w:rsidR="005F1CE8" w:rsidRDefault="005F1CE8" w:rsidP="001C0FF7">
      <w:pPr>
        <w:pStyle w:val="NoSpacing"/>
        <w:spacing w:line="480" w:lineRule="auto"/>
        <w:rPr>
          <w:b/>
        </w:rPr>
      </w:pPr>
    </w:p>
    <w:p w:rsidR="00CD191E" w:rsidRDefault="00CD191E" w:rsidP="001C0FF7">
      <w:pPr>
        <w:pStyle w:val="NoSpacing"/>
        <w:spacing w:line="480" w:lineRule="auto"/>
        <w:rPr>
          <w:b/>
        </w:rPr>
      </w:pPr>
      <w:r>
        <w:rPr>
          <w:b/>
        </w:rPr>
        <w:t xml:space="preserve">Q.  </w:t>
      </w:r>
      <w:r w:rsidR="003E661A">
        <w:rPr>
          <w:b/>
        </w:rPr>
        <w:tab/>
      </w:r>
      <w:r>
        <w:rPr>
          <w:b/>
        </w:rPr>
        <w:t>Does this conclude your testimony?</w:t>
      </w:r>
    </w:p>
    <w:p w:rsidR="00CD191E" w:rsidRPr="004E2926" w:rsidRDefault="00CD191E" w:rsidP="003E661A">
      <w:pPr>
        <w:pStyle w:val="NoSpacing"/>
        <w:spacing w:line="480" w:lineRule="auto"/>
      </w:pPr>
      <w:r>
        <w:t xml:space="preserve">A.  </w:t>
      </w:r>
      <w:r w:rsidR="003E661A">
        <w:tab/>
      </w:r>
      <w:r>
        <w:t>Yes.</w:t>
      </w:r>
    </w:p>
    <w:p w:rsidR="00EC535A" w:rsidRDefault="00EC535A" w:rsidP="003E661A">
      <w:pPr>
        <w:pStyle w:val="BodyTextIndent"/>
        <w:ind w:left="0" w:firstLine="0"/>
      </w:pPr>
    </w:p>
    <w:sectPr w:rsidR="00EC535A" w:rsidSect="002E486D">
      <w:footerReference w:type="default" r:id="rId13"/>
      <w:pgSz w:w="12240" w:h="15840"/>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82" w:rsidRDefault="00EB5782">
      <w:r>
        <w:separator/>
      </w:r>
    </w:p>
  </w:endnote>
  <w:endnote w:type="continuationSeparator" w:id="0">
    <w:p w:rsidR="00EB5782" w:rsidRDefault="00EB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82" w:rsidRPr="00CD191E" w:rsidRDefault="00EB5782">
    <w:pPr>
      <w:pStyle w:val="Footer"/>
      <w:rPr>
        <w:sz w:val="20"/>
        <w:szCs w:val="20"/>
      </w:rPr>
    </w:pPr>
  </w:p>
  <w:p w:rsidR="00EB5782" w:rsidRPr="00CD191E" w:rsidRDefault="00EB5782">
    <w:pPr>
      <w:pStyle w:val="Footer"/>
      <w:rPr>
        <w:sz w:val="20"/>
        <w:szCs w:val="20"/>
      </w:rPr>
    </w:pPr>
    <w:r w:rsidRPr="00CD191E">
      <w:rPr>
        <w:sz w:val="20"/>
        <w:szCs w:val="20"/>
      </w:rPr>
      <w:t>TESTIMON</w:t>
    </w:r>
    <w:r w:rsidR="00D448F7">
      <w:rPr>
        <w:sz w:val="20"/>
        <w:szCs w:val="20"/>
      </w:rPr>
      <w:t xml:space="preserve">Y OF ROGER KOUCHI </w:t>
    </w:r>
    <w:r w:rsidR="00D448F7">
      <w:rPr>
        <w:sz w:val="20"/>
        <w:szCs w:val="20"/>
      </w:rPr>
      <w:tab/>
    </w:r>
    <w:r w:rsidR="00D448F7">
      <w:rPr>
        <w:sz w:val="20"/>
        <w:szCs w:val="20"/>
      </w:rPr>
      <w:tab/>
      <w:t>Exhibit ___</w:t>
    </w:r>
    <w:r w:rsidRPr="00CD191E">
      <w:rPr>
        <w:sz w:val="20"/>
        <w:szCs w:val="20"/>
      </w:rPr>
      <w:t>T (RK-1T)</w:t>
    </w:r>
  </w:p>
  <w:p w:rsidR="00EB5782" w:rsidRPr="00CD191E" w:rsidRDefault="00EB5782" w:rsidP="004B656C">
    <w:pPr>
      <w:pStyle w:val="Footer"/>
      <w:rPr>
        <w:sz w:val="20"/>
        <w:szCs w:val="20"/>
        <w:lang w:val="fr-FR"/>
      </w:rPr>
    </w:pPr>
    <w:r w:rsidRPr="00CD191E">
      <w:rPr>
        <w:sz w:val="20"/>
        <w:szCs w:val="20"/>
      </w:rPr>
      <w:t>Dockets UE-</w:t>
    </w:r>
    <w:r>
      <w:rPr>
        <w:sz w:val="20"/>
        <w:szCs w:val="20"/>
      </w:rPr>
      <w:t>111</w:t>
    </w:r>
    <w:r w:rsidRPr="00CD191E">
      <w:rPr>
        <w:sz w:val="20"/>
        <w:szCs w:val="20"/>
      </w:rPr>
      <w:t>0</w:t>
    </w:r>
    <w:r>
      <w:rPr>
        <w:sz w:val="20"/>
        <w:szCs w:val="20"/>
      </w:rPr>
      <w:t>48</w:t>
    </w:r>
    <w:r w:rsidRPr="00CD191E">
      <w:rPr>
        <w:sz w:val="20"/>
        <w:szCs w:val="20"/>
      </w:rPr>
      <w:t>-UG-</w:t>
    </w:r>
    <w:r>
      <w:rPr>
        <w:sz w:val="20"/>
        <w:szCs w:val="20"/>
      </w:rPr>
      <w:t>111049</w:t>
    </w:r>
    <w:r w:rsidRPr="00CD191E">
      <w:rPr>
        <w:sz w:val="20"/>
        <w:szCs w:val="20"/>
      </w:rPr>
      <w:tab/>
    </w:r>
    <w:r>
      <w:rPr>
        <w:sz w:val="20"/>
        <w:szCs w:val="20"/>
      </w:rPr>
      <w:tab/>
    </w:r>
    <w:r w:rsidRPr="00CD191E">
      <w:rPr>
        <w:sz w:val="20"/>
        <w:szCs w:val="20"/>
        <w:lang w:val="fr-FR"/>
      </w:rPr>
      <w:t xml:space="preserve">Page </w:t>
    </w:r>
    <w:r w:rsidRPr="00CD191E">
      <w:rPr>
        <w:rStyle w:val="PageNumber"/>
        <w:sz w:val="20"/>
        <w:szCs w:val="20"/>
      </w:rPr>
      <w:fldChar w:fldCharType="begin"/>
    </w:r>
    <w:r w:rsidRPr="00CD191E">
      <w:rPr>
        <w:rStyle w:val="PageNumber"/>
        <w:sz w:val="20"/>
        <w:szCs w:val="20"/>
        <w:lang w:val="fr-FR"/>
      </w:rPr>
      <w:instrText xml:space="preserve"> PAGE </w:instrText>
    </w:r>
    <w:r w:rsidRPr="00CD191E">
      <w:rPr>
        <w:rStyle w:val="PageNumber"/>
        <w:sz w:val="20"/>
        <w:szCs w:val="20"/>
      </w:rPr>
      <w:fldChar w:fldCharType="separate"/>
    </w:r>
    <w:r w:rsidR="002E486D">
      <w:rPr>
        <w:rStyle w:val="PageNumber"/>
        <w:noProof/>
        <w:sz w:val="20"/>
        <w:szCs w:val="20"/>
        <w:lang w:val="fr-FR"/>
      </w:rPr>
      <w:t>2</w:t>
    </w:r>
    <w:r w:rsidRPr="00CD191E">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6D" w:rsidRPr="00CD191E" w:rsidRDefault="002E486D">
    <w:pPr>
      <w:pStyle w:val="Footer"/>
      <w:rPr>
        <w:sz w:val="20"/>
        <w:szCs w:val="20"/>
      </w:rPr>
    </w:pPr>
  </w:p>
  <w:p w:rsidR="002E486D" w:rsidRPr="00CD191E" w:rsidRDefault="002E486D">
    <w:pPr>
      <w:pStyle w:val="Footer"/>
      <w:rPr>
        <w:sz w:val="20"/>
        <w:szCs w:val="20"/>
      </w:rPr>
    </w:pPr>
    <w:r w:rsidRPr="00CD191E">
      <w:rPr>
        <w:sz w:val="20"/>
        <w:szCs w:val="20"/>
      </w:rPr>
      <w:t>TESTIMON</w:t>
    </w:r>
    <w:r>
      <w:rPr>
        <w:sz w:val="20"/>
        <w:szCs w:val="20"/>
      </w:rPr>
      <w:t xml:space="preserve">Y OF ROGER KOUCHI </w:t>
    </w:r>
    <w:r>
      <w:rPr>
        <w:sz w:val="20"/>
        <w:szCs w:val="20"/>
      </w:rPr>
      <w:tab/>
    </w:r>
    <w:r>
      <w:rPr>
        <w:sz w:val="20"/>
        <w:szCs w:val="20"/>
      </w:rPr>
      <w:tab/>
      <w:t>Exhibit ___</w:t>
    </w:r>
    <w:r w:rsidRPr="00CD191E">
      <w:rPr>
        <w:sz w:val="20"/>
        <w:szCs w:val="20"/>
      </w:rPr>
      <w:t>T (RK-1T)</w:t>
    </w:r>
  </w:p>
  <w:p w:rsidR="002E486D" w:rsidRPr="00CD191E" w:rsidRDefault="002E486D" w:rsidP="004B656C">
    <w:pPr>
      <w:pStyle w:val="Footer"/>
      <w:rPr>
        <w:sz w:val="20"/>
        <w:szCs w:val="20"/>
        <w:lang w:val="fr-FR"/>
      </w:rPr>
    </w:pPr>
    <w:r w:rsidRPr="00CD191E">
      <w:rPr>
        <w:sz w:val="20"/>
        <w:szCs w:val="20"/>
      </w:rPr>
      <w:t>Dockets UE-</w:t>
    </w:r>
    <w:r>
      <w:rPr>
        <w:sz w:val="20"/>
        <w:szCs w:val="20"/>
      </w:rPr>
      <w:t>111</w:t>
    </w:r>
    <w:r w:rsidRPr="00CD191E">
      <w:rPr>
        <w:sz w:val="20"/>
        <w:szCs w:val="20"/>
      </w:rPr>
      <w:t>0</w:t>
    </w:r>
    <w:r>
      <w:rPr>
        <w:sz w:val="20"/>
        <w:szCs w:val="20"/>
      </w:rPr>
      <w:t>48</w:t>
    </w:r>
    <w:r w:rsidR="00947F45">
      <w:rPr>
        <w:sz w:val="20"/>
        <w:szCs w:val="20"/>
      </w:rPr>
      <w:t>/</w:t>
    </w:r>
    <w:r w:rsidRPr="00CD191E">
      <w:rPr>
        <w:sz w:val="20"/>
        <w:szCs w:val="20"/>
      </w:rPr>
      <w:t>UG-</w:t>
    </w:r>
    <w:r>
      <w:rPr>
        <w:sz w:val="20"/>
        <w:szCs w:val="20"/>
      </w:rPr>
      <w:t>111049</w:t>
    </w:r>
    <w:r w:rsidRPr="00CD191E">
      <w:rPr>
        <w:sz w:val="20"/>
        <w:szCs w:val="20"/>
      </w:rPr>
      <w:tab/>
    </w:r>
    <w:r>
      <w:rPr>
        <w:sz w:val="20"/>
        <w:szCs w:val="20"/>
      </w:rPr>
      <w:tab/>
    </w:r>
    <w:r w:rsidRPr="00CD191E">
      <w:rPr>
        <w:sz w:val="20"/>
        <w:szCs w:val="20"/>
        <w:lang w:val="fr-FR"/>
      </w:rPr>
      <w:t xml:space="preserve">Page </w:t>
    </w:r>
    <w:r w:rsidRPr="00CD191E">
      <w:rPr>
        <w:rStyle w:val="PageNumber"/>
        <w:sz w:val="20"/>
        <w:szCs w:val="20"/>
      </w:rPr>
      <w:fldChar w:fldCharType="begin"/>
    </w:r>
    <w:r w:rsidRPr="00CD191E">
      <w:rPr>
        <w:rStyle w:val="PageNumber"/>
        <w:sz w:val="20"/>
        <w:szCs w:val="20"/>
        <w:lang w:val="fr-FR"/>
      </w:rPr>
      <w:instrText xml:space="preserve"> PAGE </w:instrText>
    </w:r>
    <w:r w:rsidRPr="00CD191E">
      <w:rPr>
        <w:rStyle w:val="PageNumber"/>
        <w:sz w:val="20"/>
        <w:szCs w:val="20"/>
      </w:rPr>
      <w:fldChar w:fldCharType="separate"/>
    </w:r>
    <w:r w:rsidR="00947F45">
      <w:rPr>
        <w:rStyle w:val="PageNumber"/>
        <w:noProof/>
        <w:sz w:val="20"/>
        <w:szCs w:val="20"/>
        <w:lang w:val="fr-FR"/>
      </w:rPr>
      <w:t>i</w:t>
    </w:r>
    <w:r w:rsidRPr="00CD191E">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6D" w:rsidRPr="00CD191E" w:rsidRDefault="002E486D">
    <w:pPr>
      <w:pStyle w:val="Footer"/>
      <w:rPr>
        <w:sz w:val="20"/>
        <w:szCs w:val="20"/>
      </w:rPr>
    </w:pPr>
  </w:p>
  <w:p w:rsidR="002E486D" w:rsidRPr="00CD191E" w:rsidRDefault="002E486D">
    <w:pPr>
      <w:pStyle w:val="Footer"/>
      <w:rPr>
        <w:sz w:val="20"/>
        <w:szCs w:val="20"/>
      </w:rPr>
    </w:pPr>
    <w:r w:rsidRPr="00CD191E">
      <w:rPr>
        <w:sz w:val="20"/>
        <w:szCs w:val="20"/>
      </w:rPr>
      <w:t>TESTIMON</w:t>
    </w:r>
    <w:r>
      <w:rPr>
        <w:sz w:val="20"/>
        <w:szCs w:val="20"/>
      </w:rPr>
      <w:t xml:space="preserve">Y OF ROGER KOUCHI </w:t>
    </w:r>
    <w:r>
      <w:rPr>
        <w:sz w:val="20"/>
        <w:szCs w:val="20"/>
      </w:rPr>
      <w:tab/>
    </w:r>
    <w:r>
      <w:rPr>
        <w:sz w:val="20"/>
        <w:szCs w:val="20"/>
      </w:rPr>
      <w:tab/>
      <w:t>Exhibit ___</w:t>
    </w:r>
    <w:r w:rsidRPr="00CD191E">
      <w:rPr>
        <w:sz w:val="20"/>
        <w:szCs w:val="20"/>
      </w:rPr>
      <w:t>T (RK-1T)</w:t>
    </w:r>
  </w:p>
  <w:p w:rsidR="002E486D" w:rsidRPr="00CD191E" w:rsidRDefault="002E486D" w:rsidP="004B656C">
    <w:pPr>
      <w:pStyle w:val="Footer"/>
      <w:rPr>
        <w:sz w:val="20"/>
        <w:szCs w:val="20"/>
        <w:lang w:val="fr-FR"/>
      </w:rPr>
    </w:pPr>
    <w:r w:rsidRPr="00CD191E">
      <w:rPr>
        <w:sz w:val="20"/>
        <w:szCs w:val="20"/>
      </w:rPr>
      <w:t>Dockets UE-</w:t>
    </w:r>
    <w:r>
      <w:rPr>
        <w:sz w:val="20"/>
        <w:szCs w:val="20"/>
      </w:rPr>
      <w:t>111</w:t>
    </w:r>
    <w:r w:rsidRPr="00CD191E">
      <w:rPr>
        <w:sz w:val="20"/>
        <w:szCs w:val="20"/>
      </w:rPr>
      <w:t>0</w:t>
    </w:r>
    <w:r>
      <w:rPr>
        <w:sz w:val="20"/>
        <w:szCs w:val="20"/>
      </w:rPr>
      <w:t>48</w:t>
    </w:r>
    <w:r w:rsidR="00947F45">
      <w:rPr>
        <w:sz w:val="20"/>
        <w:szCs w:val="20"/>
      </w:rPr>
      <w:t>/</w:t>
    </w:r>
    <w:r w:rsidRPr="00CD191E">
      <w:rPr>
        <w:sz w:val="20"/>
        <w:szCs w:val="20"/>
      </w:rPr>
      <w:t>UG-</w:t>
    </w:r>
    <w:r>
      <w:rPr>
        <w:sz w:val="20"/>
        <w:szCs w:val="20"/>
      </w:rPr>
      <w:t>111049</w:t>
    </w:r>
    <w:r w:rsidRPr="00CD191E">
      <w:rPr>
        <w:sz w:val="20"/>
        <w:szCs w:val="20"/>
      </w:rPr>
      <w:tab/>
    </w:r>
    <w:r>
      <w:rPr>
        <w:sz w:val="20"/>
        <w:szCs w:val="20"/>
      </w:rPr>
      <w:tab/>
    </w:r>
    <w:r w:rsidRPr="00CD191E">
      <w:rPr>
        <w:sz w:val="20"/>
        <w:szCs w:val="20"/>
        <w:lang w:val="fr-FR"/>
      </w:rPr>
      <w:t xml:space="preserve">Page </w:t>
    </w:r>
    <w:r w:rsidRPr="00CD191E">
      <w:rPr>
        <w:rStyle w:val="PageNumber"/>
        <w:sz w:val="20"/>
        <w:szCs w:val="20"/>
      </w:rPr>
      <w:fldChar w:fldCharType="begin"/>
    </w:r>
    <w:r w:rsidRPr="00CD191E">
      <w:rPr>
        <w:rStyle w:val="PageNumber"/>
        <w:sz w:val="20"/>
        <w:szCs w:val="20"/>
        <w:lang w:val="fr-FR"/>
      </w:rPr>
      <w:instrText xml:space="preserve"> PAGE </w:instrText>
    </w:r>
    <w:r w:rsidRPr="00CD191E">
      <w:rPr>
        <w:rStyle w:val="PageNumber"/>
        <w:sz w:val="20"/>
        <w:szCs w:val="20"/>
      </w:rPr>
      <w:fldChar w:fldCharType="separate"/>
    </w:r>
    <w:r w:rsidR="00947F45">
      <w:rPr>
        <w:rStyle w:val="PageNumber"/>
        <w:noProof/>
        <w:sz w:val="20"/>
        <w:szCs w:val="20"/>
        <w:lang w:val="fr-FR"/>
      </w:rPr>
      <w:t>2</w:t>
    </w:r>
    <w:r w:rsidRPr="00CD191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82" w:rsidRDefault="00EB5782">
      <w:r>
        <w:separator/>
      </w:r>
    </w:p>
  </w:footnote>
  <w:footnote w:type="continuationSeparator" w:id="0">
    <w:p w:rsidR="00EB5782" w:rsidRDefault="00EB5782">
      <w:r>
        <w:continuationSeparator/>
      </w:r>
    </w:p>
  </w:footnote>
  <w:footnote w:id="1">
    <w:p w:rsidR="00EB5782" w:rsidRDefault="00EB5782">
      <w:pPr>
        <w:pStyle w:val="FootnoteText"/>
      </w:pPr>
      <w:r>
        <w:rPr>
          <w:rStyle w:val="FootnoteReference"/>
        </w:rPr>
        <w:footnoteRef/>
      </w:r>
      <w:r>
        <w:t xml:space="preserve"> The “initial occurrence of the problem” means the time that an event first occurred that resulted in a billing error and subsequent retroactive bill.  Such events can include a failed meter, failed automated meter reading (“AMR”), failed interface between the meter and AMR, failed cell net transmission, and the failure to properly identify a meter to an account.</w:t>
      </w:r>
    </w:p>
  </w:footnote>
  <w:footnote w:id="2">
    <w:p w:rsidR="00EB5782" w:rsidRDefault="00EB5782" w:rsidP="004A3608">
      <w:pPr>
        <w:pStyle w:val="NoSpacing"/>
      </w:pPr>
      <w:r w:rsidRPr="001C0FF7">
        <w:rPr>
          <w:rStyle w:val="FootnoteReference"/>
          <w:sz w:val="20"/>
          <w:szCs w:val="20"/>
        </w:rPr>
        <w:footnoteRef/>
      </w:r>
      <w:r w:rsidRPr="001C0FF7">
        <w:rPr>
          <w:sz w:val="20"/>
          <w:szCs w:val="20"/>
        </w:rPr>
        <w:t xml:space="preserve"> </w:t>
      </w:r>
      <w:r w:rsidRPr="001C0FF7">
        <w:rPr>
          <w:i/>
          <w:sz w:val="20"/>
          <w:szCs w:val="20"/>
        </w:rPr>
        <w:t>WUTC v Puget Sound Energy, Inc</w:t>
      </w:r>
      <w:r>
        <w:rPr>
          <w:sz w:val="20"/>
          <w:szCs w:val="20"/>
        </w:rPr>
        <w:t>., Dockets</w:t>
      </w:r>
      <w:r w:rsidRPr="001C0FF7">
        <w:rPr>
          <w:sz w:val="20"/>
          <w:szCs w:val="20"/>
        </w:rPr>
        <w:t xml:space="preserve"> UE-072300 and UG-072301, Order 14 (November 13, 2009).  </w:t>
      </w:r>
    </w:p>
  </w:footnote>
  <w:footnote w:id="3">
    <w:p w:rsidR="00EB5782" w:rsidRDefault="00EB5782" w:rsidP="00C74D07">
      <w:pPr>
        <w:pStyle w:val="NoSpacing"/>
      </w:pPr>
      <w:r>
        <w:rPr>
          <w:rStyle w:val="FootnoteReference"/>
        </w:rPr>
        <w:footnoteRef/>
      </w:r>
      <w:r>
        <w:t xml:space="preserve"> </w:t>
      </w:r>
      <w:r w:rsidRPr="001C0FF7">
        <w:rPr>
          <w:i/>
          <w:sz w:val="20"/>
          <w:szCs w:val="20"/>
        </w:rPr>
        <w:t>WUTC v Puget Sound Energy, Inc</w:t>
      </w:r>
      <w:r>
        <w:rPr>
          <w:sz w:val="20"/>
          <w:szCs w:val="20"/>
        </w:rPr>
        <w:t>., Dockets</w:t>
      </w:r>
      <w:r w:rsidRPr="001C0FF7">
        <w:rPr>
          <w:sz w:val="20"/>
          <w:szCs w:val="20"/>
        </w:rPr>
        <w:t xml:space="preserve"> U</w:t>
      </w:r>
      <w:r>
        <w:rPr>
          <w:sz w:val="20"/>
          <w:szCs w:val="20"/>
        </w:rPr>
        <w:t>E-072300 and UG-072301, Order 16 (August 10, 2010</w:t>
      </w:r>
      <w:r w:rsidRPr="001C0FF7">
        <w:rPr>
          <w:sz w:val="20"/>
          <w:szCs w:val="20"/>
        </w:rPr>
        <w:t xml:space="preserve">).  </w:t>
      </w:r>
    </w:p>
  </w:footnote>
  <w:footnote w:id="4">
    <w:p w:rsidR="00EB5782" w:rsidRDefault="00EB5782">
      <w:pPr>
        <w:pStyle w:val="FootnoteText"/>
      </w:pPr>
      <w:r>
        <w:rPr>
          <w:rStyle w:val="FootnoteReference"/>
        </w:rPr>
        <w:footnoteRef/>
      </w:r>
      <w:r>
        <w:t xml:space="preserve"> </w:t>
      </w:r>
      <w:r w:rsidRPr="006055D6">
        <w:rPr>
          <w:i/>
        </w:rPr>
        <w:t>In re: Application of Puget Sound Power &amp; Light Company and Washington Natural Gas Company</w:t>
      </w:r>
      <w:r>
        <w:t xml:space="preserve">, Dockets UE-951270 and UE-960195, Fourteenth Supp. Order Accepting Stipulation; Approving Merger at 13 (February 5, 1997).  </w:t>
      </w:r>
    </w:p>
  </w:footnote>
  <w:footnote w:id="5">
    <w:p w:rsidR="00EB5782" w:rsidRDefault="00EB5782">
      <w:pPr>
        <w:pStyle w:val="FootnoteText"/>
      </w:pPr>
      <w:r>
        <w:rPr>
          <w:rStyle w:val="FootnoteReference"/>
        </w:rPr>
        <w:footnoteRef/>
      </w:r>
      <w:r>
        <w:t xml:space="preserve"> WAC 480-90-178 / WAC 480-100-178.</w:t>
      </w:r>
    </w:p>
  </w:footnote>
  <w:footnote w:id="6">
    <w:p w:rsidR="00EB5782" w:rsidRDefault="00EB5782">
      <w:pPr>
        <w:pStyle w:val="FootnoteText"/>
      </w:pPr>
      <w:r>
        <w:rPr>
          <w:rStyle w:val="FootnoteReference"/>
        </w:rPr>
        <w:footnoteRef/>
      </w:r>
      <w:r>
        <w:t xml:space="preserve"> WAC 480-90-173 / WAC 480-100-173.</w:t>
      </w:r>
    </w:p>
  </w:footnote>
  <w:footnote w:id="7">
    <w:p w:rsidR="00EB5782" w:rsidRDefault="00EB5782">
      <w:pPr>
        <w:pStyle w:val="FootnoteText"/>
      </w:pPr>
      <w:r>
        <w:rPr>
          <w:rStyle w:val="FootnoteReference"/>
        </w:rPr>
        <w:footnoteRef/>
      </w:r>
      <w:r>
        <w:t xml:space="preserve"> WAC 480-90-128 / WAC 480-100-128.</w:t>
      </w:r>
    </w:p>
  </w:footnote>
  <w:footnote w:id="8">
    <w:p w:rsidR="00EB5782" w:rsidRDefault="00EB5782">
      <w:pPr>
        <w:pStyle w:val="FootnoteText"/>
      </w:pPr>
      <w:r>
        <w:rPr>
          <w:rStyle w:val="FootnoteReference"/>
        </w:rPr>
        <w:footnoteRef/>
      </w:r>
      <w:r>
        <w:t xml:space="preserve"> WAC 480-90-123 / WAC 480-100-123.</w:t>
      </w:r>
    </w:p>
  </w:footnote>
  <w:footnote w:id="9">
    <w:p w:rsidR="00EB5782" w:rsidRDefault="00EB5782">
      <w:pPr>
        <w:pStyle w:val="FootnoteText"/>
      </w:pPr>
      <w:r>
        <w:rPr>
          <w:rStyle w:val="FootnoteReference"/>
        </w:rPr>
        <w:footnoteRef/>
      </w:r>
      <w:r>
        <w:t xml:space="preserve"> Exhibit No. TES-1T, page 10, Dockets UE-072300/UG-072301.</w:t>
      </w:r>
    </w:p>
  </w:footnote>
  <w:footnote w:id="10">
    <w:p w:rsidR="00EB5782" w:rsidRDefault="00EB5782" w:rsidP="00C3276A">
      <w:pPr>
        <w:pStyle w:val="NoSpacing"/>
      </w:pPr>
      <w:r>
        <w:rPr>
          <w:rStyle w:val="FootnoteReference"/>
        </w:rPr>
        <w:footnoteRef/>
      </w:r>
      <w:r>
        <w:t xml:space="preserve"> </w:t>
      </w:r>
      <w:r w:rsidRPr="001C0FF7">
        <w:rPr>
          <w:i/>
          <w:sz w:val="20"/>
          <w:szCs w:val="20"/>
        </w:rPr>
        <w:t>WUTC v Puget Sound Energy, Inc</w:t>
      </w:r>
      <w:r w:rsidRPr="001C0FF7">
        <w:rPr>
          <w:sz w:val="20"/>
          <w:szCs w:val="20"/>
        </w:rPr>
        <w:t>., Dockets U</w:t>
      </w:r>
      <w:r>
        <w:rPr>
          <w:sz w:val="20"/>
          <w:szCs w:val="20"/>
        </w:rPr>
        <w:t>E-072300 and UG-072301, Order 12 (October 8, 2008).</w:t>
      </w:r>
      <w:r w:rsidRPr="001C0FF7">
        <w:rPr>
          <w:sz w:val="20"/>
          <w:szCs w:val="20"/>
        </w:rPr>
        <w:t xml:space="preserve">  </w:t>
      </w:r>
    </w:p>
  </w:footnote>
  <w:footnote w:id="11">
    <w:p w:rsidR="00EB5782" w:rsidRDefault="00EB5782">
      <w:pPr>
        <w:pStyle w:val="FootnoteText"/>
      </w:pPr>
      <w:r>
        <w:rPr>
          <w:rStyle w:val="FootnoteReference"/>
        </w:rPr>
        <w:footnoteRef/>
      </w:r>
      <w:r>
        <w:t xml:space="preserve"> PSE Meter and Billing Performance Quarterly Report, page 11 (October 28, 2011).</w:t>
      </w:r>
    </w:p>
  </w:footnote>
  <w:footnote w:id="12">
    <w:p w:rsidR="00EB5782" w:rsidRDefault="00EB5782">
      <w:pPr>
        <w:pStyle w:val="FootnoteText"/>
      </w:pPr>
      <w:r>
        <w:rPr>
          <w:rStyle w:val="FootnoteReference"/>
        </w:rPr>
        <w:footnoteRef/>
      </w:r>
      <w:r>
        <w:t xml:space="preserve"> Company witness </w:t>
      </w:r>
      <w:proofErr w:type="spellStart"/>
      <w:r>
        <w:t>Booga</w:t>
      </w:r>
      <w:proofErr w:type="spellEnd"/>
      <w:r>
        <w:t xml:space="preserve"> K. Gilbertson, Exhibit No. (BKG-1T), page 4, Docket No. UE-072300/UG-072301.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82" w:rsidRDefault="00EB5782">
    <w:pPr>
      <w:pStyle w:val="Header"/>
    </w:pPr>
  </w:p>
  <w:p w:rsidR="00EB5782" w:rsidRDefault="00EB5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1221EF9"/>
    <w:multiLevelType w:val="hybridMultilevel"/>
    <w:tmpl w:val="EF309F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BC28CF"/>
    <w:multiLevelType w:val="hybridMultilevel"/>
    <w:tmpl w:val="0AEC4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6FC775F"/>
    <w:multiLevelType w:val="hybridMultilevel"/>
    <w:tmpl w:val="B920A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E94584"/>
    <w:multiLevelType w:val="hybridMultilevel"/>
    <w:tmpl w:val="134E023A"/>
    <w:lvl w:ilvl="0" w:tplc="52D4F5F8">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251E46"/>
    <w:multiLevelType w:val="hybridMultilevel"/>
    <w:tmpl w:val="19E60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1EE4D07"/>
    <w:multiLevelType w:val="hybridMultilevel"/>
    <w:tmpl w:val="B25AA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E94F14"/>
    <w:multiLevelType w:val="hybridMultilevel"/>
    <w:tmpl w:val="0AEC4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C93136B"/>
    <w:multiLevelType w:val="hybridMultilevel"/>
    <w:tmpl w:val="0F6ACE36"/>
    <w:lvl w:ilvl="0" w:tplc="4B80BAA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D1049D"/>
    <w:multiLevelType w:val="hybridMultilevel"/>
    <w:tmpl w:val="B00C2E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E1DE8"/>
    <w:multiLevelType w:val="hybridMultilevel"/>
    <w:tmpl w:val="F5EE7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9F2886"/>
    <w:multiLevelType w:val="hybridMultilevel"/>
    <w:tmpl w:val="CB46D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93A617C"/>
    <w:multiLevelType w:val="hybridMultilevel"/>
    <w:tmpl w:val="B5E832F0"/>
    <w:lvl w:ilvl="0" w:tplc="52D4F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5225EB"/>
    <w:multiLevelType w:val="hybridMultilevel"/>
    <w:tmpl w:val="D9089754"/>
    <w:lvl w:ilvl="0" w:tplc="8AC4FD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A42FF"/>
    <w:multiLevelType w:val="hybridMultilevel"/>
    <w:tmpl w:val="0AEC4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A141EF2"/>
    <w:multiLevelType w:val="hybridMultilevel"/>
    <w:tmpl w:val="9D4AC3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E5B4110"/>
    <w:multiLevelType w:val="hybridMultilevel"/>
    <w:tmpl w:val="1B56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E6835CE"/>
    <w:multiLevelType w:val="hybridMultilevel"/>
    <w:tmpl w:val="D0026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EB0768E"/>
    <w:multiLevelType w:val="hybridMultilevel"/>
    <w:tmpl w:val="67F2126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9"/>
  </w:num>
  <w:num w:numId="4">
    <w:abstractNumId w:val="0"/>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4"/>
  </w:num>
  <w:num w:numId="6">
    <w:abstractNumId w:val="16"/>
  </w:num>
  <w:num w:numId="7">
    <w:abstractNumId w:val="12"/>
  </w:num>
  <w:num w:numId="8">
    <w:abstractNumId w:val="3"/>
  </w:num>
  <w:num w:numId="9">
    <w:abstractNumId w:val="10"/>
  </w:num>
  <w:num w:numId="10">
    <w:abstractNumId w:val="6"/>
  </w:num>
  <w:num w:numId="11">
    <w:abstractNumId w:val="5"/>
  </w:num>
  <w:num w:numId="12">
    <w:abstractNumId w:val="18"/>
  </w:num>
  <w:num w:numId="13">
    <w:abstractNumId w:val="13"/>
  </w:num>
  <w:num w:numId="14">
    <w:abstractNumId w:val="4"/>
  </w:num>
  <w:num w:numId="15">
    <w:abstractNumId w:val="15"/>
  </w:num>
  <w:num w:numId="16">
    <w:abstractNumId w:val="2"/>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6C"/>
    <w:rsid w:val="00005AC5"/>
    <w:rsid w:val="00051295"/>
    <w:rsid w:val="00051AFA"/>
    <w:rsid w:val="00054F80"/>
    <w:rsid w:val="000554BE"/>
    <w:rsid w:val="00062FA0"/>
    <w:rsid w:val="00071FB1"/>
    <w:rsid w:val="00077646"/>
    <w:rsid w:val="000A53E3"/>
    <w:rsid w:val="000A716B"/>
    <w:rsid w:val="000B659C"/>
    <w:rsid w:val="000B7D37"/>
    <w:rsid w:val="000C4961"/>
    <w:rsid w:val="000C5C13"/>
    <w:rsid w:val="000C684E"/>
    <w:rsid w:val="000E01EF"/>
    <w:rsid w:val="000E0A0D"/>
    <w:rsid w:val="000E1E4C"/>
    <w:rsid w:val="00113EA1"/>
    <w:rsid w:val="0011508E"/>
    <w:rsid w:val="00121A57"/>
    <w:rsid w:val="00126EA0"/>
    <w:rsid w:val="00140AC4"/>
    <w:rsid w:val="0015186D"/>
    <w:rsid w:val="00151C0C"/>
    <w:rsid w:val="001640F8"/>
    <w:rsid w:val="0016707E"/>
    <w:rsid w:val="0017092D"/>
    <w:rsid w:val="00170B7C"/>
    <w:rsid w:val="0017629B"/>
    <w:rsid w:val="0018571D"/>
    <w:rsid w:val="00195379"/>
    <w:rsid w:val="001967AC"/>
    <w:rsid w:val="001A11D7"/>
    <w:rsid w:val="001C0FF7"/>
    <w:rsid w:val="001C142A"/>
    <w:rsid w:val="001C22DE"/>
    <w:rsid w:val="001D5098"/>
    <w:rsid w:val="001E37F1"/>
    <w:rsid w:val="001F2F1C"/>
    <w:rsid w:val="001F367A"/>
    <w:rsid w:val="001F4A2C"/>
    <w:rsid w:val="0020442A"/>
    <w:rsid w:val="00207F47"/>
    <w:rsid w:val="00215195"/>
    <w:rsid w:val="00220CAF"/>
    <w:rsid w:val="00245A44"/>
    <w:rsid w:val="00266B61"/>
    <w:rsid w:val="002705F5"/>
    <w:rsid w:val="00271795"/>
    <w:rsid w:val="002A0C1A"/>
    <w:rsid w:val="002B271E"/>
    <w:rsid w:val="002B7C98"/>
    <w:rsid w:val="002C0216"/>
    <w:rsid w:val="002C2B06"/>
    <w:rsid w:val="002E3EA7"/>
    <w:rsid w:val="002E486D"/>
    <w:rsid w:val="002F53F3"/>
    <w:rsid w:val="0030363B"/>
    <w:rsid w:val="0030715A"/>
    <w:rsid w:val="00317B2D"/>
    <w:rsid w:val="00322041"/>
    <w:rsid w:val="00323AE8"/>
    <w:rsid w:val="003303B5"/>
    <w:rsid w:val="00343337"/>
    <w:rsid w:val="00344D18"/>
    <w:rsid w:val="003564B9"/>
    <w:rsid w:val="00361DD7"/>
    <w:rsid w:val="00363910"/>
    <w:rsid w:val="00373E2B"/>
    <w:rsid w:val="00373E50"/>
    <w:rsid w:val="00374F2A"/>
    <w:rsid w:val="00375DBD"/>
    <w:rsid w:val="00387F51"/>
    <w:rsid w:val="0039320E"/>
    <w:rsid w:val="00397D69"/>
    <w:rsid w:val="003A227E"/>
    <w:rsid w:val="003A4C4E"/>
    <w:rsid w:val="003A6D1F"/>
    <w:rsid w:val="003B6A2D"/>
    <w:rsid w:val="003C3407"/>
    <w:rsid w:val="003D44AD"/>
    <w:rsid w:val="003E661A"/>
    <w:rsid w:val="003F0DE7"/>
    <w:rsid w:val="003F1436"/>
    <w:rsid w:val="003F750B"/>
    <w:rsid w:val="004105CC"/>
    <w:rsid w:val="0041168F"/>
    <w:rsid w:val="00425099"/>
    <w:rsid w:val="004311FB"/>
    <w:rsid w:val="004312A0"/>
    <w:rsid w:val="00434DDA"/>
    <w:rsid w:val="00435343"/>
    <w:rsid w:val="0043702D"/>
    <w:rsid w:val="0043740A"/>
    <w:rsid w:val="00451261"/>
    <w:rsid w:val="00455E9D"/>
    <w:rsid w:val="00476DA9"/>
    <w:rsid w:val="00477129"/>
    <w:rsid w:val="00496245"/>
    <w:rsid w:val="00497F00"/>
    <w:rsid w:val="004A1755"/>
    <w:rsid w:val="004A3608"/>
    <w:rsid w:val="004B3D0D"/>
    <w:rsid w:val="004B656C"/>
    <w:rsid w:val="004C376D"/>
    <w:rsid w:val="004C3E43"/>
    <w:rsid w:val="004C6CFA"/>
    <w:rsid w:val="004C7C6E"/>
    <w:rsid w:val="004D32CF"/>
    <w:rsid w:val="004D6BBD"/>
    <w:rsid w:val="005002D1"/>
    <w:rsid w:val="00534CFB"/>
    <w:rsid w:val="005554D7"/>
    <w:rsid w:val="00563091"/>
    <w:rsid w:val="00567B14"/>
    <w:rsid w:val="0057677D"/>
    <w:rsid w:val="00577517"/>
    <w:rsid w:val="00585F82"/>
    <w:rsid w:val="005922CB"/>
    <w:rsid w:val="0059483E"/>
    <w:rsid w:val="005958A9"/>
    <w:rsid w:val="005B4B7C"/>
    <w:rsid w:val="005D5C29"/>
    <w:rsid w:val="005E58EC"/>
    <w:rsid w:val="005F1CE8"/>
    <w:rsid w:val="00604037"/>
    <w:rsid w:val="006055D6"/>
    <w:rsid w:val="00610683"/>
    <w:rsid w:val="006164C8"/>
    <w:rsid w:val="00620B71"/>
    <w:rsid w:val="006218D5"/>
    <w:rsid w:val="00641435"/>
    <w:rsid w:val="00646C02"/>
    <w:rsid w:val="00652F5A"/>
    <w:rsid w:val="0065414C"/>
    <w:rsid w:val="00664988"/>
    <w:rsid w:val="0066643E"/>
    <w:rsid w:val="006705CD"/>
    <w:rsid w:val="00674521"/>
    <w:rsid w:val="00682288"/>
    <w:rsid w:val="006925FB"/>
    <w:rsid w:val="006A7F36"/>
    <w:rsid w:val="006B710D"/>
    <w:rsid w:val="006C28DF"/>
    <w:rsid w:val="006C2964"/>
    <w:rsid w:val="006D2FA4"/>
    <w:rsid w:val="006E1784"/>
    <w:rsid w:val="006E387A"/>
    <w:rsid w:val="006F76BE"/>
    <w:rsid w:val="007005AF"/>
    <w:rsid w:val="007414E0"/>
    <w:rsid w:val="00750B96"/>
    <w:rsid w:val="00775549"/>
    <w:rsid w:val="00782415"/>
    <w:rsid w:val="00782DBC"/>
    <w:rsid w:val="00783766"/>
    <w:rsid w:val="007864A8"/>
    <w:rsid w:val="007B0801"/>
    <w:rsid w:val="007D5432"/>
    <w:rsid w:val="007D57CD"/>
    <w:rsid w:val="007E4117"/>
    <w:rsid w:val="007E5D86"/>
    <w:rsid w:val="007F5A2D"/>
    <w:rsid w:val="00802C6A"/>
    <w:rsid w:val="00806623"/>
    <w:rsid w:val="008331CE"/>
    <w:rsid w:val="00834154"/>
    <w:rsid w:val="00837BFE"/>
    <w:rsid w:val="00843B21"/>
    <w:rsid w:val="008462E6"/>
    <w:rsid w:val="00862826"/>
    <w:rsid w:val="00866B1A"/>
    <w:rsid w:val="008827A8"/>
    <w:rsid w:val="00886A13"/>
    <w:rsid w:val="00886C82"/>
    <w:rsid w:val="00890D77"/>
    <w:rsid w:val="0089125D"/>
    <w:rsid w:val="008939BA"/>
    <w:rsid w:val="008A40F3"/>
    <w:rsid w:val="008A6643"/>
    <w:rsid w:val="008A7513"/>
    <w:rsid w:val="008A7A12"/>
    <w:rsid w:val="008B2515"/>
    <w:rsid w:val="008E0AAF"/>
    <w:rsid w:val="008E45BC"/>
    <w:rsid w:val="008F4E6B"/>
    <w:rsid w:val="009063D8"/>
    <w:rsid w:val="00906901"/>
    <w:rsid w:val="00914ED0"/>
    <w:rsid w:val="00915A3A"/>
    <w:rsid w:val="009204ED"/>
    <w:rsid w:val="0092796A"/>
    <w:rsid w:val="009365F4"/>
    <w:rsid w:val="009437A8"/>
    <w:rsid w:val="00946158"/>
    <w:rsid w:val="00947F45"/>
    <w:rsid w:val="009554F0"/>
    <w:rsid w:val="0096329C"/>
    <w:rsid w:val="0097754A"/>
    <w:rsid w:val="00983B17"/>
    <w:rsid w:val="009A099F"/>
    <w:rsid w:val="009A6F9B"/>
    <w:rsid w:val="009B192F"/>
    <w:rsid w:val="009B3C66"/>
    <w:rsid w:val="009B3D20"/>
    <w:rsid w:val="009B67EA"/>
    <w:rsid w:val="009B7A1C"/>
    <w:rsid w:val="009C2455"/>
    <w:rsid w:val="009D0286"/>
    <w:rsid w:val="009D6F9C"/>
    <w:rsid w:val="009E0EC7"/>
    <w:rsid w:val="009E12B1"/>
    <w:rsid w:val="00A02E7D"/>
    <w:rsid w:val="00A10010"/>
    <w:rsid w:val="00A14EBE"/>
    <w:rsid w:val="00A21A1A"/>
    <w:rsid w:val="00A274F4"/>
    <w:rsid w:val="00A36C11"/>
    <w:rsid w:val="00A51561"/>
    <w:rsid w:val="00A531FA"/>
    <w:rsid w:val="00A7284E"/>
    <w:rsid w:val="00A8377A"/>
    <w:rsid w:val="00A86C97"/>
    <w:rsid w:val="00A95369"/>
    <w:rsid w:val="00AA0105"/>
    <w:rsid w:val="00AC4C38"/>
    <w:rsid w:val="00AC6C2A"/>
    <w:rsid w:val="00AD41DA"/>
    <w:rsid w:val="00AD7E8E"/>
    <w:rsid w:val="00AE2E94"/>
    <w:rsid w:val="00B05D67"/>
    <w:rsid w:val="00B26485"/>
    <w:rsid w:val="00B32571"/>
    <w:rsid w:val="00B33271"/>
    <w:rsid w:val="00B33EE3"/>
    <w:rsid w:val="00B51E4C"/>
    <w:rsid w:val="00B54E36"/>
    <w:rsid w:val="00B66ABB"/>
    <w:rsid w:val="00B75E28"/>
    <w:rsid w:val="00B7709F"/>
    <w:rsid w:val="00B96596"/>
    <w:rsid w:val="00BB7A21"/>
    <w:rsid w:val="00BC0B08"/>
    <w:rsid w:val="00BC48FB"/>
    <w:rsid w:val="00BE2D18"/>
    <w:rsid w:val="00BF71C0"/>
    <w:rsid w:val="00BF79B7"/>
    <w:rsid w:val="00C1251B"/>
    <w:rsid w:val="00C15CD2"/>
    <w:rsid w:val="00C3276A"/>
    <w:rsid w:val="00C56B78"/>
    <w:rsid w:val="00C66D9B"/>
    <w:rsid w:val="00C74D07"/>
    <w:rsid w:val="00C750AB"/>
    <w:rsid w:val="00C82803"/>
    <w:rsid w:val="00C926F4"/>
    <w:rsid w:val="00C96341"/>
    <w:rsid w:val="00CA2AEE"/>
    <w:rsid w:val="00CA7335"/>
    <w:rsid w:val="00CB0BBE"/>
    <w:rsid w:val="00CB161A"/>
    <w:rsid w:val="00CB1A2F"/>
    <w:rsid w:val="00CC332E"/>
    <w:rsid w:val="00CC36C3"/>
    <w:rsid w:val="00CC61F6"/>
    <w:rsid w:val="00CD191E"/>
    <w:rsid w:val="00CE125F"/>
    <w:rsid w:val="00CE21E5"/>
    <w:rsid w:val="00CE40A3"/>
    <w:rsid w:val="00CE4D6A"/>
    <w:rsid w:val="00CF129F"/>
    <w:rsid w:val="00D0045F"/>
    <w:rsid w:val="00D23F76"/>
    <w:rsid w:val="00D25409"/>
    <w:rsid w:val="00D448F7"/>
    <w:rsid w:val="00D4519B"/>
    <w:rsid w:val="00D65416"/>
    <w:rsid w:val="00D72324"/>
    <w:rsid w:val="00D84216"/>
    <w:rsid w:val="00DA53FC"/>
    <w:rsid w:val="00DB4A47"/>
    <w:rsid w:val="00DC397E"/>
    <w:rsid w:val="00DC3E15"/>
    <w:rsid w:val="00DC62FB"/>
    <w:rsid w:val="00DC7B20"/>
    <w:rsid w:val="00DD6C46"/>
    <w:rsid w:val="00DE0C2C"/>
    <w:rsid w:val="00DE7B50"/>
    <w:rsid w:val="00DF6FC1"/>
    <w:rsid w:val="00DF713C"/>
    <w:rsid w:val="00E007D5"/>
    <w:rsid w:val="00E01001"/>
    <w:rsid w:val="00E0438F"/>
    <w:rsid w:val="00E173BC"/>
    <w:rsid w:val="00E25A97"/>
    <w:rsid w:val="00E27883"/>
    <w:rsid w:val="00E36EC5"/>
    <w:rsid w:val="00E5047B"/>
    <w:rsid w:val="00E54F7C"/>
    <w:rsid w:val="00E62614"/>
    <w:rsid w:val="00E6681C"/>
    <w:rsid w:val="00E94AE9"/>
    <w:rsid w:val="00EB311D"/>
    <w:rsid w:val="00EB5782"/>
    <w:rsid w:val="00EB6CB1"/>
    <w:rsid w:val="00EC320A"/>
    <w:rsid w:val="00EC535A"/>
    <w:rsid w:val="00ED14CE"/>
    <w:rsid w:val="00EE05FE"/>
    <w:rsid w:val="00EF213F"/>
    <w:rsid w:val="00EF36A3"/>
    <w:rsid w:val="00EF6BFE"/>
    <w:rsid w:val="00F01471"/>
    <w:rsid w:val="00F1231B"/>
    <w:rsid w:val="00F2371A"/>
    <w:rsid w:val="00F60B7A"/>
    <w:rsid w:val="00F63AA4"/>
    <w:rsid w:val="00F70F6C"/>
    <w:rsid w:val="00F74195"/>
    <w:rsid w:val="00F82651"/>
    <w:rsid w:val="00F87653"/>
    <w:rsid w:val="00F90647"/>
    <w:rsid w:val="00F95F69"/>
    <w:rsid w:val="00FB0B87"/>
    <w:rsid w:val="00FC10C7"/>
    <w:rsid w:val="00FD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ind w:left="720" w:hanging="720"/>
      <w:outlineLvl w:val="0"/>
    </w:pPr>
    <w:rPr>
      <w:b/>
      <w:bCs/>
    </w:rPr>
  </w:style>
  <w:style w:type="paragraph" w:styleId="Heading2">
    <w:name w:val="heading 2"/>
    <w:basedOn w:val="Normal"/>
    <w:next w:val="Normal"/>
    <w:qFormat/>
    <w:pPr>
      <w:keepNext/>
      <w:spacing w:line="480" w:lineRule="auto"/>
      <w:outlineLvl w:val="1"/>
    </w:pPr>
    <w:rPr>
      <w:b/>
      <w:bCs/>
    </w:rPr>
  </w:style>
  <w:style w:type="paragraph" w:styleId="Heading3">
    <w:name w:val="heading 3"/>
    <w:basedOn w:val="Normal"/>
    <w:next w:val="Normal"/>
    <w:qFormat/>
    <w:pPr>
      <w:keepNext/>
      <w:spacing w:line="480" w:lineRule="auto"/>
      <w:ind w:left="720" w:hanging="720"/>
      <w:jc w:val="center"/>
      <w:outlineLvl w:val="2"/>
    </w:pPr>
    <w:rPr>
      <w:b/>
      <w:bCs/>
    </w:rPr>
  </w:style>
  <w:style w:type="paragraph" w:styleId="Heading4">
    <w:name w:val="heading 4"/>
    <w:basedOn w:val="Normal"/>
    <w:next w:val="Normal"/>
    <w:qFormat/>
    <w:pPr>
      <w:keepNext/>
      <w:spacing w:line="48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left="720" w:hanging="720"/>
    </w:pPr>
  </w:style>
  <w:style w:type="character" w:styleId="LineNumber">
    <w:name w:val="lin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hanging="720"/>
    </w:pPr>
    <w:rPr>
      <w:b/>
      <w:bCs/>
    </w:rPr>
  </w:style>
  <w:style w:type="paragraph" w:customStyle="1" w:styleId="Level1">
    <w:name w:val="Level 1"/>
    <w:basedOn w:val="Normal"/>
    <w:pPr>
      <w:widowControl w:val="0"/>
      <w:numPr>
        <w:numId w:val="4"/>
      </w:numPr>
      <w:autoSpaceDE w:val="0"/>
      <w:autoSpaceDN w:val="0"/>
      <w:adjustRightInd w:val="0"/>
      <w:ind w:left="720" w:hanging="720"/>
      <w:outlineLvl w:val="0"/>
    </w:pPr>
    <w:rPr>
      <w:rFonts w:ascii="Courier" w:hAnsi="Courier"/>
      <w:sz w:val="20"/>
    </w:rPr>
  </w:style>
  <w:style w:type="paragraph" w:styleId="BodyText">
    <w:name w:val="Body Text"/>
    <w:basedOn w:val="Normal"/>
    <w:pPr>
      <w:autoSpaceDE w:val="0"/>
      <w:autoSpaceDN w:val="0"/>
      <w:adjustRightInd w:val="0"/>
      <w:spacing w:line="240" w:lineRule="atLeast"/>
    </w:pPr>
    <w:rPr>
      <w:rFonts w:ascii="Helv" w:hAnsi="Helv"/>
      <w:b/>
      <w:bCs/>
      <w:color w:val="000000"/>
      <w:sz w:val="22"/>
      <w:szCs w:val="22"/>
    </w:rPr>
  </w:style>
  <w:style w:type="paragraph" w:styleId="NoSpacing">
    <w:name w:val="No Spacing"/>
    <w:uiPriority w:val="1"/>
    <w:qFormat/>
    <w:rsid w:val="00CD191E"/>
    <w:rPr>
      <w:rFonts w:eastAsia="Calibri"/>
      <w:sz w:val="24"/>
      <w:szCs w:val="22"/>
    </w:rPr>
  </w:style>
  <w:style w:type="character" w:styleId="Hyperlink">
    <w:name w:val="Hyperlink"/>
    <w:basedOn w:val="DefaultParagraphFont"/>
    <w:uiPriority w:val="99"/>
    <w:unhideWhenUsed/>
    <w:rsid w:val="00CD191E"/>
    <w:rPr>
      <w:color w:val="0000FF"/>
      <w:u w:val="single"/>
    </w:rPr>
  </w:style>
  <w:style w:type="paragraph" w:styleId="ListParagraph">
    <w:name w:val="List Paragraph"/>
    <w:basedOn w:val="Normal"/>
    <w:uiPriority w:val="34"/>
    <w:qFormat/>
    <w:rsid w:val="00CD191E"/>
    <w:pPr>
      <w:spacing w:after="200" w:line="276" w:lineRule="auto"/>
      <w:ind w:left="720"/>
      <w:contextualSpacing/>
    </w:pPr>
    <w:rPr>
      <w:rFonts w:eastAsia="Calibri"/>
      <w:szCs w:val="22"/>
    </w:rPr>
  </w:style>
  <w:style w:type="paragraph" w:styleId="BalloonText">
    <w:name w:val="Balloon Text"/>
    <w:basedOn w:val="Normal"/>
    <w:link w:val="BalloonTextChar"/>
    <w:rsid w:val="006164C8"/>
    <w:rPr>
      <w:rFonts w:ascii="Tahoma" w:hAnsi="Tahoma" w:cs="Tahoma"/>
      <w:sz w:val="16"/>
      <w:szCs w:val="16"/>
    </w:rPr>
  </w:style>
  <w:style w:type="character" w:customStyle="1" w:styleId="BalloonTextChar">
    <w:name w:val="Balloon Text Char"/>
    <w:basedOn w:val="DefaultParagraphFont"/>
    <w:link w:val="BalloonText"/>
    <w:rsid w:val="006164C8"/>
    <w:rPr>
      <w:rFonts w:ascii="Tahoma" w:hAnsi="Tahoma" w:cs="Tahoma"/>
      <w:sz w:val="16"/>
      <w:szCs w:val="16"/>
    </w:rPr>
  </w:style>
  <w:style w:type="character" w:styleId="CommentReference">
    <w:name w:val="annotation reference"/>
    <w:basedOn w:val="DefaultParagraphFont"/>
    <w:rsid w:val="003A6D1F"/>
    <w:rPr>
      <w:sz w:val="16"/>
      <w:szCs w:val="16"/>
    </w:rPr>
  </w:style>
  <w:style w:type="paragraph" w:styleId="CommentText">
    <w:name w:val="annotation text"/>
    <w:basedOn w:val="Normal"/>
    <w:link w:val="CommentTextChar"/>
    <w:rsid w:val="003A6D1F"/>
    <w:rPr>
      <w:sz w:val="20"/>
      <w:szCs w:val="20"/>
    </w:rPr>
  </w:style>
  <w:style w:type="character" w:customStyle="1" w:styleId="CommentTextChar">
    <w:name w:val="Comment Text Char"/>
    <w:basedOn w:val="DefaultParagraphFont"/>
    <w:link w:val="CommentText"/>
    <w:rsid w:val="003A6D1F"/>
  </w:style>
  <w:style w:type="paragraph" w:styleId="CommentSubject">
    <w:name w:val="annotation subject"/>
    <w:basedOn w:val="CommentText"/>
    <w:next w:val="CommentText"/>
    <w:link w:val="CommentSubjectChar"/>
    <w:rsid w:val="003A6D1F"/>
    <w:rPr>
      <w:b/>
      <w:bCs/>
    </w:rPr>
  </w:style>
  <w:style w:type="character" w:customStyle="1" w:styleId="CommentSubjectChar">
    <w:name w:val="Comment Subject Char"/>
    <w:basedOn w:val="CommentTextChar"/>
    <w:link w:val="CommentSubject"/>
    <w:rsid w:val="003A6D1F"/>
    <w:rPr>
      <w:b/>
      <w:bCs/>
    </w:rPr>
  </w:style>
  <w:style w:type="paragraph" w:styleId="FootnoteText">
    <w:name w:val="footnote text"/>
    <w:basedOn w:val="Normal"/>
    <w:link w:val="FootnoteTextChar"/>
    <w:rsid w:val="00343337"/>
    <w:rPr>
      <w:sz w:val="20"/>
      <w:szCs w:val="20"/>
    </w:rPr>
  </w:style>
  <w:style w:type="character" w:customStyle="1" w:styleId="FootnoteTextChar">
    <w:name w:val="Footnote Text Char"/>
    <w:basedOn w:val="DefaultParagraphFont"/>
    <w:link w:val="FootnoteText"/>
    <w:rsid w:val="00343337"/>
  </w:style>
  <w:style w:type="character" w:styleId="FootnoteReference">
    <w:name w:val="footnote reference"/>
    <w:basedOn w:val="DefaultParagraphFont"/>
    <w:rsid w:val="00343337"/>
    <w:rPr>
      <w:vertAlign w:val="superscript"/>
    </w:rPr>
  </w:style>
  <w:style w:type="paragraph" w:styleId="EndnoteText">
    <w:name w:val="endnote text"/>
    <w:basedOn w:val="Normal"/>
    <w:link w:val="EndnoteTextChar"/>
    <w:rsid w:val="000E01EF"/>
    <w:rPr>
      <w:sz w:val="20"/>
      <w:szCs w:val="20"/>
    </w:rPr>
  </w:style>
  <w:style w:type="character" w:customStyle="1" w:styleId="EndnoteTextChar">
    <w:name w:val="Endnote Text Char"/>
    <w:basedOn w:val="DefaultParagraphFont"/>
    <w:link w:val="EndnoteText"/>
    <w:rsid w:val="000E01EF"/>
  </w:style>
  <w:style w:type="character" w:styleId="EndnoteReference">
    <w:name w:val="endnote reference"/>
    <w:basedOn w:val="DefaultParagraphFont"/>
    <w:rsid w:val="000E01EF"/>
    <w:rPr>
      <w:vertAlign w:val="superscript"/>
    </w:rPr>
  </w:style>
  <w:style w:type="character" w:customStyle="1" w:styleId="HeaderChar">
    <w:name w:val="Header Char"/>
    <w:basedOn w:val="DefaultParagraphFont"/>
    <w:link w:val="Header"/>
    <w:uiPriority w:val="99"/>
    <w:rsid w:val="00B51E4C"/>
    <w:rPr>
      <w:sz w:val="24"/>
      <w:szCs w:val="24"/>
    </w:rPr>
  </w:style>
  <w:style w:type="paragraph" w:styleId="Revision">
    <w:name w:val="Revision"/>
    <w:hidden/>
    <w:uiPriority w:val="99"/>
    <w:semiHidden/>
    <w:rsid w:val="00BC48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ind w:left="720" w:hanging="720"/>
      <w:outlineLvl w:val="0"/>
    </w:pPr>
    <w:rPr>
      <w:b/>
      <w:bCs/>
    </w:rPr>
  </w:style>
  <w:style w:type="paragraph" w:styleId="Heading2">
    <w:name w:val="heading 2"/>
    <w:basedOn w:val="Normal"/>
    <w:next w:val="Normal"/>
    <w:qFormat/>
    <w:pPr>
      <w:keepNext/>
      <w:spacing w:line="480" w:lineRule="auto"/>
      <w:outlineLvl w:val="1"/>
    </w:pPr>
    <w:rPr>
      <w:b/>
      <w:bCs/>
    </w:rPr>
  </w:style>
  <w:style w:type="paragraph" w:styleId="Heading3">
    <w:name w:val="heading 3"/>
    <w:basedOn w:val="Normal"/>
    <w:next w:val="Normal"/>
    <w:qFormat/>
    <w:pPr>
      <w:keepNext/>
      <w:spacing w:line="480" w:lineRule="auto"/>
      <w:ind w:left="720" w:hanging="720"/>
      <w:jc w:val="center"/>
      <w:outlineLvl w:val="2"/>
    </w:pPr>
    <w:rPr>
      <w:b/>
      <w:bCs/>
    </w:rPr>
  </w:style>
  <w:style w:type="paragraph" w:styleId="Heading4">
    <w:name w:val="heading 4"/>
    <w:basedOn w:val="Normal"/>
    <w:next w:val="Normal"/>
    <w:qFormat/>
    <w:pPr>
      <w:keepNext/>
      <w:spacing w:line="48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left="720" w:hanging="720"/>
    </w:pPr>
  </w:style>
  <w:style w:type="character" w:styleId="LineNumber">
    <w:name w:val="lin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hanging="720"/>
    </w:pPr>
    <w:rPr>
      <w:b/>
      <w:bCs/>
    </w:rPr>
  </w:style>
  <w:style w:type="paragraph" w:customStyle="1" w:styleId="Level1">
    <w:name w:val="Level 1"/>
    <w:basedOn w:val="Normal"/>
    <w:pPr>
      <w:widowControl w:val="0"/>
      <w:numPr>
        <w:numId w:val="4"/>
      </w:numPr>
      <w:autoSpaceDE w:val="0"/>
      <w:autoSpaceDN w:val="0"/>
      <w:adjustRightInd w:val="0"/>
      <w:ind w:left="720" w:hanging="720"/>
      <w:outlineLvl w:val="0"/>
    </w:pPr>
    <w:rPr>
      <w:rFonts w:ascii="Courier" w:hAnsi="Courier"/>
      <w:sz w:val="20"/>
    </w:rPr>
  </w:style>
  <w:style w:type="paragraph" w:styleId="BodyText">
    <w:name w:val="Body Text"/>
    <w:basedOn w:val="Normal"/>
    <w:pPr>
      <w:autoSpaceDE w:val="0"/>
      <w:autoSpaceDN w:val="0"/>
      <w:adjustRightInd w:val="0"/>
      <w:spacing w:line="240" w:lineRule="atLeast"/>
    </w:pPr>
    <w:rPr>
      <w:rFonts w:ascii="Helv" w:hAnsi="Helv"/>
      <w:b/>
      <w:bCs/>
      <w:color w:val="000000"/>
      <w:sz w:val="22"/>
      <w:szCs w:val="22"/>
    </w:rPr>
  </w:style>
  <w:style w:type="paragraph" w:styleId="NoSpacing">
    <w:name w:val="No Spacing"/>
    <w:uiPriority w:val="1"/>
    <w:qFormat/>
    <w:rsid w:val="00CD191E"/>
    <w:rPr>
      <w:rFonts w:eastAsia="Calibri"/>
      <w:sz w:val="24"/>
      <w:szCs w:val="22"/>
    </w:rPr>
  </w:style>
  <w:style w:type="character" w:styleId="Hyperlink">
    <w:name w:val="Hyperlink"/>
    <w:basedOn w:val="DefaultParagraphFont"/>
    <w:uiPriority w:val="99"/>
    <w:unhideWhenUsed/>
    <w:rsid w:val="00CD191E"/>
    <w:rPr>
      <w:color w:val="0000FF"/>
      <w:u w:val="single"/>
    </w:rPr>
  </w:style>
  <w:style w:type="paragraph" w:styleId="ListParagraph">
    <w:name w:val="List Paragraph"/>
    <w:basedOn w:val="Normal"/>
    <w:uiPriority w:val="34"/>
    <w:qFormat/>
    <w:rsid w:val="00CD191E"/>
    <w:pPr>
      <w:spacing w:after="200" w:line="276" w:lineRule="auto"/>
      <w:ind w:left="720"/>
      <w:contextualSpacing/>
    </w:pPr>
    <w:rPr>
      <w:rFonts w:eastAsia="Calibri"/>
      <w:szCs w:val="22"/>
    </w:rPr>
  </w:style>
  <w:style w:type="paragraph" w:styleId="BalloonText">
    <w:name w:val="Balloon Text"/>
    <w:basedOn w:val="Normal"/>
    <w:link w:val="BalloonTextChar"/>
    <w:rsid w:val="006164C8"/>
    <w:rPr>
      <w:rFonts w:ascii="Tahoma" w:hAnsi="Tahoma" w:cs="Tahoma"/>
      <w:sz w:val="16"/>
      <w:szCs w:val="16"/>
    </w:rPr>
  </w:style>
  <w:style w:type="character" w:customStyle="1" w:styleId="BalloonTextChar">
    <w:name w:val="Balloon Text Char"/>
    <w:basedOn w:val="DefaultParagraphFont"/>
    <w:link w:val="BalloonText"/>
    <w:rsid w:val="006164C8"/>
    <w:rPr>
      <w:rFonts w:ascii="Tahoma" w:hAnsi="Tahoma" w:cs="Tahoma"/>
      <w:sz w:val="16"/>
      <w:szCs w:val="16"/>
    </w:rPr>
  </w:style>
  <w:style w:type="character" w:styleId="CommentReference">
    <w:name w:val="annotation reference"/>
    <w:basedOn w:val="DefaultParagraphFont"/>
    <w:rsid w:val="003A6D1F"/>
    <w:rPr>
      <w:sz w:val="16"/>
      <w:szCs w:val="16"/>
    </w:rPr>
  </w:style>
  <w:style w:type="paragraph" w:styleId="CommentText">
    <w:name w:val="annotation text"/>
    <w:basedOn w:val="Normal"/>
    <w:link w:val="CommentTextChar"/>
    <w:rsid w:val="003A6D1F"/>
    <w:rPr>
      <w:sz w:val="20"/>
      <w:szCs w:val="20"/>
    </w:rPr>
  </w:style>
  <w:style w:type="character" w:customStyle="1" w:styleId="CommentTextChar">
    <w:name w:val="Comment Text Char"/>
    <w:basedOn w:val="DefaultParagraphFont"/>
    <w:link w:val="CommentText"/>
    <w:rsid w:val="003A6D1F"/>
  </w:style>
  <w:style w:type="paragraph" w:styleId="CommentSubject">
    <w:name w:val="annotation subject"/>
    <w:basedOn w:val="CommentText"/>
    <w:next w:val="CommentText"/>
    <w:link w:val="CommentSubjectChar"/>
    <w:rsid w:val="003A6D1F"/>
    <w:rPr>
      <w:b/>
      <w:bCs/>
    </w:rPr>
  </w:style>
  <w:style w:type="character" w:customStyle="1" w:styleId="CommentSubjectChar">
    <w:name w:val="Comment Subject Char"/>
    <w:basedOn w:val="CommentTextChar"/>
    <w:link w:val="CommentSubject"/>
    <w:rsid w:val="003A6D1F"/>
    <w:rPr>
      <w:b/>
      <w:bCs/>
    </w:rPr>
  </w:style>
  <w:style w:type="paragraph" w:styleId="FootnoteText">
    <w:name w:val="footnote text"/>
    <w:basedOn w:val="Normal"/>
    <w:link w:val="FootnoteTextChar"/>
    <w:rsid w:val="00343337"/>
    <w:rPr>
      <w:sz w:val="20"/>
      <w:szCs w:val="20"/>
    </w:rPr>
  </w:style>
  <w:style w:type="character" w:customStyle="1" w:styleId="FootnoteTextChar">
    <w:name w:val="Footnote Text Char"/>
    <w:basedOn w:val="DefaultParagraphFont"/>
    <w:link w:val="FootnoteText"/>
    <w:rsid w:val="00343337"/>
  </w:style>
  <w:style w:type="character" w:styleId="FootnoteReference">
    <w:name w:val="footnote reference"/>
    <w:basedOn w:val="DefaultParagraphFont"/>
    <w:rsid w:val="00343337"/>
    <w:rPr>
      <w:vertAlign w:val="superscript"/>
    </w:rPr>
  </w:style>
  <w:style w:type="paragraph" w:styleId="EndnoteText">
    <w:name w:val="endnote text"/>
    <w:basedOn w:val="Normal"/>
    <w:link w:val="EndnoteTextChar"/>
    <w:rsid w:val="000E01EF"/>
    <w:rPr>
      <w:sz w:val="20"/>
      <w:szCs w:val="20"/>
    </w:rPr>
  </w:style>
  <w:style w:type="character" w:customStyle="1" w:styleId="EndnoteTextChar">
    <w:name w:val="Endnote Text Char"/>
    <w:basedOn w:val="DefaultParagraphFont"/>
    <w:link w:val="EndnoteText"/>
    <w:rsid w:val="000E01EF"/>
  </w:style>
  <w:style w:type="character" w:styleId="EndnoteReference">
    <w:name w:val="endnote reference"/>
    <w:basedOn w:val="DefaultParagraphFont"/>
    <w:rsid w:val="000E01EF"/>
    <w:rPr>
      <w:vertAlign w:val="superscript"/>
    </w:rPr>
  </w:style>
  <w:style w:type="character" w:customStyle="1" w:styleId="HeaderChar">
    <w:name w:val="Header Char"/>
    <w:basedOn w:val="DefaultParagraphFont"/>
    <w:link w:val="Header"/>
    <w:uiPriority w:val="99"/>
    <w:rsid w:val="00B51E4C"/>
    <w:rPr>
      <w:sz w:val="24"/>
      <w:szCs w:val="24"/>
    </w:rPr>
  </w:style>
  <w:style w:type="paragraph" w:styleId="Revision">
    <w:name w:val="Revision"/>
    <w:hidden/>
    <w:uiPriority w:val="99"/>
    <w:semiHidden/>
    <w:rsid w:val="00BC48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kouchi@utc.wa.go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8488346-1852-4B52-9ABD-FABD1E92EE43}"/>
</file>

<file path=customXml/itemProps2.xml><?xml version="1.0" encoding="utf-8"?>
<ds:datastoreItem xmlns:ds="http://schemas.openxmlformats.org/officeDocument/2006/customXml" ds:itemID="{684507CB-D6F0-404F-839A-9572F7116B37}"/>
</file>

<file path=customXml/itemProps3.xml><?xml version="1.0" encoding="utf-8"?>
<ds:datastoreItem xmlns:ds="http://schemas.openxmlformats.org/officeDocument/2006/customXml" ds:itemID="{5B114941-CCB0-41EF-BDC2-D8677E6649CC}"/>
</file>

<file path=customXml/itemProps4.xml><?xml version="1.0" encoding="utf-8"?>
<ds:datastoreItem xmlns:ds="http://schemas.openxmlformats.org/officeDocument/2006/customXml" ds:itemID="{214D25A0-764C-4611-AE03-16A003909E90}"/>
</file>

<file path=customXml/itemProps5.xml><?xml version="1.0" encoding="utf-8"?>
<ds:datastoreItem xmlns:ds="http://schemas.openxmlformats.org/officeDocument/2006/customXml" ds:itemID="{CF56052A-0AE7-4308-9CB7-7987FE03A641}"/>
</file>

<file path=docProps/app.xml><?xml version="1.0" encoding="utf-8"?>
<Properties xmlns="http://schemas.openxmlformats.org/officeDocument/2006/extended-properties" xmlns:vt="http://schemas.openxmlformats.org/officeDocument/2006/docPropsVTypes">
  <Template>Normal.dotm</Template>
  <TotalTime>4</TotalTime>
  <Pages>19</Pages>
  <Words>3794</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Q</vt:lpstr>
    </vt:vector>
  </TitlesOfParts>
  <Company>Hewlett-Packard Company</Company>
  <LinksUpToDate>false</LinksUpToDate>
  <CharactersWithSpaces>24343</CharactersWithSpaces>
  <SharedDoc>false</SharedDoc>
  <HLinks>
    <vt:vector size="6" baseType="variant">
      <vt:variant>
        <vt:i4>5570592</vt:i4>
      </vt:variant>
      <vt:variant>
        <vt:i4>0</vt:i4>
      </vt:variant>
      <vt:variant>
        <vt:i4>0</vt:i4>
      </vt:variant>
      <vt:variant>
        <vt:i4>5</vt:i4>
      </vt:variant>
      <vt:variant>
        <vt:lpwstr>mailto:rkouchi@utc.wa.gov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creator>Valued Gateway Client</dc:creator>
  <cp:lastModifiedBy>Krista Gross</cp:lastModifiedBy>
  <cp:revision>6</cp:revision>
  <cp:lastPrinted>2011-11-30T20:08:00Z</cp:lastPrinted>
  <dcterms:created xsi:type="dcterms:W3CDTF">2011-12-01T15:05:00Z</dcterms:created>
  <dcterms:modified xsi:type="dcterms:W3CDTF">2011-12-06T17:56:00Z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